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5F" w:rsidRPr="007668A6" w:rsidRDefault="0068145F" w:rsidP="007668A6">
      <w:pPr>
        <w:pStyle w:val="Title"/>
      </w:pPr>
      <w:r w:rsidRPr="007668A6">
        <w:t>AUSTRAC file list</w:t>
      </w:r>
    </w:p>
    <w:p w:rsidR="0068145F" w:rsidRPr="007668A6" w:rsidRDefault="00F975BB" w:rsidP="007668A6">
      <w:pPr>
        <w:pStyle w:val="Heading1"/>
      </w:pPr>
      <w:r>
        <w:t xml:space="preserve">1 </w:t>
      </w:r>
      <w:r w:rsidR="0096112A">
        <w:t>July</w:t>
      </w:r>
      <w:r w:rsidR="00802C28">
        <w:t xml:space="preserve"> to </w:t>
      </w:r>
      <w:r w:rsidR="0096112A">
        <w:t>31</w:t>
      </w:r>
      <w:r w:rsidR="00DF358C" w:rsidRPr="007668A6">
        <w:t xml:space="preserve"> </w:t>
      </w:r>
      <w:r w:rsidR="0096112A">
        <w:t>December 2023</w:t>
      </w:r>
    </w:p>
    <w:p w:rsidR="0068145F" w:rsidRDefault="0068145F" w:rsidP="0068145F">
      <w:r>
        <w:t xml:space="preserve">This is a list of relevant file titles created by AUSTRAC between 1 </w:t>
      </w:r>
      <w:r w:rsidR="0096112A">
        <w:t>July</w:t>
      </w:r>
      <w:r>
        <w:t xml:space="preserve"> and </w:t>
      </w:r>
      <w:r w:rsidR="00F975BB">
        <w:t>3</w:t>
      </w:r>
      <w:r w:rsidR="0096112A">
        <w:t>1</w:t>
      </w:r>
      <w:r w:rsidR="00DF358C">
        <w:t xml:space="preserve"> </w:t>
      </w:r>
      <w:r w:rsidR="0096112A">
        <w:t>December</w:t>
      </w:r>
      <w:r w:rsidR="00957E95">
        <w:t xml:space="preserve"> </w:t>
      </w:r>
      <w:r w:rsidR="0096112A">
        <w:t>2023</w:t>
      </w:r>
      <w:r>
        <w:t>. It is in accordance with the Senate Continuing Order concerning the production of indexed file title lists, which requires each Minister to table a list of relevant file titles created by their department and portfolio agencies. The original Senate Order was amended in 1998 to require departments and agencies to display their file lists on their websites.</w:t>
      </w:r>
    </w:p>
    <w:tbl>
      <w:tblPr>
        <w:tblStyle w:val="GridTable4-Accent2"/>
        <w:tblW w:w="9634" w:type="dxa"/>
        <w:tblLook w:val="04A0" w:firstRow="1" w:lastRow="0" w:firstColumn="1" w:lastColumn="0" w:noHBand="0" w:noVBand="1"/>
        <w:tblCaption w:val="List of File numbers and File names"/>
        <w:tblDescription w:val="17535795 Senate Estimates - October 2023&#10;18265642 Senate Estimates - February 2024&#10;17594176 External Budgeting 2024-25 - Portfolio Budget Statements (PBS)&#10;17713972 Mid-Year Economic and Fiscal Outlook 2023-24&#10;17235150 Senate file list January to June 2023&#10;17593978 Annual Report 2023-24&#10;17592904 Corporate Plan 2024-28&#10;17357834 FATF Plenary Meeting October 2023&#10;18084404 APG Operations Committee 2023 - 2024&#10;18186978 Policy Submissions 2024-2025&#10;18215922 FATF Plenary Meeting February 2024&#10;17470258 APG Typologies Report 2023&#10;18145523 APG Annual Meeting 2024&#10;18194151 Financial Transaction Reports FTR Act repeal - Policy Development 2024&#10;18114984 AML/CTF Rules - Public Consultation - 2023-2024&#10;18116431 AML/CTF Rules - Sunsetting of Legislative Instruments 2024&#10;18116742 AML/CTF Rules - Registration of Instruments - 2023-2024&#10;18114189 AML/CTF Rule - Definitions 2023-2024&#10;18115908 AML/CTF Rule - Compilation Version 2024&#10;18190563 Education Materials - AML/CTF Programs Technical Guidance 2024&#10;18178943 Industry Education and Outreach - Regtech 2024&#10;18189411 Education Materials - AML CTF Act and Rules Technical Guidance 2024&#10;"/>
      </w:tblPr>
      <w:tblGrid>
        <w:gridCol w:w="1555"/>
        <w:gridCol w:w="8079"/>
      </w:tblGrid>
      <w:tr w:rsidR="0068145F" w:rsidRPr="002A3215" w:rsidTr="00F975BB">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rsidR="0068145F" w:rsidRPr="00802C28" w:rsidRDefault="002A3215" w:rsidP="00802C28">
            <w:pPr>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umber</w:t>
            </w:r>
          </w:p>
        </w:tc>
        <w:tc>
          <w:tcPr>
            <w:tcW w:w="8079" w:type="dxa"/>
            <w:noWrap/>
            <w:vAlign w:val="center"/>
          </w:tcPr>
          <w:p w:rsidR="0068145F" w:rsidRPr="00802C28" w:rsidRDefault="002A3215" w:rsidP="00802C28">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ame</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spacing w:before="0"/>
              <w:jc w:val="right"/>
              <w:rPr>
                <w:rFonts w:cs="Calibri"/>
                <w:color w:val="000000"/>
                <w:sz w:val="22"/>
                <w:szCs w:val="22"/>
              </w:rPr>
            </w:pPr>
            <w:r>
              <w:rPr>
                <w:rFonts w:cs="Calibri"/>
                <w:color w:val="000000"/>
                <w:sz w:val="22"/>
                <w:szCs w:val="22"/>
              </w:rPr>
              <w:t>17535795</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Senate Estimates - October 2023</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18265642</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Senate Estimates - February 2024</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17594176</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External Budgeting 2024-25 - Portfolio Budget Statements (PBS)</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17713972</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Mid-Year Economic and Fiscal Outlook 2023-24</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17235150</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Senate file list January to June 2023</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17593978</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Annual Report 2023-24</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17592904</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Corporate Plan 2024-28</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17357834</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FATF Plenary Meeting October 2023</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18084404</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APG Operations Committee 2023 - 2024</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18186978</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Policy Submissions 2024-2025</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18215922</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FATF Plenary Meeting February 2024</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17470258</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APG Typologies Report 2023</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18145523</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APG Annual Meeting 2024</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18194151</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Financial Transaction Reports FTR Act repeal - Policy Development 2024</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18114984</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Rules - Public Consultation - 2023-2024</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18116431</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 xml:space="preserve">AML/CTF Rules - </w:t>
            </w:r>
            <w:proofErr w:type="spellStart"/>
            <w:r>
              <w:rPr>
                <w:rFonts w:cs="Calibri"/>
                <w:color w:val="000000"/>
                <w:sz w:val="22"/>
                <w:szCs w:val="22"/>
              </w:rPr>
              <w:t>Sunsetting</w:t>
            </w:r>
            <w:proofErr w:type="spellEnd"/>
            <w:r>
              <w:rPr>
                <w:rFonts w:cs="Calibri"/>
                <w:color w:val="000000"/>
                <w:sz w:val="22"/>
                <w:szCs w:val="22"/>
              </w:rPr>
              <w:t xml:space="preserve"> of Legislative Instruments 2024</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18116742</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Rules - Registration of Instruments - 2023-2024</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18114189</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AML/CTF Rule - Definitions 2023-2024</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18115908</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Rule - Compilation Version 2024</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18190563</w:t>
            </w:r>
          </w:p>
        </w:tc>
        <w:tc>
          <w:tcPr>
            <w:tcW w:w="8079" w:type="dxa"/>
            <w:noWrap/>
            <w:vAlign w:val="bottom"/>
            <w:hideMark/>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Education Materials - AML/CTF Programs Technical Guidance 2024</w:t>
            </w:r>
          </w:p>
        </w:tc>
      </w:tr>
      <w:tr w:rsidR="0096112A" w:rsidRPr="00F975BB" w:rsidTr="008F5D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rsidR="0096112A" w:rsidRDefault="0096112A" w:rsidP="0096112A">
            <w:pPr>
              <w:jc w:val="right"/>
              <w:rPr>
                <w:rFonts w:cs="Calibri"/>
                <w:color w:val="000000"/>
                <w:sz w:val="22"/>
                <w:szCs w:val="22"/>
              </w:rPr>
            </w:pPr>
            <w:r>
              <w:rPr>
                <w:rFonts w:cs="Calibri"/>
                <w:color w:val="000000"/>
                <w:sz w:val="22"/>
                <w:szCs w:val="22"/>
              </w:rPr>
              <w:t>18178943</w:t>
            </w:r>
          </w:p>
        </w:tc>
        <w:tc>
          <w:tcPr>
            <w:tcW w:w="8079" w:type="dxa"/>
            <w:noWrap/>
            <w:vAlign w:val="bottom"/>
            <w:hideMark/>
          </w:tcPr>
          <w:p w:rsidR="0096112A" w:rsidRDefault="0096112A" w:rsidP="0096112A">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 xml:space="preserve">Industry Education and Outreach - </w:t>
            </w:r>
            <w:proofErr w:type="spellStart"/>
            <w:r>
              <w:rPr>
                <w:rFonts w:cs="Calibri"/>
                <w:color w:val="000000"/>
                <w:sz w:val="22"/>
                <w:szCs w:val="22"/>
              </w:rPr>
              <w:t>Regtech</w:t>
            </w:r>
            <w:proofErr w:type="spellEnd"/>
            <w:r>
              <w:rPr>
                <w:rFonts w:cs="Calibri"/>
                <w:color w:val="000000"/>
                <w:sz w:val="22"/>
                <w:szCs w:val="22"/>
              </w:rPr>
              <w:t xml:space="preserve"> 2024</w:t>
            </w:r>
          </w:p>
        </w:tc>
      </w:tr>
      <w:tr w:rsidR="0096112A" w:rsidRPr="00F975BB" w:rsidTr="008F5D64">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6112A" w:rsidRDefault="0096112A" w:rsidP="0096112A">
            <w:pPr>
              <w:jc w:val="right"/>
              <w:rPr>
                <w:rFonts w:cs="Calibri"/>
                <w:color w:val="000000"/>
                <w:sz w:val="22"/>
                <w:szCs w:val="22"/>
              </w:rPr>
            </w:pPr>
            <w:r>
              <w:rPr>
                <w:rFonts w:cs="Calibri"/>
                <w:color w:val="000000"/>
                <w:sz w:val="22"/>
                <w:szCs w:val="22"/>
              </w:rPr>
              <w:t>18189411</w:t>
            </w:r>
          </w:p>
        </w:tc>
        <w:tc>
          <w:tcPr>
            <w:tcW w:w="8079" w:type="dxa"/>
            <w:noWrap/>
            <w:vAlign w:val="bottom"/>
          </w:tcPr>
          <w:p w:rsidR="0096112A" w:rsidRDefault="0096112A" w:rsidP="0096112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Education Materials - AML CTF Act and Rules Technical Guidance 2024</w:t>
            </w:r>
          </w:p>
        </w:tc>
      </w:tr>
    </w:tbl>
    <w:p w:rsidR="00BB2AE6" w:rsidRDefault="00E909BA" w:rsidP="00E909BA">
      <w:pPr>
        <w:tabs>
          <w:tab w:val="left" w:pos="1733"/>
        </w:tabs>
      </w:pPr>
      <w:r>
        <w:tab/>
      </w:r>
    </w:p>
    <w:sectPr w:rsidR="00BB2AE6" w:rsidSect="0096112A">
      <w:headerReference w:type="even" r:id="rId7"/>
      <w:headerReference w:type="default" r:id="rId8"/>
      <w:footerReference w:type="even" r:id="rId9"/>
      <w:footerReference w:type="default" r:id="rId10"/>
      <w:headerReference w:type="first" r:id="rId11"/>
      <w:footerReference w:type="first" r:id="rId12"/>
      <w:pgSz w:w="11906" w:h="16838"/>
      <w:pgMar w:top="1985" w:right="1134" w:bottom="426" w:left="1134" w:header="709" w:footer="1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04" w:rsidRDefault="00D95D04" w:rsidP="00213DCE">
      <w:r>
        <w:separator/>
      </w:r>
    </w:p>
  </w:endnote>
  <w:endnote w:type="continuationSeparator" w:id="0">
    <w:p w:rsidR="00D95D04" w:rsidRDefault="00D95D04" w:rsidP="0021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85" w:rsidRDefault="00FA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4379365"/>
      <w:docPartObj>
        <w:docPartGallery w:val="Page Numbers (Bottom of Page)"/>
        <w:docPartUnique/>
      </w:docPartObj>
    </w:sdtPr>
    <w:sdtEndPr/>
    <w:sdtContent>
      <w:sdt>
        <w:sdtPr>
          <w:rPr>
            <w:sz w:val="20"/>
          </w:rPr>
          <w:id w:val="1308745714"/>
          <w:docPartObj>
            <w:docPartGallery w:val="Page Numbers (Top of Page)"/>
            <w:docPartUnique/>
          </w:docPartObj>
        </w:sdtPr>
        <w:sdtEndPr/>
        <w:sdtContent>
          <w:p w:rsidR="00035335" w:rsidRPr="00035335" w:rsidRDefault="00DF358C" w:rsidP="007668A6">
            <w:pPr>
              <w:tabs>
                <w:tab w:val="left" w:pos="8364"/>
              </w:tabs>
              <w:rPr>
                <w:sz w:val="20"/>
              </w:rPr>
            </w:pPr>
            <w:r w:rsidRPr="002A3215">
              <w:rPr>
                <w:sz w:val="20"/>
              </w:rPr>
              <w:t xml:space="preserve">AUSTRAC file list 1 </w:t>
            </w:r>
            <w:r w:rsidR="0096112A">
              <w:rPr>
                <w:sz w:val="20"/>
              </w:rPr>
              <w:t>July to 31 December 2023</w:t>
            </w:r>
            <w:r w:rsidR="00035335">
              <w:rPr>
                <w:sz w:val="20"/>
              </w:rPr>
              <w:tab/>
            </w:r>
            <w:r w:rsidR="00035335" w:rsidRPr="002A3215">
              <w:rPr>
                <w:sz w:val="20"/>
              </w:rPr>
              <w:t xml:space="preserve">Page </w:t>
            </w:r>
            <w:r w:rsidR="00035335" w:rsidRPr="002A3215">
              <w:rPr>
                <w:b/>
                <w:bCs/>
                <w:sz w:val="18"/>
                <w:szCs w:val="24"/>
              </w:rPr>
              <w:fldChar w:fldCharType="begin"/>
            </w:r>
            <w:r w:rsidR="00035335" w:rsidRPr="002A3215">
              <w:rPr>
                <w:b/>
                <w:bCs/>
                <w:sz w:val="20"/>
              </w:rPr>
              <w:instrText xml:space="preserve"> PAGE </w:instrText>
            </w:r>
            <w:r w:rsidR="00035335" w:rsidRPr="002A3215">
              <w:rPr>
                <w:b/>
                <w:bCs/>
                <w:sz w:val="18"/>
                <w:szCs w:val="24"/>
              </w:rPr>
              <w:fldChar w:fldCharType="separate"/>
            </w:r>
            <w:r w:rsidR="00DD1929">
              <w:rPr>
                <w:b/>
                <w:bCs/>
                <w:noProof/>
                <w:sz w:val="20"/>
              </w:rPr>
              <w:t>2</w:t>
            </w:r>
            <w:r w:rsidR="00035335" w:rsidRPr="002A3215">
              <w:rPr>
                <w:b/>
                <w:bCs/>
                <w:sz w:val="18"/>
                <w:szCs w:val="24"/>
              </w:rPr>
              <w:fldChar w:fldCharType="end"/>
            </w:r>
            <w:r w:rsidR="00035335" w:rsidRPr="002A3215">
              <w:rPr>
                <w:sz w:val="20"/>
              </w:rPr>
              <w:t xml:space="preserve"> of </w:t>
            </w:r>
            <w:r w:rsidR="00035335" w:rsidRPr="002A3215">
              <w:rPr>
                <w:b/>
                <w:bCs/>
                <w:sz w:val="18"/>
                <w:szCs w:val="24"/>
              </w:rPr>
              <w:fldChar w:fldCharType="begin"/>
            </w:r>
            <w:r w:rsidR="00035335" w:rsidRPr="002A3215">
              <w:rPr>
                <w:b/>
                <w:bCs/>
                <w:sz w:val="20"/>
              </w:rPr>
              <w:instrText xml:space="preserve"> NUMPAGES  </w:instrText>
            </w:r>
            <w:r w:rsidR="00035335" w:rsidRPr="002A3215">
              <w:rPr>
                <w:b/>
                <w:bCs/>
                <w:sz w:val="18"/>
                <w:szCs w:val="24"/>
              </w:rPr>
              <w:fldChar w:fldCharType="separate"/>
            </w:r>
            <w:r w:rsidR="00DD1929">
              <w:rPr>
                <w:b/>
                <w:bCs/>
                <w:noProof/>
                <w:sz w:val="20"/>
              </w:rPr>
              <w:t>2</w:t>
            </w:r>
            <w:r w:rsidR="00035335" w:rsidRPr="002A3215">
              <w:rPr>
                <w:b/>
                <w:bCs/>
                <w:sz w:val="18"/>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805872"/>
      <w:docPartObj>
        <w:docPartGallery w:val="Page Numbers (Bottom of Page)"/>
        <w:docPartUnique/>
      </w:docPartObj>
    </w:sdtPr>
    <w:sdtEndPr/>
    <w:sdtContent>
      <w:sdt>
        <w:sdtPr>
          <w:rPr>
            <w:sz w:val="20"/>
          </w:rPr>
          <w:id w:val="-1341454913"/>
          <w:docPartObj>
            <w:docPartGallery w:val="Page Numbers (Top of Page)"/>
            <w:docPartUnique/>
          </w:docPartObj>
        </w:sdtPr>
        <w:sdtEndPr/>
        <w:sdtContent>
          <w:p w:rsidR="002A3215" w:rsidRPr="002A3215" w:rsidRDefault="002A3215" w:rsidP="007668A6">
            <w:pPr>
              <w:tabs>
                <w:tab w:val="left" w:pos="8364"/>
              </w:tabs>
              <w:rPr>
                <w:sz w:val="20"/>
              </w:rPr>
            </w:pPr>
            <w:r w:rsidRPr="002A3215">
              <w:rPr>
                <w:sz w:val="20"/>
              </w:rPr>
              <w:t>AUSTRAC file list 1</w:t>
            </w:r>
            <w:r w:rsidR="00802C28">
              <w:rPr>
                <w:sz w:val="20"/>
              </w:rPr>
              <w:t xml:space="preserve"> </w:t>
            </w:r>
            <w:r w:rsidR="00E909BA">
              <w:rPr>
                <w:sz w:val="20"/>
              </w:rPr>
              <w:t>July</w:t>
            </w:r>
            <w:r w:rsidR="00802C28">
              <w:rPr>
                <w:sz w:val="20"/>
              </w:rPr>
              <w:t xml:space="preserve"> </w:t>
            </w:r>
            <w:r w:rsidRPr="002A3215">
              <w:rPr>
                <w:sz w:val="20"/>
              </w:rPr>
              <w:t xml:space="preserve">to </w:t>
            </w:r>
            <w:r w:rsidR="00F975BB">
              <w:rPr>
                <w:sz w:val="20"/>
              </w:rPr>
              <w:t>3</w:t>
            </w:r>
            <w:r w:rsidR="00E909BA">
              <w:rPr>
                <w:sz w:val="20"/>
              </w:rPr>
              <w:t>1</w:t>
            </w:r>
            <w:r w:rsidR="00F975BB">
              <w:rPr>
                <w:sz w:val="20"/>
              </w:rPr>
              <w:t xml:space="preserve"> </w:t>
            </w:r>
            <w:r w:rsidR="00E909BA">
              <w:rPr>
                <w:sz w:val="20"/>
              </w:rPr>
              <w:t>December</w:t>
            </w:r>
            <w:r w:rsidR="00F975BB">
              <w:rPr>
                <w:sz w:val="20"/>
              </w:rPr>
              <w:t xml:space="preserve"> </w:t>
            </w:r>
            <w:r w:rsidR="00E909BA">
              <w:rPr>
                <w:sz w:val="20"/>
              </w:rPr>
              <w:t>2023</w:t>
            </w:r>
            <w:r w:rsidRPr="002A3215">
              <w:rPr>
                <w:sz w:val="20"/>
              </w:rPr>
              <w:tab/>
              <w:t xml:space="preserve">Page </w:t>
            </w:r>
            <w:r w:rsidRPr="002A3215">
              <w:rPr>
                <w:b/>
                <w:bCs/>
                <w:sz w:val="18"/>
                <w:szCs w:val="24"/>
              </w:rPr>
              <w:fldChar w:fldCharType="begin"/>
            </w:r>
            <w:r w:rsidRPr="002A3215">
              <w:rPr>
                <w:b/>
                <w:bCs/>
                <w:sz w:val="20"/>
              </w:rPr>
              <w:instrText xml:space="preserve"> PAGE </w:instrText>
            </w:r>
            <w:r w:rsidRPr="002A3215">
              <w:rPr>
                <w:b/>
                <w:bCs/>
                <w:sz w:val="18"/>
                <w:szCs w:val="24"/>
              </w:rPr>
              <w:fldChar w:fldCharType="separate"/>
            </w:r>
            <w:r w:rsidR="00273BA9">
              <w:rPr>
                <w:b/>
                <w:bCs/>
                <w:noProof/>
                <w:sz w:val="20"/>
              </w:rPr>
              <w:t>1</w:t>
            </w:r>
            <w:r w:rsidRPr="002A3215">
              <w:rPr>
                <w:b/>
                <w:bCs/>
                <w:sz w:val="18"/>
                <w:szCs w:val="24"/>
              </w:rPr>
              <w:fldChar w:fldCharType="end"/>
            </w:r>
            <w:r w:rsidRPr="002A3215">
              <w:rPr>
                <w:sz w:val="20"/>
              </w:rPr>
              <w:t xml:space="preserve"> of </w:t>
            </w:r>
            <w:r w:rsidRPr="002A3215">
              <w:rPr>
                <w:b/>
                <w:bCs/>
                <w:sz w:val="18"/>
                <w:szCs w:val="24"/>
              </w:rPr>
              <w:fldChar w:fldCharType="begin"/>
            </w:r>
            <w:r w:rsidRPr="002A3215">
              <w:rPr>
                <w:b/>
                <w:bCs/>
                <w:sz w:val="20"/>
              </w:rPr>
              <w:instrText xml:space="preserve"> NUMPAGES  </w:instrText>
            </w:r>
            <w:r w:rsidRPr="002A3215">
              <w:rPr>
                <w:b/>
                <w:bCs/>
                <w:sz w:val="18"/>
                <w:szCs w:val="24"/>
              </w:rPr>
              <w:fldChar w:fldCharType="separate"/>
            </w:r>
            <w:r w:rsidR="00273BA9">
              <w:rPr>
                <w:b/>
                <w:bCs/>
                <w:noProof/>
                <w:sz w:val="20"/>
              </w:rPr>
              <w:t>1</w:t>
            </w:r>
            <w:r w:rsidRPr="002A321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04" w:rsidRDefault="00D95D04" w:rsidP="00213DCE">
      <w:r>
        <w:separator/>
      </w:r>
    </w:p>
  </w:footnote>
  <w:footnote w:type="continuationSeparator" w:id="0">
    <w:p w:rsidR="00D95D04" w:rsidRDefault="00D95D04" w:rsidP="0021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85" w:rsidRDefault="00FA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85" w:rsidRDefault="00FA5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1" w:rsidRDefault="002A3215" w:rsidP="00C57116">
    <w:pPr>
      <w:jc w:val="right"/>
    </w:pPr>
    <w:bookmarkStart w:id="0" w:name="_GoBack"/>
    <w:bookmarkEnd w:id="0"/>
    <w:r>
      <w:rPr>
        <w:noProof/>
      </w:rPr>
      <w:drawing>
        <wp:inline distT="0" distB="0" distL="0" distR="0">
          <wp:extent cx="1567180" cy="1032510"/>
          <wp:effectExtent l="0" t="0" r="0" b="0"/>
          <wp:docPr id="37" name="Picture 37"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32510"/>
                  </a:xfrm>
                  <a:prstGeom prst="rect">
                    <a:avLst/>
                  </a:prstGeom>
                  <a:noFill/>
                  <a:ln>
                    <a:noFill/>
                  </a:ln>
                </pic:spPr>
              </pic:pic>
            </a:graphicData>
          </a:graphic>
        </wp:inline>
      </w:drawing>
    </w:r>
    <w:r w:rsidR="003B29CA">
      <w:rPr>
        <w:noProof/>
      </w:rPr>
      <w:drawing>
        <wp:anchor distT="0" distB="0" distL="114300" distR="114300" simplePos="0" relativeHeight="251660288" behindDoc="1" locked="0" layoutInCell="1" allowOverlap="1">
          <wp:simplePos x="0" y="0"/>
          <wp:positionH relativeFrom="column">
            <wp:posOffset>-781685</wp:posOffset>
          </wp:positionH>
          <wp:positionV relativeFrom="paragraph">
            <wp:posOffset>-453390</wp:posOffset>
          </wp:positionV>
          <wp:extent cx="1239520" cy="2628900"/>
          <wp:effectExtent l="0" t="0" r="0" b="0"/>
          <wp:wrapNone/>
          <wp:docPr id="38" name="Picture 1" descr="Macintosh HD:Users:emma:Desktop:Design Jobs:Austrac:02_Design Jobs:40_Revised Templates:03_Design Aids:New:_Slas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_Slash_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3A31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1531"/>
    <w:multiLevelType w:val="hybridMultilevel"/>
    <w:tmpl w:val="3F32E284"/>
    <w:lvl w:ilvl="0" w:tplc="6600799C">
      <w:start w:val="1"/>
      <w:numFmt w:val="decimal"/>
      <w:pStyle w:val="ListParagraph"/>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095"/>
    <w:multiLevelType w:val="hybridMultilevel"/>
    <w:tmpl w:val="5A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1443"/>
    <w:multiLevelType w:val="hybridMultilevel"/>
    <w:tmpl w:val="05025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0F778F8"/>
    <w:multiLevelType w:val="hybridMultilevel"/>
    <w:tmpl w:val="3B161E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22B54"/>
    <w:multiLevelType w:val="hybridMultilevel"/>
    <w:tmpl w:val="D1B6CF6E"/>
    <w:lvl w:ilvl="0" w:tplc="32E87B9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F"/>
    <w:rsid w:val="00002A05"/>
    <w:rsid w:val="00035335"/>
    <w:rsid w:val="000E37D1"/>
    <w:rsid w:val="00110EA5"/>
    <w:rsid w:val="00125FF8"/>
    <w:rsid w:val="00164116"/>
    <w:rsid w:val="001D0B30"/>
    <w:rsid w:val="00213DCE"/>
    <w:rsid w:val="00232F64"/>
    <w:rsid w:val="00260141"/>
    <w:rsid w:val="00273BA9"/>
    <w:rsid w:val="002A3215"/>
    <w:rsid w:val="002B01D5"/>
    <w:rsid w:val="002E15BF"/>
    <w:rsid w:val="00301CC1"/>
    <w:rsid w:val="003637CA"/>
    <w:rsid w:val="003A4821"/>
    <w:rsid w:val="003B29CA"/>
    <w:rsid w:val="003B76C1"/>
    <w:rsid w:val="00402EF6"/>
    <w:rsid w:val="004429DD"/>
    <w:rsid w:val="00454C41"/>
    <w:rsid w:val="004561ED"/>
    <w:rsid w:val="00476241"/>
    <w:rsid w:val="004A773B"/>
    <w:rsid w:val="004B7BBF"/>
    <w:rsid w:val="004D495B"/>
    <w:rsid w:val="004D5715"/>
    <w:rsid w:val="004F792D"/>
    <w:rsid w:val="00502971"/>
    <w:rsid w:val="005211E1"/>
    <w:rsid w:val="00535B89"/>
    <w:rsid w:val="00553514"/>
    <w:rsid w:val="005659C6"/>
    <w:rsid w:val="005C2C77"/>
    <w:rsid w:val="005C612E"/>
    <w:rsid w:val="005D30D6"/>
    <w:rsid w:val="00614015"/>
    <w:rsid w:val="00630A73"/>
    <w:rsid w:val="00651A72"/>
    <w:rsid w:val="0068145F"/>
    <w:rsid w:val="006F2CEA"/>
    <w:rsid w:val="0071051F"/>
    <w:rsid w:val="007668A6"/>
    <w:rsid w:val="00767C1C"/>
    <w:rsid w:val="00780BA8"/>
    <w:rsid w:val="007B13D4"/>
    <w:rsid w:val="007C72FC"/>
    <w:rsid w:val="007D21F2"/>
    <w:rsid w:val="007F4942"/>
    <w:rsid w:val="00802C28"/>
    <w:rsid w:val="008172B9"/>
    <w:rsid w:val="00842E0F"/>
    <w:rsid w:val="00880C2C"/>
    <w:rsid w:val="00886D9E"/>
    <w:rsid w:val="00894EF0"/>
    <w:rsid w:val="009544B8"/>
    <w:rsid w:val="00957E95"/>
    <w:rsid w:val="0096112A"/>
    <w:rsid w:val="009C3731"/>
    <w:rsid w:val="009D5F70"/>
    <w:rsid w:val="00A91794"/>
    <w:rsid w:val="00AC15F7"/>
    <w:rsid w:val="00AE61F1"/>
    <w:rsid w:val="00AF781E"/>
    <w:rsid w:val="00B071C2"/>
    <w:rsid w:val="00B30FAB"/>
    <w:rsid w:val="00B76C85"/>
    <w:rsid w:val="00B820B6"/>
    <w:rsid w:val="00BB2AE6"/>
    <w:rsid w:val="00BC75F1"/>
    <w:rsid w:val="00C57116"/>
    <w:rsid w:val="00CE70D6"/>
    <w:rsid w:val="00D213AA"/>
    <w:rsid w:val="00D501BF"/>
    <w:rsid w:val="00D650BF"/>
    <w:rsid w:val="00D95D04"/>
    <w:rsid w:val="00DD082B"/>
    <w:rsid w:val="00DD1929"/>
    <w:rsid w:val="00DE0164"/>
    <w:rsid w:val="00DF358C"/>
    <w:rsid w:val="00DF7ADB"/>
    <w:rsid w:val="00E330C1"/>
    <w:rsid w:val="00E5225C"/>
    <w:rsid w:val="00E558F3"/>
    <w:rsid w:val="00E80A12"/>
    <w:rsid w:val="00E909BA"/>
    <w:rsid w:val="00EA341F"/>
    <w:rsid w:val="00ED1BEC"/>
    <w:rsid w:val="00F008AD"/>
    <w:rsid w:val="00F714DB"/>
    <w:rsid w:val="00F84B1D"/>
    <w:rsid w:val="00F975BB"/>
    <w:rsid w:val="00FA5885"/>
    <w:rsid w:val="00FC7C26"/>
    <w:rsid w:val="00FF220C"/>
    <w:rsid w:val="00FF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BB"/>
    <w:pPr>
      <w:spacing w:before="120"/>
    </w:pPr>
    <w:rPr>
      <w:rFonts w:ascii="Calibri" w:hAnsi="Calibri" w:cs="Times New Roman"/>
      <w:color w:val="5F5F5F"/>
      <w:sz w:val="28"/>
      <w:szCs w:val="28"/>
      <w:lang w:eastAsia="en-AU"/>
    </w:rPr>
  </w:style>
  <w:style w:type="paragraph" w:styleId="Heading1">
    <w:name w:val="heading 1"/>
    <w:basedOn w:val="Heading3"/>
    <w:next w:val="Normal"/>
    <w:link w:val="Heading1Char"/>
    <w:uiPriority w:val="9"/>
    <w:qFormat/>
    <w:rsid w:val="007668A6"/>
    <w:pPr>
      <w:outlineLvl w:val="0"/>
    </w:pPr>
  </w:style>
  <w:style w:type="paragraph" w:styleId="Heading2">
    <w:name w:val="heading 2"/>
    <w:basedOn w:val="Normal"/>
    <w:next w:val="Normal"/>
    <w:link w:val="Heading2Char"/>
    <w:autoRedefine/>
    <w:uiPriority w:val="9"/>
    <w:unhideWhenUsed/>
    <w:qFormat/>
    <w:rsid w:val="00E330C1"/>
    <w:pPr>
      <w:tabs>
        <w:tab w:val="left" w:pos="426"/>
      </w:tabs>
      <w:spacing w:line="240" w:lineRule="auto"/>
      <w:outlineLvl w:val="1"/>
    </w:pPr>
    <w:rPr>
      <w:rFonts w:cs="Arial"/>
      <w:b/>
      <w:color w:val="638186"/>
      <w:sz w:val="36"/>
      <w:szCs w:val="36"/>
    </w:rPr>
  </w:style>
  <w:style w:type="paragraph" w:styleId="Heading3">
    <w:name w:val="heading 3"/>
    <w:basedOn w:val="Normal"/>
    <w:next w:val="Normal"/>
    <w:link w:val="Heading3Char"/>
    <w:uiPriority w:val="9"/>
    <w:unhideWhenUsed/>
    <w:qFormat/>
    <w:rsid w:val="00213DCE"/>
    <w:pPr>
      <w:tabs>
        <w:tab w:val="left" w:pos="426"/>
      </w:tabs>
      <w:spacing w:before="240" w:line="240" w:lineRule="auto"/>
      <w:outlineLvl w:val="2"/>
    </w:pPr>
    <w:rPr>
      <w:rFonts w:cs="Arial"/>
      <w:b/>
      <w:i/>
      <w:color w:val="6381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68A6"/>
    <w:rPr>
      <w:rFonts w:ascii="Calibri" w:hAnsi="Calibri" w:cs="Arial"/>
      <w:b/>
      <w:i/>
      <w:color w:val="638186"/>
      <w:sz w:val="32"/>
      <w:szCs w:val="32"/>
      <w:lang w:eastAsia="en-AU"/>
    </w:rPr>
  </w:style>
  <w:style w:type="character" w:customStyle="1" w:styleId="Heading2Char">
    <w:name w:val="Heading 2 Char"/>
    <w:basedOn w:val="DefaultParagraphFont"/>
    <w:link w:val="Heading2"/>
    <w:uiPriority w:val="9"/>
    <w:locked/>
    <w:rsid w:val="00E330C1"/>
    <w:rPr>
      <w:rFonts w:ascii="Calibri" w:hAnsi="Calibri" w:cs="Arial"/>
      <w:b/>
      <w:noProof/>
      <w:color w:val="638186"/>
      <w:sz w:val="36"/>
      <w:szCs w:val="36"/>
      <w:lang w:eastAsia="en-AU"/>
    </w:rPr>
  </w:style>
  <w:style w:type="character" w:customStyle="1" w:styleId="Heading3Char">
    <w:name w:val="Heading 3 Char"/>
    <w:basedOn w:val="DefaultParagraphFont"/>
    <w:link w:val="Heading3"/>
    <w:uiPriority w:val="9"/>
    <w:locked/>
    <w:rsid w:val="00213DCE"/>
    <w:rPr>
      <w:rFonts w:ascii="Calibri" w:hAnsi="Calibri" w:cs="Arial"/>
      <w:b/>
      <w:i/>
      <w:color w:val="638186"/>
      <w:sz w:val="32"/>
      <w:szCs w:val="32"/>
    </w:rPr>
  </w:style>
  <w:style w:type="paragraph" w:styleId="BalloonText">
    <w:name w:val="Balloon Text"/>
    <w:basedOn w:val="Normal"/>
    <w:link w:val="BalloonTextChar"/>
    <w:uiPriority w:val="99"/>
    <w:semiHidden/>
    <w:unhideWhenUsed/>
    <w:rsid w:val="00FC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26"/>
    <w:rPr>
      <w:rFonts w:ascii="Tahoma" w:hAnsi="Tahoma" w:cs="Tahoma"/>
      <w:sz w:val="16"/>
      <w:szCs w:val="16"/>
    </w:rPr>
  </w:style>
  <w:style w:type="table" w:styleId="TableGrid">
    <w:name w:val="Table Grid"/>
    <w:basedOn w:val="TableNormal"/>
    <w:uiPriority w:val="59"/>
    <w:rsid w:val="00FC7C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731"/>
    <w:rPr>
      <w:rFonts w:cs="Times New Roman"/>
      <w:color w:val="808080"/>
    </w:rPr>
  </w:style>
  <w:style w:type="paragraph" w:styleId="Header">
    <w:name w:val="header"/>
    <w:basedOn w:val="Normal"/>
    <w:link w:val="HeaderChar"/>
    <w:uiPriority w:val="99"/>
    <w:unhideWhenUsed/>
    <w:rsid w:val="00630A73"/>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30A73"/>
    <w:rPr>
      <w:rFonts w:ascii="Arial" w:hAnsi="Arial" w:cs="Times New Roman"/>
      <w:color w:val="828282" w:themeColor="text1" w:themeTint="A6"/>
    </w:rPr>
  </w:style>
  <w:style w:type="paragraph" w:styleId="Footer">
    <w:name w:val="footer"/>
    <w:basedOn w:val="Normal"/>
    <w:link w:val="FooterChar"/>
    <w:uiPriority w:val="99"/>
    <w:unhideWhenUsed/>
    <w:rsid w:val="00630A73"/>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30A73"/>
    <w:rPr>
      <w:rFonts w:ascii="Arial" w:hAnsi="Arial" w:cs="Times New Roman"/>
      <w:color w:val="828282" w:themeColor="text1" w:themeTint="A6"/>
    </w:rPr>
  </w:style>
  <w:style w:type="paragraph" w:styleId="ListParagraph">
    <w:name w:val="List Paragraph"/>
    <w:basedOn w:val="Normal"/>
    <w:uiPriority w:val="34"/>
    <w:qFormat/>
    <w:rsid w:val="00213DCE"/>
    <w:pPr>
      <w:numPr>
        <w:numId w:val="4"/>
      </w:numPr>
      <w:tabs>
        <w:tab w:val="left" w:pos="426"/>
      </w:tabs>
      <w:contextualSpacing/>
    </w:pPr>
  </w:style>
  <w:style w:type="paragraph" w:customStyle="1" w:styleId="Break-outbox">
    <w:name w:val="Break-out box"/>
    <w:basedOn w:val="Normal"/>
    <w:link w:val="Break-outboxChar"/>
    <w:qFormat/>
    <w:rsid w:val="00B76C85"/>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character" w:customStyle="1" w:styleId="Break-outboxChar">
    <w:name w:val="Break-out box Char"/>
    <w:basedOn w:val="DefaultParagraphFont"/>
    <w:link w:val="Break-outbox"/>
    <w:locked/>
    <w:rsid w:val="00B76C85"/>
    <w:rPr>
      <w:rFonts w:ascii="Arial" w:hAnsi="Arial" w:cs="Times New Roman"/>
      <w:color w:val="828282" w:themeColor="text1" w:themeTint="A6"/>
      <w:shd w:val="clear" w:color="auto" w:fill="F2F2F2" w:themeFill="background1" w:themeFillShade="F2"/>
    </w:rPr>
  </w:style>
  <w:style w:type="paragraph" w:styleId="NormalWeb">
    <w:name w:val="Normal (Web)"/>
    <w:basedOn w:val="Normal"/>
    <w:uiPriority w:val="99"/>
    <w:semiHidden/>
    <w:unhideWhenUsed/>
    <w:rsid w:val="009544B8"/>
    <w:pPr>
      <w:spacing w:before="100" w:beforeAutospacing="1" w:after="100" w:afterAutospacing="1" w:line="240" w:lineRule="auto"/>
    </w:pPr>
    <w:rPr>
      <w:rFonts w:ascii="Times New Roman" w:hAnsi="Times New Roman"/>
      <w:color w:val="auto"/>
      <w:sz w:val="24"/>
      <w:szCs w:val="24"/>
    </w:rPr>
  </w:style>
  <w:style w:type="table" w:customStyle="1" w:styleId="PlainTable11">
    <w:name w:val="Plain Table 11"/>
    <w:basedOn w:val="TableNormal"/>
    <w:uiPriority w:val="41"/>
    <w:rsid w:val="009544B8"/>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Style2">
    <w:name w:val="Style2"/>
    <w:basedOn w:val="DefaultParagraphFont"/>
    <w:uiPriority w:val="1"/>
    <w:rsid w:val="00651A72"/>
    <w:rPr>
      <w:rFonts w:cs="Times New Roman"/>
    </w:rPr>
  </w:style>
  <w:style w:type="paragraph" w:customStyle="1" w:styleId="Numberedparagraphs">
    <w:name w:val="Numbered paragraphs"/>
    <w:basedOn w:val="ListParagraph"/>
    <w:qFormat/>
    <w:rsid w:val="00213DCE"/>
  </w:style>
  <w:style w:type="paragraph" w:customStyle="1" w:styleId="Classification">
    <w:name w:val="Classification"/>
    <w:basedOn w:val="Header"/>
    <w:autoRedefine/>
    <w:qFormat/>
    <w:rsid w:val="00651A72"/>
    <w:pPr>
      <w:jc w:val="center"/>
    </w:pPr>
    <w:rPr>
      <w:b/>
      <w:color w:val="FF0000"/>
      <w:lang w:val="en-US"/>
    </w:rPr>
  </w:style>
  <w:style w:type="paragraph" w:customStyle="1" w:styleId="TableHeader1">
    <w:name w:val="Table Header 1"/>
    <w:basedOn w:val="Heading1"/>
    <w:link w:val="TableHeader1Char"/>
    <w:qFormat/>
    <w:rsid w:val="00E330C1"/>
    <w:rPr>
      <w:b w:val="0"/>
      <w:bCs/>
    </w:rPr>
  </w:style>
  <w:style w:type="character" w:customStyle="1" w:styleId="TableHeader1Char">
    <w:name w:val="Table Header 1 Char"/>
    <w:basedOn w:val="Heading1Char"/>
    <w:link w:val="TableHeader1"/>
    <w:locked/>
    <w:rsid w:val="00E330C1"/>
    <w:rPr>
      <w:rFonts w:ascii="Calibri" w:hAnsi="Calibri" w:cs="Arial"/>
      <w:b w:val="0"/>
      <w:bCs/>
      <w:i/>
      <w:noProof/>
      <w:color w:val="FFFFFF" w:themeColor="background1"/>
      <w:kern w:val="24"/>
      <w:sz w:val="40"/>
      <w:szCs w:val="40"/>
      <w:lang w:val="en-US" w:eastAsia="en-AU"/>
    </w:rPr>
  </w:style>
  <w:style w:type="paragraph" w:styleId="Title">
    <w:name w:val="Title"/>
    <w:basedOn w:val="Heading2"/>
    <w:next w:val="Normal"/>
    <w:link w:val="TitleChar"/>
    <w:uiPriority w:val="10"/>
    <w:qFormat/>
    <w:rsid w:val="007668A6"/>
  </w:style>
  <w:style w:type="character" w:customStyle="1" w:styleId="TitleChar">
    <w:name w:val="Title Char"/>
    <w:basedOn w:val="DefaultParagraphFont"/>
    <w:link w:val="Title"/>
    <w:uiPriority w:val="10"/>
    <w:rsid w:val="007668A6"/>
    <w:rPr>
      <w:rFonts w:ascii="Calibri" w:hAnsi="Calibri" w:cs="Arial"/>
      <w:b/>
      <w:color w:val="638186"/>
      <w:sz w:val="36"/>
      <w:szCs w:val="36"/>
      <w:lang w:eastAsia="en-AU"/>
    </w:rPr>
  </w:style>
  <w:style w:type="table" w:styleId="GridTable4-Accent2">
    <w:name w:val="Grid Table 4 Accent 2"/>
    <w:basedOn w:val="TableNormal"/>
    <w:uiPriority w:val="49"/>
    <w:rsid w:val="00802C28"/>
    <w:pPr>
      <w:spacing w:after="0" w:line="240" w:lineRule="auto"/>
    </w:pPr>
    <w:tblPr>
      <w:tblStyleRowBandSize w:val="1"/>
      <w:tblStyleColBandSize w:val="1"/>
      <w:tblBorders>
        <w:top w:val="single" w:sz="4" w:space="0" w:color="508BBB" w:themeColor="accent2" w:themeTint="99"/>
        <w:left w:val="single" w:sz="4" w:space="0" w:color="508BBB" w:themeColor="accent2" w:themeTint="99"/>
        <w:bottom w:val="single" w:sz="4" w:space="0" w:color="508BBB" w:themeColor="accent2" w:themeTint="99"/>
        <w:right w:val="single" w:sz="4" w:space="0" w:color="508BBB" w:themeColor="accent2" w:themeTint="99"/>
        <w:insideH w:val="single" w:sz="4" w:space="0" w:color="508BBB" w:themeColor="accent2" w:themeTint="99"/>
        <w:insideV w:val="single" w:sz="4" w:space="0" w:color="508BBB" w:themeColor="accent2" w:themeTint="99"/>
      </w:tblBorders>
    </w:tblPr>
    <w:tblStylePr w:type="firstRow">
      <w:rPr>
        <w:b/>
        <w:bCs/>
        <w:color w:val="FFFFFF" w:themeColor="background1"/>
      </w:rPr>
      <w:tblPr/>
      <w:tcPr>
        <w:tcBorders>
          <w:top w:val="single" w:sz="4" w:space="0" w:color="1E384D" w:themeColor="accent2"/>
          <w:left w:val="single" w:sz="4" w:space="0" w:color="1E384D" w:themeColor="accent2"/>
          <w:bottom w:val="single" w:sz="4" w:space="0" w:color="1E384D" w:themeColor="accent2"/>
          <w:right w:val="single" w:sz="4" w:space="0" w:color="1E384D" w:themeColor="accent2"/>
          <w:insideH w:val="nil"/>
          <w:insideV w:val="nil"/>
        </w:tcBorders>
        <w:shd w:val="clear" w:color="auto" w:fill="1E384D" w:themeFill="accent2"/>
      </w:tcPr>
    </w:tblStylePr>
    <w:tblStylePr w:type="lastRow">
      <w:rPr>
        <w:b/>
        <w:bCs/>
      </w:rPr>
      <w:tblPr/>
      <w:tcPr>
        <w:tcBorders>
          <w:top w:val="double" w:sz="4" w:space="0" w:color="1E384D" w:themeColor="accent2"/>
        </w:tcBorders>
      </w:tcPr>
    </w:tblStylePr>
    <w:tblStylePr w:type="firstCol">
      <w:rPr>
        <w:b/>
        <w:bCs/>
      </w:rPr>
    </w:tblStylePr>
    <w:tblStylePr w:type="lastCol">
      <w:rPr>
        <w:b/>
        <w:bCs/>
      </w:rPr>
    </w:tblStylePr>
    <w:tblStylePr w:type="band1Vert">
      <w:tblPr/>
      <w:tcPr>
        <w:shd w:val="clear" w:color="auto" w:fill="C4D8E8" w:themeFill="accent2" w:themeFillTint="33"/>
      </w:tcPr>
    </w:tblStylePr>
    <w:tblStylePr w:type="band1Horz">
      <w:tblPr/>
      <w:tcPr>
        <w:shd w:val="clear" w:color="auto" w:fill="C4D8E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697">
      <w:bodyDiv w:val="1"/>
      <w:marLeft w:val="0"/>
      <w:marRight w:val="0"/>
      <w:marTop w:val="0"/>
      <w:marBottom w:val="0"/>
      <w:divBdr>
        <w:top w:val="none" w:sz="0" w:space="0" w:color="auto"/>
        <w:left w:val="none" w:sz="0" w:space="0" w:color="auto"/>
        <w:bottom w:val="none" w:sz="0" w:space="0" w:color="auto"/>
        <w:right w:val="none" w:sz="0" w:space="0" w:color="auto"/>
      </w:divBdr>
    </w:div>
    <w:div w:id="419567062">
      <w:marLeft w:val="0"/>
      <w:marRight w:val="0"/>
      <w:marTop w:val="0"/>
      <w:marBottom w:val="0"/>
      <w:divBdr>
        <w:top w:val="none" w:sz="0" w:space="0" w:color="auto"/>
        <w:left w:val="none" w:sz="0" w:space="0" w:color="auto"/>
        <w:bottom w:val="none" w:sz="0" w:space="0" w:color="auto"/>
        <w:right w:val="none" w:sz="0" w:space="0" w:color="auto"/>
      </w:divBdr>
    </w:div>
    <w:div w:id="419567063">
      <w:marLeft w:val="0"/>
      <w:marRight w:val="0"/>
      <w:marTop w:val="0"/>
      <w:marBottom w:val="0"/>
      <w:divBdr>
        <w:top w:val="none" w:sz="0" w:space="0" w:color="auto"/>
        <w:left w:val="none" w:sz="0" w:space="0" w:color="auto"/>
        <w:bottom w:val="none" w:sz="0" w:space="0" w:color="auto"/>
        <w:right w:val="none" w:sz="0" w:space="0" w:color="auto"/>
      </w:divBdr>
    </w:div>
    <w:div w:id="419567064">
      <w:marLeft w:val="0"/>
      <w:marRight w:val="0"/>
      <w:marTop w:val="0"/>
      <w:marBottom w:val="0"/>
      <w:divBdr>
        <w:top w:val="none" w:sz="0" w:space="0" w:color="auto"/>
        <w:left w:val="none" w:sz="0" w:space="0" w:color="auto"/>
        <w:bottom w:val="none" w:sz="0" w:space="0" w:color="auto"/>
        <w:right w:val="none" w:sz="0" w:space="0" w:color="auto"/>
      </w:divBdr>
    </w:div>
    <w:div w:id="419567065">
      <w:marLeft w:val="0"/>
      <w:marRight w:val="0"/>
      <w:marTop w:val="0"/>
      <w:marBottom w:val="0"/>
      <w:divBdr>
        <w:top w:val="none" w:sz="0" w:space="0" w:color="auto"/>
        <w:left w:val="none" w:sz="0" w:space="0" w:color="auto"/>
        <w:bottom w:val="none" w:sz="0" w:space="0" w:color="auto"/>
        <w:right w:val="none" w:sz="0" w:space="0" w:color="auto"/>
      </w:divBdr>
    </w:div>
    <w:div w:id="419567066">
      <w:marLeft w:val="0"/>
      <w:marRight w:val="0"/>
      <w:marTop w:val="0"/>
      <w:marBottom w:val="0"/>
      <w:divBdr>
        <w:top w:val="none" w:sz="0" w:space="0" w:color="auto"/>
        <w:left w:val="none" w:sz="0" w:space="0" w:color="auto"/>
        <w:bottom w:val="none" w:sz="0" w:space="0" w:color="auto"/>
        <w:right w:val="none" w:sz="0" w:space="0" w:color="auto"/>
      </w:divBdr>
    </w:div>
    <w:div w:id="419567067">
      <w:marLeft w:val="0"/>
      <w:marRight w:val="0"/>
      <w:marTop w:val="0"/>
      <w:marBottom w:val="0"/>
      <w:divBdr>
        <w:top w:val="none" w:sz="0" w:space="0" w:color="auto"/>
        <w:left w:val="none" w:sz="0" w:space="0" w:color="auto"/>
        <w:bottom w:val="none" w:sz="0" w:space="0" w:color="auto"/>
        <w:right w:val="none" w:sz="0" w:space="0" w:color="auto"/>
      </w:divBdr>
    </w:div>
    <w:div w:id="419567068">
      <w:marLeft w:val="0"/>
      <w:marRight w:val="0"/>
      <w:marTop w:val="0"/>
      <w:marBottom w:val="0"/>
      <w:divBdr>
        <w:top w:val="none" w:sz="0" w:space="0" w:color="auto"/>
        <w:left w:val="none" w:sz="0" w:space="0" w:color="auto"/>
        <w:bottom w:val="none" w:sz="0" w:space="0" w:color="auto"/>
        <w:right w:val="none" w:sz="0" w:space="0" w:color="auto"/>
      </w:divBdr>
    </w:div>
    <w:div w:id="578564922">
      <w:bodyDiv w:val="1"/>
      <w:marLeft w:val="0"/>
      <w:marRight w:val="0"/>
      <w:marTop w:val="0"/>
      <w:marBottom w:val="0"/>
      <w:divBdr>
        <w:top w:val="none" w:sz="0" w:space="0" w:color="auto"/>
        <w:left w:val="none" w:sz="0" w:space="0" w:color="auto"/>
        <w:bottom w:val="none" w:sz="0" w:space="0" w:color="auto"/>
        <w:right w:val="none" w:sz="0" w:space="0" w:color="auto"/>
      </w:divBdr>
    </w:div>
    <w:div w:id="620499305">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960846569">
      <w:bodyDiv w:val="1"/>
      <w:marLeft w:val="0"/>
      <w:marRight w:val="0"/>
      <w:marTop w:val="0"/>
      <w:marBottom w:val="0"/>
      <w:divBdr>
        <w:top w:val="none" w:sz="0" w:space="0" w:color="auto"/>
        <w:left w:val="none" w:sz="0" w:space="0" w:color="auto"/>
        <w:bottom w:val="none" w:sz="0" w:space="0" w:color="auto"/>
        <w:right w:val="none" w:sz="0" w:space="0" w:color="auto"/>
      </w:divBdr>
    </w:div>
    <w:div w:id="1069965341">
      <w:bodyDiv w:val="1"/>
      <w:marLeft w:val="0"/>
      <w:marRight w:val="0"/>
      <w:marTop w:val="0"/>
      <w:marBottom w:val="0"/>
      <w:divBdr>
        <w:top w:val="none" w:sz="0" w:space="0" w:color="auto"/>
        <w:left w:val="none" w:sz="0" w:space="0" w:color="auto"/>
        <w:bottom w:val="none" w:sz="0" w:space="0" w:color="auto"/>
        <w:right w:val="none" w:sz="0" w:space="0" w:color="auto"/>
      </w:divBdr>
    </w:div>
    <w:div w:id="1080910920">
      <w:bodyDiv w:val="1"/>
      <w:marLeft w:val="0"/>
      <w:marRight w:val="0"/>
      <w:marTop w:val="0"/>
      <w:marBottom w:val="0"/>
      <w:divBdr>
        <w:top w:val="none" w:sz="0" w:space="0" w:color="auto"/>
        <w:left w:val="none" w:sz="0" w:space="0" w:color="auto"/>
        <w:bottom w:val="none" w:sz="0" w:space="0" w:color="auto"/>
        <w:right w:val="none" w:sz="0" w:space="0" w:color="auto"/>
      </w:divBdr>
    </w:div>
    <w:div w:id="1312515712">
      <w:bodyDiv w:val="1"/>
      <w:marLeft w:val="0"/>
      <w:marRight w:val="0"/>
      <w:marTop w:val="0"/>
      <w:marBottom w:val="0"/>
      <w:divBdr>
        <w:top w:val="none" w:sz="0" w:space="0" w:color="auto"/>
        <w:left w:val="none" w:sz="0" w:space="0" w:color="auto"/>
        <w:bottom w:val="none" w:sz="0" w:space="0" w:color="auto"/>
        <w:right w:val="none" w:sz="0" w:space="0" w:color="auto"/>
      </w:divBdr>
    </w:div>
    <w:div w:id="1331911458">
      <w:bodyDiv w:val="1"/>
      <w:marLeft w:val="0"/>
      <w:marRight w:val="0"/>
      <w:marTop w:val="0"/>
      <w:marBottom w:val="0"/>
      <w:divBdr>
        <w:top w:val="none" w:sz="0" w:space="0" w:color="auto"/>
        <w:left w:val="none" w:sz="0" w:space="0" w:color="auto"/>
        <w:bottom w:val="none" w:sz="0" w:space="0" w:color="auto"/>
        <w:right w:val="none" w:sz="0" w:space="0" w:color="auto"/>
      </w:divBdr>
    </w:div>
    <w:div w:id="1482381031">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1430</Characters>
  <Application>Microsoft Office Word</Application>
  <DocSecurity>0</DocSecurity>
  <Lines>57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2024-02-12T09:09:00Z</dcterms:created>
  <dcterms:modified xsi:type="dcterms:W3CDTF">2024-02-15T09:16:00Z</dcterms:modified>
</cp:coreProperties>
</file>