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45F" w:rsidRPr="007668A6" w:rsidRDefault="0068145F" w:rsidP="007668A6">
      <w:pPr>
        <w:pStyle w:val="Title"/>
      </w:pPr>
      <w:r w:rsidRPr="007668A6">
        <w:t>AUSTRAC file list</w:t>
      </w:r>
    </w:p>
    <w:p w:rsidR="0068145F" w:rsidRPr="007668A6" w:rsidRDefault="00F975BB" w:rsidP="007668A6">
      <w:pPr>
        <w:pStyle w:val="Heading1"/>
      </w:pPr>
      <w:r>
        <w:t xml:space="preserve">1 </w:t>
      </w:r>
      <w:r w:rsidR="00B9139F">
        <w:t>January</w:t>
      </w:r>
      <w:r w:rsidR="00802C28">
        <w:t xml:space="preserve"> to </w:t>
      </w:r>
      <w:r w:rsidR="00B9139F">
        <w:t>30 June 2024</w:t>
      </w:r>
    </w:p>
    <w:p w:rsidR="0068145F" w:rsidRDefault="0068145F" w:rsidP="0068145F">
      <w:r>
        <w:t xml:space="preserve">This is a list of relevant file titles created by AUSTRAC between 1 </w:t>
      </w:r>
      <w:r w:rsidR="00B9139F">
        <w:t>January</w:t>
      </w:r>
      <w:r>
        <w:t xml:space="preserve"> and </w:t>
      </w:r>
      <w:r w:rsidR="00F975BB">
        <w:t>3</w:t>
      </w:r>
      <w:r w:rsidR="00B9139F">
        <w:t>0</w:t>
      </w:r>
      <w:r w:rsidR="00DF358C">
        <w:t xml:space="preserve"> </w:t>
      </w:r>
      <w:r w:rsidR="00B9139F">
        <w:t>June 2024</w:t>
      </w:r>
      <w:r>
        <w:t>. It is in accordance with the Senate Continuing Order concerning the production of indexed file title lists, which requires each Minister to table a list of relevant file titles created by their department and portfolio agencies. The original Senate Order was amended in 1998 to require departments and agencies to display their file lists on their websites.</w:t>
      </w:r>
    </w:p>
    <w:tbl>
      <w:tblPr>
        <w:tblStyle w:val="GridTable4-Accent2"/>
        <w:tblW w:w="9634" w:type="dxa"/>
        <w:tblLook w:val="04A0" w:firstRow="1" w:lastRow="0" w:firstColumn="1" w:lastColumn="0" w:noHBand="0" w:noVBand="1"/>
        <w:tblCaption w:val="List of File numbers and File names"/>
        <w:tblDescription w:val="17535795 Senate Estimates - October 2023&#10;18265642 Senate Estimates - February 2024&#10;17594176 External Budgeting 2024-25 - Portfolio Budget Statements (PBS)&#10;17713972 Mid-Year Economic and Fiscal Outlook 2023-24&#10;17235150 Senate file list January to June 2023&#10;17593978 Annual Report 2023-24&#10;17592904 Corporate Plan 2024-28&#10;17357834 FATF Plenary Meeting October 2023&#10;18084404 APG Operations Committee 2023 - 2024&#10;18186978 Policy Submissions 2024-2025&#10;18215922 FATF Plenary Meeting February 2024&#10;17470258 APG Typologies Report 2023&#10;18145523 APG Annual Meeting 2024&#10;18194151 Financial Transaction Reports FTR Act repeal - Policy Development 2024&#10;18114984 AML/CTF Rules - Public Consultation - 2023-2024&#10;18116431 AML/CTF Rules - Sunsetting of Legislative Instruments 2024&#10;18116742 AML/CTF Rules - Registration of Instruments - 2023-2024&#10;18114189 AML/CTF Rule - Definitions 2023-2024&#10;18115908 AML/CTF Rule - Compilation Version 2024&#10;18190563 Education Materials - AML/CTF Programs Technical Guidance 2024&#10;18178943 Industry Education and Outreach - Regtech 2024&#10;18189411 Education Materials - AML CTF Act and Rules Technical Guidance 2024&#10;"/>
      </w:tblPr>
      <w:tblGrid>
        <w:gridCol w:w="1555"/>
        <w:gridCol w:w="8079"/>
      </w:tblGrid>
      <w:tr w:rsidR="0068145F" w:rsidRPr="002A3215" w:rsidTr="00F975BB">
        <w:trPr>
          <w:cnfStyle w:val="100000000000" w:firstRow="1" w:lastRow="0" w:firstColumn="0" w:lastColumn="0" w:oddVBand="0" w:evenVBand="0" w:oddHBand="0" w:evenHBand="0" w:firstRowFirstColumn="0" w:firstRowLastColumn="0" w:lastRowFirstColumn="0" w:lastRowLastColumn="0"/>
          <w:trHeight w:val="285"/>
          <w:tblHeader/>
        </w:trPr>
        <w:tc>
          <w:tcPr>
            <w:cnfStyle w:val="001000000000" w:firstRow="0" w:lastRow="0" w:firstColumn="1" w:lastColumn="0" w:oddVBand="0" w:evenVBand="0" w:oddHBand="0" w:evenHBand="0" w:firstRowFirstColumn="0" w:firstRowLastColumn="0" w:lastRowFirstColumn="0" w:lastRowLastColumn="0"/>
            <w:tcW w:w="1555" w:type="dxa"/>
            <w:noWrap/>
            <w:vAlign w:val="center"/>
          </w:tcPr>
          <w:p w:rsidR="0068145F" w:rsidRPr="00802C28" w:rsidRDefault="002A3215" w:rsidP="00382426">
            <w:pPr>
              <w:jc w:val="right"/>
              <w:rPr>
                <w:b w:val="0"/>
                <w:color w:val="FFFFFF" w:themeColor="background1"/>
                <w:sz w:val="22"/>
                <w:szCs w:val="22"/>
              </w:rPr>
            </w:pPr>
            <w:r w:rsidRPr="00802C28">
              <w:rPr>
                <w:color w:val="FFFFFF" w:themeColor="background1"/>
                <w:sz w:val="22"/>
                <w:szCs w:val="22"/>
              </w:rPr>
              <w:t xml:space="preserve">File </w:t>
            </w:r>
            <w:r w:rsidR="005659C6" w:rsidRPr="00802C28">
              <w:rPr>
                <w:color w:val="FFFFFF" w:themeColor="background1"/>
                <w:sz w:val="22"/>
                <w:szCs w:val="22"/>
              </w:rPr>
              <w:t>n</w:t>
            </w:r>
            <w:r w:rsidR="007668A6" w:rsidRPr="00802C28">
              <w:rPr>
                <w:color w:val="FFFFFF" w:themeColor="background1"/>
                <w:sz w:val="22"/>
                <w:szCs w:val="22"/>
              </w:rPr>
              <w:t>umber</w:t>
            </w:r>
          </w:p>
        </w:tc>
        <w:tc>
          <w:tcPr>
            <w:tcW w:w="8079" w:type="dxa"/>
            <w:noWrap/>
            <w:vAlign w:val="center"/>
          </w:tcPr>
          <w:p w:rsidR="0068145F" w:rsidRPr="00802C28" w:rsidRDefault="002A3215" w:rsidP="00802C28">
            <w:pPr>
              <w:cnfStyle w:val="100000000000" w:firstRow="1" w:lastRow="0" w:firstColumn="0" w:lastColumn="0" w:oddVBand="0" w:evenVBand="0" w:oddHBand="0" w:evenHBand="0" w:firstRowFirstColumn="0" w:firstRowLastColumn="0" w:lastRowFirstColumn="0" w:lastRowLastColumn="0"/>
              <w:rPr>
                <w:b w:val="0"/>
                <w:color w:val="FFFFFF" w:themeColor="background1"/>
                <w:sz w:val="22"/>
                <w:szCs w:val="22"/>
              </w:rPr>
            </w:pPr>
            <w:r w:rsidRPr="00802C28">
              <w:rPr>
                <w:color w:val="FFFFFF" w:themeColor="background1"/>
                <w:sz w:val="22"/>
                <w:szCs w:val="22"/>
              </w:rPr>
              <w:t xml:space="preserve">File </w:t>
            </w:r>
            <w:r w:rsidR="005659C6" w:rsidRPr="00802C28">
              <w:rPr>
                <w:color w:val="FFFFFF" w:themeColor="background1"/>
                <w:sz w:val="22"/>
                <w:szCs w:val="22"/>
              </w:rPr>
              <w:t>n</w:t>
            </w:r>
            <w:r w:rsidR="007668A6" w:rsidRPr="00802C28">
              <w:rPr>
                <w:color w:val="FFFFFF" w:themeColor="background1"/>
                <w:sz w:val="22"/>
                <w:szCs w:val="22"/>
              </w:rPr>
              <w:t>ame</w:t>
            </w:r>
          </w:p>
        </w:tc>
      </w:tr>
      <w:tr w:rsidR="00B9139F" w:rsidRPr="00F975BB" w:rsidTr="00B9139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B9139F" w:rsidRDefault="00B9139F" w:rsidP="00382426">
            <w:pPr>
              <w:spacing w:before="0"/>
              <w:jc w:val="right"/>
              <w:rPr>
                <w:rFonts w:cs="Calibri"/>
                <w:color w:val="000000"/>
                <w:sz w:val="22"/>
                <w:szCs w:val="22"/>
              </w:rPr>
            </w:pPr>
            <w:r>
              <w:rPr>
                <w:rFonts w:cs="Calibri"/>
                <w:color w:val="000000"/>
                <w:sz w:val="22"/>
                <w:szCs w:val="22"/>
              </w:rPr>
              <w:t>18322777</w:t>
            </w:r>
          </w:p>
        </w:tc>
        <w:tc>
          <w:tcPr>
            <w:tcW w:w="8079" w:type="dxa"/>
            <w:noWrap/>
            <w:vAlign w:val="bottom"/>
          </w:tcPr>
          <w:p w:rsidR="00B9139F" w:rsidRDefault="00B9139F" w:rsidP="00B9139F">
            <w:pPr>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Pr>
                <w:rFonts w:cs="Calibri"/>
                <w:color w:val="000000"/>
                <w:sz w:val="22"/>
                <w:szCs w:val="22"/>
              </w:rPr>
              <w:t>Senate file list July to December 2023</w:t>
            </w:r>
          </w:p>
        </w:tc>
      </w:tr>
      <w:tr w:rsidR="00B9139F" w:rsidRPr="00F975BB" w:rsidTr="00B9139F">
        <w:trPr>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B9139F" w:rsidRDefault="00B9139F" w:rsidP="00382426">
            <w:pPr>
              <w:jc w:val="right"/>
              <w:rPr>
                <w:rFonts w:cs="Calibri"/>
                <w:color w:val="000000"/>
                <w:sz w:val="22"/>
                <w:szCs w:val="22"/>
              </w:rPr>
            </w:pPr>
            <w:r>
              <w:rPr>
                <w:rFonts w:cs="Calibri"/>
                <w:color w:val="000000"/>
                <w:sz w:val="22"/>
                <w:szCs w:val="22"/>
              </w:rPr>
              <w:t>18360196</w:t>
            </w:r>
          </w:p>
        </w:tc>
        <w:tc>
          <w:tcPr>
            <w:tcW w:w="8079" w:type="dxa"/>
            <w:noWrap/>
            <w:vAlign w:val="bottom"/>
          </w:tcPr>
          <w:p w:rsidR="00B9139F" w:rsidRDefault="00B9139F" w:rsidP="00B9139F">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Pr>
                <w:rFonts w:cs="Calibri"/>
                <w:color w:val="000000"/>
                <w:sz w:val="22"/>
                <w:szCs w:val="22"/>
              </w:rPr>
              <w:t>Senate Order No.13 - 2023 Calendar Year</w:t>
            </w:r>
          </w:p>
        </w:tc>
      </w:tr>
      <w:tr w:rsidR="00B9139F" w:rsidRPr="00F975BB" w:rsidTr="00B9139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B9139F" w:rsidRDefault="00B9139F" w:rsidP="00382426">
            <w:pPr>
              <w:jc w:val="right"/>
              <w:rPr>
                <w:rFonts w:cs="Calibri"/>
                <w:color w:val="000000"/>
                <w:sz w:val="22"/>
                <w:szCs w:val="22"/>
              </w:rPr>
            </w:pPr>
            <w:r>
              <w:rPr>
                <w:rFonts w:cs="Calibri"/>
                <w:color w:val="000000"/>
                <w:sz w:val="22"/>
                <w:szCs w:val="22"/>
              </w:rPr>
              <w:t>18370990</w:t>
            </w:r>
          </w:p>
        </w:tc>
        <w:tc>
          <w:tcPr>
            <w:tcW w:w="8079" w:type="dxa"/>
            <w:noWrap/>
            <w:vAlign w:val="bottom"/>
          </w:tcPr>
          <w:p w:rsidR="00B9139F" w:rsidRDefault="00B9139F" w:rsidP="00B9139F">
            <w:pPr>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Pr>
                <w:rFonts w:cs="Calibri"/>
                <w:color w:val="000000"/>
                <w:sz w:val="22"/>
                <w:szCs w:val="22"/>
              </w:rPr>
              <w:t>Parliamentary Inquiries 2024</w:t>
            </w:r>
          </w:p>
        </w:tc>
      </w:tr>
      <w:tr w:rsidR="00B9139F" w:rsidRPr="00F975BB" w:rsidTr="00B9139F">
        <w:trPr>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B9139F" w:rsidRDefault="00B9139F" w:rsidP="00382426">
            <w:pPr>
              <w:jc w:val="right"/>
              <w:rPr>
                <w:rFonts w:cs="Calibri"/>
                <w:color w:val="000000"/>
                <w:sz w:val="22"/>
                <w:szCs w:val="22"/>
              </w:rPr>
            </w:pPr>
            <w:r>
              <w:rPr>
                <w:rFonts w:cs="Calibri"/>
                <w:color w:val="000000"/>
                <w:sz w:val="22"/>
                <w:szCs w:val="22"/>
              </w:rPr>
              <w:t>18394642</w:t>
            </w:r>
          </w:p>
        </w:tc>
        <w:tc>
          <w:tcPr>
            <w:tcW w:w="8079" w:type="dxa"/>
            <w:noWrap/>
            <w:vAlign w:val="bottom"/>
          </w:tcPr>
          <w:p w:rsidR="00B9139F" w:rsidRDefault="00B9139F" w:rsidP="00B9139F">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Pr>
                <w:rFonts w:cs="Calibri"/>
                <w:color w:val="000000"/>
                <w:sz w:val="22"/>
                <w:szCs w:val="22"/>
              </w:rPr>
              <w:t>AUSTRAC advice to government agencies and departments 2024</w:t>
            </w:r>
          </w:p>
        </w:tc>
      </w:tr>
      <w:tr w:rsidR="00B9139F" w:rsidRPr="00F975BB" w:rsidTr="00B9139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B9139F" w:rsidRDefault="00B9139F" w:rsidP="00382426">
            <w:pPr>
              <w:jc w:val="right"/>
              <w:rPr>
                <w:rFonts w:cs="Calibri"/>
                <w:color w:val="000000"/>
                <w:sz w:val="22"/>
                <w:szCs w:val="22"/>
              </w:rPr>
            </w:pPr>
            <w:r>
              <w:rPr>
                <w:rFonts w:cs="Calibri"/>
                <w:color w:val="000000"/>
                <w:sz w:val="22"/>
                <w:szCs w:val="22"/>
              </w:rPr>
              <w:t>18405305</w:t>
            </w:r>
          </w:p>
        </w:tc>
        <w:tc>
          <w:tcPr>
            <w:tcW w:w="8079" w:type="dxa"/>
            <w:noWrap/>
            <w:vAlign w:val="bottom"/>
          </w:tcPr>
          <w:p w:rsidR="00B9139F" w:rsidRDefault="00B9139F" w:rsidP="00B9139F">
            <w:pPr>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Pr>
                <w:rFonts w:cs="Calibri"/>
                <w:color w:val="000000"/>
                <w:sz w:val="22"/>
                <w:szCs w:val="22"/>
              </w:rPr>
              <w:t>Ministerial Briefs 2024</w:t>
            </w:r>
          </w:p>
        </w:tc>
      </w:tr>
      <w:tr w:rsidR="00B9139F" w:rsidRPr="00F975BB" w:rsidTr="00B9139F">
        <w:trPr>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B9139F" w:rsidRDefault="00B9139F" w:rsidP="00382426">
            <w:pPr>
              <w:jc w:val="right"/>
              <w:rPr>
                <w:rFonts w:cs="Calibri"/>
                <w:color w:val="000000"/>
                <w:sz w:val="22"/>
                <w:szCs w:val="22"/>
              </w:rPr>
            </w:pPr>
            <w:r>
              <w:rPr>
                <w:rFonts w:cs="Calibri"/>
                <w:color w:val="000000"/>
                <w:sz w:val="22"/>
                <w:szCs w:val="22"/>
              </w:rPr>
              <w:t>18423545</w:t>
            </w:r>
          </w:p>
        </w:tc>
        <w:tc>
          <w:tcPr>
            <w:tcW w:w="8079" w:type="dxa"/>
            <w:noWrap/>
            <w:vAlign w:val="bottom"/>
          </w:tcPr>
          <w:p w:rsidR="00B9139F" w:rsidRDefault="00B9139F" w:rsidP="00B9139F">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Pr>
                <w:rFonts w:cs="Calibri"/>
                <w:color w:val="000000"/>
                <w:sz w:val="22"/>
                <w:szCs w:val="22"/>
              </w:rPr>
              <w:t>Parliamentary alerts and extrac</w:t>
            </w:r>
            <w:bookmarkStart w:id="0" w:name="_GoBack"/>
            <w:bookmarkEnd w:id="0"/>
            <w:r>
              <w:rPr>
                <w:rFonts w:cs="Calibri"/>
                <w:color w:val="000000"/>
                <w:sz w:val="22"/>
                <w:szCs w:val="22"/>
              </w:rPr>
              <w:t>ts 2024</w:t>
            </w:r>
          </w:p>
        </w:tc>
      </w:tr>
      <w:tr w:rsidR="00B9139F" w:rsidRPr="00F975BB" w:rsidTr="00B9139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B9139F" w:rsidRDefault="00B9139F" w:rsidP="00382426">
            <w:pPr>
              <w:jc w:val="right"/>
              <w:rPr>
                <w:rFonts w:cs="Calibri"/>
                <w:color w:val="000000"/>
                <w:sz w:val="22"/>
                <w:szCs w:val="22"/>
              </w:rPr>
            </w:pPr>
            <w:r>
              <w:rPr>
                <w:rFonts w:cs="Calibri"/>
                <w:color w:val="000000"/>
                <w:sz w:val="22"/>
                <w:szCs w:val="22"/>
              </w:rPr>
              <w:t>18434240</w:t>
            </w:r>
          </w:p>
        </w:tc>
        <w:tc>
          <w:tcPr>
            <w:tcW w:w="8079" w:type="dxa"/>
            <w:noWrap/>
            <w:vAlign w:val="bottom"/>
          </w:tcPr>
          <w:p w:rsidR="00B9139F" w:rsidRDefault="00B9139F" w:rsidP="00B9139F">
            <w:pPr>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Pr>
                <w:rFonts w:cs="Calibri"/>
                <w:color w:val="000000"/>
                <w:sz w:val="22"/>
                <w:szCs w:val="22"/>
              </w:rPr>
              <w:t>PFIC Plenary November 2024</w:t>
            </w:r>
          </w:p>
        </w:tc>
      </w:tr>
      <w:tr w:rsidR="00B9139F" w:rsidRPr="00F975BB" w:rsidTr="00B9139F">
        <w:trPr>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B9139F" w:rsidRDefault="00B9139F" w:rsidP="00382426">
            <w:pPr>
              <w:jc w:val="right"/>
              <w:rPr>
                <w:rFonts w:cs="Calibri"/>
                <w:color w:val="000000"/>
                <w:sz w:val="22"/>
                <w:szCs w:val="22"/>
              </w:rPr>
            </w:pPr>
            <w:r>
              <w:rPr>
                <w:rFonts w:cs="Calibri"/>
                <w:color w:val="000000"/>
                <w:sz w:val="22"/>
                <w:szCs w:val="22"/>
              </w:rPr>
              <w:t>18435303</w:t>
            </w:r>
          </w:p>
        </w:tc>
        <w:tc>
          <w:tcPr>
            <w:tcW w:w="8079" w:type="dxa"/>
            <w:noWrap/>
            <w:vAlign w:val="bottom"/>
          </w:tcPr>
          <w:p w:rsidR="00B9139F" w:rsidRDefault="00B9139F" w:rsidP="00B9139F">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Pr>
                <w:rFonts w:cs="Calibri"/>
                <w:color w:val="000000"/>
                <w:sz w:val="22"/>
                <w:szCs w:val="22"/>
              </w:rPr>
              <w:t>PFIC Virtual Meetings 2024</w:t>
            </w:r>
          </w:p>
        </w:tc>
      </w:tr>
      <w:tr w:rsidR="00B9139F" w:rsidRPr="00F975BB" w:rsidTr="00B9139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B9139F" w:rsidRDefault="00B9139F" w:rsidP="00382426">
            <w:pPr>
              <w:jc w:val="right"/>
              <w:rPr>
                <w:rFonts w:cs="Calibri"/>
                <w:color w:val="000000"/>
                <w:sz w:val="22"/>
                <w:szCs w:val="22"/>
              </w:rPr>
            </w:pPr>
            <w:r>
              <w:rPr>
                <w:rFonts w:cs="Calibri"/>
                <w:color w:val="000000"/>
                <w:sz w:val="22"/>
                <w:szCs w:val="22"/>
              </w:rPr>
              <w:t>18458973</w:t>
            </w:r>
          </w:p>
        </w:tc>
        <w:tc>
          <w:tcPr>
            <w:tcW w:w="8079" w:type="dxa"/>
            <w:noWrap/>
            <w:vAlign w:val="bottom"/>
          </w:tcPr>
          <w:p w:rsidR="00B9139F" w:rsidRDefault="00B9139F" w:rsidP="00B9139F">
            <w:pPr>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Pr>
                <w:rFonts w:cs="Calibri"/>
                <w:color w:val="000000"/>
                <w:sz w:val="22"/>
                <w:szCs w:val="22"/>
              </w:rPr>
              <w:t>Unclassified National Risk Assessment of Terrorism Financing 2024</w:t>
            </w:r>
          </w:p>
        </w:tc>
      </w:tr>
      <w:tr w:rsidR="00B9139F" w:rsidRPr="00F975BB" w:rsidTr="00B9139F">
        <w:trPr>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B9139F" w:rsidRDefault="00B9139F" w:rsidP="00382426">
            <w:pPr>
              <w:jc w:val="right"/>
              <w:rPr>
                <w:rFonts w:cs="Calibri"/>
                <w:color w:val="000000"/>
                <w:sz w:val="22"/>
                <w:szCs w:val="22"/>
              </w:rPr>
            </w:pPr>
            <w:r>
              <w:rPr>
                <w:rFonts w:cs="Calibri"/>
                <w:color w:val="000000"/>
                <w:sz w:val="22"/>
                <w:szCs w:val="22"/>
              </w:rPr>
              <w:t>18484526</w:t>
            </w:r>
          </w:p>
        </w:tc>
        <w:tc>
          <w:tcPr>
            <w:tcW w:w="8079" w:type="dxa"/>
            <w:noWrap/>
            <w:vAlign w:val="bottom"/>
          </w:tcPr>
          <w:p w:rsidR="00B9139F" w:rsidRDefault="00B9139F" w:rsidP="00B9139F">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Pr>
                <w:rFonts w:cs="Calibri"/>
                <w:color w:val="000000"/>
                <w:sz w:val="22"/>
                <w:szCs w:val="22"/>
              </w:rPr>
              <w:t>APG Mutual Evaluation Committee (MEC) 2024 Meetings and Reports</w:t>
            </w:r>
          </w:p>
        </w:tc>
      </w:tr>
      <w:tr w:rsidR="00B9139F" w:rsidRPr="00F975BB" w:rsidTr="00B9139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B9139F" w:rsidRDefault="00B9139F" w:rsidP="00382426">
            <w:pPr>
              <w:jc w:val="right"/>
              <w:rPr>
                <w:rFonts w:cs="Calibri"/>
                <w:color w:val="000000"/>
                <w:sz w:val="22"/>
                <w:szCs w:val="22"/>
              </w:rPr>
            </w:pPr>
            <w:r>
              <w:rPr>
                <w:rFonts w:cs="Calibri"/>
                <w:color w:val="000000"/>
                <w:sz w:val="22"/>
                <w:szCs w:val="22"/>
              </w:rPr>
              <w:t>18485824</w:t>
            </w:r>
          </w:p>
        </w:tc>
        <w:tc>
          <w:tcPr>
            <w:tcW w:w="8079" w:type="dxa"/>
            <w:noWrap/>
            <w:vAlign w:val="bottom"/>
          </w:tcPr>
          <w:p w:rsidR="00B9139F" w:rsidRDefault="00B9139F" w:rsidP="00B9139F">
            <w:pPr>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Pr>
                <w:rFonts w:cs="Calibri"/>
                <w:color w:val="000000"/>
                <w:sz w:val="22"/>
                <w:szCs w:val="22"/>
              </w:rPr>
              <w:t>APG Coordination of Australian Responses 2024</w:t>
            </w:r>
          </w:p>
        </w:tc>
      </w:tr>
      <w:tr w:rsidR="00B9139F" w:rsidRPr="00F975BB" w:rsidTr="00B9139F">
        <w:trPr>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B9139F" w:rsidRDefault="00B9139F" w:rsidP="00382426">
            <w:pPr>
              <w:jc w:val="right"/>
              <w:rPr>
                <w:rFonts w:cs="Calibri"/>
                <w:color w:val="000000"/>
                <w:sz w:val="22"/>
                <w:szCs w:val="22"/>
              </w:rPr>
            </w:pPr>
            <w:r>
              <w:rPr>
                <w:rFonts w:cs="Calibri"/>
                <w:color w:val="000000"/>
                <w:sz w:val="22"/>
                <w:szCs w:val="22"/>
              </w:rPr>
              <w:t>18522077</w:t>
            </w:r>
          </w:p>
        </w:tc>
        <w:tc>
          <w:tcPr>
            <w:tcW w:w="8079" w:type="dxa"/>
            <w:noWrap/>
            <w:vAlign w:val="bottom"/>
          </w:tcPr>
          <w:p w:rsidR="00B9139F" w:rsidRDefault="00B9139F" w:rsidP="00B9139F">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Pr>
                <w:rFonts w:cs="Calibri"/>
                <w:color w:val="000000"/>
                <w:sz w:val="22"/>
                <w:szCs w:val="22"/>
              </w:rPr>
              <w:t>Unclassified National Risk Assessment of Money Laundering 2024</w:t>
            </w:r>
          </w:p>
        </w:tc>
      </w:tr>
      <w:tr w:rsidR="00B9139F" w:rsidRPr="00F975BB" w:rsidTr="00B9139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B9139F" w:rsidRDefault="00B9139F" w:rsidP="00382426">
            <w:pPr>
              <w:jc w:val="right"/>
              <w:rPr>
                <w:rFonts w:cs="Calibri"/>
                <w:color w:val="000000"/>
                <w:sz w:val="22"/>
                <w:szCs w:val="22"/>
              </w:rPr>
            </w:pPr>
            <w:r>
              <w:rPr>
                <w:rFonts w:cs="Calibri"/>
                <w:color w:val="000000"/>
                <w:sz w:val="22"/>
                <w:szCs w:val="22"/>
              </w:rPr>
              <w:t>18597724</w:t>
            </w:r>
          </w:p>
        </w:tc>
        <w:tc>
          <w:tcPr>
            <w:tcW w:w="8079" w:type="dxa"/>
            <w:noWrap/>
            <w:vAlign w:val="bottom"/>
          </w:tcPr>
          <w:p w:rsidR="00B9139F" w:rsidRDefault="00B9139F" w:rsidP="00B9139F">
            <w:pPr>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Pr>
                <w:rFonts w:cs="Calibri"/>
                <w:color w:val="000000"/>
                <w:sz w:val="22"/>
                <w:szCs w:val="22"/>
              </w:rPr>
              <w:t>Digital ID Working Group 2024</w:t>
            </w:r>
          </w:p>
        </w:tc>
      </w:tr>
      <w:tr w:rsidR="00B9139F" w:rsidRPr="00F975BB" w:rsidTr="00B9139F">
        <w:trPr>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B9139F" w:rsidRDefault="00B9139F" w:rsidP="00382426">
            <w:pPr>
              <w:jc w:val="right"/>
              <w:rPr>
                <w:rFonts w:cs="Calibri"/>
                <w:color w:val="000000"/>
                <w:sz w:val="22"/>
                <w:szCs w:val="22"/>
              </w:rPr>
            </w:pPr>
            <w:r>
              <w:rPr>
                <w:rFonts w:cs="Calibri"/>
                <w:color w:val="000000"/>
                <w:sz w:val="22"/>
                <w:szCs w:val="22"/>
              </w:rPr>
              <w:t>18640486</w:t>
            </w:r>
          </w:p>
        </w:tc>
        <w:tc>
          <w:tcPr>
            <w:tcW w:w="8079" w:type="dxa"/>
            <w:noWrap/>
            <w:vAlign w:val="bottom"/>
          </w:tcPr>
          <w:p w:rsidR="00B9139F" w:rsidRDefault="00B9139F" w:rsidP="00B9139F">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Pr>
                <w:rFonts w:cs="Calibri"/>
                <w:color w:val="000000"/>
                <w:sz w:val="22"/>
                <w:szCs w:val="22"/>
              </w:rPr>
              <w:t>Egmont Biennial Census 2024</w:t>
            </w:r>
          </w:p>
        </w:tc>
      </w:tr>
      <w:tr w:rsidR="00B9139F" w:rsidRPr="00F975BB" w:rsidTr="00B9139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B9139F" w:rsidRDefault="00B9139F" w:rsidP="00382426">
            <w:pPr>
              <w:jc w:val="right"/>
              <w:rPr>
                <w:rFonts w:cs="Calibri"/>
                <w:color w:val="000000"/>
                <w:sz w:val="22"/>
                <w:szCs w:val="22"/>
              </w:rPr>
            </w:pPr>
            <w:r>
              <w:rPr>
                <w:rFonts w:cs="Calibri"/>
                <w:color w:val="000000"/>
                <w:sz w:val="22"/>
                <w:szCs w:val="22"/>
              </w:rPr>
              <w:t>18839175</w:t>
            </w:r>
          </w:p>
        </w:tc>
        <w:tc>
          <w:tcPr>
            <w:tcW w:w="8079" w:type="dxa"/>
            <w:noWrap/>
            <w:vAlign w:val="bottom"/>
          </w:tcPr>
          <w:p w:rsidR="00B9139F" w:rsidRDefault="00B9139F" w:rsidP="00B9139F">
            <w:pPr>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Pr>
                <w:rFonts w:cs="Calibri"/>
                <w:color w:val="000000"/>
                <w:sz w:val="22"/>
                <w:szCs w:val="22"/>
              </w:rPr>
              <w:t>Senate Estimates - May 2024</w:t>
            </w:r>
          </w:p>
        </w:tc>
      </w:tr>
      <w:tr w:rsidR="00B9139F" w:rsidRPr="00F975BB" w:rsidTr="00B9139F">
        <w:trPr>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B9139F" w:rsidRDefault="00B9139F" w:rsidP="00382426">
            <w:pPr>
              <w:jc w:val="right"/>
              <w:rPr>
                <w:rFonts w:cs="Calibri"/>
                <w:color w:val="000000"/>
                <w:sz w:val="22"/>
                <w:szCs w:val="22"/>
              </w:rPr>
            </w:pPr>
            <w:r>
              <w:rPr>
                <w:rFonts w:cs="Calibri"/>
                <w:color w:val="000000"/>
                <w:sz w:val="22"/>
                <w:szCs w:val="22"/>
              </w:rPr>
              <w:t>18880312</w:t>
            </w:r>
          </w:p>
        </w:tc>
        <w:tc>
          <w:tcPr>
            <w:tcW w:w="8079" w:type="dxa"/>
            <w:noWrap/>
            <w:vAlign w:val="bottom"/>
          </w:tcPr>
          <w:p w:rsidR="00B9139F" w:rsidRDefault="00B9139F" w:rsidP="00B9139F">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Pr>
                <w:rFonts w:cs="Calibri"/>
                <w:color w:val="000000"/>
                <w:sz w:val="22"/>
                <w:szCs w:val="22"/>
              </w:rPr>
              <w:t>Annual Report 2024-25</w:t>
            </w:r>
          </w:p>
        </w:tc>
      </w:tr>
      <w:tr w:rsidR="00B9139F" w:rsidRPr="00F975BB" w:rsidTr="00B9139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B9139F" w:rsidRDefault="00B9139F" w:rsidP="00382426">
            <w:pPr>
              <w:jc w:val="right"/>
              <w:rPr>
                <w:rFonts w:cs="Calibri"/>
                <w:color w:val="000000"/>
                <w:sz w:val="22"/>
                <w:szCs w:val="22"/>
              </w:rPr>
            </w:pPr>
            <w:r>
              <w:rPr>
                <w:rFonts w:cs="Calibri"/>
                <w:color w:val="000000"/>
                <w:sz w:val="22"/>
                <w:szCs w:val="22"/>
              </w:rPr>
              <w:t>18880457</w:t>
            </w:r>
          </w:p>
        </w:tc>
        <w:tc>
          <w:tcPr>
            <w:tcW w:w="8079" w:type="dxa"/>
            <w:noWrap/>
            <w:vAlign w:val="bottom"/>
          </w:tcPr>
          <w:p w:rsidR="00B9139F" w:rsidRDefault="00B9139F" w:rsidP="00B9139F">
            <w:pPr>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Pr>
                <w:rFonts w:cs="Calibri"/>
                <w:color w:val="000000"/>
                <w:sz w:val="22"/>
                <w:szCs w:val="22"/>
              </w:rPr>
              <w:t>Corporate Plan 2025-29</w:t>
            </w:r>
          </w:p>
        </w:tc>
      </w:tr>
      <w:tr w:rsidR="00B9139F" w:rsidRPr="00F975BB" w:rsidTr="00B9139F">
        <w:trPr>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B9139F" w:rsidRDefault="00B9139F" w:rsidP="00382426">
            <w:pPr>
              <w:jc w:val="right"/>
              <w:rPr>
                <w:rFonts w:cs="Calibri"/>
                <w:color w:val="000000"/>
                <w:sz w:val="22"/>
                <w:szCs w:val="22"/>
              </w:rPr>
            </w:pPr>
            <w:r>
              <w:rPr>
                <w:rFonts w:cs="Calibri"/>
                <w:color w:val="000000"/>
                <w:sz w:val="22"/>
                <w:szCs w:val="22"/>
              </w:rPr>
              <w:t>18938770</w:t>
            </w:r>
          </w:p>
        </w:tc>
        <w:tc>
          <w:tcPr>
            <w:tcW w:w="8079" w:type="dxa"/>
            <w:noWrap/>
            <w:vAlign w:val="bottom"/>
          </w:tcPr>
          <w:p w:rsidR="00B9139F" w:rsidRDefault="00B9139F" w:rsidP="00B9139F">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Pr>
                <w:rFonts w:cs="Calibri"/>
                <w:color w:val="000000"/>
                <w:sz w:val="22"/>
                <w:szCs w:val="22"/>
              </w:rPr>
              <w:t>FATF Plenary Meeting June 2024</w:t>
            </w:r>
          </w:p>
        </w:tc>
      </w:tr>
      <w:tr w:rsidR="00B9139F" w:rsidRPr="00F975BB" w:rsidTr="00B9139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B9139F" w:rsidRDefault="00B9139F" w:rsidP="00382426">
            <w:pPr>
              <w:jc w:val="right"/>
              <w:rPr>
                <w:rFonts w:cs="Calibri"/>
                <w:color w:val="000000"/>
                <w:sz w:val="22"/>
                <w:szCs w:val="22"/>
              </w:rPr>
            </w:pPr>
            <w:r>
              <w:rPr>
                <w:rFonts w:cs="Calibri"/>
                <w:color w:val="000000"/>
                <w:sz w:val="22"/>
                <w:szCs w:val="22"/>
              </w:rPr>
              <w:t>18984370</w:t>
            </w:r>
          </w:p>
        </w:tc>
        <w:tc>
          <w:tcPr>
            <w:tcW w:w="8079" w:type="dxa"/>
            <w:noWrap/>
            <w:vAlign w:val="bottom"/>
          </w:tcPr>
          <w:p w:rsidR="00B9139F" w:rsidRDefault="00B9139F" w:rsidP="00B9139F">
            <w:pPr>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Pr>
                <w:rFonts w:cs="Calibri"/>
                <w:color w:val="000000"/>
                <w:sz w:val="22"/>
                <w:szCs w:val="22"/>
              </w:rPr>
              <w:t>2024 Independent Inquiry into The Star</w:t>
            </w:r>
          </w:p>
        </w:tc>
      </w:tr>
      <w:tr w:rsidR="00B9139F" w:rsidRPr="00F975BB" w:rsidTr="00B9139F">
        <w:trPr>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B9139F" w:rsidRDefault="00B9139F" w:rsidP="00382426">
            <w:pPr>
              <w:jc w:val="right"/>
              <w:rPr>
                <w:rFonts w:cs="Calibri"/>
                <w:color w:val="000000"/>
                <w:sz w:val="22"/>
                <w:szCs w:val="22"/>
              </w:rPr>
            </w:pPr>
            <w:r>
              <w:rPr>
                <w:rFonts w:cs="Calibri"/>
                <w:color w:val="000000"/>
                <w:sz w:val="22"/>
                <w:szCs w:val="22"/>
              </w:rPr>
              <w:t>19117470</w:t>
            </w:r>
          </w:p>
        </w:tc>
        <w:tc>
          <w:tcPr>
            <w:tcW w:w="8079" w:type="dxa"/>
            <w:noWrap/>
            <w:vAlign w:val="bottom"/>
          </w:tcPr>
          <w:p w:rsidR="00B9139F" w:rsidRDefault="00B9139F" w:rsidP="00B9139F">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Pr>
                <w:rFonts w:cs="Calibri"/>
                <w:color w:val="000000"/>
                <w:sz w:val="22"/>
                <w:szCs w:val="22"/>
              </w:rPr>
              <w:t>Treasury's Regulatory Initiatives Grid</w:t>
            </w:r>
          </w:p>
        </w:tc>
      </w:tr>
      <w:tr w:rsidR="00B9139F" w:rsidRPr="00F975BB" w:rsidTr="00B9139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B9139F" w:rsidRDefault="00B9139F" w:rsidP="00382426">
            <w:pPr>
              <w:jc w:val="right"/>
              <w:rPr>
                <w:rFonts w:cs="Calibri"/>
                <w:color w:val="000000"/>
                <w:sz w:val="22"/>
                <w:szCs w:val="22"/>
              </w:rPr>
            </w:pPr>
            <w:r>
              <w:rPr>
                <w:rFonts w:cs="Calibri"/>
                <w:color w:val="000000"/>
                <w:sz w:val="22"/>
                <w:szCs w:val="22"/>
              </w:rPr>
              <w:t>19139293</w:t>
            </w:r>
          </w:p>
        </w:tc>
        <w:tc>
          <w:tcPr>
            <w:tcW w:w="8079" w:type="dxa"/>
            <w:noWrap/>
            <w:vAlign w:val="bottom"/>
          </w:tcPr>
          <w:p w:rsidR="00B9139F" w:rsidRDefault="00B9139F" w:rsidP="00B9139F">
            <w:pPr>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Pr>
                <w:rFonts w:cs="Calibri"/>
                <w:color w:val="000000"/>
                <w:sz w:val="22"/>
                <w:szCs w:val="22"/>
              </w:rPr>
              <w:t>AML/CTF Act review implementation - Phase 2 and Tranche 2 - roundtable briefings and file notes</w:t>
            </w:r>
          </w:p>
        </w:tc>
      </w:tr>
      <w:tr w:rsidR="00B9139F" w:rsidRPr="00F975BB" w:rsidTr="00B9139F">
        <w:trPr>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B9139F" w:rsidRDefault="00B9139F" w:rsidP="00382426">
            <w:pPr>
              <w:jc w:val="right"/>
              <w:rPr>
                <w:rFonts w:cs="Calibri"/>
                <w:color w:val="000000"/>
                <w:sz w:val="22"/>
                <w:szCs w:val="22"/>
              </w:rPr>
            </w:pPr>
            <w:r>
              <w:rPr>
                <w:rFonts w:cs="Calibri"/>
                <w:color w:val="000000"/>
                <w:sz w:val="22"/>
                <w:szCs w:val="22"/>
              </w:rPr>
              <w:lastRenderedPageBreak/>
              <w:t>19162024</w:t>
            </w:r>
          </w:p>
        </w:tc>
        <w:tc>
          <w:tcPr>
            <w:tcW w:w="8079" w:type="dxa"/>
            <w:noWrap/>
            <w:vAlign w:val="bottom"/>
          </w:tcPr>
          <w:p w:rsidR="00B9139F" w:rsidRDefault="00B9139F" w:rsidP="00B9139F">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Pr>
                <w:rFonts w:cs="Calibri"/>
                <w:color w:val="000000"/>
                <w:sz w:val="22"/>
                <w:szCs w:val="22"/>
              </w:rPr>
              <w:t>AML/CTF Act review implementation - Phase 2 and Tranche 2 - Legislative drafts from OPC</w:t>
            </w:r>
          </w:p>
        </w:tc>
      </w:tr>
      <w:tr w:rsidR="00B9139F" w:rsidRPr="00F975BB" w:rsidTr="00B9139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B9139F" w:rsidRDefault="00B9139F" w:rsidP="00382426">
            <w:pPr>
              <w:jc w:val="right"/>
              <w:rPr>
                <w:rFonts w:cs="Calibri"/>
                <w:color w:val="000000"/>
                <w:sz w:val="22"/>
                <w:szCs w:val="22"/>
              </w:rPr>
            </w:pPr>
            <w:r>
              <w:rPr>
                <w:rFonts w:cs="Calibri"/>
                <w:color w:val="000000"/>
                <w:sz w:val="22"/>
                <w:szCs w:val="22"/>
              </w:rPr>
              <w:t>19224512</w:t>
            </w:r>
          </w:p>
        </w:tc>
        <w:tc>
          <w:tcPr>
            <w:tcW w:w="8079" w:type="dxa"/>
            <w:noWrap/>
            <w:vAlign w:val="bottom"/>
          </w:tcPr>
          <w:p w:rsidR="00B9139F" w:rsidRDefault="00B9139F" w:rsidP="00B9139F">
            <w:pPr>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Pr>
                <w:rFonts w:cs="Calibri"/>
                <w:color w:val="000000"/>
                <w:sz w:val="22"/>
                <w:szCs w:val="22"/>
              </w:rPr>
              <w:t>Governance Committee (GC) Meetings - 2024</w:t>
            </w:r>
          </w:p>
        </w:tc>
      </w:tr>
      <w:tr w:rsidR="00B9139F" w:rsidRPr="00F975BB" w:rsidTr="00B9139F">
        <w:trPr>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B9139F" w:rsidRDefault="00B9139F" w:rsidP="00382426">
            <w:pPr>
              <w:jc w:val="right"/>
              <w:rPr>
                <w:rFonts w:cs="Calibri"/>
                <w:color w:val="000000"/>
                <w:sz w:val="22"/>
                <w:szCs w:val="22"/>
              </w:rPr>
            </w:pPr>
            <w:r>
              <w:rPr>
                <w:rFonts w:cs="Calibri"/>
                <w:color w:val="000000"/>
                <w:sz w:val="22"/>
                <w:szCs w:val="22"/>
              </w:rPr>
              <w:t>19237142</w:t>
            </w:r>
          </w:p>
        </w:tc>
        <w:tc>
          <w:tcPr>
            <w:tcW w:w="8079" w:type="dxa"/>
            <w:noWrap/>
            <w:vAlign w:val="bottom"/>
          </w:tcPr>
          <w:p w:rsidR="00B9139F" w:rsidRDefault="00B9139F" w:rsidP="00B9139F">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Pr>
                <w:rFonts w:cs="Calibri"/>
                <w:color w:val="000000"/>
                <w:sz w:val="22"/>
                <w:szCs w:val="22"/>
              </w:rPr>
              <w:t>Media Releases 2024-25</w:t>
            </w:r>
          </w:p>
        </w:tc>
      </w:tr>
      <w:tr w:rsidR="00B9139F" w:rsidRPr="00F975BB" w:rsidTr="00B9139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B9139F" w:rsidRDefault="00B9139F" w:rsidP="00382426">
            <w:pPr>
              <w:jc w:val="right"/>
              <w:rPr>
                <w:rFonts w:cs="Calibri"/>
                <w:color w:val="000000"/>
                <w:sz w:val="22"/>
                <w:szCs w:val="22"/>
              </w:rPr>
            </w:pPr>
            <w:r>
              <w:rPr>
                <w:rFonts w:cs="Calibri"/>
                <w:color w:val="000000"/>
                <w:sz w:val="22"/>
                <w:szCs w:val="22"/>
              </w:rPr>
              <w:t>19237435</w:t>
            </w:r>
          </w:p>
        </w:tc>
        <w:tc>
          <w:tcPr>
            <w:tcW w:w="8079" w:type="dxa"/>
            <w:noWrap/>
            <w:vAlign w:val="bottom"/>
          </w:tcPr>
          <w:p w:rsidR="00B9139F" w:rsidRDefault="00B9139F" w:rsidP="00B9139F">
            <w:pPr>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Pr>
                <w:rFonts w:cs="Calibri"/>
                <w:color w:val="000000"/>
                <w:sz w:val="22"/>
                <w:szCs w:val="22"/>
              </w:rPr>
              <w:t xml:space="preserve">AUSTRAC </w:t>
            </w:r>
            <w:proofErr w:type="spellStart"/>
            <w:r>
              <w:rPr>
                <w:rFonts w:cs="Calibri"/>
                <w:color w:val="000000"/>
                <w:sz w:val="22"/>
                <w:szCs w:val="22"/>
              </w:rPr>
              <w:t>InBrief</w:t>
            </w:r>
            <w:proofErr w:type="spellEnd"/>
            <w:r>
              <w:rPr>
                <w:rFonts w:cs="Calibri"/>
                <w:color w:val="000000"/>
                <w:sz w:val="22"/>
                <w:szCs w:val="22"/>
              </w:rPr>
              <w:t xml:space="preserve"> newsletters 2024-25</w:t>
            </w:r>
          </w:p>
        </w:tc>
      </w:tr>
      <w:tr w:rsidR="00B9139F" w:rsidRPr="00F975BB" w:rsidTr="00B9139F">
        <w:trPr>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B9139F" w:rsidRDefault="00B9139F" w:rsidP="00382426">
            <w:pPr>
              <w:jc w:val="right"/>
              <w:rPr>
                <w:rFonts w:cs="Calibri"/>
                <w:color w:val="000000"/>
                <w:sz w:val="22"/>
                <w:szCs w:val="22"/>
              </w:rPr>
            </w:pPr>
            <w:r>
              <w:rPr>
                <w:rFonts w:cs="Calibri"/>
                <w:color w:val="000000"/>
                <w:sz w:val="22"/>
                <w:szCs w:val="22"/>
              </w:rPr>
              <w:t>19238496</w:t>
            </w:r>
          </w:p>
        </w:tc>
        <w:tc>
          <w:tcPr>
            <w:tcW w:w="8079" w:type="dxa"/>
            <w:noWrap/>
            <w:vAlign w:val="bottom"/>
          </w:tcPr>
          <w:p w:rsidR="00B9139F" w:rsidRDefault="00B9139F" w:rsidP="00B9139F">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Pr>
                <w:rFonts w:cs="Calibri"/>
                <w:color w:val="000000"/>
                <w:sz w:val="22"/>
                <w:szCs w:val="22"/>
              </w:rPr>
              <w:t>AML/CTF Reform - Communication Strategy 2024</w:t>
            </w:r>
          </w:p>
        </w:tc>
      </w:tr>
      <w:tr w:rsidR="00B9139F" w:rsidRPr="00F975BB" w:rsidTr="00B9139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B9139F" w:rsidRDefault="00B9139F" w:rsidP="00382426">
            <w:pPr>
              <w:jc w:val="right"/>
              <w:rPr>
                <w:rFonts w:cs="Calibri"/>
                <w:color w:val="000000"/>
                <w:sz w:val="22"/>
                <w:szCs w:val="22"/>
              </w:rPr>
            </w:pPr>
            <w:r>
              <w:rPr>
                <w:rFonts w:cs="Calibri"/>
                <w:color w:val="000000"/>
                <w:sz w:val="22"/>
                <w:szCs w:val="22"/>
              </w:rPr>
              <w:t>19239420</w:t>
            </w:r>
          </w:p>
        </w:tc>
        <w:tc>
          <w:tcPr>
            <w:tcW w:w="8079" w:type="dxa"/>
            <w:noWrap/>
            <w:vAlign w:val="bottom"/>
          </w:tcPr>
          <w:p w:rsidR="00B9139F" w:rsidRDefault="00B9139F" w:rsidP="00B9139F">
            <w:pPr>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Pr>
                <w:rFonts w:cs="Calibri"/>
                <w:color w:val="000000"/>
                <w:sz w:val="22"/>
                <w:szCs w:val="22"/>
              </w:rPr>
              <w:t>Industry Education and Outreach - AUSTRAC Industry Forum 2024</w:t>
            </w:r>
          </w:p>
        </w:tc>
      </w:tr>
      <w:tr w:rsidR="00B9139F" w:rsidRPr="00F975BB" w:rsidTr="00B9139F">
        <w:trPr>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B9139F" w:rsidRDefault="00B9139F" w:rsidP="00382426">
            <w:pPr>
              <w:jc w:val="right"/>
              <w:rPr>
                <w:rFonts w:cs="Calibri"/>
                <w:color w:val="000000"/>
                <w:sz w:val="22"/>
                <w:szCs w:val="22"/>
              </w:rPr>
            </w:pPr>
            <w:r>
              <w:rPr>
                <w:rFonts w:cs="Calibri"/>
                <w:color w:val="000000"/>
                <w:sz w:val="22"/>
                <w:szCs w:val="22"/>
              </w:rPr>
              <w:t>19263981</w:t>
            </w:r>
          </w:p>
        </w:tc>
        <w:tc>
          <w:tcPr>
            <w:tcW w:w="8079" w:type="dxa"/>
            <w:noWrap/>
            <w:vAlign w:val="bottom"/>
          </w:tcPr>
          <w:p w:rsidR="00B9139F" w:rsidRDefault="00B9139F" w:rsidP="00B9139F">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Pr>
                <w:rFonts w:cs="Calibri"/>
                <w:color w:val="000000"/>
                <w:sz w:val="22"/>
                <w:szCs w:val="22"/>
              </w:rPr>
              <w:t>Automated Decision-Making Interdepartmental Committee (IDC) 2024</w:t>
            </w:r>
          </w:p>
        </w:tc>
      </w:tr>
      <w:tr w:rsidR="00B9139F" w:rsidRPr="00F975BB" w:rsidTr="00B9139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B9139F" w:rsidRDefault="00B9139F" w:rsidP="00382426">
            <w:pPr>
              <w:jc w:val="right"/>
              <w:rPr>
                <w:rFonts w:cs="Calibri"/>
                <w:color w:val="000000"/>
                <w:sz w:val="22"/>
                <w:szCs w:val="22"/>
              </w:rPr>
            </w:pPr>
            <w:r>
              <w:rPr>
                <w:rFonts w:cs="Calibri"/>
                <w:color w:val="000000"/>
                <w:sz w:val="22"/>
                <w:szCs w:val="22"/>
              </w:rPr>
              <w:t>19305522</w:t>
            </w:r>
          </w:p>
        </w:tc>
        <w:tc>
          <w:tcPr>
            <w:tcW w:w="8079" w:type="dxa"/>
            <w:noWrap/>
            <w:vAlign w:val="bottom"/>
          </w:tcPr>
          <w:p w:rsidR="00B9139F" w:rsidRDefault="00B9139F" w:rsidP="00B9139F">
            <w:pPr>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Pr>
                <w:rFonts w:cs="Calibri"/>
                <w:color w:val="000000"/>
                <w:sz w:val="22"/>
                <w:szCs w:val="22"/>
              </w:rPr>
              <w:t>Questions on Notice - The Senate and House of Representatives 2024-25</w:t>
            </w:r>
          </w:p>
        </w:tc>
      </w:tr>
      <w:tr w:rsidR="00B9139F" w:rsidRPr="00F975BB" w:rsidTr="00B9139F">
        <w:trPr>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B9139F" w:rsidRDefault="00B9139F" w:rsidP="00382426">
            <w:pPr>
              <w:jc w:val="right"/>
              <w:rPr>
                <w:rFonts w:cs="Calibri"/>
                <w:color w:val="000000"/>
                <w:sz w:val="22"/>
                <w:szCs w:val="22"/>
              </w:rPr>
            </w:pPr>
            <w:r>
              <w:rPr>
                <w:rFonts w:cs="Calibri"/>
                <w:color w:val="000000"/>
                <w:sz w:val="22"/>
                <w:szCs w:val="22"/>
              </w:rPr>
              <w:t>19306432</w:t>
            </w:r>
          </w:p>
        </w:tc>
        <w:tc>
          <w:tcPr>
            <w:tcW w:w="8079" w:type="dxa"/>
            <w:noWrap/>
            <w:vAlign w:val="bottom"/>
          </w:tcPr>
          <w:p w:rsidR="00B9139F" w:rsidRDefault="00B9139F" w:rsidP="00B9139F">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Pr>
                <w:rFonts w:cs="Calibri"/>
                <w:color w:val="000000"/>
                <w:sz w:val="22"/>
                <w:szCs w:val="22"/>
              </w:rPr>
              <w:t>Question Time Briefs (QTB) 2024-25</w:t>
            </w:r>
          </w:p>
        </w:tc>
      </w:tr>
      <w:tr w:rsidR="00B9139F" w:rsidRPr="00F975BB" w:rsidTr="00B9139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B9139F" w:rsidRDefault="00B9139F" w:rsidP="00382426">
            <w:pPr>
              <w:jc w:val="right"/>
              <w:rPr>
                <w:rFonts w:cs="Calibri"/>
                <w:color w:val="000000"/>
                <w:sz w:val="22"/>
                <w:szCs w:val="22"/>
              </w:rPr>
            </w:pPr>
            <w:r>
              <w:rPr>
                <w:rFonts w:cs="Calibri"/>
                <w:color w:val="000000"/>
                <w:sz w:val="22"/>
                <w:szCs w:val="22"/>
              </w:rPr>
              <w:t>19307223</w:t>
            </w:r>
          </w:p>
        </w:tc>
        <w:tc>
          <w:tcPr>
            <w:tcW w:w="8079" w:type="dxa"/>
            <w:noWrap/>
            <w:vAlign w:val="bottom"/>
          </w:tcPr>
          <w:p w:rsidR="00B9139F" w:rsidRDefault="00B9139F" w:rsidP="00B9139F">
            <w:pPr>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Pr>
                <w:rFonts w:cs="Calibri"/>
                <w:color w:val="000000"/>
                <w:sz w:val="22"/>
                <w:szCs w:val="22"/>
              </w:rPr>
              <w:t>AUSTRAC Statement of Expectations and Statement of Intent 2024-25</w:t>
            </w:r>
          </w:p>
        </w:tc>
      </w:tr>
      <w:tr w:rsidR="00B9139F" w:rsidRPr="00F975BB" w:rsidTr="00B9139F">
        <w:trPr>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B9139F" w:rsidRDefault="00B9139F" w:rsidP="00382426">
            <w:pPr>
              <w:jc w:val="right"/>
              <w:rPr>
                <w:rFonts w:cs="Calibri"/>
                <w:color w:val="000000"/>
                <w:sz w:val="22"/>
                <w:szCs w:val="22"/>
              </w:rPr>
            </w:pPr>
            <w:r>
              <w:rPr>
                <w:rFonts w:cs="Calibri"/>
                <w:color w:val="000000"/>
                <w:sz w:val="22"/>
                <w:szCs w:val="22"/>
              </w:rPr>
              <w:t>19320102</w:t>
            </w:r>
          </w:p>
        </w:tc>
        <w:tc>
          <w:tcPr>
            <w:tcW w:w="8079" w:type="dxa"/>
            <w:noWrap/>
            <w:vAlign w:val="bottom"/>
          </w:tcPr>
          <w:p w:rsidR="00B9139F" w:rsidRDefault="00B9139F" w:rsidP="00B9139F">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Pr>
                <w:rFonts w:cs="Calibri"/>
                <w:color w:val="000000"/>
                <w:sz w:val="22"/>
                <w:szCs w:val="22"/>
              </w:rPr>
              <w:t>Incoming Minister's Brief 2024</w:t>
            </w:r>
          </w:p>
        </w:tc>
      </w:tr>
      <w:tr w:rsidR="00B9139F" w:rsidRPr="00F975BB" w:rsidTr="00B9139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B9139F" w:rsidRDefault="00B9139F" w:rsidP="00382426">
            <w:pPr>
              <w:jc w:val="right"/>
              <w:rPr>
                <w:rFonts w:cs="Calibri"/>
                <w:color w:val="000000"/>
                <w:sz w:val="22"/>
                <w:szCs w:val="22"/>
              </w:rPr>
            </w:pPr>
            <w:r>
              <w:rPr>
                <w:rFonts w:cs="Calibri"/>
                <w:color w:val="000000"/>
                <w:sz w:val="22"/>
                <w:szCs w:val="22"/>
              </w:rPr>
              <w:t>19319332</w:t>
            </w:r>
          </w:p>
        </w:tc>
        <w:tc>
          <w:tcPr>
            <w:tcW w:w="8079" w:type="dxa"/>
            <w:noWrap/>
            <w:vAlign w:val="bottom"/>
          </w:tcPr>
          <w:p w:rsidR="00B9139F" w:rsidRDefault="00B9139F" w:rsidP="00B9139F">
            <w:pPr>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Pr>
                <w:rFonts w:cs="Calibri"/>
                <w:color w:val="000000"/>
                <w:sz w:val="22"/>
                <w:szCs w:val="22"/>
              </w:rPr>
              <w:t>Ministerial Submissions 2024-25</w:t>
            </w:r>
          </w:p>
        </w:tc>
      </w:tr>
      <w:tr w:rsidR="00B9139F" w:rsidRPr="00F975BB" w:rsidTr="00B9139F">
        <w:trPr>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B9139F" w:rsidRDefault="00B9139F" w:rsidP="00382426">
            <w:pPr>
              <w:jc w:val="right"/>
              <w:rPr>
                <w:rFonts w:cs="Calibri"/>
                <w:color w:val="000000"/>
                <w:sz w:val="22"/>
                <w:szCs w:val="22"/>
              </w:rPr>
            </w:pPr>
            <w:r>
              <w:rPr>
                <w:rFonts w:cs="Calibri"/>
                <w:color w:val="000000"/>
                <w:sz w:val="22"/>
                <w:szCs w:val="22"/>
              </w:rPr>
              <w:t>19320634</w:t>
            </w:r>
          </w:p>
        </w:tc>
        <w:tc>
          <w:tcPr>
            <w:tcW w:w="8079" w:type="dxa"/>
            <w:noWrap/>
            <w:vAlign w:val="bottom"/>
          </w:tcPr>
          <w:p w:rsidR="00B9139F" w:rsidRDefault="00B9139F" w:rsidP="00B9139F">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Pr>
                <w:rFonts w:cs="Calibri"/>
                <w:color w:val="000000"/>
                <w:sz w:val="22"/>
                <w:szCs w:val="22"/>
              </w:rPr>
              <w:t>Ministerial correspondence 2024-25</w:t>
            </w:r>
          </w:p>
        </w:tc>
      </w:tr>
      <w:tr w:rsidR="00B9139F" w:rsidRPr="00F975BB" w:rsidTr="00B9139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B9139F" w:rsidRDefault="00B9139F" w:rsidP="00382426">
            <w:pPr>
              <w:jc w:val="right"/>
              <w:rPr>
                <w:rFonts w:cs="Calibri"/>
                <w:color w:val="000000"/>
                <w:sz w:val="22"/>
                <w:szCs w:val="22"/>
              </w:rPr>
            </w:pPr>
            <w:r>
              <w:rPr>
                <w:rFonts w:cs="Calibri"/>
                <w:color w:val="000000"/>
                <w:sz w:val="22"/>
                <w:szCs w:val="22"/>
              </w:rPr>
              <w:t>19326891</w:t>
            </w:r>
          </w:p>
        </w:tc>
        <w:tc>
          <w:tcPr>
            <w:tcW w:w="8079" w:type="dxa"/>
            <w:noWrap/>
            <w:vAlign w:val="bottom"/>
          </w:tcPr>
          <w:p w:rsidR="00B9139F" w:rsidRDefault="00B9139F" w:rsidP="00B9139F">
            <w:pPr>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Pr>
                <w:rFonts w:cs="Calibri"/>
                <w:color w:val="000000"/>
                <w:sz w:val="22"/>
                <w:szCs w:val="22"/>
              </w:rPr>
              <w:t>Industry Education and Outreach - National Risk Assessment (NRA) Education Campaign 2024</w:t>
            </w:r>
          </w:p>
        </w:tc>
      </w:tr>
      <w:tr w:rsidR="00B9139F" w:rsidRPr="00F975BB" w:rsidTr="00B9139F">
        <w:trPr>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B9139F" w:rsidRDefault="00B9139F" w:rsidP="00382426">
            <w:pPr>
              <w:jc w:val="right"/>
              <w:rPr>
                <w:rFonts w:cs="Calibri"/>
                <w:color w:val="000000"/>
                <w:sz w:val="22"/>
                <w:szCs w:val="22"/>
              </w:rPr>
            </w:pPr>
            <w:r>
              <w:rPr>
                <w:rFonts w:cs="Calibri"/>
                <w:color w:val="000000"/>
                <w:sz w:val="22"/>
                <w:szCs w:val="22"/>
              </w:rPr>
              <w:t>19345801</w:t>
            </w:r>
          </w:p>
        </w:tc>
        <w:tc>
          <w:tcPr>
            <w:tcW w:w="8079" w:type="dxa"/>
            <w:noWrap/>
            <w:vAlign w:val="bottom"/>
          </w:tcPr>
          <w:p w:rsidR="00B9139F" w:rsidRDefault="00B9139F" w:rsidP="00B9139F">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Pr>
                <w:rFonts w:cs="Calibri"/>
                <w:color w:val="000000"/>
                <w:sz w:val="22"/>
                <w:szCs w:val="22"/>
              </w:rPr>
              <w:t>Industry Education and Outreach - Online Payment Platforms (OPP) Education Campaign 2024</w:t>
            </w:r>
          </w:p>
        </w:tc>
      </w:tr>
      <w:tr w:rsidR="00B9139F" w:rsidRPr="00F975BB" w:rsidTr="00B9139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B9139F" w:rsidRDefault="00B9139F" w:rsidP="00382426">
            <w:pPr>
              <w:jc w:val="right"/>
              <w:rPr>
                <w:rFonts w:cs="Calibri"/>
                <w:color w:val="000000"/>
                <w:sz w:val="22"/>
                <w:szCs w:val="22"/>
              </w:rPr>
            </w:pPr>
            <w:r>
              <w:rPr>
                <w:rFonts w:cs="Calibri"/>
                <w:color w:val="000000"/>
                <w:sz w:val="22"/>
                <w:szCs w:val="22"/>
              </w:rPr>
              <w:t>19353752</w:t>
            </w:r>
          </w:p>
        </w:tc>
        <w:tc>
          <w:tcPr>
            <w:tcW w:w="8079" w:type="dxa"/>
            <w:noWrap/>
            <w:vAlign w:val="bottom"/>
          </w:tcPr>
          <w:p w:rsidR="00B9139F" w:rsidRDefault="00B9139F" w:rsidP="00B9139F">
            <w:pPr>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Pr>
                <w:rFonts w:cs="Calibri"/>
                <w:color w:val="000000"/>
                <w:sz w:val="22"/>
                <w:szCs w:val="22"/>
              </w:rPr>
              <w:t>AML/CTF Act review implementation - Phase 2 and Tranche 2 - second consultation submissions</w:t>
            </w:r>
          </w:p>
        </w:tc>
      </w:tr>
      <w:tr w:rsidR="00B9139F" w:rsidRPr="00F975BB" w:rsidTr="00B9139F">
        <w:trPr>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B9139F" w:rsidRDefault="00B9139F" w:rsidP="00382426">
            <w:pPr>
              <w:jc w:val="right"/>
              <w:rPr>
                <w:rFonts w:cs="Calibri"/>
                <w:color w:val="000000"/>
                <w:sz w:val="22"/>
                <w:szCs w:val="22"/>
              </w:rPr>
            </w:pPr>
            <w:r>
              <w:rPr>
                <w:rFonts w:cs="Calibri"/>
                <w:color w:val="000000"/>
                <w:sz w:val="22"/>
                <w:szCs w:val="22"/>
              </w:rPr>
              <w:t>19359943</w:t>
            </w:r>
          </w:p>
        </w:tc>
        <w:tc>
          <w:tcPr>
            <w:tcW w:w="8079" w:type="dxa"/>
            <w:noWrap/>
            <w:vAlign w:val="bottom"/>
          </w:tcPr>
          <w:p w:rsidR="00B9139F" w:rsidRDefault="00B9139F" w:rsidP="00B9139F">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Pr>
                <w:rFonts w:cs="Calibri"/>
                <w:color w:val="000000"/>
                <w:sz w:val="22"/>
                <w:szCs w:val="22"/>
              </w:rPr>
              <w:t>Estimate Memoranda 2024-25</w:t>
            </w:r>
          </w:p>
        </w:tc>
      </w:tr>
      <w:tr w:rsidR="00B9139F" w:rsidRPr="00F975BB" w:rsidTr="00B9139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B9139F" w:rsidRDefault="00B9139F" w:rsidP="00382426">
            <w:pPr>
              <w:jc w:val="right"/>
              <w:rPr>
                <w:rFonts w:cs="Calibri"/>
                <w:color w:val="000000"/>
                <w:sz w:val="22"/>
                <w:szCs w:val="22"/>
              </w:rPr>
            </w:pPr>
            <w:r>
              <w:rPr>
                <w:rFonts w:cs="Calibri"/>
                <w:color w:val="000000"/>
                <w:sz w:val="22"/>
                <w:szCs w:val="22"/>
              </w:rPr>
              <w:t>19387158</w:t>
            </w:r>
          </w:p>
        </w:tc>
        <w:tc>
          <w:tcPr>
            <w:tcW w:w="8079" w:type="dxa"/>
            <w:noWrap/>
            <w:vAlign w:val="bottom"/>
          </w:tcPr>
          <w:p w:rsidR="00B9139F" w:rsidRDefault="00B9139F" w:rsidP="00B9139F">
            <w:pPr>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Pr>
                <w:rFonts w:cs="Calibri"/>
                <w:color w:val="000000"/>
                <w:sz w:val="22"/>
                <w:szCs w:val="22"/>
              </w:rPr>
              <w:t>AML/CTF Rules, Chapters 4 and 15, Customer Due Diligence CDD custodians</w:t>
            </w:r>
          </w:p>
        </w:tc>
      </w:tr>
    </w:tbl>
    <w:p w:rsidR="00BB2AE6" w:rsidRDefault="00E909BA" w:rsidP="00E909BA">
      <w:pPr>
        <w:tabs>
          <w:tab w:val="left" w:pos="1733"/>
        </w:tabs>
      </w:pPr>
      <w:r>
        <w:tab/>
      </w:r>
    </w:p>
    <w:sectPr w:rsidR="00BB2AE6" w:rsidSect="00B91B4E">
      <w:headerReference w:type="even" r:id="rId7"/>
      <w:headerReference w:type="default" r:id="rId8"/>
      <w:footerReference w:type="even" r:id="rId9"/>
      <w:footerReference w:type="default" r:id="rId10"/>
      <w:headerReference w:type="first" r:id="rId11"/>
      <w:footerReference w:type="first" r:id="rId12"/>
      <w:pgSz w:w="11906" w:h="16838"/>
      <w:pgMar w:top="1985" w:right="1134" w:bottom="426" w:left="1134" w:header="709" w:footer="4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D04" w:rsidRDefault="00D95D04" w:rsidP="00213DCE">
      <w:r>
        <w:separator/>
      </w:r>
    </w:p>
  </w:endnote>
  <w:endnote w:type="continuationSeparator" w:id="0">
    <w:p w:rsidR="00D95D04" w:rsidRDefault="00D95D04" w:rsidP="0021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B98" w:rsidRDefault="00CC5B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4379365"/>
      <w:docPartObj>
        <w:docPartGallery w:val="Page Numbers (Bottom of Page)"/>
        <w:docPartUnique/>
      </w:docPartObj>
    </w:sdtPr>
    <w:sdtEndPr/>
    <w:sdtContent>
      <w:sdt>
        <w:sdtPr>
          <w:rPr>
            <w:sz w:val="20"/>
          </w:rPr>
          <w:id w:val="1308745714"/>
          <w:docPartObj>
            <w:docPartGallery w:val="Page Numbers (Top of Page)"/>
            <w:docPartUnique/>
          </w:docPartObj>
        </w:sdtPr>
        <w:sdtEndPr/>
        <w:sdtContent>
          <w:p w:rsidR="00035335" w:rsidRPr="00035335" w:rsidRDefault="00DF358C" w:rsidP="007668A6">
            <w:pPr>
              <w:tabs>
                <w:tab w:val="left" w:pos="8364"/>
              </w:tabs>
              <w:rPr>
                <w:sz w:val="20"/>
              </w:rPr>
            </w:pPr>
            <w:r w:rsidRPr="002A3215">
              <w:rPr>
                <w:sz w:val="20"/>
              </w:rPr>
              <w:t xml:space="preserve">AUSTRAC file list 1 </w:t>
            </w:r>
            <w:r w:rsidR="0096112A">
              <w:rPr>
                <w:sz w:val="20"/>
              </w:rPr>
              <w:t>July to 31 December 2023</w:t>
            </w:r>
            <w:r w:rsidR="00035335">
              <w:rPr>
                <w:sz w:val="20"/>
              </w:rPr>
              <w:tab/>
            </w:r>
            <w:r w:rsidR="00035335" w:rsidRPr="002A3215">
              <w:rPr>
                <w:sz w:val="20"/>
              </w:rPr>
              <w:t xml:space="preserve">Page </w:t>
            </w:r>
            <w:r w:rsidR="00035335" w:rsidRPr="002A3215">
              <w:rPr>
                <w:b/>
                <w:bCs/>
                <w:sz w:val="18"/>
                <w:szCs w:val="24"/>
              </w:rPr>
              <w:fldChar w:fldCharType="begin"/>
            </w:r>
            <w:r w:rsidR="00035335" w:rsidRPr="002A3215">
              <w:rPr>
                <w:b/>
                <w:bCs/>
                <w:sz w:val="20"/>
              </w:rPr>
              <w:instrText xml:space="preserve"> PAGE </w:instrText>
            </w:r>
            <w:r w:rsidR="00035335" w:rsidRPr="002A3215">
              <w:rPr>
                <w:b/>
                <w:bCs/>
                <w:sz w:val="18"/>
                <w:szCs w:val="24"/>
              </w:rPr>
              <w:fldChar w:fldCharType="separate"/>
            </w:r>
            <w:r w:rsidR="00CC5B98">
              <w:rPr>
                <w:b/>
                <w:bCs/>
                <w:noProof/>
                <w:sz w:val="20"/>
              </w:rPr>
              <w:t>2</w:t>
            </w:r>
            <w:r w:rsidR="00035335" w:rsidRPr="002A3215">
              <w:rPr>
                <w:b/>
                <w:bCs/>
                <w:sz w:val="18"/>
                <w:szCs w:val="24"/>
              </w:rPr>
              <w:fldChar w:fldCharType="end"/>
            </w:r>
            <w:r w:rsidR="00035335" w:rsidRPr="002A3215">
              <w:rPr>
                <w:sz w:val="20"/>
              </w:rPr>
              <w:t xml:space="preserve"> of </w:t>
            </w:r>
            <w:r w:rsidR="00035335" w:rsidRPr="002A3215">
              <w:rPr>
                <w:b/>
                <w:bCs/>
                <w:sz w:val="18"/>
                <w:szCs w:val="24"/>
              </w:rPr>
              <w:fldChar w:fldCharType="begin"/>
            </w:r>
            <w:r w:rsidR="00035335" w:rsidRPr="002A3215">
              <w:rPr>
                <w:b/>
                <w:bCs/>
                <w:sz w:val="20"/>
              </w:rPr>
              <w:instrText xml:space="preserve"> NUMPAGES  </w:instrText>
            </w:r>
            <w:r w:rsidR="00035335" w:rsidRPr="002A3215">
              <w:rPr>
                <w:b/>
                <w:bCs/>
                <w:sz w:val="18"/>
                <w:szCs w:val="24"/>
              </w:rPr>
              <w:fldChar w:fldCharType="separate"/>
            </w:r>
            <w:r w:rsidR="00CC5B98">
              <w:rPr>
                <w:b/>
                <w:bCs/>
                <w:noProof/>
                <w:sz w:val="20"/>
              </w:rPr>
              <w:t>2</w:t>
            </w:r>
            <w:r w:rsidR="00035335" w:rsidRPr="002A3215">
              <w:rPr>
                <w:b/>
                <w:bCs/>
                <w:sz w:val="18"/>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29805872"/>
      <w:docPartObj>
        <w:docPartGallery w:val="Page Numbers (Bottom of Page)"/>
        <w:docPartUnique/>
      </w:docPartObj>
    </w:sdtPr>
    <w:sdtEndPr/>
    <w:sdtContent>
      <w:sdt>
        <w:sdtPr>
          <w:rPr>
            <w:sz w:val="20"/>
          </w:rPr>
          <w:id w:val="-1341454913"/>
          <w:docPartObj>
            <w:docPartGallery w:val="Page Numbers (Top of Page)"/>
            <w:docPartUnique/>
          </w:docPartObj>
        </w:sdtPr>
        <w:sdtEndPr/>
        <w:sdtContent>
          <w:p w:rsidR="002A3215" w:rsidRPr="002A3215" w:rsidRDefault="002A3215" w:rsidP="007668A6">
            <w:pPr>
              <w:tabs>
                <w:tab w:val="left" w:pos="8364"/>
              </w:tabs>
              <w:rPr>
                <w:sz w:val="20"/>
              </w:rPr>
            </w:pPr>
            <w:r w:rsidRPr="002A3215">
              <w:rPr>
                <w:sz w:val="20"/>
              </w:rPr>
              <w:t>AUSTRAC file list 1</w:t>
            </w:r>
            <w:r w:rsidR="00802C28">
              <w:rPr>
                <w:sz w:val="20"/>
              </w:rPr>
              <w:t xml:space="preserve"> </w:t>
            </w:r>
            <w:r w:rsidR="00B9139F">
              <w:rPr>
                <w:sz w:val="20"/>
              </w:rPr>
              <w:t>January to 30 June 2024</w:t>
            </w:r>
            <w:r w:rsidRPr="002A3215">
              <w:rPr>
                <w:sz w:val="20"/>
              </w:rPr>
              <w:tab/>
              <w:t xml:space="preserve">Page </w:t>
            </w:r>
            <w:r w:rsidRPr="002A3215">
              <w:rPr>
                <w:b/>
                <w:bCs/>
                <w:sz w:val="18"/>
                <w:szCs w:val="24"/>
              </w:rPr>
              <w:fldChar w:fldCharType="begin"/>
            </w:r>
            <w:r w:rsidRPr="002A3215">
              <w:rPr>
                <w:b/>
                <w:bCs/>
                <w:sz w:val="20"/>
              </w:rPr>
              <w:instrText xml:space="preserve"> PAGE </w:instrText>
            </w:r>
            <w:r w:rsidRPr="002A3215">
              <w:rPr>
                <w:b/>
                <w:bCs/>
                <w:sz w:val="18"/>
                <w:szCs w:val="24"/>
              </w:rPr>
              <w:fldChar w:fldCharType="separate"/>
            </w:r>
            <w:r w:rsidR="00CC5B98">
              <w:rPr>
                <w:b/>
                <w:bCs/>
                <w:noProof/>
                <w:sz w:val="20"/>
              </w:rPr>
              <w:t>1</w:t>
            </w:r>
            <w:r w:rsidRPr="002A3215">
              <w:rPr>
                <w:b/>
                <w:bCs/>
                <w:sz w:val="18"/>
                <w:szCs w:val="24"/>
              </w:rPr>
              <w:fldChar w:fldCharType="end"/>
            </w:r>
            <w:r w:rsidRPr="002A3215">
              <w:rPr>
                <w:sz w:val="20"/>
              </w:rPr>
              <w:t xml:space="preserve"> of </w:t>
            </w:r>
            <w:r w:rsidRPr="002A3215">
              <w:rPr>
                <w:b/>
                <w:bCs/>
                <w:sz w:val="18"/>
                <w:szCs w:val="24"/>
              </w:rPr>
              <w:fldChar w:fldCharType="begin"/>
            </w:r>
            <w:r w:rsidRPr="002A3215">
              <w:rPr>
                <w:b/>
                <w:bCs/>
                <w:sz w:val="20"/>
              </w:rPr>
              <w:instrText xml:space="preserve"> NUMPAGES  </w:instrText>
            </w:r>
            <w:r w:rsidRPr="002A3215">
              <w:rPr>
                <w:b/>
                <w:bCs/>
                <w:sz w:val="18"/>
                <w:szCs w:val="24"/>
              </w:rPr>
              <w:fldChar w:fldCharType="separate"/>
            </w:r>
            <w:r w:rsidR="00CC5B98">
              <w:rPr>
                <w:b/>
                <w:bCs/>
                <w:noProof/>
                <w:sz w:val="20"/>
              </w:rPr>
              <w:t>2</w:t>
            </w:r>
            <w:r w:rsidRPr="002A3215">
              <w:rPr>
                <w:b/>
                <w:bCs/>
                <w:sz w:val="18"/>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D04" w:rsidRDefault="00D95D04" w:rsidP="00213DCE">
      <w:r>
        <w:separator/>
      </w:r>
    </w:p>
  </w:footnote>
  <w:footnote w:type="continuationSeparator" w:id="0">
    <w:p w:rsidR="00D95D04" w:rsidRDefault="00D95D04" w:rsidP="00213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B98" w:rsidRDefault="00CC5B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B98" w:rsidRDefault="00CC5B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C41" w:rsidRDefault="002A3215" w:rsidP="00C57116">
    <w:pPr>
      <w:jc w:val="right"/>
    </w:pPr>
    <w:r>
      <w:rPr>
        <w:noProof/>
      </w:rPr>
      <w:drawing>
        <wp:inline distT="0" distB="0" distL="0" distR="0">
          <wp:extent cx="1567180" cy="1032510"/>
          <wp:effectExtent l="0" t="0" r="0" b="0"/>
          <wp:docPr id="13" name="Picture 13" title="AUSTR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7180" cy="1032510"/>
                  </a:xfrm>
                  <a:prstGeom prst="rect">
                    <a:avLst/>
                  </a:prstGeom>
                  <a:noFill/>
                  <a:ln>
                    <a:noFill/>
                  </a:ln>
                </pic:spPr>
              </pic:pic>
            </a:graphicData>
          </a:graphic>
        </wp:inline>
      </w:drawing>
    </w:r>
    <w:r w:rsidR="003B29CA">
      <w:rPr>
        <w:noProof/>
      </w:rPr>
      <w:drawing>
        <wp:anchor distT="0" distB="0" distL="114300" distR="114300" simplePos="0" relativeHeight="251660288" behindDoc="1" locked="0" layoutInCell="1" allowOverlap="1">
          <wp:simplePos x="0" y="0"/>
          <wp:positionH relativeFrom="column">
            <wp:posOffset>-781685</wp:posOffset>
          </wp:positionH>
          <wp:positionV relativeFrom="paragraph">
            <wp:posOffset>-453390</wp:posOffset>
          </wp:positionV>
          <wp:extent cx="1239520" cy="2628900"/>
          <wp:effectExtent l="0" t="0" r="0" b="0"/>
          <wp:wrapNone/>
          <wp:docPr id="14" name="Picture 1" descr="Macintosh HD:Users:emma:Desktop:Design Jobs:Austrac:02_Design Jobs:40_Revised Templates:03_Design Aids:New:_Slash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mma:Desktop:Design Jobs:Austrac:02_Design Jobs:40_Revised Templates:03_Design Aids:New:_Slash_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9520" cy="2628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43A31A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91531"/>
    <w:multiLevelType w:val="hybridMultilevel"/>
    <w:tmpl w:val="3F32E284"/>
    <w:lvl w:ilvl="0" w:tplc="6600799C">
      <w:start w:val="1"/>
      <w:numFmt w:val="decimal"/>
      <w:pStyle w:val="ListParagraph"/>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495095"/>
    <w:multiLevelType w:val="hybridMultilevel"/>
    <w:tmpl w:val="5A783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BA1443"/>
    <w:multiLevelType w:val="hybridMultilevel"/>
    <w:tmpl w:val="050256C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 w15:restartNumberingAfterBreak="0">
    <w:nsid w:val="70F778F8"/>
    <w:multiLevelType w:val="hybridMultilevel"/>
    <w:tmpl w:val="3B161E2A"/>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E22B54"/>
    <w:multiLevelType w:val="hybridMultilevel"/>
    <w:tmpl w:val="D1B6CF6E"/>
    <w:lvl w:ilvl="0" w:tplc="32E87B98">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45F"/>
    <w:rsid w:val="00002A05"/>
    <w:rsid w:val="00035335"/>
    <w:rsid w:val="000E37D1"/>
    <w:rsid w:val="00110EA5"/>
    <w:rsid w:val="00125FF8"/>
    <w:rsid w:val="00164116"/>
    <w:rsid w:val="001D0B30"/>
    <w:rsid w:val="00213DCE"/>
    <w:rsid w:val="00232F64"/>
    <w:rsid w:val="00260141"/>
    <w:rsid w:val="00273BA9"/>
    <w:rsid w:val="002A3215"/>
    <w:rsid w:val="002B01D5"/>
    <w:rsid w:val="002E15BF"/>
    <w:rsid w:val="00301CC1"/>
    <w:rsid w:val="003637CA"/>
    <w:rsid w:val="00382426"/>
    <w:rsid w:val="003A4821"/>
    <w:rsid w:val="003B29CA"/>
    <w:rsid w:val="003B76C1"/>
    <w:rsid w:val="00402EF6"/>
    <w:rsid w:val="004429DD"/>
    <w:rsid w:val="00454C41"/>
    <w:rsid w:val="004561ED"/>
    <w:rsid w:val="00476241"/>
    <w:rsid w:val="004A773B"/>
    <w:rsid w:val="004B7BBF"/>
    <w:rsid w:val="004D495B"/>
    <w:rsid w:val="004D5715"/>
    <w:rsid w:val="004F792D"/>
    <w:rsid w:val="00502971"/>
    <w:rsid w:val="005211E1"/>
    <w:rsid w:val="00535B89"/>
    <w:rsid w:val="00553514"/>
    <w:rsid w:val="005659C6"/>
    <w:rsid w:val="005C2C77"/>
    <w:rsid w:val="005C612E"/>
    <w:rsid w:val="005D30D6"/>
    <w:rsid w:val="00614015"/>
    <w:rsid w:val="00630A73"/>
    <w:rsid w:val="00651A72"/>
    <w:rsid w:val="0068145F"/>
    <w:rsid w:val="006F2CEA"/>
    <w:rsid w:val="0071051F"/>
    <w:rsid w:val="007668A6"/>
    <w:rsid w:val="00767C1C"/>
    <w:rsid w:val="00780BA8"/>
    <w:rsid w:val="007B13D4"/>
    <w:rsid w:val="007C72FC"/>
    <w:rsid w:val="007D21F2"/>
    <w:rsid w:val="007F4942"/>
    <w:rsid w:val="00802C28"/>
    <w:rsid w:val="008172B9"/>
    <w:rsid w:val="00842E0F"/>
    <w:rsid w:val="00880C2C"/>
    <w:rsid w:val="00886D9E"/>
    <w:rsid w:val="00894EF0"/>
    <w:rsid w:val="009544B8"/>
    <w:rsid w:val="00957E95"/>
    <w:rsid w:val="0096112A"/>
    <w:rsid w:val="009C3731"/>
    <w:rsid w:val="009D5F70"/>
    <w:rsid w:val="00A91794"/>
    <w:rsid w:val="00AC15F7"/>
    <w:rsid w:val="00AE61F1"/>
    <w:rsid w:val="00AF781E"/>
    <w:rsid w:val="00B071C2"/>
    <w:rsid w:val="00B30FAB"/>
    <w:rsid w:val="00B76C85"/>
    <w:rsid w:val="00B820B6"/>
    <w:rsid w:val="00B9139F"/>
    <w:rsid w:val="00B91B4E"/>
    <w:rsid w:val="00BB2AE6"/>
    <w:rsid w:val="00BC75F1"/>
    <w:rsid w:val="00C57116"/>
    <w:rsid w:val="00CC5B98"/>
    <w:rsid w:val="00CE70D6"/>
    <w:rsid w:val="00D213AA"/>
    <w:rsid w:val="00D501BF"/>
    <w:rsid w:val="00D650BF"/>
    <w:rsid w:val="00D95D04"/>
    <w:rsid w:val="00DD082B"/>
    <w:rsid w:val="00DD1929"/>
    <w:rsid w:val="00DE0164"/>
    <w:rsid w:val="00DF358C"/>
    <w:rsid w:val="00DF7ADB"/>
    <w:rsid w:val="00E330C1"/>
    <w:rsid w:val="00E5225C"/>
    <w:rsid w:val="00E558F3"/>
    <w:rsid w:val="00E80A12"/>
    <w:rsid w:val="00E909BA"/>
    <w:rsid w:val="00EA341F"/>
    <w:rsid w:val="00ED1BEC"/>
    <w:rsid w:val="00F008AD"/>
    <w:rsid w:val="00F714DB"/>
    <w:rsid w:val="00F84B1D"/>
    <w:rsid w:val="00F975BB"/>
    <w:rsid w:val="00FA5885"/>
    <w:rsid w:val="00FC7C26"/>
    <w:rsid w:val="00FF220C"/>
    <w:rsid w:val="00FF507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6D76B49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A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5BB"/>
    <w:pPr>
      <w:spacing w:before="120"/>
    </w:pPr>
    <w:rPr>
      <w:rFonts w:ascii="Calibri" w:hAnsi="Calibri" w:cs="Times New Roman"/>
      <w:color w:val="5F5F5F"/>
      <w:sz w:val="28"/>
      <w:szCs w:val="28"/>
      <w:lang w:eastAsia="en-AU"/>
    </w:rPr>
  </w:style>
  <w:style w:type="paragraph" w:styleId="Heading1">
    <w:name w:val="heading 1"/>
    <w:basedOn w:val="Heading3"/>
    <w:next w:val="Normal"/>
    <w:link w:val="Heading1Char"/>
    <w:uiPriority w:val="9"/>
    <w:qFormat/>
    <w:rsid w:val="007668A6"/>
    <w:pPr>
      <w:outlineLvl w:val="0"/>
    </w:pPr>
  </w:style>
  <w:style w:type="paragraph" w:styleId="Heading2">
    <w:name w:val="heading 2"/>
    <w:basedOn w:val="Normal"/>
    <w:next w:val="Normal"/>
    <w:link w:val="Heading2Char"/>
    <w:autoRedefine/>
    <w:uiPriority w:val="9"/>
    <w:unhideWhenUsed/>
    <w:qFormat/>
    <w:rsid w:val="00E330C1"/>
    <w:pPr>
      <w:tabs>
        <w:tab w:val="left" w:pos="426"/>
      </w:tabs>
      <w:spacing w:line="240" w:lineRule="auto"/>
      <w:outlineLvl w:val="1"/>
    </w:pPr>
    <w:rPr>
      <w:rFonts w:cs="Arial"/>
      <w:b/>
      <w:color w:val="638186"/>
      <w:sz w:val="36"/>
      <w:szCs w:val="36"/>
    </w:rPr>
  </w:style>
  <w:style w:type="paragraph" w:styleId="Heading3">
    <w:name w:val="heading 3"/>
    <w:basedOn w:val="Normal"/>
    <w:next w:val="Normal"/>
    <w:link w:val="Heading3Char"/>
    <w:uiPriority w:val="9"/>
    <w:unhideWhenUsed/>
    <w:qFormat/>
    <w:rsid w:val="00213DCE"/>
    <w:pPr>
      <w:tabs>
        <w:tab w:val="left" w:pos="426"/>
      </w:tabs>
      <w:spacing w:before="240" w:line="240" w:lineRule="auto"/>
      <w:outlineLvl w:val="2"/>
    </w:pPr>
    <w:rPr>
      <w:rFonts w:cs="Arial"/>
      <w:b/>
      <w:i/>
      <w:color w:val="63818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668A6"/>
    <w:rPr>
      <w:rFonts w:ascii="Calibri" w:hAnsi="Calibri" w:cs="Arial"/>
      <w:b/>
      <w:i/>
      <w:color w:val="638186"/>
      <w:sz w:val="32"/>
      <w:szCs w:val="32"/>
      <w:lang w:eastAsia="en-AU"/>
    </w:rPr>
  </w:style>
  <w:style w:type="character" w:customStyle="1" w:styleId="Heading2Char">
    <w:name w:val="Heading 2 Char"/>
    <w:basedOn w:val="DefaultParagraphFont"/>
    <w:link w:val="Heading2"/>
    <w:uiPriority w:val="9"/>
    <w:locked/>
    <w:rsid w:val="00E330C1"/>
    <w:rPr>
      <w:rFonts w:ascii="Calibri" w:hAnsi="Calibri" w:cs="Arial"/>
      <w:b/>
      <w:noProof/>
      <w:color w:val="638186"/>
      <w:sz w:val="36"/>
      <w:szCs w:val="36"/>
      <w:lang w:eastAsia="en-AU"/>
    </w:rPr>
  </w:style>
  <w:style w:type="character" w:customStyle="1" w:styleId="Heading3Char">
    <w:name w:val="Heading 3 Char"/>
    <w:basedOn w:val="DefaultParagraphFont"/>
    <w:link w:val="Heading3"/>
    <w:uiPriority w:val="9"/>
    <w:locked/>
    <w:rsid w:val="00213DCE"/>
    <w:rPr>
      <w:rFonts w:ascii="Calibri" w:hAnsi="Calibri" w:cs="Arial"/>
      <w:b/>
      <w:i/>
      <w:color w:val="638186"/>
      <w:sz w:val="32"/>
      <w:szCs w:val="32"/>
    </w:rPr>
  </w:style>
  <w:style w:type="paragraph" w:styleId="BalloonText">
    <w:name w:val="Balloon Text"/>
    <w:basedOn w:val="Normal"/>
    <w:link w:val="BalloonTextChar"/>
    <w:uiPriority w:val="99"/>
    <w:semiHidden/>
    <w:unhideWhenUsed/>
    <w:rsid w:val="00FC7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7C26"/>
    <w:rPr>
      <w:rFonts w:ascii="Tahoma" w:hAnsi="Tahoma" w:cs="Tahoma"/>
      <w:sz w:val="16"/>
      <w:szCs w:val="16"/>
    </w:rPr>
  </w:style>
  <w:style w:type="table" w:styleId="TableGrid">
    <w:name w:val="Table Grid"/>
    <w:basedOn w:val="TableNormal"/>
    <w:uiPriority w:val="59"/>
    <w:rsid w:val="00FC7C2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C3731"/>
    <w:rPr>
      <w:rFonts w:cs="Times New Roman"/>
      <w:color w:val="808080"/>
    </w:rPr>
  </w:style>
  <w:style w:type="paragraph" w:styleId="Header">
    <w:name w:val="header"/>
    <w:basedOn w:val="Normal"/>
    <w:link w:val="HeaderChar"/>
    <w:uiPriority w:val="99"/>
    <w:unhideWhenUsed/>
    <w:rsid w:val="00630A73"/>
    <w:pPr>
      <w:tabs>
        <w:tab w:val="center" w:pos="4513"/>
        <w:tab w:val="right" w:pos="9026"/>
      </w:tabs>
      <w:spacing w:before="0" w:after="0" w:line="240" w:lineRule="auto"/>
    </w:pPr>
  </w:style>
  <w:style w:type="character" w:customStyle="1" w:styleId="HeaderChar">
    <w:name w:val="Header Char"/>
    <w:basedOn w:val="DefaultParagraphFont"/>
    <w:link w:val="Header"/>
    <w:uiPriority w:val="99"/>
    <w:locked/>
    <w:rsid w:val="00630A73"/>
    <w:rPr>
      <w:rFonts w:ascii="Arial" w:hAnsi="Arial" w:cs="Times New Roman"/>
      <w:color w:val="828282" w:themeColor="text1" w:themeTint="A6"/>
    </w:rPr>
  </w:style>
  <w:style w:type="paragraph" w:styleId="Footer">
    <w:name w:val="footer"/>
    <w:basedOn w:val="Normal"/>
    <w:link w:val="FooterChar"/>
    <w:uiPriority w:val="99"/>
    <w:unhideWhenUsed/>
    <w:rsid w:val="00630A73"/>
    <w:pPr>
      <w:tabs>
        <w:tab w:val="center" w:pos="4513"/>
        <w:tab w:val="right" w:pos="9026"/>
      </w:tabs>
      <w:spacing w:before="0" w:after="0" w:line="240" w:lineRule="auto"/>
    </w:pPr>
  </w:style>
  <w:style w:type="character" w:customStyle="1" w:styleId="FooterChar">
    <w:name w:val="Footer Char"/>
    <w:basedOn w:val="DefaultParagraphFont"/>
    <w:link w:val="Footer"/>
    <w:uiPriority w:val="99"/>
    <w:locked/>
    <w:rsid w:val="00630A73"/>
    <w:rPr>
      <w:rFonts w:ascii="Arial" w:hAnsi="Arial" w:cs="Times New Roman"/>
      <w:color w:val="828282" w:themeColor="text1" w:themeTint="A6"/>
    </w:rPr>
  </w:style>
  <w:style w:type="paragraph" w:styleId="ListParagraph">
    <w:name w:val="List Paragraph"/>
    <w:basedOn w:val="Normal"/>
    <w:uiPriority w:val="34"/>
    <w:qFormat/>
    <w:rsid w:val="00213DCE"/>
    <w:pPr>
      <w:numPr>
        <w:numId w:val="4"/>
      </w:numPr>
      <w:tabs>
        <w:tab w:val="left" w:pos="426"/>
      </w:tabs>
      <w:contextualSpacing/>
    </w:pPr>
  </w:style>
  <w:style w:type="paragraph" w:customStyle="1" w:styleId="Break-outbox">
    <w:name w:val="Break-out box"/>
    <w:basedOn w:val="Normal"/>
    <w:link w:val="Break-outboxChar"/>
    <w:qFormat/>
    <w:rsid w:val="00B76C85"/>
    <w:pPr>
      <w:pBdr>
        <w:top w:val="single" w:sz="8" w:space="10" w:color="F2F2F2" w:themeColor="background1" w:themeShade="F2"/>
        <w:left w:val="single" w:sz="48" w:space="10" w:color="007398"/>
        <w:bottom w:val="single" w:sz="8" w:space="10" w:color="F2F2F2" w:themeColor="background1" w:themeShade="F2"/>
        <w:right w:val="single" w:sz="48" w:space="10" w:color="F2F2F2" w:themeColor="background1" w:themeShade="F2"/>
      </w:pBdr>
      <w:shd w:val="clear" w:color="auto" w:fill="F2F2F2" w:themeFill="background1" w:themeFillShade="F2"/>
      <w:spacing w:before="240" w:after="240"/>
    </w:pPr>
  </w:style>
  <w:style w:type="character" w:customStyle="1" w:styleId="Break-outboxChar">
    <w:name w:val="Break-out box Char"/>
    <w:basedOn w:val="DefaultParagraphFont"/>
    <w:link w:val="Break-outbox"/>
    <w:locked/>
    <w:rsid w:val="00B76C85"/>
    <w:rPr>
      <w:rFonts w:ascii="Arial" w:hAnsi="Arial" w:cs="Times New Roman"/>
      <w:color w:val="828282" w:themeColor="text1" w:themeTint="A6"/>
      <w:shd w:val="clear" w:color="auto" w:fill="F2F2F2" w:themeFill="background1" w:themeFillShade="F2"/>
    </w:rPr>
  </w:style>
  <w:style w:type="paragraph" w:styleId="NormalWeb">
    <w:name w:val="Normal (Web)"/>
    <w:basedOn w:val="Normal"/>
    <w:uiPriority w:val="99"/>
    <w:semiHidden/>
    <w:unhideWhenUsed/>
    <w:rsid w:val="009544B8"/>
    <w:pPr>
      <w:spacing w:before="100" w:beforeAutospacing="1" w:after="100" w:afterAutospacing="1" w:line="240" w:lineRule="auto"/>
    </w:pPr>
    <w:rPr>
      <w:rFonts w:ascii="Times New Roman" w:hAnsi="Times New Roman"/>
      <w:color w:val="auto"/>
      <w:sz w:val="24"/>
      <w:szCs w:val="24"/>
    </w:rPr>
  </w:style>
  <w:style w:type="table" w:customStyle="1" w:styleId="PlainTable11">
    <w:name w:val="Plain Table 11"/>
    <w:basedOn w:val="TableNormal"/>
    <w:uiPriority w:val="41"/>
    <w:rsid w:val="009544B8"/>
    <w:pPr>
      <w:spacing w:after="0" w:line="240" w:lineRule="auto"/>
    </w:pPr>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character" w:customStyle="1" w:styleId="Style2">
    <w:name w:val="Style2"/>
    <w:basedOn w:val="DefaultParagraphFont"/>
    <w:uiPriority w:val="1"/>
    <w:rsid w:val="00651A72"/>
    <w:rPr>
      <w:rFonts w:cs="Times New Roman"/>
    </w:rPr>
  </w:style>
  <w:style w:type="paragraph" w:customStyle="1" w:styleId="Numberedparagraphs">
    <w:name w:val="Numbered paragraphs"/>
    <w:basedOn w:val="ListParagraph"/>
    <w:qFormat/>
    <w:rsid w:val="00213DCE"/>
  </w:style>
  <w:style w:type="paragraph" w:customStyle="1" w:styleId="Classification">
    <w:name w:val="Classification"/>
    <w:basedOn w:val="Header"/>
    <w:autoRedefine/>
    <w:qFormat/>
    <w:rsid w:val="00651A72"/>
    <w:pPr>
      <w:jc w:val="center"/>
    </w:pPr>
    <w:rPr>
      <w:b/>
      <w:color w:val="FF0000"/>
      <w:lang w:val="en-US"/>
    </w:rPr>
  </w:style>
  <w:style w:type="paragraph" w:customStyle="1" w:styleId="TableHeader1">
    <w:name w:val="Table Header 1"/>
    <w:basedOn w:val="Heading1"/>
    <w:link w:val="TableHeader1Char"/>
    <w:qFormat/>
    <w:rsid w:val="00E330C1"/>
    <w:rPr>
      <w:b w:val="0"/>
      <w:bCs/>
    </w:rPr>
  </w:style>
  <w:style w:type="character" w:customStyle="1" w:styleId="TableHeader1Char">
    <w:name w:val="Table Header 1 Char"/>
    <w:basedOn w:val="Heading1Char"/>
    <w:link w:val="TableHeader1"/>
    <w:locked/>
    <w:rsid w:val="00E330C1"/>
    <w:rPr>
      <w:rFonts w:ascii="Calibri" w:hAnsi="Calibri" w:cs="Arial"/>
      <w:b w:val="0"/>
      <w:bCs/>
      <w:i/>
      <w:noProof/>
      <w:color w:val="FFFFFF" w:themeColor="background1"/>
      <w:kern w:val="24"/>
      <w:sz w:val="40"/>
      <w:szCs w:val="40"/>
      <w:lang w:val="en-US" w:eastAsia="en-AU"/>
    </w:rPr>
  </w:style>
  <w:style w:type="paragraph" w:styleId="Title">
    <w:name w:val="Title"/>
    <w:basedOn w:val="Heading2"/>
    <w:next w:val="Normal"/>
    <w:link w:val="TitleChar"/>
    <w:uiPriority w:val="10"/>
    <w:qFormat/>
    <w:rsid w:val="007668A6"/>
  </w:style>
  <w:style w:type="character" w:customStyle="1" w:styleId="TitleChar">
    <w:name w:val="Title Char"/>
    <w:basedOn w:val="DefaultParagraphFont"/>
    <w:link w:val="Title"/>
    <w:uiPriority w:val="10"/>
    <w:rsid w:val="007668A6"/>
    <w:rPr>
      <w:rFonts w:ascii="Calibri" w:hAnsi="Calibri" w:cs="Arial"/>
      <w:b/>
      <w:color w:val="638186"/>
      <w:sz w:val="36"/>
      <w:szCs w:val="36"/>
      <w:lang w:eastAsia="en-AU"/>
    </w:rPr>
  </w:style>
  <w:style w:type="table" w:styleId="GridTable4-Accent2">
    <w:name w:val="Grid Table 4 Accent 2"/>
    <w:basedOn w:val="TableNormal"/>
    <w:uiPriority w:val="49"/>
    <w:rsid w:val="00802C28"/>
    <w:pPr>
      <w:spacing w:after="0" w:line="240" w:lineRule="auto"/>
    </w:pPr>
    <w:tblPr>
      <w:tblStyleRowBandSize w:val="1"/>
      <w:tblStyleColBandSize w:val="1"/>
      <w:tblBorders>
        <w:top w:val="single" w:sz="4" w:space="0" w:color="508BBB" w:themeColor="accent2" w:themeTint="99"/>
        <w:left w:val="single" w:sz="4" w:space="0" w:color="508BBB" w:themeColor="accent2" w:themeTint="99"/>
        <w:bottom w:val="single" w:sz="4" w:space="0" w:color="508BBB" w:themeColor="accent2" w:themeTint="99"/>
        <w:right w:val="single" w:sz="4" w:space="0" w:color="508BBB" w:themeColor="accent2" w:themeTint="99"/>
        <w:insideH w:val="single" w:sz="4" w:space="0" w:color="508BBB" w:themeColor="accent2" w:themeTint="99"/>
        <w:insideV w:val="single" w:sz="4" w:space="0" w:color="508BBB" w:themeColor="accent2" w:themeTint="99"/>
      </w:tblBorders>
    </w:tblPr>
    <w:tblStylePr w:type="firstRow">
      <w:rPr>
        <w:b/>
        <w:bCs/>
        <w:color w:val="FFFFFF" w:themeColor="background1"/>
      </w:rPr>
      <w:tblPr/>
      <w:tcPr>
        <w:tcBorders>
          <w:top w:val="single" w:sz="4" w:space="0" w:color="1E384D" w:themeColor="accent2"/>
          <w:left w:val="single" w:sz="4" w:space="0" w:color="1E384D" w:themeColor="accent2"/>
          <w:bottom w:val="single" w:sz="4" w:space="0" w:color="1E384D" w:themeColor="accent2"/>
          <w:right w:val="single" w:sz="4" w:space="0" w:color="1E384D" w:themeColor="accent2"/>
          <w:insideH w:val="nil"/>
          <w:insideV w:val="nil"/>
        </w:tcBorders>
        <w:shd w:val="clear" w:color="auto" w:fill="1E384D" w:themeFill="accent2"/>
      </w:tcPr>
    </w:tblStylePr>
    <w:tblStylePr w:type="lastRow">
      <w:rPr>
        <w:b/>
        <w:bCs/>
      </w:rPr>
      <w:tblPr/>
      <w:tcPr>
        <w:tcBorders>
          <w:top w:val="double" w:sz="4" w:space="0" w:color="1E384D" w:themeColor="accent2"/>
        </w:tcBorders>
      </w:tcPr>
    </w:tblStylePr>
    <w:tblStylePr w:type="firstCol">
      <w:rPr>
        <w:b/>
        <w:bCs/>
      </w:rPr>
    </w:tblStylePr>
    <w:tblStylePr w:type="lastCol">
      <w:rPr>
        <w:b/>
        <w:bCs/>
      </w:rPr>
    </w:tblStylePr>
    <w:tblStylePr w:type="band1Vert">
      <w:tblPr/>
      <w:tcPr>
        <w:shd w:val="clear" w:color="auto" w:fill="C4D8E8" w:themeFill="accent2" w:themeFillTint="33"/>
      </w:tcPr>
    </w:tblStylePr>
    <w:tblStylePr w:type="band1Horz">
      <w:tblPr/>
      <w:tcPr>
        <w:shd w:val="clear" w:color="auto" w:fill="C4D8E8"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3697">
      <w:bodyDiv w:val="1"/>
      <w:marLeft w:val="0"/>
      <w:marRight w:val="0"/>
      <w:marTop w:val="0"/>
      <w:marBottom w:val="0"/>
      <w:divBdr>
        <w:top w:val="none" w:sz="0" w:space="0" w:color="auto"/>
        <w:left w:val="none" w:sz="0" w:space="0" w:color="auto"/>
        <w:bottom w:val="none" w:sz="0" w:space="0" w:color="auto"/>
        <w:right w:val="none" w:sz="0" w:space="0" w:color="auto"/>
      </w:divBdr>
    </w:div>
    <w:div w:id="419567062">
      <w:marLeft w:val="0"/>
      <w:marRight w:val="0"/>
      <w:marTop w:val="0"/>
      <w:marBottom w:val="0"/>
      <w:divBdr>
        <w:top w:val="none" w:sz="0" w:space="0" w:color="auto"/>
        <w:left w:val="none" w:sz="0" w:space="0" w:color="auto"/>
        <w:bottom w:val="none" w:sz="0" w:space="0" w:color="auto"/>
        <w:right w:val="none" w:sz="0" w:space="0" w:color="auto"/>
      </w:divBdr>
    </w:div>
    <w:div w:id="419567063">
      <w:marLeft w:val="0"/>
      <w:marRight w:val="0"/>
      <w:marTop w:val="0"/>
      <w:marBottom w:val="0"/>
      <w:divBdr>
        <w:top w:val="none" w:sz="0" w:space="0" w:color="auto"/>
        <w:left w:val="none" w:sz="0" w:space="0" w:color="auto"/>
        <w:bottom w:val="none" w:sz="0" w:space="0" w:color="auto"/>
        <w:right w:val="none" w:sz="0" w:space="0" w:color="auto"/>
      </w:divBdr>
    </w:div>
    <w:div w:id="419567064">
      <w:marLeft w:val="0"/>
      <w:marRight w:val="0"/>
      <w:marTop w:val="0"/>
      <w:marBottom w:val="0"/>
      <w:divBdr>
        <w:top w:val="none" w:sz="0" w:space="0" w:color="auto"/>
        <w:left w:val="none" w:sz="0" w:space="0" w:color="auto"/>
        <w:bottom w:val="none" w:sz="0" w:space="0" w:color="auto"/>
        <w:right w:val="none" w:sz="0" w:space="0" w:color="auto"/>
      </w:divBdr>
    </w:div>
    <w:div w:id="419567065">
      <w:marLeft w:val="0"/>
      <w:marRight w:val="0"/>
      <w:marTop w:val="0"/>
      <w:marBottom w:val="0"/>
      <w:divBdr>
        <w:top w:val="none" w:sz="0" w:space="0" w:color="auto"/>
        <w:left w:val="none" w:sz="0" w:space="0" w:color="auto"/>
        <w:bottom w:val="none" w:sz="0" w:space="0" w:color="auto"/>
        <w:right w:val="none" w:sz="0" w:space="0" w:color="auto"/>
      </w:divBdr>
    </w:div>
    <w:div w:id="419567066">
      <w:marLeft w:val="0"/>
      <w:marRight w:val="0"/>
      <w:marTop w:val="0"/>
      <w:marBottom w:val="0"/>
      <w:divBdr>
        <w:top w:val="none" w:sz="0" w:space="0" w:color="auto"/>
        <w:left w:val="none" w:sz="0" w:space="0" w:color="auto"/>
        <w:bottom w:val="none" w:sz="0" w:space="0" w:color="auto"/>
        <w:right w:val="none" w:sz="0" w:space="0" w:color="auto"/>
      </w:divBdr>
    </w:div>
    <w:div w:id="419567067">
      <w:marLeft w:val="0"/>
      <w:marRight w:val="0"/>
      <w:marTop w:val="0"/>
      <w:marBottom w:val="0"/>
      <w:divBdr>
        <w:top w:val="none" w:sz="0" w:space="0" w:color="auto"/>
        <w:left w:val="none" w:sz="0" w:space="0" w:color="auto"/>
        <w:bottom w:val="none" w:sz="0" w:space="0" w:color="auto"/>
        <w:right w:val="none" w:sz="0" w:space="0" w:color="auto"/>
      </w:divBdr>
    </w:div>
    <w:div w:id="419567068">
      <w:marLeft w:val="0"/>
      <w:marRight w:val="0"/>
      <w:marTop w:val="0"/>
      <w:marBottom w:val="0"/>
      <w:divBdr>
        <w:top w:val="none" w:sz="0" w:space="0" w:color="auto"/>
        <w:left w:val="none" w:sz="0" w:space="0" w:color="auto"/>
        <w:bottom w:val="none" w:sz="0" w:space="0" w:color="auto"/>
        <w:right w:val="none" w:sz="0" w:space="0" w:color="auto"/>
      </w:divBdr>
    </w:div>
    <w:div w:id="578564922">
      <w:bodyDiv w:val="1"/>
      <w:marLeft w:val="0"/>
      <w:marRight w:val="0"/>
      <w:marTop w:val="0"/>
      <w:marBottom w:val="0"/>
      <w:divBdr>
        <w:top w:val="none" w:sz="0" w:space="0" w:color="auto"/>
        <w:left w:val="none" w:sz="0" w:space="0" w:color="auto"/>
        <w:bottom w:val="none" w:sz="0" w:space="0" w:color="auto"/>
        <w:right w:val="none" w:sz="0" w:space="0" w:color="auto"/>
      </w:divBdr>
    </w:div>
    <w:div w:id="585725794">
      <w:bodyDiv w:val="1"/>
      <w:marLeft w:val="0"/>
      <w:marRight w:val="0"/>
      <w:marTop w:val="0"/>
      <w:marBottom w:val="0"/>
      <w:divBdr>
        <w:top w:val="none" w:sz="0" w:space="0" w:color="auto"/>
        <w:left w:val="none" w:sz="0" w:space="0" w:color="auto"/>
        <w:bottom w:val="none" w:sz="0" w:space="0" w:color="auto"/>
        <w:right w:val="none" w:sz="0" w:space="0" w:color="auto"/>
      </w:divBdr>
    </w:div>
    <w:div w:id="620499305">
      <w:bodyDiv w:val="1"/>
      <w:marLeft w:val="0"/>
      <w:marRight w:val="0"/>
      <w:marTop w:val="0"/>
      <w:marBottom w:val="0"/>
      <w:divBdr>
        <w:top w:val="none" w:sz="0" w:space="0" w:color="auto"/>
        <w:left w:val="none" w:sz="0" w:space="0" w:color="auto"/>
        <w:bottom w:val="none" w:sz="0" w:space="0" w:color="auto"/>
        <w:right w:val="none" w:sz="0" w:space="0" w:color="auto"/>
      </w:divBdr>
    </w:div>
    <w:div w:id="859005588">
      <w:bodyDiv w:val="1"/>
      <w:marLeft w:val="0"/>
      <w:marRight w:val="0"/>
      <w:marTop w:val="0"/>
      <w:marBottom w:val="0"/>
      <w:divBdr>
        <w:top w:val="none" w:sz="0" w:space="0" w:color="auto"/>
        <w:left w:val="none" w:sz="0" w:space="0" w:color="auto"/>
        <w:bottom w:val="none" w:sz="0" w:space="0" w:color="auto"/>
        <w:right w:val="none" w:sz="0" w:space="0" w:color="auto"/>
      </w:divBdr>
    </w:div>
    <w:div w:id="960846569">
      <w:bodyDiv w:val="1"/>
      <w:marLeft w:val="0"/>
      <w:marRight w:val="0"/>
      <w:marTop w:val="0"/>
      <w:marBottom w:val="0"/>
      <w:divBdr>
        <w:top w:val="none" w:sz="0" w:space="0" w:color="auto"/>
        <w:left w:val="none" w:sz="0" w:space="0" w:color="auto"/>
        <w:bottom w:val="none" w:sz="0" w:space="0" w:color="auto"/>
        <w:right w:val="none" w:sz="0" w:space="0" w:color="auto"/>
      </w:divBdr>
    </w:div>
    <w:div w:id="1069965341">
      <w:bodyDiv w:val="1"/>
      <w:marLeft w:val="0"/>
      <w:marRight w:val="0"/>
      <w:marTop w:val="0"/>
      <w:marBottom w:val="0"/>
      <w:divBdr>
        <w:top w:val="none" w:sz="0" w:space="0" w:color="auto"/>
        <w:left w:val="none" w:sz="0" w:space="0" w:color="auto"/>
        <w:bottom w:val="none" w:sz="0" w:space="0" w:color="auto"/>
        <w:right w:val="none" w:sz="0" w:space="0" w:color="auto"/>
      </w:divBdr>
    </w:div>
    <w:div w:id="1080910920">
      <w:bodyDiv w:val="1"/>
      <w:marLeft w:val="0"/>
      <w:marRight w:val="0"/>
      <w:marTop w:val="0"/>
      <w:marBottom w:val="0"/>
      <w:divBdr>
        <w:top w:val="none" w:sz="0" w:space="0" w:color="auto"/>
        <w:left w:val="none" w:sz="0" w:space="0" w:color="auto"/>
        <w:bottom w:val="none" w:sz="0" w:space="0" w:color="auto"/>
        <w:right w:val="none" w:sz="0" w:space="0" w:color="auto"/>
      </w:divBdr>
    </w:div>
    <w:div w:id="1312515712">
      <w:bodyDiv w:val="1"/>
      <w:marLeft w:val="0"/>
      <w:marRight w:val="0"/>
      <w:marTop w:val="0"/>
      <w:marBottom w:val="0"/>
      <w:divBdr>
        <w:top w:val="none" w:sz="0" w:space="0" w:color="auto"/>
        <w:left w:val="none" w:sz="0" w:space="0" w:color="auto"/>
        <w:bottom w:val="none" w:sz="0" w:space="0" w:color="auto"/>
        <w:right w:val="none" w:sz="0" w:space="0" w:color="auto"/>
      </w:divBdr>
    </w:div>
    <w:div w:id="1331911458">
      <w:bodyDiv w:val="1"/>
      <w:marLeft w:val="0"/>
      <w:marRight w:val="0"/>
      <w:marTop w:val="0"/>
      <w:marBottom w:val="0"/>
      <w:divBdr>
        <w:top w:val="none" w:sz="0" w:space="0" w:color="auto"/>
        <w:left w:val="none" w:sz="0" w:space="0" w:color="auto"/>
        <w:bottom w:val="none" w:sz="0" w:space="0" w:color="auto"/>
        <w:right w:val="none" w:sz="0" w:space="0" w:color="auto"/>
      </w:divBdr>
    </w:div>
    <w:div w:id="1482381031">
      <w:bodyDiv w:val="1"/>
      <w:marLeft w:val="0"/>
      <w:marRight w:val="0"/>
      <w:marTop w:val="0"/>
      <w:marBottom w:val="0"/>
      <w:divBdr>
        <w:top w:val="none" w:sz="0" w:space="0" w:color="auto"/>
        <w:left w:val="none" w:sz="0" w:space="0" w:color="auto"/>
        <w:bottom w:val="none" w:sz="0" w:space="0" w:color="auto"/>
        <w:right w:val="none" w:sz="0" w:space="0" w:color="auto"/>
      </w:divBdr>
    </w:div>
    <w:div w:id="163486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USTRAC">
      <a:dk1>
        <a:srgbClr val="3F3F3F"/>
      </a:dk1>
      <a:lt1>
        <a:sysClr val="window" lastClr="FFFFFF"/>
      </a:lt1>
      <a:dk2>
        <a:srgbClr val="3F3F3F"/>
      </a:dk2>
      <a:lt2>
        <a:srgbClr val="FFFFFF"/>
      </a:lt2>
      <a:accent1>
        <a:srgbClr val="007398"/>
      </a:accent1>
      <a:accent2>
        <a:srgbClr val="1E384D"/>
      </a:accent2>
      <a:accent3>
        <a:srgbClr val="9ABFCE"/>
      </a:accent3>
      <a:accent4>
        <a:srgbClr val="D0D700"/>
      </a:accent4>
      <a:accent5>
        <a:srgbClr val="DFD07C"/>
      </a:accent5>
      <a:accent6>
        <a:srgbClr val="F7AE55"/>
      </a:accent6>
      <a:hlink>
        <a:srgbClr val="007398"/>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2383</Characters>
  <Application>Microsoft Office Word</Application>
  <DocSecurity>0</DocSecurity>
  <Lines>49</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2024-08-29T05:42:00Z</dcterms:created>
  <dcterms:modified xsi:type="dcterms:W3CDTF">2024-08-29T05:42:00Z</dcterms:modified>
</cp:coreProperties>
</file>