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2822" w14:textId="5CD9E7F7" w:rsidR="00FD081A" w:rsidRPr="00FD081A" w:rsidRDefault="005937F0" w:rsidP="00FD081A">
      <w:r>
        <w:rPr>
          <w:noProof/>
          <w:lang w:eastAsia="en-AU"/>
        </w:rPr>
        <mc:AlternateContent>
          <mc:Choice Requires="wps">
            <w:drawing>
              <wp:anchor distT="0" distB="0" distL="114300" distR="114300" simplePos="0" relativeHeight="251665920" behindDoc="0" locked="0" layoutInCell="1" allowOverlap="1" wp14:anchorId="7504E972" wp14:editId="4EADCB43">
                <wp:simplePos x="0" y="0"/>
                <wp:positionH relativeFrom="page">
                  <wp:align>right</wp:align>
                </wp:positionH>
                <wp:positionV relativeFrom="paragraph">
                  <wp:posOffset>6670675</wp:posOffset>
                </wp:positionV>
                <wp:extent cx="5323205" cy="619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23205" cy="619125"/>
                        </a:xfrm>
                        <a:prstGeom prst="rect">
                          <a:avLst/>
                        </a:prstGeom>
                        <a:noFill/>
                        <a:ln w="6350">
                          <a:noFill/>
                        </a:ln>
                      </wps:spPr>
                      <wps:txbx>
                        <w:txbxContent>
                          <w:p w14:paraId="22173ADA" w14:textId="1AB2B217" w:rsidR="001E153C" w:rsidRPr="005937F0" w:rsidRDefault="001E153C" w:rsidP="005937F0">
                            <w:pPr>
                              <w:rPr>
                                <w:b/>
                                <w:color w:val="1F497D" w:themeColor="text2"/>
                              </w:rPr>
                            </w:pPr>
                            <w:r w:rsidRPr="005937F0">
                              <w:rPr>
                                <w:b/>
                                <w:color w:val="1F497D" w:themeColor="text2"/>
                                <w:sz w:val="48"/>
                              </w:rPr>
                              <w:t>Consultation on the new AML/CTF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04E972" id="_x0000_t202" coordsize="21600,21600" o:spt="202" path="m,l,21600r21600,l21600,xe">
                <v:stroke joinstyle="miter"/>
                <v:path gradientshapeok="t" o:connecttype="rect"/>
              </v:shapetype>
              <v:shape id="Text Box 1" o:spid="_x0000_s1026" type="#_x0000_t202" style="position:absolute;margin-left:367.95pt;margin-top:525.25pt;width:419.15pt;height:48.75pt;z-index:25166592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" filled="f" stroked="f" strokeweight=".5pt">
                <v:textbox>
                  <w:txbxContent>
                    <w:p w14:paraId="22173ADA" w14:textId="1AB2B217" w:rsidR="001E153C" w:rsidRPr="005937F0" w:rsidRDefault="001E153C" w:rsidP="005937F0">
                      <w:pPr>
                        <w:rPr>
                          <w:b/>
                          <w:color w:val="1F497D" w:themeColor="text2"/>
                        </w:rPr>
                      </w:pPr>
                      <w:r w:rsidRPr="005937F0">
                        <w:rPr>
                          <w:b/>
                          <w:color w:val="1F497D" w:themeColor="text2"/>
                          <w:sz w:val="48"/>
                        </w:rPr>
                        <w:t>Consultation on the new AML/CTF Rules</w:t>
                      </w:r>
                    </w:p>
                  </w:txbxContent>
                </v:textbox>
                <w10:wrap anchorx="page"/>
              </v:shape>
            </w:pict>
          </mc:Fallback>
        </mc:AlternateContent>
      </w:r>
      <w:r w:rsidR="00B34CAA">
        <w:rPr>
          <w:noProof/>
          <w:lang w:eastAsia="en-AU"/>
        </w:rPr>
        <mc:AlternateContent>
          <mc:Choice Requires="wps">
            <w:drawing>
              <wp:anchor distT="0" distB="0" distL="114300" distR="114300" simplePos="0" relativeHeight="251659264" behindDoc="0" locked="0" layoutInCell="1" allowOverlap="1" wp14:anchorId="7C6977CE" wp14:editId="39D26AFD">
                <wp:simplePos x="0" y="0"/>
                <wp:positionH relativeFrom="page">
                  <wp:align>right</wp:align>
                </wp:positionH>
                <wp:positionV relativeFrom="paragraph">
                  <wp:posOffset>8042910</wp:posOffset>
                </wp:positionV>
                <wp:extent cx="1514475" cy="4572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57200"/>
                        </a:xfrm>
                        <a:prstGeom prst="rect">
                          <a:avLst/>
                        </a:prstGeom>
                        <a:noFill/>
                        <a:ln w="9525">
                          <a:noFill/>
                          <a:miter lim="800000"/>
                          <a:headEnd/>
                          <a:tailEnd/>
                        </a:ln>
                      </wps:spPr>
                      <wps:txbx>
                        <w:txbxContent>
                          <w:p w14:paraId="54720FB9" w14:textId="77777777" w:rsidR="001E153C" w:rsidRDefault="001E153C" w:rsidP="005937F0">
                            <w:pPr>
                              <w:keepNext/>
                              <w:keepLines/>
                              <w:tabs>
                                <w:tab w:val="left" w:pos="1134"/>
                              </w:tabs>
                              <w:ind w:left="1134" w:hanging="1134"/>
                              <w:jc w:val="both"/>
                              <w:outlineLvl w:val="2"/>
                              <w:rPr>
                                <w:rFonts w:eastAsia="MS Gothic" w:cs="Times New Roman"/>
                                <w:b/>
                                <w:bCs/>
                                <w:i/>
                                <w:color w:val="5EC4B4"/>
                                <w:sz w:val="28"/>
                                <w:szCs w:val="40"/>
                              </w:rPr>
                            </w:pPr>
                            <w:bookmarkStart w:id="0" w:name="_Toc180596766"/>
                            <w:bookmarkStart w:id="1" w:name="_Toc181186822"/>
                            <w:bookmarkStart w:id="2" w:name="_Toc183613471"/>
                            <w:bookmarkStart w:id="3" w:name="_Toc183613634"/>
                            <w:bookmarkStart w:id="4" w:name="_Toc183673733"/>
                            <w:bookmarkStart w:id="5" w:name="_Toc183679197"/>
                            <w:bookmarkStart w:id="6" w:name="_Toc183710874"/>
                            <w:bookmarkStart w:id="7" w:name="_Toc184056068"/>
                            <w:bookmarkStart w:id="8" w:name="_Toc184056153"/>
                            <w:bookmarkStart w:id="9" w:name="_Toc184111752"/>
                            <w:bookmarkStart w:id="10" w:name="_Toc184666423"/>
                            <w:r>
                              <w:rPr>
                                <w:rFonts w:eastAsia="MS Gothic" w:cs="Times New Roman"/>
                                <w:b/>
                                <w:bCs/>
                                <w:color w:val="5EC4B4"/>
                                <w:sz w:val="28"/>
                                <w:szCs w:val="40"/>
                              </w:rPr>
                              <w:t>December 2024</w:t>
                            </w:r>
                            <w:bookmarkEnd w:id="0"/>
                            <w:bookmarkEnd w:id="1"/>
                            <w:bookmarkEnd w:id="2"/>
                            <w:bookmarkEnd w:id="3"/>
                            <w:bookmarkEnd w:id="4"/>
                            <w:bookmarkEnd w:id="5"/>
                            <w:bookmarkEnd w:id="6"/>
                            <w:bookmarkEnd w:id="7"/>
                            <w:bookmarkEnd w:id="8"/>
                            <w:bookmarkEnd w:id="9"/>
                            <w:bookmarkEnd w:id="10"/>
                          </w:p>
                          <w:p w14:paraId="2EEDDCFD" w14:textId="77777777" w:rsidR="001E153C" w:rsidRPr="00720B6D" w:rsidRDefault="001E153C" w:rsidP="00593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977CE" id="Text Box 2" o:spid="_x0000_s1027" type="#_x0000_t202" style="position:absolute;margin-left:68.05pt;margin-top:633.3pt;width:119.25pt;height:3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" filled="f" stroked="f">
                <v:textbox>
                  <w:txbxContent>
                    <w:p w14:paraId="54720FB9" w14:textId="77777777" w:rsidR="001E153C" w:rsidRDefault="001E153C" w:rsidP="005937F0">
                      <w:pPr>
                        <w:keepNext/>
                        <w:keepLines/>
                        <w:tabs>
                          <w:tab w:val="left" w:pos="1134"/>
                        </w:tabs>
                        <w:ind w:left="1134" w:hanging="1134"/>
                        <w:jc w:val="both"/>
                        <w:outlineLvl w:val="2"/>
                        <w:rPr>
                          <w:rFonts w:eastAsia="MS Gothic" w:cs="Times New Roman"/>
                          <w:b/>
                          <w:bCs/>
                          <w:i/>
                          <w:color w:val="5EC4B4"/>
                          <w:sz w:val="28"/>
                          <w:szCs w:val="40"/>
                        </w:rPr>
                      </w:pPr>
                      <w:bookmarkStart w:id="11" w:name="_Toc180596766"/>
                      <w:bookmarkStart w:id="12" w:name="_Toc181186822"/>
                      <w:bookmarkStart w:id="13" w:name="_Toc183613471"/>
                      <w:bookmarkStart w:id="14" w:name="_Toc183613634"/>
                      <w:bookmarkStart w:id="15" w:name="_Toc183673733"/>
                      <w:bookmarkStart w:id="16" w:name="_Toc183679197"/>
                      <w:bookmarkStart w:id="17" w:name="_Toc183710874"/>
                      <w:bookmarkStart w:id="18" w:name="_Toc184056068"/>
                      <w:bookmarkStart w:id="19" w:name="_Toc184056153"/>
                      <w:bookmarkStart w:id="20" w:name="_Toc184111752"/>
                      <w:bookmarkStart w:id="21" w:name="_Toc184666423"/>
                      <w:r>
                        <w:rPr>
                          <w:rFonts w:eastAsia="MS Gothic" w:cs="Times New Roman"/>
                          <w:b/>
                          <w:bCs/>
                          <w:color w:val="5EC4B4"/>
                          <w:sz w:val="28"/>
                          <w:szCs w:val="40"/>
                        </w:rPr>
                        <w:t>December 2024</w:t>
                      </w:r>
                      <w:bookmarkEnd w:id="11"/>
                      <w:bookmarkEnd w:id="12"/>
                      <w:bookmarkEnd w:id="13"/>
                      <w:bookmarkEnd w:id="14"/>
                      <w:bookmarkEnd w:id="15"/>
                      <w:bookmarkEnd w:id="16"/>
                      <w:bookmarkEnd w:id="17"/>
                      <w:bookmarkEnd w:id="18"/>
                      <w:bookmarkEnd w:id="19"/>
                      <w:bookmarkEnd w:id="20"/>
                      <w:bookmarkEnd w:id="21"/>
                    </w:p>
                    <w:p w14:paraId="2EEDDCFD" w14:textId="77777777" w:rsidR="001E153C" w:rsidRPr="00720B6D" w:rsidRDefault="001E153C" w:rsidP="005937F0"/>
                  </w:txbxContent>
                </v:textbox>
                <w10:wrap anchorx="page"/>
              </v:shape>
            </w:pict>
          </mc:Fallback>
        </mc:AlternateContent>
      </w:r>
      <w:r w:rsidR="00B34CAA">
        <w:rPr>
          <w:noProof/>
          <w:lang w:eastAsia="en-AU"/>
        </w:rPr>
        <mc:AlternateContent>
          <mc:Choice Requires="wps">
            <w:drawing>
              <wp:anchor distT="0" distB="0" distL="114300" distR="114300" simplePos="0" relativeHeight="251657216" behindDoc="0" locked="0" layoutInCell="1" allowOverlap="1" wp14:anchorId="5B8449FC" wp14:editId="2A67F167">
                <wp:simplePos x="0" y="0"/>
                <wp:positionH relativeFrom="page">
                  <wp:align>right</wp:align>
                </wp:positionH>
                <wp:positionV relativeFrom="paragraph">
                  <wp:posOffset>7242810</wp:posOffset>
                </wp:positionV>
                <wp:extent cx="3476625" cy="800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00100"/>
                        </a:xfrm>
                        <a:prstGeom prst="rect">
                          <a:avLst/>
                        </a:prstGeom>
                        <a:noFill/>
                        <a:ln w="9525">
                          <a:noFill/>
                          <a:miter lim="800000"/>
                          <a:headEnd/>
                          <a:tailEnd/>
                        </a:ln>
                      </wps:spPr>
                      <wps:txbx>
                        <w:txbxContent>
                          <w:p w14:paraId="79A2D3B1" w14:textId="77777777" w:rsidR="001E153C" w:rsidRDefault="001E153C" w:rsidP="005937F0">
                            <w:pPr>
                              <w:keepNext/>
                              <w:keepLines/>
                              <w:tabs>
                                <w:tab w:val="left" w:pos="1134"/>
                              </w:tabs>
                              <w:ind w:left="1134" w:hanging="1134"/>
                              <w:jc w:val="right"/>
                              <w:outlineLvl w:val="1"/>
                              <w:rPr>
                                <w:rFonts w:eastAsia="MS Gothic" w:cs="Times New Roman"/>
                                <w:b/>
                                <w:color w:val="516E73"/>
                                <w:sz w:val="36"/>
                                <w:szCs w:val="40"/>
                              </w:rPr>
                            </w:pPr>
                            <w:bookmarkStart w:id="11" w:name="_Toc184666424"/>
                            <w:bookmarkStart w:id="12" w:name="_GoBack"/>
                            <w:r>
                              <w:rPr>
                                <w:rFonts w:eastAsia="MS Gothic" w:cs="Times New Roman"/>
                                <w:b/>
                                <w:color w:val="516E73"/>
                                <w:sz w:val="36"/>
                                <w:szCs w:val="40"/>
                              </w:rPr>
                              <w:t>First round of consultation on Exposure Draft Rules</w:t>
                            </w:r>
                            <w:bookmarkEnd w:id="11"/>
                          </w:p>
                          <w:bookmarkEnd w:id="12"/>
                          <w:p w14:paraId="5D1A285E" w14:textId="6D0BD2CC" w:rsidR="001E153C" w:rsidRPr="00956893" w:rsidRDefault="001E153C" w:rsidP="00593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449FC" id="_x0000_s1028" type="#_x0000_t202" style="position:absolute;margin-left:222.55pt;margin-top:570.3pt;width:273.75pt;height:6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" filled="f" stroked="f">
                <v:textbox>
                  <w:txbxContent>
                    <w:p w14:paraId="79A2D3B1" w14:textId="77777777" w:rsidR="001E153C" w:rsidRDefault="001E153C" w:rsidP="005937F0">
                      <w:pPr>
                        <w:keepNext/>
                        <w:keepLines/>
                        <w:tabs>
                          <w:tab w:val="left" w:pos="1134"/>
                        </w:tabs>
                        <w:ind w:left="1134" w:hanging="1134"/>
                        <w:jc w:val="right"/>
                        <w:outlineLvl w:val="1"/>
                        <w:rPr>
                          <w:rFonts w:eastAsia="MS Gothic" w:cs="Times New Roman"/>
                          <w:b/>
                          <w:color w:val="516E73"/>
                          <w:sz w:val="36"/>
                          <w:szCs w:val="40"/>
                        </w:rPr>
                      </w:pPr>
                      <w:bookmarkStart w:id="23" w:name="_Toc184666424"/>
                      <w:r>
                        <w:rPr>
                          <w:rFonts w:eastAsia="MS Gothic" w:cs="Times New Roman"/>
                          <w:b/>
                          <w:color w:val="516E73"/>
                          <w:sz w:val="36"/>
                          <w:szCs w:val="40"/>
                        </w:rPr>
                        <w:t>First round of consultation on Exposure Draft Rules</w:t>
                      </w:r>
                      <w:bookmarkEnd w:id="23"/>
                    </w:p>
                    <w:p w14:paraId="5D1A285E" w14:textId="6D0BD2CC" w:rsidR="001E153C" w:rsidRPr="00956893" w:rsidRDefault="001E153C" w:rsidP="005937F0"/>
                  </w:txbxContent>
                </v:textbox>
                <w10:wrap anchorx="page"/>
              </v:shape>
            </w:pict>
          </mc:Fallback>
        </mc:AlternateContent>
      </w:r>
      <w:sdt>
        <w:sdtPr>
          <w:id w:val="803201246"/>
          <w:docPartObj>
            <w:docPartGallery w:val="Cover Pages"/>
            <w:docPartUnique/>
          </w:docPartObj>
        </w:sdtPr>
        <w:sdtEndPr/>
        <w:sdtContent>
          <w:r w:rsidR="00D27A50">
            <w:br w:type="page"/>
          </w:r>
        </w:sdtContent>
      </w:sdt>
    </w:p>
    <w:sdt>
      <w:sdtPr>
        <w:rPr>
          <w:rFonts w:eastAsiaTheme="minorHAnsi" w:cstheme="minorBidi"/>
          <w:b w:val="0"/>
          <w:bCs w:val="0"/>
          <w:color w:val="auto"/>
          <w:sz w:val="24"/>
          <w:szCs w:val="22"/>
          <w:lang w:val="en-AU" w:eastAsia="en-US"/>
        </w:rPr>
        <w:id w:val="1011420182"/>
        <w:docPartObj>
          <w:docPartGallery w:val="Table of Contents"/>
          <w:docPartUnique/>
        </w:docPartObj>
      </w:sdtPr>
      <w:sdtEndPr>
        <w:rPr>
          <w:noProof/>
        </w:rPr>
      </w:sdtEndPr>
      <w:sdtContent>
        <w:p w14:paraId="08BFA3E7" w14:textId="4C867590" w:rsidR="005937F0" w:rsidRDefault="005937F0" w:rsidP="005937F0">
          <w:pPr>
            <w:pStyle w:val="TOCHeading"/>
            <w:rPr>
              <w:rFonts w:asciiTheme="minorHAnsi" w:eastAsiaTheme="minorEastAsia" w:hAnsiTheme="minorHAnsi"/>
              <w:noProof/>
              <w:sz w:val="22"/>
              <w:lang w:eastAsia="en-AU"/>
            </w:rPr>
          </w:pPr>
          <w:r>
            <w:t>Table of Contents</w:t>
          </w:r>
          <w:r>
            <w:fldChar w:fldCharType="begin"/>
          </w:r>
          <w:r>
            <w:instrText xml:space="preserve"> TOC \o "1-3" \h \z \u </w:instrText>
          </w:r>
          <w:r>
            <w:fldChar w:fldCharType="separate"/>
          </w:r>
        </w:p>
        <w:p w14:paraId="3AFF938F" w14:textId="49CB3C16" w:rsidR="005937F0" w:rsidRDefault="00A62E1C">
          <w:pPr>
            <w:pStyle w:val="TOC1"/>
            <w:tabs>
              <w:tab w:val="left" w:pos="440"/>
              <w:tab w:val="right" w:leader="dot" w:pos="9016"/>
            </w:tabs>
            <w:rPr>
              <w:rFonts w:asciiTheme="minorHAnsi" w:eastAsiaTheme="minorEastAsia" w:hAnsiTheme="minorHAnsi"/>
              <w:noProof/>
              <w:sz w:val="22"/>
              <w:lang w:eastAsia="en-AU"/>
            </w:rPr>
          </w:pPr>
          <w:hyperlink w:anchor="_Toc184666425" w:history="1">
            <w:r w:rsidR="005937F0" w:rsidRPr="00BC64AD">
              <w:rPr>
                <w:rStyle w:val="Hyperlink"/>
                <w:noProof/>
              </w:rPr>
              <w:t>1.</w:t>
            </w:r>
            <w:r w:rsidR="005937F0">
              <w:rPr>
                <w:rFonts w:asciiTheme="minorHAnsi" w:eastAsiaTheme="minorEastAsia" w:hAnsiTheme="minorHAnsi"/>
                <w:noProof/>
                <w:sz w:val="22"/>
                <w:lang w:eastAsia="en-AU"/>
              </w:rPr>
              <w:tab/>
            </w:r>
            <w:r w:rsidR="005937F0" w:rsidRPr="00BC64AD">
              <w:rPr>
                <w:rStyle w:val="Hyperlink"/>
                <w:noProof/>
              </w:rPr>
              <w:t>Introduction</w:t>
            </w:r>
            <w:r w:rsidR="005937F0">
              <w:rPr>
                <w:noProof/>
                <w:webHidden/>
              </w:rPr>
              <w:tab/>
            </w:r>
            <w:r w:rsidR="005937F0">
              <w:rPr>
                <w:noProof/>
                <w:webHidden/>
              </w:rPr>
              <w:fldChar w:fldCharType="begin"/>
            </w:r>
            <w:r w:rsidR="005937F0">
              <w:rPr>
                <w:noProof/>
                <w:webHidden/>
              </w:rPr>
              <w:instrText xml:space="preserve"> PAGEREF _Toc184666425 \h </w:instrText>
            </w:r>
            <w:r w:rsidR="005937F0">
              <w:rPr>
                <w:noProof/>
                <w:webHidden/>
              </w:rPr>
            </w:r>
            <w:r w:rsidR="005937F0">
              <w:rPr>
                <w:noProof/>
                <w:webHidden/>
              </w:rPr>
              <w:fldChar w:fldCharType="separate"/>
            </w:r>
            <w:r w:rsidR="005937F0">
              <w:rPr>
                <w:noProof/>
                <w:webHidden/>
              </w:rPr>
              <w:t>3</w:t>
            </w:r>
            <w:r w:rsidR="005937F0">
              <w:rPr>
                <w:noProof/>
                <w:webHidden/>
              </w:rPr>
              <w:fldChar w:fldCharType="end"/>
            </w:r>
          </w:hyperlink>
        </w:p>
        <w:p w14:paraId="79CCA917" w14:textId="17CD6E61" w:rsidR="005937F0" w:rsidRDefault="00A62E1C">
          <w:pPr>
            <w:pStyle w:val="TOC2"/>
            <w:rPr>
              <w:rFonts w:asciiTheme="minorHAnsi" w:eastAsiaTheme="minorEastAsia" w:hAnsiTheme="minorHAnsi"/>
              <w:noProof/>
              <w:sz w:val="22"/>
              <w:lang w:eastAsia="en-AU"/>
            </w:rPr>
          </w:pPr>
          <w:hyperlink w:anchor="_Toc184666426" w:history="1">
            <w:r w:rsidR="005937F0" w:rsidRPr="00BC64AD">
              <w:rPr>
                <w:rStyle w:val="Hyperlink"/>
                <w:noProof/>
              </w:rPr>
              <w:t>Making a submission</w:t>
            </w:r>
            <w:r w:rsidR="005937F0">
              <w:rPr>
                <w:noProof/>
                <w:webHidden/>
              </w:rPr>
              <w:tab/>
            </w:r>
            <w:r w:rsidR="005937F0">
              <w:rPr>
                <w:noProof/>
                <w:webHidden/>
              </w:rPr>
              <w:fldChar w:fldCharType="begin"/>
            </w:r>
            <w:r w:rsidR="005937F0">
              <w:rPr>
                <w:noProof/>
                <w:webHidden/>
              </w:rPr>
              <w:instrText xml:space="preserve"> PAGEREF _Toc184666426 \h </w:instrText>
            </w:r>
            <w:r w:rsidR="005937F0">
              <w:rPr>
                <w:noProof/>
                <w:webHidden/>
              </w:rPr>
            </w:r>
            <w:r w:rsidR="005937F0">
              <w:rPr>
                <w:noProof/>
                <w:webHidden/>
              </w:rPr>
              <w:fldChar w:fldCharType="separate"/>
            </w:r>
            <w:r w:rsidR="005937F0">
              <w:rPr>
                <w:noProof/>
                <w:webHidden/>
              </w:rPr>
              <w:t>4</w:t>
            </w:r>
            <w:r w:rsidR="005937F0">
              <w:rPr>
                <w:noProof/>
                <w:webHidden/>
              </w:rPr>
              <w:fldChar w:fldCharType="end"/>
            </w:r>
          </w:hyperlink>
        </w:p>
        <w:p w14:paraId="3B7FD6E2" w14:textId="6B766826" w:rsidR="005937F0" w:rsidRDefault="00A62E1C">
          <w:pPr>
            <w:pStyle w:val="TOC1"/>
            <w:tabs>
              <w:tab w:val="left" w:pos="440"/>
              <w:tab w:val="right" w:leader="dot" w:pos="9016"/>
            </w:tabs>
            <w:rPr>
              <w:rFonts w:asciiTheme="minorHAnsi" w:eastAsiaTheme="minorEastAsia" w:hAnsiTheme="minorHAnsi"/>
              <w:noProof/>
              <w:sz w:val="22"/>
              <w:lang w:eastAsia="en-AU"/>
            </w:rPr>
          </w:pPr>
          <w:hyperlink w:anchor="_Toc184666427" w:history="1">
            <w:r w:rsidR="005937F0" w:rsidRPr="00BC64AD">
              <w:rPr>
                <w:rStyle w:val="Hyperlink"/>
                <w:noProof/>
              </w:rPr>
              <w:t>2.</w:t>
            </w:r>
            <w:r w:rsidR="005937F0">
              <w:rPr>
                <w:rFonts w:asciiTheme="minorHAnsi" w:eastAsiaTheme="minorEastAsia" w:hAnsiTheme="minorHAnsi"/>
                <w:noProof/>
                <w:sz w:val="22"/>
                <w:lang w:eastAsia="en-AU"/>
              </w:rPr>
              <w:tab/>
            </w:r>
            <w:r w:rsidR="005937F0" w:rsidRPr="00BC64AD">
              <w:rPr>
                <w:rStyle w:val="Hyperlink"/>
                <w:noProof/>
              </w:rPr>
              <w:t>New AML/CTF Rules framework</w:t>
            </w:r>
            <w:r w:rsidR="005937F0">
              <w:rPr>
                <w:noProof/>
                <w:webHidden/>
              </w:rPr>
              <w:tab/>
            </w:r>
            <w:r w:rsidR="005937F0">
              <w:rPr>
                <w:noProof/>
                <w:webHidden/>
              </w:rPr>
              <w:fldChar w:fldCharType="begin"/>
            </w:r>
            <w:r w:rsidR="005937F0">
              <w:rPr>
                <w:noProof/>
                <w:webHidden/>
              </w:rPr>
              <w:instrText xml:space="preserve"> PAGEREF _Toc184666427 \h </w:instrText>
            </w:r>
            <w:r w:rsidR="005937F0">
              <w:rPr>
                <w:noProof/>
                <w:webHidden/>
              </w:rPr>
            </w:r>
            <w:r w:rsidR="005937F0">
              <w:rPr>
                <w:noProof/>
                <w:webHidden/>
              </w:rPr>
              <w:fldChar w:fldCharType="separate"/>
            </w:r>
            <w:r w:rsidR="005937F0">
              <w:rPr>
                <w:noProof/>
                <w:webHidden/>
              </w:rPr>
              <w:t>6</w:t>
            </w:r>
            <w:r w:rsidR="005937F0">
              <w:rPr>
                <w:noProof/>
                <w:webHidden/>
              </w:rPr>
              <w:fldChar w:fldCharType="end"/>
            </w:r>
          </w:hyperlink>
        </w:p>
        <w:p w14:paraId="32637BF0" w14:textId="19F23140" w:rsidR="005937F0" w:rsidRDefault="00A62E1C">
          <w:pPr>
            <w:pStyle w:val="TOC2"/>
            <w:rPr>
              <w:rFonts w:asciiTheme="minorHAnsi" w:eastAsiaTheme="minorEastAsia" w:hAnsiTheme="minorHAnsi"/>
              <w:noProof/>
              <w:sz w:val="22"/>
              <w:lang w:eastAsia="en-AU"/>
            </w:rPr>
          </w:pPr>
          <w:hyperlink w:anchor="_Toc184666428" w:history="1">
            <w:r w:rsidR="005937F0" w:rsidRPr="00BC64AD">
              <w:rPr>
                <w:rStyle w:val="Hyperlink"/>
                <w:noProof/>
              </w:rPr>
              <w:t>Establishing two rules instruments</w:t>
            </w:r>
            <w:r w:rsidR="005937F0">
              <w:rPr>
                <w:noProof/>
                <w:webHidden/>
              </w:rPr>
              <w:tab/>
            </w:r>
            <w:r w:rsidR="005937F0">
              <w:rPr>
                <w:noProof/>
                <w:webHidden/>
              </w:rPr>
              <w:fldChar w:fldCharType="begin"/>
            </w:r>
            <w:r w:rsidR="005937F0">
              <w:rPr>
                <w:noProof/>
                <w:webHidden/>
              </w:rPr>
              <w:instrText xml:space="preserve"> PAGEREF _Toc184666428 \h </w:instrText>
            </w:r>
            <w:r w:rsidR="005937F0">
              <w:rPr>
                <w:noProof/>
                <w:webHidden/>
              </w:rPr>
            </w:r>
            <w:r w:rsidR="005937F0">
              <w:rPr>
                <w:noProof/>
                <w:webHidden/>
              </w:rPr>
              <w:fldChar w:fldCharType="separate"/>
            </w:r>
            <w:r w:rsidR="005937F0">
              <w:rPr>
                <w:noProof/>
                <w:webHidden/>
              </w:rPr>
              <w:t>6</w:t>
            </w:r>
            <w:r w:rsidR="005937F0">
              <w:rPr>
                <w:noProof/>
                <w:webHidden/>
              </w:rPr>
              <w:fldChar w:fldCharType="end"/>
            </w:r>
          </w:hyperlink>
        </w:p>
        <w:p w14:paraId="2D9665E1" w14:textId="0241B651" w:rsidR="005937F0" w:rsidRDefault="00A62E1C">
          <w:pPr>
            <w:pStyle w:val="TOC3"/>
            <w:tabs>
              <w:tab w:val="right" w:leader="dot" w:pos="9016"/>
            </w:tabs>
            <w:rPr>
              <w:rFonts w:asciiTheme="minorHAnsi" w:eastAsiaTheme="minorEastAsia" w:hAnsiTheme="minorHAnsi"/>
              <w:noProof/>
              <w:sz w:val="22"/>
              <w:lang w:eastAsia="en-AU"/>
            </w:rPr>
          </w:pPr>
          <w:hyperlink w:anchor="_Toc184666429" w:history="1">
            <w:r w:rsidR="005937F0" w:rsidRPr="00BC64AD">
              <w:rPr>
                <w:rStyle w:val="Hyperlink"/>
                <w:noProof/>
              </w:rPr>
              <w:t>Current Rules to become new Exemption Rules</w:t>
            </w:r>
            <w:r w:rsidR="005937F0">
              <w:rPr>
                <w:noProof/>
                <w:webHidden/>
              </w:rPr>
              <w:tab/>
            </w:r>
            <w:r w:rsidR="005937F0">
              <w:rPr>
                <w:noProof/>
                <w:webHidden/>
              </w:rPr>
              <w:fldChar w:fldCharType="begin"/>
            </w:r>
            <w:r w:rsidR="005937F0">
              <w:rPr>
                <w:noProof/>
                <w:webHidden/>
              </w:rPr>
              <w:instrText xml:space="preserve"> PAGEREF _Toc184666429 \h </w:instrText>
            </w:r>
            <w:r w:rsidR="005937F0">
              <w:rPr>
                <w:noProof/>
                <w:webHidden/>
              </w:rPr>
            </w:r>
            <w:r w:rsidR="005937F0">
              <w:rPr>
                <w:noProof/>
                <w:webHidden/>
              </w:rPr>
              <w:fldChar w:fldCharType="separate"/>
            </w:r>
            <w:r w:rsidR="005937F0">
              <w:rPr>
                <w:noProof/>
                <w:webHidden/>
              </w:rPr>
              <w:t>6</w:t>
            </w:r>
            <w:r w:rsidR="005937F0">
              <w:rPr>
                <w:noProof/>
                <w:webHidden/>
              </w:rPr>
              <w:fldChar w:fldCharType="end"/>
            </w:r>
          </w:hyperlink>
        </w:p>
        <w:p w14:paraId="7DCF2B59" w14:textId="370E86A9" w:rsidR="005937F0" w:rsidRDefault="00A62E1C">
          <w:pPr>
            <w:pStyle w:val="TOC2"/>
            <w:rPr>
              <w:rFonts w:asciiTheme="minorHAnsi" w:eastAsiaTheme="minorEastAsia" w:hAnsiTheme="minorHAnsi"/>
              <w:noProof/>
              <w:sz w:val="22"/>
              <w:lang w:eastAsia="en-AU"/>
            </w:rPr>
          </w:pPr>
          <w:hyperlink w:anchor="_Toc184666430" w:history="1">
            <w:r w:rsidR="005937F0" w:rsidRPr="00BC64AD">
              <w:rPr>
                <w:rStyle w:val="Hyperlink"/>
                <w:noProof/>
              </w:rPr>
              <w:t>Adopting an outcomes-based approach</w:t>
            </w:r>
            <w:r w:rsidR="005937F0">
              <w:rPr>
                <w:noProof/>
                <w:webHidden/>
              </w:rPr>
              <w:tab/>
            </w:r>
            <w:r w:rsidR="005937F0">
              <w:rPr>
                <w:noProof/>
                <w:webHidden/>
              </w:rPr>
              <w:fldChar w:fldCharType="begin"/>
            </w:r>
            <w:r w:rsidR="005937F0">
              <w:rPr>
                <w:noProof/>
                <w:webHidden/>
              </w:rPr>
              <w:instrText xml:space="preserve"> PAGEREF _Toc184666430 \h </w:instrText>
            </w:r>
            <w:r w:rsidR="005937F0">
              <w:rPr>
                <w:noProof/>
                <w:webHidden/>
              </w:rPr>
            </w:r>
            <w:r w:rsidR="005937F0">
              <w:rPr>
                <w:noProof/>
                <w:webHidden/>
              </w:rPr>
              <w:fldChar w:fldCharType="separate"/>
            </w:r>
            <w:r w:rsidR="005937F0">
              <w:rPr>
                <w:noProof/>
                <w:webHidden/>
              </w:rPr>
              <w:t>7</w:t>
            </w:r>
            <w:r w:rsidR="005937F0">
              <w:rPr>
                <w:noProof/>
                <w:webHidden/>
              </w:rPr>
              <w:fldChar w:fldCharType="end"/>
            </w:r>
          </w:hyperlink>
        </w:p>
        <w:p w14:paraId="0FBEE188" w14:textId="0F1448B0" w:rsidR="005937F0" w:rsidRDefault="00A62E1C">
          <w:pPr>
            <w:pStyle w:val="TOC2"/>
            <w:rPr>
              <w:rFonts w:asciiTheme="minorHAnsi" w:eastAsiaTheme="minorEastAsia" w:hAnsiTheme="minorHAnsi"/>
              <w:noProof/>
              <w:sz w:val="22"/>
              <w:lang w:eastAsia="en-AU"/>
            </w:rPr>
          </w:pPr>
          <w:hyperlink w:anchor="_Toc184666431" w:history="1">
            <w:r w:rsidR="005937F0" w:rsidRPr="00BC64AD">
              <w:rPr>
                <w:rStyle w:val="Hyperlink"/>
                <w:noProof/>
              </w:rPr>
              <w:t>Scalability of obligations</w:t>
            </w:r>
            <w:r w:rsidR="005937F0">
              <w:rPr>
                <w:noProof/>
                <w:webHidden/>
              </w:rPr>
              <w:tab/>
            </w:r>
            <w:r w:rsidR="005937F0">
              <w:rPr>
                <w:noProof/>
                <w:webHidden/>
              </w:rPr>
              <w:fldChar w:fldCharType="begin"/>
            </w:r>
            <w:r w:rsidR="005937F0">
              <w:rPr>
                <w:noProof/>
                <w:webHidden/>
              </w:rPr>
              <w:instrText xml:space="preserve"> PAGEREF _Toc184666431 \h </w:instrText>
            </w:r>
            <w:r w:rsidR="005937F0">
              <w:rPr>
                <w:noProof/>
                <w:webHidden/>
              </w:rPr>
            </w:r>
            <w:r w:rsidR="005937F0">
              <w:rPr>
                <w:noProof/>
                <w:webHidden/>
              </w:rPr>
              <w:fldChar w:fldCharType="separate"/>
            </w:r>
            <w:r w:rsidR="005937F0">
              <w:rPr>
                <w:noProof/>
                <w:webHidden/>
              </w:rPr>
              <w:t>7</w:t>
            </w:r>
            <w:r w:rsidR="005937F0">
              <w:rPr>
                <w:noProof/>
                <w:webHidden/>
              </w:rPr>
              <w:fldChar w:fldCharType="end"/>
            </w:r>
          </w:hyperlink>
        </w:p>
        <w:p w14:paraId="28DEDCF9" w14:textId="4FEFA3C1" w:rsidR="005937F0" w:rsidRDefault="00A62E1C">
          <w:pPr>
            <w:pStyle w:val="TOC2"/>
            <w:rPr>
              <w:rFonts w:asciiTheme="minorHAnsi" w:eastAsiaTheme="minorEastAsia" w:hAnsiTheme="minorHAnsi"/>
              <w:noProof/>
              <w:sz w:val="22"/>
              <w:lang w:eastAsia="en-AU"/>
            </w:rPr>
          </w:pPr>
          <w:hyperlink w:anchor="_Toc184666432" w:history="1">
            <w:r w:rsidR="005937F0" w:rsidRPr="00BC64AD">
              <w:rPr>
                <w:rStyle w:val="Hyperlink"/>
                <w:noProof/>
              </w:rPr>
              <w:t>Simplifying the structure</w:t>
            </w:r>
            <w:r w:rsidR="005937F0">
              <w:rPr>
                <w:noProof/>
                <w:webHidden/>
              </w:rPr>
              <w:tab/>
            </w:r>
            <w:r w:rsidR="005937F0">
              <w:rPr>
                <w:noProof/>
                <w:webHidden/>
              </w:rPr>
              <w:fldChar w:fldCharType="begin"/>
            </w:r>
            <w:r w:rsidR="005937F0">
              <w:rPr>
                <w:noProof/>
                <w:webHidden/>
              </w:rPr>
              <w:instrText xml:space="preserve"> PAGEREF _Toc184666432 \h </w:instrText>
            </w:r>
            <w:r w:rsidR="005937F0">
              <w:rPr>
                <w:noProof/>
                <w:webHidden/>
              </w:rPr>
            </w:r>
            <w:r w:rsidR="005937F0">
              <w:rPr>
                <w:noProof/>
                <w:webHidden/>
              </w:rPr>
              <w:fldChar w:fldCharType="separate"/>
            </w:r>
            <w:r w:rsidR="005937F0">
              <w:rPr>
                <w:noProof/>
                <w:webHidden/>
              </w:rPr>
              <w:t>9</w:t>
            </w:r>
            <w:r w:rsidR="005937F0">
              <w:rPr>
                <w:noProof/>
                <w:webHidden/>
              </w:rPr>
              <w:fldChar w:fldCharType="end"/>
            </w:r>
          </w:hyperlink>
        </w:p>
        <w:p w14:paraId="08D009A3" w14:textId="777055F1" w:rsidR="005937F0" w:rsidRDefault="00A62E1C">
          <w:pPr>
            <w:pStyle w:val="TOC1"/>
            <w:tabs>
              <w:tab w:val="left" w:pos="440"/>
              <w:tab w:val="right" w:leader="dot" w:pos="9016"/>
            </w:tabs>
            <w:rPr>
              <w:rFonts w:asciiTheme="minorHAnsi" w:eastAsiaTheme="minorEastAsia" w:hAnsiTheme="minorHAnsi"/>
              <w:noProof/>
              <w:sz w:val="22"/>
              <w:lang w:eastAsia="en-AU"/>
            </w:rPr>
          </w:pPr>
          <w:hyperlink w:anchor="_Toc184666433" w:history="1">
            <w:r w:rsidR="005937F0" w:rsidRPr="00BC64AD">
              <w:rPr>
                <w:rStyle w:val="Hyperlink"/>
                <w:noProof/>
              </w:rPr>
              <w:t>3.</w:t>
            </w:r>
            <w:r w:rsidR="005937F0">
              <w:rPr>
                <w:rFonts w:asciiTheme="minorHAnsi" w:eastAsiaTheme="minorEastAsia" w:hAnsiTheme="minorHAnsi"/>
                <w:noProof/>
                <w:sz w:val="22"/>
                <w:lang w:eastAsia="en-AU"/>
              </w:rPr>
              <w:tab/>
            </w:r>
            <w:r w:rsidR="005937F0" w:rsidRPr="00BC64AD">
              <w:rPr>
                <w:rStyle w:val="Hyperlink"/>
                <w:noProof/>
              </w:rPr>
              <w:t>Exposure Draft AML/CTF Rules</w:t>
            </w:r>
            <w:r w:rsidR="005937F0">
              <w:rPr>
                <w:noProof/>
                <w:webHidden/>
              </w:rPr>
              <w:tab/>
            </w:r>
            <w:r w:rsidR="005937F0">
              <w:rPr>
                <w:noProof/>
                <w:webHidden/>
              </w:rPr>
              <w:fldChar w:fldCharType="begin"/>
            </w:r>
            <w:r w:rsidR="005937F0">
              <w:rPr>
                <w:noProof/>
                <w:webHidden/>
              </w:rPr>
              <w:instrText xml:space="preserve"> PAGEREF _Toc184666433 \h </w:instrText>
            </w:r>
            <w:r w:rsidR="005937F0">
              <w:rPr>
                <w:noProof/>
                <w:webHidden/>
              </w:rPr>
            </w:r>
            <w:r w:rsidR="005937F0">
              <w:rPr>
                <w:noProof/>
                <w:webHidden/>
              </w:rPr>
              <w:fldChar w:fldCharType="separate"/>
            </w:r>
            <w:r w:rsidR="005937F0">
              <w:rPr>
                <w:noProof/>
                <w:webHidden/>
              </w:rPr>
              <w:t>10</w:t>
            </w:r>
            <w:r w:rsidR="005937F0">
              <w:rPr>
                <w:noProof/>
                <w:webHidden/>
              </w:rPr>
              <w:fldChar w:fldCharType="end"/>
            </w:r>
          </w:hyperlink>
        </w:p>
        <w:p w14:paraId="300E6923" w14:textId="6363508D" w:rsidR="005937F0" w:rsidRDefault="00A62E1C">
          <w:pPr>
            <w:pStyle w:val="TOC2"/>
            <w:rPr>
              <w:rFonts w:asciiTheme="minorHAnsi" w:eastAsiaTheme="minorEastAsia" w:hAnsiTheme="minorHAnsi"/>
              <w:noProof/>
              <w:sz w:val="22"/>
              <w:lang w:eastAsia="en-AU"/>
            </w:rPr>
          </w:pPr>
          <w:hyperlink w:anchor="_Toc184666434" w:history="1">
            <w:r w:rsidR="005937F0" w:rsidRPr="00BC64AD">
              <w:rPr>
                <w:rStyle w:val="Hyperlink"/>
                <w:noProof/>
              </w:rPr>
              <w:t>AML/CTF programs</w:t>
            </w:r>
            <w:r w:rsidR="005937F0">
              <w:rPr>
                <w:noProof/>
                <w:webHidden/>
              </w:rPr>
              <w:tab/>
            </w:r>
            <w:r w:rsidR="005937F0">
              <w:rPr>
                <w:noProof/>
                <w:webHidden/>
              </w:rPr>
              <w:fldChar w:fldCharType="begin"/>
            </w:r>
            <w:r w:rsidR="005937F0">
              <w:rPr>
                <w:noProof/>
                <w:webHidden/>
              </w:rPr>
              <w:instrText xml:space="preserve"> PAGEREF _Toc184666434 \h </w:instrText>
            </w:r>
            <w:r w:rsidR="005937F0">
              <w:rPr>
                <w:noProof/>
                <w:webHidden/>
              </w:rPr>
            </w:r>
            <w:r w:rsidR="005937F0">
              <w:rPr>
                <w:noProof/>
                <w:webHidden/>
              </w:rPr>
              <w:fldChar w:fldCharType="separate"/>
            </w:r>
            <w:r w:rsidR="005937F0">
              <w:rPr>
                <w:noProof/>
                <w:webHidden/>
              </w:rPr>
              <w:t>10</w:t>
            </w:r>
            <w:r w:rsidR="005937F0">
              <w:rPr>
                <w:noProof/>
                <w:webHidden/>
              </w:rPr>
              <w:fldChar w:fldCharType="end"/>
            </w:r>
          </w:hyperlink>
        </w:p>
        <w:p w14:paraId="33E44306" w14:textId="0F11BB33" w:rsidR="005937F0" w:rsidRDefault="00A62E1C">
          <w:pPr>
            <w:pStyle w:val="TOC3"/>
            <w:tabs>
              <w:tab w:val="right" w:leader="dot" w:pos="9016"/>
            </w:tabs>
            <w:rPr>
              <w:rFonts w:asciiTheme="minorHAnsi" w:eastAsiaTheme="minorEastAsia" w:hAnsiTheme="minorHAnsi"/>
              <w:noProof/>
              <w:sz w:val="22"/>
              <w:lang w:eastAsia="en-AU"/>
            </w:rPr>
          </w:pPr>
          <w:hyperlink w:anchor="_Toc184666435" w:history="1">
            <w:r w:rsidR="005937F0" w:rsidRPr="00BC64AD">
              <w:rPr>
                <w:rStyle w:val="Hyperlink"/>
                <w:noProof/>
              </w:rPr>
              <w:t>ML/TF risk assessments</w:t>
            </w:r>
            <w:r w:rsidR="005937F0">
              <w:rPr>
                <w:noProof/>
                <w:webHidden/>
              </w:rPr>
              <w:tab/>
            </w:r>
            <w:r w:rsidR="005937F0">
              <w:rPr>
                <w:noProof/>
                <w:webHidden/>
              </w:rPr>
              <w:fldChar w:fldCharType="begin"/>
            </w:r>
            <w:r w:rsidR="005937F0">
              <w:rPr>
                <w:noProof/>
                <w:webHidden/>
              </w:rPr>
              <w:instrText xml:space="preserve"> PAGEREF _Toc184666435 \h </w:instrText>
            </w:r>
            <w:r w:rsidR="005937F0">
              <w:rPr>
                <w:noProof/>
                <w:webHidden/>
              </w:rPr>
            </w:r>
            <w:r w:rsidR="005937F0">
              <w:rPr>
                <w:noProof/>
                <w:webHidden/>
              </w:rPr>
              <w:fldChar w:fldCharType="separate"/>
            </w:r>
            <w:r w:rsidR="005937F0">
              <w:rPr>
                <w:noProof/>
                <w:webHidden/>
              </w:rPr>
              <w:t>11</w:t>
            </w:r>
            <w:r w:rsidR="005937F0">
              <w:rPr>
                <w:noProof/>
                <w:webHidden/>
              </w:rPr>
              <w:fldChar w:fldCharType="end"/>
            </w:r>
          </w:hyperlink>
        </w:p>
        <w:p w14:paraId="56EC18D1" w14:textId="6958ED91" w:rsidR="005937F0" w:rsidRDefault="00A62E1C">
          <w:pPr>
            <w:pStyle w:val="TOC3"/>
            <w:tabs>
              <w:tab w:val="right" w:leader="dot" w:pos="9016"/>
            </w:tabs>
            <w:rPr>
              <w:rFonts w:asciiTheme="minorHAnsi" w:eastAsiaTheme="minorEastAsia" w:hAnsiTheme="minorHAnsi"/>
              <w:noProof/>
              <w:sz w:val="22"/>
              <w:lang w:eastAsia="en-AU"/>
            </w:rPr>
          </w:pPr>
          <w:hyperlink w:anchor="_Toc184666436" w:history="1">
            <w:r w:rsidR="005937F0" w:rsidRPr="00BC64AD">
              <w:rPr>
                <w:rStyle w:val="Hyperlink"/>
                <w:noProof/>
              </w:rPr>
              <w:t>AML/CTF policies</w:t>
            </w:r>
            <w:r w:rsidR="005937F0">
              <w:rPr>
                <w:noProof/>
                <w:webHidden/>
              </w:rPr>
              <w:tab/>
            </w:r>
            <w:r w:rsidR="005937F0">
              <w:rPr>
                <w:noProof/>
                <w:webHidden/>
              </w:rPr>
              <w:fldChar w:fldCharType="begin"/>
            </w:r>
            <w:r w:rsidR="005937F0">
              <w:rPr>
                <w:noProof/>
                <w:webHidden/>
              </w:rPr>
              <w:instrText xml:space="preserve"> PAGEREF _Toc184666436 \h </w:instrText>
            </w:r>
            <w:r w:rsidR="005937F0">
              <w:rPr>
                <w:noProof/>
                <w:webHidden/>
              </w:rPr>
            </w:r>
            <w:r w:rsidR="005937F0">
              <w:rPr>
                <w:noProof/>
                <w:webHidden/>
              </w:rPr>
              <w:fldChar w:fldCharType="separate"/>
            </w:r>
            <w:r w:rsidR="005937F0">
              <w:rPr>
                <w:noProof/>
                <w:webHidden/>
              </w:rPr>
              <w:t>11</w:t>
            </w:r>
            <w:r w:rsidR="005937F0">
              <w:rPr>
                <w:noProof/>
                <w:webHidden/>
              </w:rPr>
              <w:fldChar w:fldCharType="end"/>
            </w:r>
          </w:hyperlink>
        </w:p>
        <w:p w14:paraId="3A80E963" w14:textId="4A596847" w:rsidR="005937F0" w:rsidRDefault="00A62E1C">
          <w:pPr>
            <w:pStyle w:val="TOC3"/>
            <w:tabs>
              <w:tab w:val="right" w:leader="dot" w:pos="9016"/>
            </w:tabs>
            <w:rPr>
              <w:rFonts w:asciiTheme="minorHAnsi" w:eastAsiaTheme="minorEastAsia" w:hAnsiTheme="minorHAnsi"/>
              <w:noProof/>
              <w:sz w:val="22"/>
              <w:lang w:eastAsia="en-AU"/>
            </w:rPr>
          </w:pPr>
          <w:hyperlink w:anchor="_Toc184666437" w:history="1">
            <w:r w:rsidR="005937F0" w:rsidRPr="00BC64AD">
              <w:rPr>
                <w:rStyle w:val="Hyperlink"/>
                <w:noProof/>
              </w:rPr>
              <w:t>Additional AML/CTF policies for compliance management</w:t>
            </w:r>
            <w:r w:rsidR="005937F0">
              <w:rPr>
                <w:noProof/>
                <w:webHidden/>
              </w:rPr>
              <w:tab/>
            </w:r>
            <w:r w:rsidR="005937F0">
              <w:rPr>
                <w:noProof/>
                <w:webHidden/>
              </w:rPr>
              <w:fldChar w:fldCharType="begin"/>
            </w:r>
            <w:r w:rsidR="005937F0">
              <w:rPr>
                <w:noProof/>
                <w:webHidden/>
              </w:rPr>
              <w:instrText xml:space="preserve"> PAGEREF _Toc184666437 \h </w:instrText>
            </w:r>
            <w:r w:rsidR="005937F0">
              <w:rPr>
                <w:noProof/>
                <w:webHidden/>
              </w:rPr>
            </w:r>
            <w:r w:rsidR="005937F0">
              <w:rPr>
                <w:noProof/>
                <w:webHidden/>
              </w:rPr>
              <w:fldChar w:fldCharType="separate"/>
            </w:r>
            <w:r w:rsidR="005937F0">
              <w:rPr>
                <w:noProof/>
                <w:webHidden/>
              </w:rPr>
              <w:t>12</w:t>
            </w:r>
            <w:r w:rsidR="005937F0">
              <w:rPr>
                <w:noProof/>
                <w:webHidden/>
              </w:rPr>
              <w:fldChar w:fldCharType="end"/>
            </w:r>
          </w:hyperlink>
        </w:p>
        <w:p w14:paraId="7E863E2C" w14:textId="6B7ACF66" w:rsidR="005937F0" w:rsidRDefault="00A62E1C">
          <w:pPr>
            <w:pStyle w:val="TOC3"/>
            <w:tabs>
              <w:tab w:val="right" w:leader="dot" w:pos="9016"/>
            </w:tabs>
            <w:rPr>
              <w:rFonts w:asciiTheme="minorHAnsi" w:eastAsiaTheme="minorEastAsia" w:hAnsiTheme="minorHAnsi"/>
              <w:noProof/>
              <w:sz w:val="22"/>
              <w:lang w:eastAsia="en-AU"/>
            </w:rPr>
          </w:pPr>
          <w:hyperlink w:anchor="_Toc184666438" w:history="1">
            <w:r w:rsidR="005937F0" w:rsidRPr="00BC64AD">
              <w:rPr>
                <w:rStyle w:val="Hyperlink"/>
                <w:noProof/>
              </w:rPr>
              <w:t>Specific requirements for compliance management AML/CTF policies</w:t>
            </w:r>
            <w:r w:rsidR="005937F0">
              <w:rPr>
                <w:noProof/>
                <w:webHidden/>
              </w:rPr>
              <w:tab/>
            </w:r>
            <w:r w:rsidR="005937F0">
              <w:rPr>
                <w:noProof/>
                <w:webHidden/>
              </w:rPr>
              <w:fldChar w:fldCharType="begin"/>
            </w:r>
            <w:r w:rsidR="005937F0">
              <w:rPr>
                <w:noProof/>
                <w:webHidden/>
              </w:rPr>
              <w:instrText xml:space="preserve"> PAGEREF _Toc184666438 \h </w:instrText>
            </w:r>
            <w:r w:rsidR="005937F0">
              <w:rPr>
                <w:noProof/>
                <w:webHidden/>
              </w:rPr>
            </w:r>
            <w:r w:rsidR="005937F0">
              <w:rPr>
                <w:noProof/>
                <w:webHidden/>
              </w:rPr>
              <w:fldChar w:fldCharType="separate"/>
            </w:r>
            <w:r w:rsidR="005937F0">
              <w:rPr>
                <w:noProof/>
                <w:webHidden/>
              </w:rPr>
              <w:t>13</w:t>
            </w:r>
            <w:r w:rsidR="005937F0">
              <w:rPr>
                <w:noProof/>
                <w:webHidden/>
              </w:rPr>
              <w:fldChar w:fldCharType="end"/>
            </w:r>
          </w:hyperlink>
        </w:p>
        <w:p w14:paraId="7F0C1B90" w14:textId="225C70CD" w:rsidR="005937F0" w:rsidRDefault="00A62E1C">
          <w:pPr>
            <w:pStyle w:val="TOC3"/>
            <w:tabs>
              <w:tab w:val="right" w:leader="dot" w:pos="9016"/>
            </w:tabs>
            <w:rPr>
              <w:rFonts w:asciiTheme="minorHAnsi" w:eastAsiaTheme="minorEastAsia" w:hAnsiTheme="minorHAnsi"/>
              <w:noProof/>
              <w:sz w:val="22"/>
              <w:lang w:eastAsia="en-AU"/>
            </w:rPr>
          </w:pPr>
          <w:hyperlink w:anchor="_Toc184666439" w:history="1">
            <w:r w:rsidR="005937F0" w:rsidRPr="00BC64AD">
              <w:rPr>
                <w:rStyle w:val="Hyperlink"/>
                <w:noProof/>
              </w:rPr>
              <w:t>Specific requirements for AML/CTF policies about independent evaluations</w:t>
            </w:r>
            <w:r w:rsidR="005937F0">
              <w:rPr>
                <w:noProof/>
                <w:webHidden/>
              </w:rPr>
              <w:tab/>
            </w:r>
            <w:r w:rsidR="005937F0">
              <w:rPr>
                <w:noProof/>
                <w:webHidden/>
              </w:rPr>
              <w:fldChar w:fldCharType="begin"/>
            </w:r>
            <w:r w:rsidR="005937F0">
              <w:rPr>
                <w:noProof/>
                <w:webHidden/>
              </w:rPr>
              <w:instrText xml:space="preserve"> PAGEREF _Toc184666439 \h </w:instrText>
            </w:r>
            <w:r w:rsidR="005937F0">
              <w:rPr>
                <w:noProof/>
                <w:webHidden/>
              </w:rPr>
            </w:r>
            <w:r w:rsidR="005937F0">
              <w:rPr>
                <w:noProof/>
                <w:webHidden/>
              </w:rPr>
              <w:fldChar w:fldCharType="separate"/>
            </w:r>
            <w:r w:rsidR="005937F0">
              <w:rPr>
                <w:noProof/>
                <w:webHidden/>
              </w:rPr>
              <w:t>13</w:t>
            </w:r>
            <w:r w:rsidR="005937F0">
              <w:rPr>
                <w:noProof/>
                <w:webHidden/>
              </w:rPr>
              <w:fldChar w:fldCharType="end"/>
            </w:r>
          </w:hyperlink>
        </w:p>
        <w:p w14:paraId="0E8A4DA4" w14:textId="36AC98F9" w:rsidR="005937F0" w:rsidRDefault="00A62E1C">
          <w:pPr>
            <w:pStyle w:val="TOC3"/>
            <w:tabs>
              <w:tab w:val="right" w:leader="dot" w:pos="9016"/>
            </w:tabs>
            <w:rPr>
              <w:rFonts w:asciiTheme="minorHAnsi" w:eastAsiaTheme="minorEastAsia" w:hAnsiTheme="minorHAnsi"/>
              <w:noProof/>
              <w:sz w:val="22"/>
              <w:lang w:eastAsia="en-AU"/>
            </w:rPr>
          </w:pPr>
          <w:hyperlink w:anchor="_Toc184666440" w:history="1">
            <w:r w:rsidR="005937F0" w:rsidRPr="00BC64AD">
              <w:rPr>
                <w:rStyle w:val="Hyperlink"/>
                <w:noProof/>
              </w:rPr>
              <w:t>Additional AML/CTF policies for value transfer services</w:t>
            </w:r>
            <w:r w:rsidR="005937F0">
              <w:rPr>
                <w:noProof/>
                <w:webHidden/>
              </w:rPr>
              <w:tab/>
            </w:r>
            <w:r w:rsidR="005937F0">
              <w:rPr>
                <w:noProof/>
                <w:webHidden/>
              </w:rPr>
              <w:fldChar w:fldCharType="begin"/>
            </w:r>
            <w:r w:rsidR="005937F0">
              <w:rPr>
                <w:noProof/>
                <w:webHidden/>
              </w:rPr>
              <w:instrText xml:space="preserve"> PAGEREF _Toc184666440 \h </w:instrText>
            </w:r>
            <w:r w:rsidR="005937F0">
              <w:rPr>
                <w:noProof/>
                <w:webHidden/>
              </w:rPr>
            </w:r>
            <w:r w:rsidR="005937F0">
              <w:rPr>
                <w:noProof/>
                <w:webHidden/>
              </w:rPr>
              <w:fldChar w:fldCharType="separate"/>
            </w:r>
            <w:r w:rsidR="005937F0">
              <w:rPr>
                <w:noProof/>
                <w:webHidden/>
              </w:rPr>
              <w:t>14</w:t>
            </w:r>
            <w:r w:rsidR="005937F0">
              <w:rPr>
                <w:noProof/>
                <w:webHidden/>
              </w:rPr>
              <w:fldChar w:fldCharType="end"/>
            </w:r>
          </w:hyperlink>
        </w:p>
        <w:p w14:paraId="6AD13676" w14:textId="309C2B88" w:rsidR="005937F0" w:rsidRDefault="00A62E1C">
          <w:pPr>
            <w:pStyle w:val="TOC2"/>
            <w:rPr>
              <w:rFonts w:asciiTheme="minorHAnsi" w:eastAsiaTheme="minorEastAsia" w:hAnsiTheme="minorHAnsi"/>
              <w:noProof/>
              <w:sz w:val="22"/>
              <w:lang w:eastAsia="en-AU"/>
            </w:rPr>
          </w:pPr>
          <w:hyperlink w:anchor="_Toc184666441" w:history="1">
            <w:r w:rsidR="005937F0" w:rsidRPr="00BC64AD">
              <w:rPr>
                <w:rStyle w:val="Hyperlink"/>
                <w:noProof/>
              </w:rPr>
              <w:t>AML/CTF compliance officer</w:t>
            </w:r>
            <w:r w:rsidR="005937F0">
              <w:rPr>
                <w:noProof/>
                <w:webHidden/>
              </w:rPr>
              <w:tab/>
            </w:r>
            <w:r w:rsidR="005937F0">
              <w:rPr>
                <w:noProof/>
                <w:webHidden/>
              </w:rPr>
              <w:fldChar w:fldCharType="begin"/>
            </w:r>
            <w:r w:rsidR="005937F0">
              <w:rPr>
                <w:noProof/>
                <w:webHidden/>
              </w:rPr>
              <w:instrText xml:space="preserve"> PAGEREF _Toc184666441 \h </w:instrText>
            </w:r>
            <w:r w:rsidR="005937F0">
              <w:rPr>
                <w:noProof/>
                <w:webHidden/>
              </w:rPr>
            </w:r>
            <w:r w:rsidR="005937F0">
              <w:rPr>
                <w:noProof/>
                <w:webHidden/>
              </w:rPr>
              <w:fldChar w:fldCharType="separate"/>
            </w:r>
            <w:r w:rsidR="005937F0">
              <w:rPr>
                <w:noProof/>
                <w:webHidden/>
              </w:rPr>
              <w:t>15</w:t>
            </w:r>
            <w:r w:rsidR="005937F0">
              <w:rPr>
                <w:noProof/>
                <w:webHidden/>
              </w:rPr>
              <w:fldChar w:fldCharType="end"/>
            </w:r>
          </w:hyperlink>
        </w:p>
        <w:p w14:paraId="77233B4F" w14:textId="6F8C9CF6" w:rsidR="005937F0" w:rsidRDefault="00A62E1C">
          <w:pPr>
            <w:pStyle w:val="TOC2"/>
            <w:rPr>
              <w:rFonts w:asciiTheme="minorHAnsi" w:eastAsiaTheme="minorEastAsia" w:hAnsiTheme="minorHAnsi"/>
              <w:noProof/>
              <w:sz w:val="22"/>
              <w:lang w:eastAsia="en-AU"/>
            </w:rPr>
          </w:pPr>
          <w:hyperlink w:anchor="_Toc184666442" w:history="1">
            <w:r w:rsidR="005937F0" w:rsidRPr="00BC64AD">
              <w:rPr>
                <w:rStyle w:val="Hyperlink"/>
                <w:noProof/>
              </w:rPr>
              <w:t>Reporting groups</w:t>
            </w:r>
            <w:r w:rsidR="005937F0">
              <w:rPr>
                <w:noProof/>
                <w:webHidden/>
              </w:rPr>
              <w:tab/>
            </w:r>
            <w:r w:rsidR="005937F0">
              <w:rPr>
                <w:noProof/>
                <w:webHidden/>
              </w:rPr>
              <w:fldChar w:fldCharType="begin"/>
            </w:r>
            <w:r w:rsidR="005937F0">
              <w:rPr>
                <w:noProof/>
                <w:webHidden/>
              </w:rPr>
              <w:instrText xml:space="preserve"> PAGEREF _Toc184666442 \h </w:instrText>
            </w:r>
            <w:r w:rsidR="005937F0">
              <w:rPr>
                <w:noProof/>
                <w:webHidden/>
              </w:rPr>
            </w:r>
            <w:r w:rsidR="005937F0">
              <w:rPr>
                <w:noProof/>
                <w:webHidden/>
              </w:rPr>
              <w:fldChar w:fldCharType="separate"/>
            </w:r>
            <w:r w:rsidR="005937F0">
              <w:rPr>
                <w:noProof/>
                <w:webHidden/>
              </w:rPr>
              <w:t>15</w:t>
            </w:r>
            <w:r w:rsidR="005937F0">
              <w:rPr>
                <w:noProof/>
                <w:webHidden/>
              </w:rPr>
              <w:fldChar w:fldCharType="end"/>
            </w:r>
          </w:hyperlink>
        </w:p>
        <w:p w14:paraId="1DA73C03" w14:textId="2B783999" w:rsidR="005937F0" w:rsidRDefault="00A62E1C">
          <w:pPr>
            <w:pStyle w:val="TOC2"/>
            <w:rPr>
              <w:rFonts w:asciiTheme="minorHAnsi" w:eastAsiaTheme="minorEastAsia" w:hAnsiTheme="minorHAnsi"/>
              <w:noProof/>
              <w:sz w:val="22"/>
              <w:lang w:eastAsia="en-AU"/>
            </w:rPr>
          </w:pPr>
          <w:hyperlink w:anchor="_Toc184666443" w:history="1">
            <w:r w:rsidR="005937F0" w:rsidRPr="00BC64AD">
              <w:rPr>
                <w:rStyle w:val="Hyperlink"/>
                <w:noProof/>
              </w:rPr>
              <w:t>Customer due diligence</w:t>
            </w:r>
            <w:r w:rsidR="005937F0">
              <w:rPr>
                <w:noProof/>
                <w:webHidden/>
              </w:rPr>
              <w:tab/>
            </w:r>
            <w:r w:rsidR="005937F0">
              <w:rPr>
                <w:noProof/>
                <w:webHidden/>
              </w:rPr>
              <w:fldChar w:fldCharType="begin"/>
            </w:r>
            <w:r w:rsidR="005937F0">
              <w:rPr>
                <w:noProof/>
                <w:webHidden/>
              </w:rPr>
              <w:instrText xml:space="preserve"> PAGEREF _Toc184666443 \h </w:instrText>
            </w:r>
            <w:r w:rsidR="005937F0">
              <w:rPr>
                <w:noProof/>
                <w:webHidden/>
              </w:rPr>
            </w:r>
            <w:r w:rsidR="005937F0">
              <w:rPr>
                <w:noProof/>
                <w:webHidden/>
              </w:rPr>
              <w:fldChar w:fldCharType="separate"/>
            </w:r>
            <w:r w:rsidR="005937F0">
              <w:rPr>
                <w:noProof/>
                <w:webHidden/>
              </w:rPr>
              <w:t>17</w:t>
            </w:r>
            <w:r w:rsidR="005937F0">
              <w:rPr>
                <w:noProof/>
                <w:webHidden/>
              </w:rPr>
              <w:fldChar w:fldCharType="end"/>
            </w:r>
          </w:hyperlink>
        </w:p>
        <w:p w14:paraId="33B611BD" w14:textId="2F400E02" w:rsidR="005937F0" w:rsidRDefault="00A62E1C">
          <w:pPr>
            <w:pStyle w:val="TOC3"/>
            <w:tabs>
              <w:tab w:val="right" w:leader="dot" w:pos="9016"/>
            </w:tabs>
            <w:rPr>
              <w:rFonts w:asciiTheme="minorHAnsi" w:eastAsiaTheme="minorEastAsia" w:hAnsiTheme="minorHAnsi"/>
              <w:noProof/>
              <w:sz w:val="22"/>
              <w:lang w:eastAsia="en-AU"/>
            </w:rPr>
          </w:pPr>
          <w:hyperlink w:anchor="_Toc184666444" w:history="1">
            <w:r w:rsidR="005937F0" w:rsidRPr="00BC64AD">
              <w:rPr>
                <w:rStyle w:val="Hyperlink"/>
                <w:noProof/>
              </w:rPr>
              <w:t>CDD when providing services to individuals</w:t>
            </w:r>
            <w:r w:rsidR="005937F0">
              <w:rPr>
                <w:noProof/>
                <w:webHidden/>
              </w:rPr>
              <w:tab/>
            </w:r>
            <w:r w:rsidR="005937F0">
              <w:rPr>
                <w:noProof/>
                <w:webHidden/>
              </w:rPr>
              <w:fldChar w:fldCharType="begin"/>
            </w:r>
            <w:r w:rsidR="005937F0">
              <w:rPr>
                <w:noProof/>
                <w:webHidden/>
              </w:rPr>
              <w:instrText xml:space="preserve"> PAGEREF _Toc184666444 \h </w:instrText>
            </w:r>
            <w:r w:rsidR="005937F0">
              <w:rPr>
                <w:noProof/>
                <w:webHidden/>
              </w:rPr>
            </w:r>
            <w:r w:rsidR="005937F0">
              <w:rPr>
                <w:noProof/>
                <w:webHidden/>
              </w:rPr>
              <w:fldChar w:fldCharType="separate"/>
            </w:r>
            <w:r w:rsidR="005937F0">
              <w:rPr>
                <w:noProof/>
                <w:webHidden/>
              </w:rPr>
              <w:t>17</w:t>
            </w:r>
            <w:r w:rsidR="005937F0">
              <w:rPr>
                <w:noProof/>
                <w:webHidden/>
              </w:rPr>
              <w:fldChar w:fldCharType="end"/>
            </w:r>
          </w:hyperlink>
        </w:p>
        <w:p w14:paraId="6AD3408C" w14:textId="3437A600" w:rsidR="005937F0" w:rsidRDefault="00A62E1C">
          <w:pPr>
            <w:pStyle w:val="TOC3"/>
            <w:tabs>
              <w:tab w:val="right" w:leader="dot" w:pos="9016"/>
            </w:tabs>
            <w:rPr>
              <w:rFonts w:asciiTheme="minorHAnsi" w:eastAsiaTheme="minorEastAsia" w:hAnsiTheme="minorHAnsi"/>
              <w:noProof/>
              <w:sz w:val="22"/>
              <w:lang w:eastAsia="en-AU"/>
            </w:rPr>
          </w:pPr>
          <w:hyperlink w:anchor="_Toc184666445" w:history="1">
            <w:r w:rsidR="005937F0" w:rsidRPr="00BC64AD">
              <w:rPr>
                <w:rStyle w:val="Hyperlink"/>
                <w:noProof/>
              </w:rPr>
              <w:t>CDD when providing services to businesses, bodies corporate, trusts etc.</w:t>
            </w:r>
            <w:r w:rsidR="005937F0">
              <w:rPr>
                <w:noProof/>
                <w:webHidden/>
              </w:rPr>
              <w:tab/>
            </w:r>
            <w:r w:rsidR="005937F0">
              <w:rPr>
                <w:noProof/>
                <w:webHidden/>
              </w:rPr>
              <w:fldChar w:fldCharType="begin"/>
            </w:r>
            <w:r w:rsidR="005937F0">
              <w:rPr>
                <w:noProof/>
                <w:webHidden/>
              </w:rPr>
              <w:instrText xml:space="preserve"> PAGEREF _Toc184666445 \h </w:instrText>
            </w:r>
            <w:r w:rsidR="005937F0">
              <w:rPr>
                <w:noProof/>
                <w:webHidden/>
              </w:rPr>
            </w:r>
            <w:r w:rsidR="005937F0">
              <w:rPr>
                <w:noProof/>
                <w:webHidden/>
              </w:rPr>
              <w:fldChar w:fldCharType="separate"/>
            </w:r>
            <w:r w:rsidR="005937F0">
              <w:rPr>
                <w:noProof/>
                <w:webHidden/>
              </w:rPr>
              <w:t>18</w:t>
            </w:r>
            <w:r w:rsidR="005937F0">
              <w:rPr>
                <w:noProof/>
                <w:webHidden/>
              </w:rPr>
              <w:fldChar w:fldCharType="end"/>
            </w:r>
          </w:hyperlink>
        </w:p>
        <w:p w14:paraId="4560203D" w14:textId="45C61ADB" w:rsidR="005937F0" w:rsidRDefault="00A62E1C">
          <w:pPr>
            <w:pStyle w:val="TOC3"/>
            <w:tabs>
              <w:tab w:val="right" w:leader="dot" w:pos="9016"/>
            </w:tabs>
            <w:rPr>
              <w:rFonts w:asciiTheme="minorHAnsi" w:eastAsiaTheme="minorEastAsia" w:hAnsiTheme="minorHAnsi"/>
              <w:noProof/>
              <w:sz w:val="22"/>
              <w:lang w:eastAsia="en-AU"/>
            </w:rPr>
          </w:pPr>
          <w:hyperlink w:anchor="_Toc184666446" w:history="1">
            <w:r w:rsidR="005937F0" w:rsidRPr="00BC64AD">
              <w:rPr>
                <w:rStyle w:val="Hyperlink"/>
                <w:noProof/>
              </w:rPr>
              <w:t>Circumstances in which delayed verification is permitted</w:t>
            </w:r>
            <w:r w:rsidR="005937F0">
              <w:rPr>
                <w:noProof/>
                <w:webHidden/>
              </w:rPr>
              <w:tab/>
            </w:r>
            <w:r w:rsidR="005937F0">
              <w:rPr>
                <w:noProof/>
                <w:webHidden/>
              </w:rPr>
              <w:fldChar w:fldCharType="begin"/>
            </w:r>
            <w:r w:rsidR="005937F0">
              <w:rPr>
                <w:noProof/>
                <w:webHidden/>
              </w:rPr>
              <w:instrText xml:space="preserve"> PAGEREF _Toc184666446 \h </w:instrText>
            </w:r>
            <w:r w:rsidR="005937F0">
              <w:rPr>
                <w:noProof/>
                <w:webHidden/>
              </w:rPr>
            </w:r>
            <w:r w:rsidR="005937F0">
              <w:rPr>
                <w:noProof/>
                <w:webHidden/>
              </w:rPr>
              <w:fldChar w:fldCharType="separate"/>
            </w:r>
            <w:r w:rsidR="005937F0">
              <w:rPr>
                <w:noProof/>
                <w:webHidden/>
              </w:rPr>
              <w:t>19</w:t>
            </w:r>
            <w:r w:rsidR="005937F0">
              <w:rPr>
                <w:noProof/>
                <w:webHidden/>
              </w:rPr>
              <w:fldChar w:fldCharType="end"/>
            </w:r>
          </w:hyperlink>
        </w:p>
        <w:p w14:paraId="13C194DC" w14:textId="32084145" w:rsidR="005937F0" w:rsidRDefault="00A62E1C">
          <w:pPr>
            <w:pStyle w:val="TOC3"/>
            <w:tabs>
              <w:tab w:val="right" w:leader="dot" w:pos="9016"/>
            </w:tabs>
            <w:rPr>
              <w:rFonts w:asciiTheme="minorHAnsi" w:eastAsiaTheme="minorEastAsia" w:hAnsiTheme="minorHAnsi"/>
              <w:noProof/>
              <w:sz w:val="22"/>
              <w:lang w:eastAsia="en-AU"/>
            </w:rPr>
          </w:pPr>
          <w:hyperlink w:anchor="_Toc184666447" w:history="1">
            <w:r w:rsidR="005937F0" w:rsidRPr="00BC64AD">
              <w:rPr>
                <w:rStyle w:val="Hyperlink"/>
                <w:noProof/>
              </w:rPr>
              <w:t>Simplified CDD requirements</w:t>
            </w:r>
            <w:r w:rsidR="005937F0">
              <w:rPr>
                <w:noProof/>
                <w:webHidden/>
              </w:rPr>
              <w:tab/>
            </w:r>
            <w:r w:rsidR="005937F0">
              <w:rPr>
                <w:noProof/>
                <w:webHidden/>
              </w:rPr>
              <w:fldChar w:fldCharType="begin"/>
            </w:r>
            <w:r w:rsidR="005937F0">
              <w:rPr>
                <w:noProof/>
                <w:webHidden/>
              </w:rPr>
              <w:instrText xml:space="preserve"> PAGEREF _Toc184666447 \h </w:instrText>
            </w:r>
            <w:r w:rsidR="005937F0">
              <w:rPr>
                <w:noProof/>
                <w:webHidden/>
              </w:rPr>
            </w:r>
            <w:r w:rsidR="005937F0">
              <w:rPr>
                <w:noProof/>
                <w:webHidden/>
              </w:rPr>
              <w:fldChar w:fldCharType="separate"/>
            </w:r>
            <w:r w:rsidR="005937F0">
              <w:rPr>
                <w:noProof/>
                <w:webHidden/>
              </w:rPr>
              <w:t>19</w:t>
            </w:r>
            <w:r w:rsidR="005937F0">
              <w:rPr>
                <w:noProof/>
                <w:webHidden/>
              </w:rPr>
              <w:fldChar w:fldCharType="end"/>
            </w:r>
          </w:hyperlink>
        </w:p>
        <w:p w14:paraId="04788774" w14:textId="42E67272" w:rsidR="005937F0" w:rsidRDefault="00A62E1C">
          <w:pPr>
            <w:pStyle w:val="TOC3"/>
            <w:tabs>
              <w:tab w:val="right" w:leader="dot" w:pos="9016"/>
            </w:tabs>
            <w:rPr>
              <w:rFonts w:asciiTheme="minorHAnsi" w:eastAsiaTheme="minorEastAsia" w:hAnsiTheme="minorHAnsi"/>
              <w:noProof/>
              <w:sz w:val="22"/>
              <w:lang w:eastAsia="en-AU"/>
            </w:rPr>
          </w:pPr>
          <w:hyperlink w:anchor="_Toc184666448" w:history="1">
            <w:r w:rsidR="005937F0" w:rsidRPr="00BC64AD">
              <w:rPr>
                <w:rStyle w:val="Hyperlink"/>
                <w:noProof/>
              </w:rPr>
              <w:t>Mandated enhanced CDD requirements</w:t>
            </w:r>
            <w:r w:rsidR="005937F0">
              <w:rPr>
                <w:noProof/>
                <w:webHidden/>
              </w:rPr>
              <w:tab/>
            </w:r>
            <w:r w:rsidR="005937F0">
              <w:rPr>
                <w:noProof/>
                <w:webHidden/>
              </w:rPr>
              <w:fldChar w:fldCharType="begin"/>
            </w:r>
            <w:r w:rsidR="005937F0">
              <w:rPr>
                <w:noProof/>
                <w:webHidden/>
              </w:rPr>
              <w:instrText xml:space="preserve"> PAGEREF _Toc184666448 \h </w:instrText>
            </w:r>
            <w:r w:rsidR="005937F0">
              <w:rPr>
                <w:noProof/>
                <w:webHidden/>
              </w:rPr>
            </w:r>
            <w:r w:rsidR="005937F0">
              <w:rPr>
                <w:noProof/>
                <w:webHidden/>
              </w:rPr>
              <w:fldChar w:fldCharType="separate"/>
            </w:r>
            <w:r w:rsidR="005937F0">
              <w:rPr>
                <w:noProof/>
                <w:webHidden/>
              </w:rPr>
              <w:t>20</w:t>
            </w:r>
            <w:r w:rsidR="005937F0">
              <w:rPr>
                <w:noProof/>
                <w:webHidden/>
              </w:rPr>
              <w:fldChar w:fldCharType="end"/>
            </w:r>
          </w:hyperlink>
        </w:p>
        <w:p w14:paraId="1EF12437" w14:textId="1CE622AA" w:rsidR="005937F0" w:rsidRDefault="00A62E1C">
          <w:pPr>
            <w:pStyle w:val="TOC3"/>
            <w:tabs>
              <w:tab w:val="right" w:leader="dot" w:pos="9016"/>
            </w:tabs>
            <w:rPr>
              <w:rFonts w:asciiTheme="minorHAnsi" w:eastAsiaTheme="minorEastAsia" w:hAnsiTheme="minorHAnsi"/>
              <w:noProof/>
              <w:sz w:val="22"/>
              <w:lang w:eastAsia="en-AU"/>
            </w:rPr>
          </w:pPr>
          <w:hyperlink w:anchor="_Toc184666449" w:history="1">
            <w:r w:rsidR="005937F0" w:rsidRPr="00BC64AD">
              <w:rPr>
                <w:rStyle w:val="Hyperlink"/>
                <w:noProof/>
              </w:rPr>
              <w:t>Ongoing CDD - transaction monitoring</w:t>
            </w:r>
            <w:r w:rsidR="005937F0">
              <w:rPr>
                <w:noProof/>
                <w:webHidden/>
              </w:rPr>
              <w:tab/>
            </w:r>
            <w:r w:rsidR="005937F0">
              <w:rPr>
                <w:noProof/>
                <w:webHidden/>
              </w:rPr>
              <w:fldChar w:fldCharType="begin"/>
            </w:r>
            <w:r w:rsidR="005937F0">
              <w:rPr>
                <w:noProof/>
                <w:webHidden/>
              </w:rPr>
              <w:instrText xml:space="preserve"> PAGEREF _Toc184666449 \h </w:instrText>
            </w:r>
            <w:r w:rsidR="005937F0">
              <w:rPr>
                <w:noProof/>
                <w:webHidden/>
              </w:rPr>
            </w:r>
            <w:r w:rsidR="005937F0">
              <w:rPr>
                <w:noProof/>
                <w:webHidden/>
              </w:rPr>
              <w:fldChar w:fldCharType="separate"/>
            </w:r>
            <w:r w:rsidR="005937F0">
              <w:rPr>
                <w:noProof/>
                <w:webHidden/>
              </w:rPr>
              <w:t>20</w:t>
            </w:r>
            <w:r w:rsidR="005937F0">
              <w:rPr>
                <w:noProof/>
                <w:webHidden/>
              </w:rPr>
              <w:fldChar w:fldCharType="end"/>
            </w:r>
          </w:hyperlink>
        </w:p>
        <w:p w14:paraId="240718DD" w14:textId="17B4E2C0" w:rsidR="005937F0" w:rsidRDefault="00A62E1C">
          <w:pPr>
            <w:pStyle w:val="TOC3"/>
            <w:tabs>
              <w:tab w:val="right" w:leader="dot" w:pos="9016"/>
            </w:tabs>
            <w:rPr>
              <w:rFonts w:asciiTheme="minorHAnsi" w:eastAsiaTheme="minorEastAsia" w:hAnsiTheme="minorHAnsi"/>
              <w:noProof/>
              <w:sz w:val="22"/>
              <w:lang w:eastAsia="en-AU"/>
            </w:rPr>
          </w:pPr>
          <w:hyperlink w:anchor="_Toc184666450" w:history="1">
            <w:r w:rsidR="005937F0" w:rsidRPr="00BC64AD">
              <w:rPr>
                <w:rStyle w:val="Hyperlink"/>
                <w:noProof/>
              </w:rPr>
              <w:t>Deemed compliance – ACIP previously carried out</w:t>
            </w:r>
            <w:r w:rsidR="005937F0">
              <w:rPr>
                <w:noProof/>
                <w:webHidden/>
              </w:rPr>
              <w:tab/>
            </w:r>
            <w:r w:rsidR="005937F0">
              <w:rPr>
                <w:noProof/>
                <w:webHidden/>
              </w:rPr>
              <w:fldChar w:fldCharType="begin"/>
            </w:r>
            <w:r w:rsidR="005937F0">
              <w:rPr>
                <w:noProof/>
                <w:webHidden/>
              </w:rPr>
              <w:instrText xml:space="preserve"> PAGEREF _Toc184666450 \h </w:instrText>
            </w:r>
            <w:r w:rsidR="005937F0">
              <w:rPr>
                <w:noProof/>
                <w:webHidden/>
              </w:rPr>
            </w:r>
            <w:r w:rsidR="005937F0">
              <w:rPr>
                <w:noProof/>
                <w:webHidden/>
              </w:rPr>
              <w:fldChar w:fldCharType="separate"/>
            </w:r>
            <w:r w:rsidR="005937F0">
              <w:rPr>
                <w:noProof/>
                <w:webHidden/>
              </w:rPr>
              <w:t>20</w:t>
            </w:r>
            <w:r w:rsidR="005937F0">
              <w:rPr>
                <w:noProof/>
                <w:webHidden/>
              </w:rPr>
              <w:fldChar w:fldCharType="end"/>
            </w:r>
          </w:hyperlink>
        </w:p>
        <w:p w14:paraId="3F51A9AE" w14:textId="6632B2CB" w:rsidR="005937F0" w:rsidRDefault="00A62E1C">
          <w:pPr>
            <w:pStyle w:val="TOC3"/>
            <w:tabs>
              <w:tab w:val="right" w:leader="dot" w:pos="9016"/>
            </w:tabs>
            <w:rPr>
              <w:rFonts w:asciiTheme="minorHAnsi" w:eastAsiaTheme="minorEastAsia" w:hAnsiTheme="minorHAnsi"/>
              <w:noProof/>
              <w:sz w:val="22"/>
              <w:lang w:eastAsia="en-AU"/>
            </w:rPr>
          </w:pPr>
          <w:hyperlink w:anchor="_Toc184666451" w:history="1">
            <w:r w:rsidR="005937F0" w:rsidRPr="00BC64AD">
              <w:rPr>
                <w:rStyle w:val="Hyperlink"/>
                <w:noProof/>
              </w:rPr>
              <w:t>Deemed compliance – passporting from foreign entities</w:t>
            </w:r>
            <w:r w:rsidR="005937F0">
              <w:rPr>
                <w:noProof/>
                <w:webHidden/>
              </w:rPr>
              <w:tab/>
            </w:r>
            <w:r w:rsidR="005937F0">
              <w:rPr>
                <w:noProof/>
                <w:webHidden/>
              </w:rPr>
              <w:fldChar w:fldCharType="begin"/>
            </w:r>
            <w:r w:rsidR="005937F0">
              <w:rPr>
                <w:noProof/>
                <w:webHidden/>
              </w:rPr>
              <w:instrText xml:space="preserve"> PAGEREF _Toc184666451 \h </w:instrText>
            </w:r>
            <w:r w:rsidR="005937F0">
              <w:rPr>
                <w:noProof/>
                <w:webHidden/>
              </w:rPr>
            </w:r>
            <w:r w:rsidR="005937F0">
              <w:rPr>
                <w:noProof/>
                <w:webHidden/>
              </w:rPr>
              <w:fldChar w:fldCharType="separate"/>
            </w:r>
            <w:r w:rsidR="005937F0">
              <w:rPr>
                <w:noProof/>
                <w:webHidden/>
              </w:rPr>
              <w:t>21</w:t>
            </w:r>
            <w:r w:rsidR="005937F0">
              <w:rPr>
                <w:noProof/>
                <w:webHidden/>
              </w:rPr>
              <w:fldChar w:fldCharType="end"/>
            </w:r>
          </w:hyperlink>
        </w:p>
        <w:p w14:paraId="3AE7586B" w14:textId="623C7D8A" w:rsidR="005937F0" w:rsidRDefault="00A62E1C">
          <w:pPr>
            <w:pStyle w:val="TOC3"/>
            <w:tabs>
              <w:tab w:val="right" w:leader="dot" w:pos="9016"/>
            </w:tabs>
            <w:rPr>
              <w:rFonts w:asciiTheme="minorHAnsi" w:eastAsiaTheme="minorEastAsia" w:hAnsiTheme="minorHAnsi"/>
              <w:noProof/>
              <w:sz w:val="22"/>
              <w:lang w:eastAsia="en-AU"/>
            </w:rPr>
          </w:pPr>
          <w:hyperlink w:anchor="_Toc184666452" w:history="1">
            <w:r w:rsidR="005937F0" w:rsidRPr="00BC64AD">
              <w:rPr>
                <w:rStyle w:val="Hyperlink"/>
                <w:noProof/>
              </w:rPr>
              <w:t>Customers who don’t have standard identification</w:t>
            </w:r>
            <w:r w:rsidR="005937F0">
              <w:rPr>
                <w:noProof/>
                <w:webHidden/>
              </w:rPr>
              <w:tab/>
            </w:r>
            <w:r w:rsidR="005937F0">
              <w:rPr>
                <w:noProof/>
                <w:webHidden/>
              </w:rPr>
              <w:fldChar w:fldCharType="begin"/>
            </w:r>
            <w:r w:rsidR="005937F0">
              <w:rPr>
                <w:noProof/>
                <w:webHidden/>
              </w:rPr>
              <w:instrText xml:space="preserve"> PAGEREF _Toc184666452 \h </w:instrText>
            </w:r>
            <w:r w:rsidR="005937F0">
              <w:rPr>
                <w:noProof/>
                <w:webHidden/>
              </w:rPr>
            </w:r>
            <w:r w:rsidR="005937F0">
              <w:rPr>
                <w:noProof/>
                <w:webHidden/>
              </w:rPr>
              <w:fldChar w:fldCharType="separate"/>
            </w:r>
            <w:r w:rsidR="005937F0">
              <w:rPr>
                <w:noProof/>
                <w:webHidden/>
              </w:rPr>
              <w:t>21</w:t>
            </w:r>
            <w:r w:rsidR="005937F0">
              <w:rPr>
                <w:noProof/>
                <w:webHidden/>
              </w:rPr>
              <w:fldChar w:fldCharType="end"/>
            </w:r>
          </w:hyperlink>
        </w:p>
        <w:p w14:paraId="5837E367" w14:textId="7D878E3F" w:rsidR="005937F0" w:rsidRDefault="00A62E1C">
          <w:pPr>
            <w:pStyle w:val="TOC3"/>
            <w:tabs>
              <w:tab w:val="right" w:leader="dot" w:pos="9016"/>
            </w:tabs>
            <w:rPr>
              <w:rFonts w:asciiTheme="minorHAnsi" w:eastAsiaTheme="minorEastAsia" w:hAnsiTheme="minorHAnsi"/>
              <w:noProof/>
              <w:sz w:val="22"/>
              <w:lang w:eastAsia="en-AU"/>
            </w:rPr>
          </w:pPr>
          <w:hyperlink w:anchor="_Toc184666453" w:history="1">
            <w:r w:rsidR="005937F0" w:rsidRPr="00BC64AD">
              <w:rPr>
                <w:rStyle w:val="Hyperlink"/>
                <w:noProof/>
              </w:rPr>
              <w:t>CDD reliance arrangements</w:t>
            </w:r>
            <w:r w:rsidR="005937F0">
              <w:rPr>
                <w:noProof/>
                <w:webHidden/>
              </w:rPr>
              <w:tab/>
            </w:r>
            <w:r w:rsidR="005937F0">
              <w:rPr>
                <w:noProof/>
                <w:webHidden/>
              </w:rPr>
              <w:fldChar w:fldCharType="begin"/>
            </w:r>
            <w:r w:rsidR="005937F0">
              <w:rPr>
                <w:noProof/>
                <w:webHidden/>
              </w:rPr>
              <w:instrText xml:space="preserve"> PAGEREF _Toc184666453 \h </w:instrText>
            </w:r>
            <w:r w:rsidR="005937F0">
              <w:rPr>
                <w:noProof/>
                <w:webHidden/>
              </w:rPr>
            </w:r>
            <w:r w:rsidR="005937F0">
              <w:rPr>
                <w:noProof/>
                <w:webHidden/>
              </w:rPr>
              <w:fldChar w:fldCharType="separate"/>
            </w:r>
            <w:r w:rsidR="005937F0">
              <w:rPr>
                <w:noProof/>
                <w:webHidden/>
              </w:rPr>
              <w:t>22</w:t>
            </w:r>
            <w:r w:rsidR="005937F0">
              <w:rPr>
                <w:noProof/>
                <w:webHidden/>
              </w:rPr>
              <w:fldChar w:fldCharType="end"/>
            </w:r>
          </w:hyperlink>
        </w:p>
        <w:p w14:paraId="731BBAC9" w14:textId="5AE8DE9F" w:rsidR="005937F0" w:rsidRDefault="00A62E1C">
          <w:pPr>
            <w:pStyle w:val="TOC2"/>
            <w:rPr>
              <w:rFonts w:asciiTheme="minorHAnsi" w:eastAsiaTheme="minorEastAsia" w:hAnsiTheme="minorHAnsi"/>
              <w:noProof/>
              <w:sz w:val="22"/>
              <w:lang w:eastAsia="en-AU"/>
            </w:rPr>
          </w:pPr>
          <w:hyperlink w:anchor="_Toc184666454" w:history="1">
            <w:r w:rsidR="005937F0" w:rsidRPr="00BC64AD">
              <w:rPr>
                <w:rStyle w:val="Hyperlink"/>
                <w:noProof/>
              </w:rPr>
              <w:t>Transfer of value (travel rule)</w:t>
            </w:r>
            <w:r w:rsidR="005937F0">
              <w:rPr>
                <w:noProof/>
                <w:webHidden/>
              </w:rPr>
              <w:tab/>
            </w:r>
            <w:r w:rsidR="005937F0">
              <w:rPr>
                <w:noProof/>
                <w:webHidden/>
              </w:rPr>
              <w:fldChar w:fldCharType="begin"/>
            </w:r>
            <w:r w:rsidR="005937F0">
              <w:rPr>
                <w:noProof/>
                <w:webHidden/>
              </w:rPr>
              <w:instrText xml:space="preserve"> PAGEREF _Toc184666454 \h </w:instrText>
            </w:r>
            <w:r w:rsidR="005937F0">
              <w:rPr>
                <w:noProof/>
                <w:webHidden/>
              </w:rPr>
            </w:r>
            <w:r w:rsidR="005937F0">
              <w:rPr>
                <w:noProof/>
                <w:webHidden/>
              </w:rPr>
              <w:fldChar w:fldCharType="separate"/>
            </w:r>
            <w:r w:rsidR="005937F0">
              <w:rPr>
                <w:noProof/>
                <w:webHidden/>
              </w:rPr>
              <w:t>22</w:t>
            </w:r>
            <w:r w:rsidR="005937F0">
              <w:rPr>
                <w:noProof/>
                <w:webHidden/>
              </w:rPr>
              <w:fldChar w:fldCharType="end"/>
            </w:r>
          </w:hyperlink>
        </w:p>
        <w:p w14:paraId="09D99F18" w14:textId="583A289B" w:rsidR="005937F0" w:rsidRDefault="00A62E1C">
          <w:pPr>
            <w:pStyle w:val="TOC2"/>
            <w:rPr>
              <w:rFonts w:asciiTheme="minorHAnsi" w:eastAsiaTheme="minorEastAsia" w:hAnsiTheme="minorHAnsi"/>
              <w:noProof/>
              <w:sz w:val="22"/>
              <w:lang w:eastAsia="en-AU"/>
            </w:rPr>
          </w:pPr>
          <w:hyperlink w:anchor="_Toc184666455" w:history="1">
            <w:r w:rsidR="005937F0" w:rsidRPr="00BC64AD">
              <w:rPr>
                <w:rStyle w:val="Hyperlink"/>
                <w:noProof/>
              </w:rPr>
              <w:t>Keep open notices</w:t>
            </w:r>
            <w:r w:rsidR="005937F0">
              <w:rPr>
                <w:noProof/>
                <w:webHidden/>
              </w:rPr>
              <w:tab/>
            </w:r>
            <w:r w:rsidR="005937F0">
              <w:rPr>
                <w:noProof/>
                <w:webHidden/>
              </w:rPr>
              <w:fldChar w:fldCharType="begin"/>
            </w:r>
            <w:r w:rsidR="005937F0">
              <w:rPr>
                <w:noProof/>
                <w:webHidden/>
              </w:rPr>
              <w:instrText xml:space="preserve"> PAGEREF _Toc184666455 \h </w:instrText>
            </w:r>
            <w:r w:rsidR="005937F0">
              <w:rPr>
                <w:noProof/>
                <w:webHidden/>
              </w:rPr>
            </w:r>
            <w:r w:rsidR="005937F0">
              <w:rPr>
                <w:noProof/>
                <w:webHidden/>
              </w:rPr>
              <w:fldChar w:fldCharType="separate"/>
            </w:r>
            <w:r w:rsidR="005937F0">
              <w:rPr>
                <w:noProof/>
                <w:webHidden/>
              </w:rPr>
              <w:t>24</w:t>
            </w:r>
            <w:r w:rsidR="005937F0">
              <w:rPr>
                <w:noProof/>
                <w:webHidden/>
              </w:rPr>
              <w:fldChar w:fldCharType="end"/>
            </w:r>
          </w:hyperlink>
        </w:p>
        <w:p w14:paraId="7CB908BF" w14:textId="631FE3E4" w:rsidR="005937F0" w:rsidRDefault="00A62E1C">
          <w:pPr>
            <w:pStyle w:val="TOC2"/>
            <w:rPr>
              <w:rFonts w:asciiTheme="minorHAnsi" w:eastAsiaTheme="minorEastAsia" w:hAnsiTheme="minorHAnsi"/>
              <w:noProof/>
              <w:sz w:val="22"/>
              <w:lang w:eastAsia="en-AU"/>
            </w:rPr>
          </w:pPr>
          <w:hyperlink w:anchor="_Toc184666456" w:history="1">
            <w:r w:rsidR="005937F0" w:rsidRPr="00BC64AD">
              <w:rPr>
                <w:rStyle w:val="Hyperlink"/>
                <w:noProof/>
              </w:rPr>
              <w:t>Minor amendments</w:t>
            </w:r>
            <w:r w:rsidR="005937F0">
              <w:rPr>
                <w:noProof/>
                <w:webHidden/>
              </w:rPr>
              <w:tab/>
            </w:r>
            <w:r w:rsidR="005937F0">
              <w:rPr>
                <w:noProof/>
                <w:webHidden/>
              </w:rPr>
              <w:fldChar w:fldCharType="begin"/>
            </w:r>
            <w:r w:rsidR="005937F0">
              <w:rPr>
                <w:noProof/>
                <w:webHidden/>
              </w:rPr>
              <w:instrText xml:space="preserve"> PAGEREF _Toc184666456 \h </w:instrText>
            </w:r>
            <w:r w:rsidR="005937F0">
              <w:rPr>
                <w:noProof/>
                <w:webHidden/>
              </w:rPr>
            </w:r>
            <w:r w:rsidR="005937F0">
              <w:rPr>
                <w:noProof/>
                <w:webHidden/>
              </w:rPr>
              <w:fldChar w:fldCharType="separate"/>
            </w:r>
            <w:r w:rsidR="005937F0">
              <w:rPr>
                <w:noProof/>
                <w:webHidden/>
              </w:rPr>
              <w:t>25</w:t>
            </w:r>
            <w:r w:rsidR="005937F0">
              <w:rPr>
                <w:noProof/>
                <w:webHidden/>
              </w:rPr>
              <w:fldChar w:fldCharType="end"/>
            </w:r>
          </w:hyperlink>
        </w:p>
        <w:p w14:paraId="61918DF5" w14:textId="35F98CAD" w:rsidR="005937F0" w:rsidRDefault="00A62E1C">
          <w:pPr>
            <w:pStyle w:val="TOC1"/>
            <w:tabs>
              <w:tab w:val="left" w:pos="440"/>
              <w:tab w:val="right" w:leader="dot" w:pos="9016"/>
            </w:tabs>
            <w:rPr>
              <w:rFonts w:asciiTheme="minorHAnsi" w:eastAsiaTheme="minorEastAsia" w:hAnsiTheme="minorHAnsi"/>
              <w:noProof/>
              <w:sz w:val="22"/>
              <w:lang w:eastAsia="en-AU"/>
            </w:rPr>
          </w:pPr>
          <w:hyperlink w:anchor="_Toc184666457" w:history="1">
            <w:r w:rsidR="005937F0" w:rsidRPr="00BC64AD">
              <w:rPr>
                <w:rStyle w:val="Hyperlink"/>
                <w:noProof/>
              </w:rPr>
              <w:t>4.</w:t>
            </w:r>
            <w:r w:rsidR="005937F0">
              <w:rPr>
                <w:rFonts w:asciiTheme="minorHAnsi" w:eastAsiaTheme="minorEastAsia" w:hAnsiTheme="minorHAnsi"/>
                <w:noProof/>
                <w:sz w:val="22"/>
                <w:lang w:eastAsia="en-AU"/>
              </w:rPr>
              <w:tab/>
            </w:r>
            <w:r w:rsidR="005937F0" w:rsidRPr="00BC64AD">
              <w:rPr>
                <w:rStyle w:val="Hyperlink"/>
                <w:noProof/>
              </w:rPr>
              <w:t>Questions</w:t>
            </w:r>
            <w:r w:rsidR="005937F0">
              <w:rPr>
                <w:noProof/>
                <w:webHidden/>
              </w:rPr>
              <w:tab/>
            </w:r>
            <w:r w:rsidR="005937F0">
              <w:rPr>
                <w:noProof/>
                <w:webHidden/>
              </w:rPr>
              <w:fldChar w:fldCharType="begin"/>
            </w:r>
            <w:r w:rsidR="005937F0">
              <w:rPr>
                <w:noProof/>
                <w:webHidden/>
              </w:rPr>
              <w:instrText xml:space="preserve"> PAGEREF _Toc184666457 \h </w:instrText>
            </w:r>
            <w:r w:rsidR="005937F0">
              <w:rPr>
                <w:noProof/>
                <w:webHidden/>
              </w:rPr>
            </w:r>
            <w:r w:rsidR="005937F0">
              <w:rPr>
                <w:noProof/>
                <w:webHidden/>
              </w:rPr>
              <w:fldChar w:fldCharType="separate"/>
            </w:r>
            <w:r w:rsidR="005937F0">
              <w:rPr>
                <w:noProof/>
                <w:webHidden/>
              </w:rPr>
              <w:t>26</w:t>
            </w:r>
            <w:r w:rsidR="005937F0">
              <w:rPr>
                <w:noProof/>
                <w:webHidden/>
              </w:rPr>
              <w:fldChar w:fldCharType="end"/>
            </w:r>
          </w:hyperlink>
        </w:p>
        <w:p w14:paraId="27FFD289" w14:textId="492E7FA8" w:rsidR="005937F0" w:rsidRDefault="00A62E1C">
          <w:pPr>
            <w:pStyle w:val="TOC2"/>
            <w:rPr>
              <w:rFonts w:asciiTheme="minorHAnsi" w:eastAsiaTheme="minorEastAsia" w:hAnsiTheme="minorHAnsi"/>
              <w:noProof/>
              <w:sz w:val="22"/>
              <w:lang w:eastAsia="en-AU"/>
            </w:rPr>
          </w:pPr>
          <w:hyperlink w:anchor="_Toc184666458" w:history="1">
            <w:r w:rsidR="005937F0" w:rsidRPr="00BC64AD">
              <w:rPr>
                <w:rStyle w:val="Hyperlink"/>
                <w:noProof/>
              </w:rPr>
              <w:t>General</w:t>
            </w:r>
            <w:r w:rsidR="005937F0">
              <w:rPr>
                <w:noProof/>
                <w:webHidden/>
              </w:rPr>
              <w:tab/>
            </w:r>
            <w:r w:rsidR="005937F0">
              <w:rPr>
                <w:noProof/>
                <w:webHidden/>
              </w:rPr>
              <w:fldChar w:fldCharType="begin"/>
            </w:r>
            <w:r w:rsidR="005937F0">
              <w:rPr>
                <w:noProof/>
                <w:webHidden/>
              </w:rPr>
              <w:instrText xml:space="preserve"> PAGEREF _Toc184666458 \h </w:instrText>
            </w:r>
            <w:r w:rsidR="005937F0">
              <w:rPr>
                <w:noProof/>
                <w:webHidden/>
              </w:rPr>
            </w:r>
            <w:r w:rsidR="005937F0">
              <w:rPr>
                <w:noProof/>
                <w:webHidden/>
              </w:rPr>
              <w:fldChar w:fldCharType="separate"/>
            </w:r>
            <w:r w:rsidR="005937F0">
              <w:rPr>
                <w:noProof/>
                <w:webHidden/>
              </w:rPr>
              <w:t>26</w:t>
            </w:r>
            <w:r w:rsidR="005937F0">
              <w:rPr>
                <w:noProof/>
                <w:webHidden/>
              </w:rPr>
              <w:fldChar w:fldCharType="end"/>
            </w:r>
          </w:hyperlink>
        </w:p>
        <w:p w14:paraId="1C3CA624" w14:textId="2513599C" w:rsidR="005937F0" w:rsidRDefault="00A62E1C">
          <w:pPr>
            <w:pStyle w:val="TOC2"/>
            <w:rPr>
              <w:rFonts w:asciiTheme="minorHAnsi" w:eastAsiaTheme="minorEastAsia" w:hAnsiTheme="minorHAnsi"/>
              <w:noProof/>
              <w:sz w:val="22"/>
              <w:lang w:eastAsia="en-AU"/>
            </w:rPr>
          </w:pPr>
          <w:hyperlink w:anchor="_Toc184666459" w:history="1">
            <w:r w:rsidR="005937F0" w:rsidRPr="00BC64AD">
              <w:rPr>
                <w:rStyle w:val="Hyperlink"/>
                <w:noProof/>
              </w:rPr>
              <w:t>AML/CTF programs</w:t>
            </w:r>
            <w:r w:rsidR="005937F0">
              <w:rPr>
                <w:noProof/>
                <w:webHidden/>
              </w:rPr>
              <w:tab/>
            </w:r>
            <w:r w:rsidR="005937F0">
              <w:rPr>
                <w:noProof/>
                <w:webHidden/>
              </w:rPr>
              <w:fldChar w:fldCharType="begin"/>
            </w:r>
            <w:r w:rsidR="005937F0">
              <w:rPr>
                <w:noProof/>
                <w:webHidden/>
              </w:rPr>
              <w:instrText xml:space="preserve"> PAGEREF _Toc184666459 \h </w:instrText>
            </w:r>
            <w:r w:rsidR="005937F0">
              <w:rPr>
                <w:noProof/>
                <w:webHidden/>
              </w:rPr>
            </w:r>
            <w:r w:rsidR="005937F0">
              <w:rPr>
                <w:noProof/>
                <w:webHidden/>
              </w:rPr>
              <w:fldChar w:fldCharType="separate"/>
            </w:r>
            <w:r w:rsidR="005937F0">
              <w:rPr>
                <w:noProof/>
                <w:webHidden/>
              </w:rPr>
              <w:t>26</w:t>
            </w:r>
            <w:r w:rsidR="005937F0">
              <w:rPr>
                <w:noProof/>
                <w:webHidden/>
              </w:rPr>
              <w:fldChar w:fldCharType="end"/>
            </w:r>
          </w:hyperlink>
        </w:p>
        <w:p w14:paraId="5DBE7AC8" w14:textId="22FF4F72" w:rsidR="005937F0" w:rsidRDefault="00A62E1C">
          <w:pPr>
            <w:pStyle w:val="TOC2"/>
            <w:rPr>
              <w:rFonts w:asciiTheme="minorHAnsi" w:eastAsiaTheme="minorEastAsia" w:hAnsiTheme="minorHAnsi"/>
              <w:noProof/>
              <w:sz w:val="22"/>
              <w:lang w:eastAsia="en-AU"/>
            </w:rPr>
          </w:pPr>
          <w:hyperlink w:anchor="_Toc184666460" w:history="1">
            <w:r w:rsidR="005937F0" w:rsidRPr="00BC64AD">
              <w:rPr>
                <w:rStyle w:val="Hyperlink"/>
                <w:noProof/>
              </w:rPr>
              <w:t>Reporting groups</w:t>
            </w:r>
            <w:r w:rsidR="005937F0">
              <w:rPr>
                <w:noProof/>
                <w:webHidden/>
              </w:rPr>
              <w:tab/>
            </w:r>
            <w:r w:rsidR="005937F0">
              <w:rPr>
                <w:noProof/>
                <w:webHidden/>
              </w:rPr>
              <w:fldChar w:fldCharType="begin"/>
            </w:r>
            <w:r w:rsidR="005937F0">
              <w:rPr>
                <w:noProof/>
                <w:webHidden/>
              </w:rPr>
              <w:instrText xml:space="preserve"> PAGEREF _Toc184666460 \h </w:instrText>
            </w:r>
            <w:r w:rsidR="005937F0">
              <w:rPr>
                <w:noProof/>
                <w:webHidden/>
              </w:rPr>
            </w:r>
            <w:r w:rsidR="005937F0">
              <w:rPr>
                <w:noProof/>
                <w:webHidden/>
              </w:rPr>
              <w:fldChar w:fldCharType="separate"/>
            </w:r>
            <w:r w:rsidR="005937F0">
              <w:rPr>
                <w:noProof/>
                <w:webHidden/>
              </w:rPr>
              <w:t>26</w:t>
            </w:r>
            <w:r w:rsidR="005937F0">
              <w:rPr>
                <w:noProof/>
                <w:webHidden/>
              </w:rPr>
              <w:fldChar w:fldCharType="end"/>
            </w:r>
          </w:hyperlink>
        </w:p>
        <w:p w14:paraId="6F794456" w14:textId="4D0502A2" w:rsidR="005937F0" w:rsidRDefault="00A62E1C">
          <w:pPr>
            <w:pStyle w:val="TOC2"/>
            <w:rPr>
              <w:rFonts w:asciiTheme="minorHAnsi" w:eastAsiaTheme="minorEastAsia" w:hAnsiTheme="minorHAnsi"/>
              <w:noProof/>
              <w:sz w:val="22"/>
              <w:lang w:eastAsia="en-AU"/>
            </w:rPr>
          </w:pPr>
          <w:hyperlink w:anchor="_Toc184666461" w:history="1">
            <w:r w:rsidR="005937F0" w:rsidRPr="00BC64AD">
              <w:rPr>
                <w:rStyle w:val="Hyperlink"/>
                <w:noProof/>
              </w:rPr>
              <w:t>Customer due diligence</w:t>
            </w:r>
            <w:r w:rsidR="005937F0">
              <w:rPr>
                <w:noProof/>
                <w:webHidden/>
              </w:rPr>
              <w:tab/>
            </w:r>
            <w:r w:rsidR="005937F0">
              <w:rPr>
                <w:noProof/>
                <w:webHidden/>
              </w:rPr>
              <w:fldChar w:fldCharType="begin"/>
            </w:r>
            <w:r w:rsidR="005937F0">
              <w:rPr>
                <w:noProof/>
                <w:webHidden/>
              </w:rPr>
              <w:instrText xml:space="preserve"> PAGEREF _Toc184666461 \h </w:instrText>
            </w:r>
            <w:r w:rsidR="005937F0">
              <w:rPr>
                <w:noProof/>
                <w:webHidden/>
              </w:rPr>
            </w:r>
            <w:r w:rsidR="005937F0">
              <w:rPr>
                <w:noProof/>
                <w:webHidden/>
              </w:rPr>
              <w:fldChar w:fldCharType="separate"/>
            </w:r>
            <w:r w:rsidR="005937F0">
              <w:rPr>
                <w:noProof/>
                <w:webHidden/>
              </w:rPr>
              <w:t>27</w:t>
            </w:r>
            <w:r w:rsidR="005937F0">
              <w:rPr>
                <w:noProof/>
                <w:webHidden/>
              </w:rPr>
              <w:fldChar w:fldCharType="end"/>
            </w:r>
          </w:hyperlink>
        </w:p>
        <w:p w14:paraId="1A3F96D9" w14:textId="240BC721" w:rsidR="005937F0" w:rsidRDefault="00A62E1C">
          <w:pPr>
            <w:pStyle w:val="TOC2"/>
            <w:rPr>
              <w:rFonts w:asciiTheme="minorHAnsi" w:eastAsiaTheme="minorEastAsia" w:hAnsiTheme="minorHAnsi"/>
              <w:noProof/>
              <w:sz w:val="22"/>
              <w:lang w:eastAsia="en-AU"/>
            </w:rPr>
          </w:pPr>
          <w:hyperlink w:anchor="_Toc184666462" w:history="1">
            <w:r w:rsidR="005937F0" w:rsidRPr="00BC64AD">
              <w:rPr>
                <w:rStyle w:val="Hyperlink"/>
                <w:noProof/>
              </w:rPr>
              <w:t>Compliance reports</w:t>
            </w:r>
            <w:r w:rsidR="005937F0">
              <w:rPr>
                <w:noProof/>
                <w:webHidden/>
              </w:rPr>
              <w:tab/>
            </w:r>
            <w:r w:rsidR="005937F0">
              <w:rPr>
                <w:noProof/>
                <w:webHidden/>
              </w:rPr>
              <w:fldChar w:fldCharType="begin"/>
            </w:r>
            <w:r w:rsidR="005937F0">
              <w:rPr>
                <w:noProof/>
                <w:webHidden/>
              </w:rPr>
              <w:instrText xml:space="preserve"> PAGEREF _Toc184666462 \h </w:instrText>
            </w:r>
            <w:r w:rsidR="005937F0">
              <w:rPr>
                <w:noProof/>
                <w:webHidden/>
              </w:rPr>
            </w:r>
            <w:r w:rsidR="005937F0">
              <w:rPr>
                <w:noProof/>
                <w:webHidden/>
              </w:rPr>
              <w:fldChar w:fldCharType="separate"/>
            </w:r>
            <w:r w:rsidR="005937F0">
              <w:rPr>
                <w:noProof/>
                <w:webHidden/>
              </w:rPr>
              <w:t>27</w:t>
            </w:r>
            <w:r w:rsidR="005937F0">
              <w:rPr>
                <w:noProof/>
                <w:webHidden/>
              </w:rPr>
              <w:fldChar w:fldCharType="end"/>
            </w:r>
          </w:hyperlink>
        </w:p>
        <w:p w14:paraId="148AC333" w14:textId="0AC7AD86" w:rsidR="005937F0" w:rsidRDefault="00A62E1C">
          <w:pPr>
            <w:pStyle w:val="TOC2"/>
            <w:rPr>
              <w:rFonts w:asciiTheme="minorHAnsi" w:eastAsiaTheme="minorEastAsia" w:hAnsiTheme="minorHAnsi"/>
              <w:noProof/>
              <w:sz w:val="22"/>
              <w:lang w:eastAsia="en-AU"/>
            </w:rPr>
          </w:pPr>
          <w:hyperlink w:anchor="_Toc184666463" w:history="1">
            <w:r w:rsidR="005937F0" w:rsidRPr="00BC64AD">
              <w:rPr>
                <w:rStyle w:val="Hyperlink"/>
                <w:noProof/>
              </w:rPr>
              <w:t>Value transfer</w:t>
            </w:r>
            <w:r w:rsidR="005937F0">
              <w:rPr>
                <w:noProof/>
                <w:webHidden/>
              </w:rPr>
              <w:tab/>
            </w:r>
            <w:r w:rsidR="005937F0">
              <w:rPr>
                <w:noProof/>
                <w:webHidden/>
              </w:rPr>
              <w:fldChar w:fldCharType="begin"/>
            </w:r>
            <w:r w:rsidR="005937F0">
              <w:rPr>
                <w:noProof/>
                <w:webHidden/>
              </w:rPr>
              <w:instrText xml:space="preserve"> PAGEREF _Toc184666463 \h </w:instrText>
            </w:r>
            <w:r w:rsidR="005937F0">
              <w:rPr>
                <w:noProof/>
                <w:webHidden/>
              </w:rPr>
            </w:r>
            <w:r w:rsidR="005937F0">
              <w:rPr>
                <w:noProof/>
                <w:webHidden/>
              </w:rPr>
              <w:fldChar w:fldCharType="separate"/>
            </w:r>
            <w:r w:rsidR="005937F0">
              <w:rPr>
                <w:noProof/>
                <w:webHidden/>
              </w:rPr>
              <w:t>27</w:t>
            </w:r>
            <w:r w:rsidR="005937F0">
              <w:rPr>
                <w:noProof/>
                <w:webHidden/>
              </w:rPr>
              <w:fldChar w:fldCharType="end"/>
            </w:r>
          </w:hyperlink>
        </w:p>
        <w:p w14:paraId="2A6F3021" w14:textId="45F7E68D" w:rsidR="005937F0" w:rsidRDefault="00A62E1C">
          <w:pPr>
            <w:pStyle w:val="TOC2"/>
            <w:rPr>
              <w:rFonts w:asciiTheme="minorHAnsi" w:eastAsiaTheme="minorEastAsia" w:hAnsiTheme="minorHAnsi"/>
              <w:noProof/>
              <w:sz w:val="22"/>
              <w:lang w:eastAsia="en-AU"/>
            </w:rPr>
          </w:pPr>
          <w:hyperlink w:anchor="_Toc184666464" w:history="1">
            <w:r w:rsidR="005937F0" w:rsidRPr="00BC64AD">
              <w:rPr>
                <w:rStyle w:val="Hyperlink"/>
                <w:noProof/>
              </w:rPr>
              <w:t>Keep open notices</w:t>
            </w:r>
            <w:r w:rsidR="005937F0">
              <w:rPr>
                <w:noProof/>
                <w:webHidden/>
              </w:rPr>
              <w:tab/>
            </w:r>
            <w:r w:rsidR="005937F0">
              <w:rPr>
                <w:noProof/>
                <w:webHidden/>
              </w:rPr>
              <w:fldChar w:fldCharType="begin"/>
            </w:r>
            <w:r w:rsidR="005937F0">
              <w:rPr>
                <w:noProof/>
                <w:webHidden/>
              </w:rPr>
              <w:instrText xml:space="preserve"> PAGEREF _Toc184666464 \h </w:instrText>
            </w:r>
            <w:r w:rsidR="005937F0">
              <w:rPr>
                <w:noProof/>
                <w:webHidden/>
              </w:rPr>
            </w:r>
            <w:r w:rsidR="005937F0">
              <w:rPr>
                <w:noProof/>
                <w:webHidden/>
              </w:rPr>
              <w:fldChar w:fldCharType="separate"/>
            </w:r>
            <w:r w:rsidR="005937F0">
              <w:rPr>
                <w:noProof/>
                <w:webHidden/>
              </w:rPr>
              <w:t>27</w:t>
            </w:r>
            <w:r w:rsidR="005937F0">
              <w:rPr>
                <w:noProof/>
                <w:webHidden/>
              </w:rPr>
              <w:fldChar w:fldCharType="end"/>
            </w:r>
          </w:hyperlink>
        </w:p>
        <w:p w14:paraId="428D192C" w14:textId="2CF192E9" w:rsidR="005937F0" w:rsidRDefault="005937F0">
          <w:r>
            <w:rPr>
              <w:b/>
              <w:bCs/>
              <w:noProof/>
            </w:rPr>
            <w:fldChar w:fldCharType="end"/>
          </w:r>
        </w:p>
      </w:sdtContent>
    </w:sdt>
    <w:p w14:paraId="3A8E7CCF" w14:textId="77777777" w:rsidR="00BC5E2F" w:rsidRDefault="00BC5E2F"/>
    <w:p w14:paraId="0756E8F2" w14:textId="77777777" w:rsidR="00D27A50" w:rsidRPr="000E29E2" w:rsidRDefault="7F6BD21A" w:rsidP="000E29E2">
      <w:pPr>
        <w:pStyle w:val="Heading1"/>
      </w:pPr>
      <w:bookmarkStart w:id="13" w:name="_Toc184666425"/>
      <w:r>
        <w:lastRenderedPageBreak/>
        <w:t>Introduction</w:t>
      </w:r>
      <w:bookmarkEnd w:id="13"/>
    </w:p>
    <w:p w14:paraId="2C3333ED" w14:textId="724FC021" w:rsidR="00B951A4" w:rsidRDefault="7CA0D139" w:rsidP="00B951A4">
      <w:r w:rsidRPr="00BD27DF">
        <w:t xml:space="preserve">The Australian Institute of Criminology estimates that serious and organised crime cost the Australian community up to </w:t>
      </w:r>
      <w:r w:rsidR="1972D2F9">
        <w:t>$</w:t>
      </w:r>
      <w:r w:rsidRPr="00BD27DF">
        <w:t>60.1 billion in 2020-21, with illicit financing at the centre of most crime types.</w:t>
      </w:r>
      <w:r w:rsidR="00B951A4">
        <w:rPr>
          <w:rStyle w:val="FootnoteReference"/>
        </w:rPr>
        <w:footnoteReference w:id="1"/>
      </w:r>
      <w:r w:rsidRPr="00BD27DF">
        <w:t xml:space="preserve"> </w:t>
      </w:r>
      <w:r>
        <w:t>Illicit financing</w:t>
      </w:r>
      <w:r w:rsidR="123207F1">
        <w:t xml:space="preserve"> includes money laundering (ML)</w:t>
      </w:r>
      <w:r w:rsidR="096988B8">
        <w:t xml:space="preserve"> and</w:t>
      </w:r>
      <w:r w:rsidR="123207F1">
        <w:t xml:space="preserve"> </w:t>
      </w:r>
      <w:r>
        <w:t>t</w:t>
      </w:r>
      <w:r w:rsidR="123207F1">
        <w:t>errorism financing (TF) activity</w:t>
      </w:r>
      <w:r>
        <w:t xml:space="preserve"> which impacts the safety and wellbeing of Australian</w:t>
      </w:r>
      <w:r w:rsidR="04B2EC73">
        <w:t>s</w:t>
      </w:r>
      <w:r>
        <w:t>, and exploits and distorts legitimate markets and economic activity.</w:t>
      </w:r>
      <w:r w:rsidR="00CA7B85">
        <w:rPr>
          <w:rStyle w:val="FootnoteReference"/>
        </w:rPr>
        <w:footnoteReference w:id="2"/>
      </w:r>
      <w:r>
        <w:t xml:space="preserve"> </w:t>
      </w:r>
    </w:p>
    <w:p w14:paraId="435BE4C9" w14:textId="3FB8B9B2" w:rsidR="0089627F" w:rsidRDefault="1F21C074" w:rsidP="0089627F">
      <w:r>
        <w:t xml:space="preserve">The </w:t>
      </w:r>
      <w:hyperlink r:id="rId11">
        <w:r w:rsidRPr="24363412">
          <w:rPr>
            <w:rStyle w:val="Hyperlink"/>
            <w:i/>
            <w:iCs/>
          </w:rPr>
          <w:t>Anti-Money Laundering and Counter-Terrorism Financing Act 2006</w:t>
        </w:r>
        <w:r w:rsidRPr="24363412">
          <w:rPr>
            <w:rStyle w:val="Hyperlink"/>
          </w:rPr>
          <w:t> </w:t>
        </w:r>
      </w:hyperlink>
      <w:r>
        <w:t>(</w:t>
      </w:r>
      <w:r w:rsidR="0C72B5E4" w:rsidRPr="24363412">
        <w:rPr>
          <w:b/>
          <w:bCs/>
        </w:rPr>
        <w:t xml:space="preserve">the </w:t>
      </w:r>
      <w:r w:rsidRPr="24363412">
        <w:rPr>
          <w:b/>
          <w:bCs/>
        </w:rPr>
        <w:t>AML/CTF Act</w:t>
      </w:r>
      <w:r>
        <w:t xml:space="preserve">) </w:t>
      </w:r>
      <w:r w:rsidR="248C15CD">
        <w:t xml:space="preserve">currently </w:t>
      </w:r>
      <w:r>
        <w:t>regulates businesses that provide certain high-risk services (designated services) to help fight ML/TF. Regulated businesses have a range of obligations including, but not limited to:</w:t>
      </w:r>
    </w:p>
    <w:p w14:paraId="3764DD1E" w14:textId="77777777" w:rsidR="0089627F" w:rsidRPr="00B53998" w:rsidRDefault="00D17B1D" w:rsidP="001838F9">
      <w:pPr>
        <w:pStyle w:val="ListParagraph"/>
        <w:numPr>
          <w:ilvl w:val="0"/>
          <w:numId w:val="22"/>
        </w:numPr>
        <w:ind w:left="777" w:hanging="357"/>
        <w:contextualSpacing w:val="0"/>
        <w:rPr>
          <w:iCs/>
        </w:rPr>
      </w:pPr>
      <w:r>
        <w:rPr>
          <w:iCs/>
        </w:rPr>
        <w:t>knowing</w:t>
      </w:r>
      <w:r w:rsidRPr="00B53998">
        <w:rPr>
          <w:iCs/>
        </w:rPr>
        <w:t xml:space="preserve"> </w:t>
      </w:r>
      <w:r w:rsidR="0089627F" w:rsidRPr="00B53998">
        <w:rPr>
          <w:iCs/>
        </w:rPr>
        <w:t>who their customers are</w:t>
      </w:r>
    </w:p>
    <w:p w14:paraId="3383A988" w14:textId="77777777" w:rsidR="0089627F" w:rsidRPr="00B53998" w:rsidRDefault="0D974D12" w:rsidP="24363412">
      <w:pPr>
        <w:pStyle w:val="ListParagraph"/>
        <w:numPr>
          <w:ilvl w:val="0"/>
          <w:numId w:val="22"/>
        </w:numPr>
        <w:ind w:left="777" w:hanging="357"/>
        <w:contextualSpacing w:val="0"/>
      </w:pPr>
      <w:r>
        <w:t xml:space="preserve">identifying and </w:t>
      </w:r>
      <w:r w:rsidR="1F21C074">
        <w:t>assessing their ML/TF risks</w:t>
      </w:r>
    </w:p>
    <w:p w14:paraId="5D0B93E1" w14:textId="77777777" w:rsidR="0089627F" w:rsidRPr="00B53998" w:rsidRDefault="0089627F" w:rsidP="001838F9">
      <w:pPr>
        <w:pStyle w:val="ListParagraph"/>
        <w:numPr>
          <w:ilvl w:val="0"/>
          <w:numId w:val="22"/>
        </w:numPr>
        <w:ind w:left="777" w:hanging="357"/>
        <w:contextualSpacing w:val="0"/>
        <w:rPr>
          <w:iCs/>
        </w:rPr>
      </w:pPr>
      <w:r w:rsidRPr="00B53998">
        <w:rPr>
          <w:iCs/>
        </w:rPr>
        <w:t>mitigating and managing their ML/TF risks</w:t>
      </w:r>
    </w:p>
    <w:p w14:paraId="203517E6" w14:textId="77777777" w:rsidR="0089627F" w:rsidRPr="00B53998" w:rsidRDefault="0089627F" w:rsidP="001838F9">
      <w:pPr>
        <w:pStyle w:val="ListParagraph"/>
        <w:numPr>
          <w:ilvl w:val="0"/>
          <w:numId w:val="22"/>
        </w:numPr>
        <w:ind w:left="777" w:hanging="357"/>
        <w:contextualSpacing w:val="0"/>
        <w:rPr>
          <w:iCs/>
        </w:rPr>
      </w:pPr>
      <w:r w:rsidRPr="00B53998">
        <w:rPr>
          <w:iCs/>
        </w:rPr>
        <w:t>reporting certain transactions and suspicious matters to AUSTRAC.</w:t>
      </w:r>
    </w:p>
    <w:p w14:paraId="2FE2A161" w14:textId="0A546E6D" w:rsidR="008C5668" w:rsidRDefault="1F21C074" w:rsidP="0089627F">
      <w:r>
        <w:t>The</w:t>
      </w:r>
      <w:r w:rsidR="17A1A17E">
        <w:t xml:space="preserve"> AML/CTF Act, as amended by the</w:t>
      </w:r>
      <w:r>
        <w:t xml:space="preserve"> </w:t>
      </w:r>
      <w:hyperlink r:id="rId12">
        <w:r w:rsidRPr="00966FE1">
          <w:rPr>
            <w:rStyle w:val="Hyperlink"/>
            <w:i/>
          </w:rPr>
          <w:t xml:space="preserve">AML/CTF Amendment </w:t>
        </w:r>
        <w:r w:rsidR="006003EE" w:rsidRPr="00966FE1">
          <w:rPr>
            <w:rStyle w:val="Hyperlink"/>
            <w:i/>
          </w:rPr>
          <w:t>Act</w:t>
        </w:r>
        <w:r w:rsidRPr="00966FE1">
          <w:rPr>
            <w:rStyle w:val="Hyperlink"/>
            <w:i/>
          </w:rPr>
          <w:t xml:space="preserve"> 2024</w:t>
        </w:r>
      </w:hyperlink>
      <w:r>
        <w:t xml:space="preserve"> </w:t>
      </w:r>
      <w:r w:rsidR="17A1A17E">
        <w:t>(</w:t>
      </w:r>
      <w:r w:rsidR="17A1A17E" w:rsidRPr="24363412">
        <w:rPr>
          <w:b/>
          <w:bCs/>
        </w:rPr>
        <w:t xml:space="preserve">the </w:t>
      </w:r>
      <w:r w:rsidR="006003EE">
        <w:rPr>
          <w:b/>
          <w:bCs/>
        </w:rPr>
        <w:t>Amendment Act</w:t>
      </w:r>
      <w:r w:rsidR="17A1A17E">
        <w:t>)</w:t>
      </w:r>
      <w:r w:rsidR="21C742FC">
        <w:t>,</w:t>
      </w:r>
      <w:r w:rsidR="78E375E6">
        <w:t xml:space="preserve"> will form </w:t>
      </w:r>
      <w:r w:rsidR="17A1A17E" w:rsidRPr="24363412">
        <w:rPr>
          <w:b/>
          <w:bCs/>
        </w:rPr>
        <w:t xml:space="preserve">the </w:t>
      </w:r>
      <w:r w:rsidR="21397202" w:rsidRPr="24363412">
        <w:rPr>
          <w:b/>
          <w:bCs/>
        </w:rPr>
        <w:t>Amended AML/CTF Act</w:t>
      </w:r>
      <w:r w:rsidR="7422F2B2">
        <w:t>.</w:t>
      </w:r>
      <w:r w:rsidR="7BD1E82C">
        <w:t xml:space="preserve"> </w:t>
      </w:r>
    </w:p>
    <w:p w14:paraId="2455E360" w14:textId="02E778B0" w:rsidR="00B10AC4" w:rsidRDefault="7BD1E82C" w:rsidP="0089627F">
      <w:r>
        <w:t xml:space="preserve">The basic concepts of the regime </w:t>
      </w:r>
      <w:r w:rsidR="78A97E75">
        <w:t xml:space="preserve">will </w:t>
      </w:r>
      <w:r>
        <w:t xml:space="preserve">remain </w:t>
      </w:r>
      <w:r w:rsidR="082D8824">
        <w:t>substantively the same</w:t>
      </w:r>
      <w:r>
        <w:t xml:space="preserve">. The </w:t>
      </w:r>
      <w:r w:rsidR="21397202">
        <w:t>Amended AML/CTF Act</w:t>
      </w:r>
      <w:r w:rsidR="17A1A17E">
        <w:t xml:space="preserve"> will</w:t>
      </w:r>
      <w:r>
        <w:t xml:space="preserve"> make the fundamental AML/CTF obligations clearer and simpler rather than relying on implication and deduction </w:t>
      </w:r>
      <w:r w:rsidR="097FFC90">
        <w:t>in</w:t>
      </w:r>
      <w:r w:rsidR="17575CCB">
        <w:t xml:space="preserve"> sometimes opaque legislation.</w:t>
      </w:r>
    </w:p>
    <w:p w14:paraId="0E00AB40" w14:textId="0ADD3631" w:rsidR="0089627F" w:rsidRDefault="097FFC90" w:rsidP="0089627F">
      <w:r>
        <w:t>The</w:t>
      </w:r>
      <w:r w:rsidR="17575CCB">
        <w:t xml:space="preserve"> </w:t>
      </w:r>
      <w:r w:rsidR="21397202">
        <w:t>Amended AML/CTF Act</w:t>
      </w:r>
      <w:r>
        <w:t xml:space="preserve"> also</w:t>
      </w:r>
      <w:r w:rsidR="1F21C074">
        <w:t xml:space="preserve"> strengthen</w:t>
      </w:r>
      <w:r w:rsidR="7BD1E82C">
        <w:t>s</w:t>
      </w:r>
      <w:r w:rsidR="1F21C074">
        <w:t xml:space="preserve"> the AML/CTF </w:t>
      </w:r>
      <w:r w:rsidR="17A1A17E">
        <w:t>regime</w:t>
      </w:r>
      <w:r w:rsidR="1F21C074">
        <w:t xml:space="preserve"> by:  </w:t>
      </w:r>
    </w:p>
    <w:p w14:paraId="4AB673C4" w14:textId="77777777" w:rsidR="00B10AC4" w:rsidRDefault="00CA7B85" w:rsidP="0034327F">
      <w:pPr>
        <w:pStyle w:val="ListParagraph"/>
        <w:numPr>
          <w:ilvl w:val="0"/>
          <w:numId w:val="22"/>
        </w:numPr>
        <w:ind w:left="777" w:hanging="357"/>
        <w:contextualSpacing w:val="0"/>
        <w:rPr>
          <w:iCs/>
        </w:rPr>
      </w:pPr>
      <w:r w:rsidRPr="00B53998">
        <w:rPr>
          <w:iCs/>
        </w:rPr>
        <w:t xml:space="preserve">expanding the regime to include high-risk services provided by </w:t>
      </w:r>
      <w:r w:rsidR="00A049A3">
        <w:rPr>
          <w:iCs/>
        </w:rPr>
        <w:t xml:space="preserve">certain </w:t>
      </w:r>
      <w:r w:rsidRPr="00B53998">
        <w:rPr>
          <w:iCs/>
        </w:rPr>
        <w:t>lawyers, accountants, trust and company service providers, virtual asset service providers, real estate professionals, conveyancers and dealers in precious metals and stones</w:t>
      </w:r>
      <w:r w:rsidR="00A049A3">
        <w:rPr>
          <w:iCs/>
        </w:rPr>
        <w:t>, and</w:t>
      </w:r>
    </w:p>
    <w:p w14:paraId="548404E9" w14:textId="6A092A1E" w:rsidR="00062489" w:rsidRDefault="096988B8" w:rsidP="24363412">
      <w:pPr>
        <w:pStyle w:val="ListParagraph"/>
        <w:numPr>
          <w:ilvl w:val="0"/>
          <w:numId w:val="22"/>
        </w:numPr>
        <w:ind w:left="777" w:hanging="357"/>
      </w:pPr>
      <w:r>
        <w:t xml:space="preserve">modernising </w:t>
      </w:r>
      <w:r w:rsidR="0D974D12">
        <w:t>virtual asset</w:t>
      </w:r>
      <w:r>
        <w:t xml:space="preserve"> and payments technology-related regulation</w:t>
      </w:r>
      <w:r w:rsidR="56319DEC">
        <w:t>.</w:t>
      </w:r>
      <w:r>
        <w:t xml:space="preserve"> </w:t>
      </w:r>
    </w:p>
    <w:p w14:paraId="003B3100" w14:textId="5D72C733" w:rsidR="00CA7B85" w:rsidRDefault="38FC4D82" w:rsidP="605207D1">
      <w:r>
        <w:t xml:space="preserve">For further information on the </w:t>
      </w:r>
      <w:r w:rsidR="21397202">
        <w:t>Amended AML/</w:t>
      </w:r>
      <w:r w:rsidR="21397202" w:rsidRPr="006528AE">
        <w:t>CTF Act</w:t>
      </w:r>
      <w:r w:rsidRPr="006528AE">
        <w:t xml:space="preserve">, see AUSTRAC’s summaries for </w:t>
      </w:r>
      <w:hyperlink r:id="rId13" w:history="1">
        <w:r w:rsidRPr="006528AE">
          <w:rPr>
            <w:rStyle w:val="Hyperlink"/>
          </w:rPr>
          <w:t>new regulated entities</w:t>
        </w:r>
      </w:hyperlink>
      <w:r w:rsidRPr="006528AE">
        <w:t xml:space="preserve"> and </w:t>
      </w:r>
      <w:hyperlink r:id="rId14" w:history="1">
        <w:r w:rsidRPr="006528AE">
          <w:rPr>
            <w:rStyle w:val="Hyperlink"/>
          </w:rPr>
          <w:t>current regulated entities</w:t>
        </w:r>
      </w:hyperlink>
      <w:r w:rsidRPr="006528AE">
        <w:t xml:space="preserve">. </w:t>
      </w:r>
      <w:r w:rsidR="096988B8" w:rsidRPr="006528AE">
        <w:t>To give</w:t>
      </w:r>
      <w:r w:rsidR="096988B8">
        <w:t xml:space="preserve"> effect to the </w:t>
      </w:r>
      <w:r w:rsidR="21397202">
        <w:t>Amended AML/CTF Act</w:t>
      </w:r>
      <w:r w:rsidR="096988B8">
        <w:t xml:space="preserve">, AUSTRAC </w:t>
      </w:r>
      <w:r w:rsidR="097FFC90">
        <w:t xml:space="preserve">will create a new </w:t>
      </w:r>
      <w:r w:rsidR="00337935">
        <w:t>AML/CTF</w:t>
      </w:r>
      <w:r w:rsidR="097FFC90">
        <w:t xml:space="preserve"> Rules framework. This will involv</w:t>
      </w:r>
      <w:r w:rsidR="00B34CAA">
        <w:t>e a new r</w:t>
      </w:r>
      <w:r w:rsidR="097FFC90">
        <w:t xml:space="preserve">ules </w:t>
      </w:r>
      <w:r w:rsidR="097FFC90">
        <w:lastRenderedPageBreak/>
        <w:t xml:space="preserve">instrument, and significant repeal and revision </w:t>
      </w:r>
      <w:r w:rsidR="006A0A32">
        <w:t xml:space="preserve">of </w:t>
      </w:r>
      <w:r w:rsidR="097FFC90">
        <w:t>the existing</w:t>
      </w:r>
      <w:r w:rsidR="096988B8">
        <w:t xml:space="preserve"> </w:t>
      </w:r>
      <w:hyperlink r:id="rId15">
        <w:r w:rsidR="096988B8" w:rsidRPr="24363412">
          <w:rPr>
            <w:rStyle w:val="Hyperlink"/>
            <w:i/>
            <w:iCs/>
          </w:rPr>
          <w:t>An</w:t>
        </w:r>
        <w:r w:rsidR="2EA3DBD6" w:rsidRPr="24363412">
          <w:rPr>
            <w:rStyle w:val="Hyperlink"/>
            <w:i/>
            <w:iCs/>
          </w:rPr>
          <w:t>ti-Money Laundering and Counter-</w:t>
        </w:r>
        <w:r w:rsidR="096988B8" w:rsidRPr="24363412">
          <w:rPr>
            <w:rStyle w:val="Hyperlink"/>
            <w:i/>
            <w:iCs/>
          </w:rPr>
          <w:t>Terrorism Financing Rules</w:t>
        </w:r>
        <w:r w:rsidR="2EA3DBD6" w:rsidRPr="24363412">
          <w:rPr>
            <w:rStyle w:val="Hyperlink"/>
            <w:i/>
            <w:iCs/>
          </w:rPr>
          <w:t xml:space="preserve"> Instrument 2007</w:t>
        </w:r>
      </w:hyperlink>
      <w:r w:rsidR="096988B8">
        <w:t xml:space="preserve"> (</w:t>
      </w:r>
      <w:r w:rsidR="096988B8" w:rsidRPr="24363412">
        <w:rPr>
          <w:b/>
          <w:bCs/>
        </w:rPr>
        <w:t xml:space="preserve">the </w:t>
      </w:r>
      <w:r w:rsidR="498D1A96" w:rsidRPr="24363412">
        <w:rPr>
          <w:b/>
          <w:bCs/>
        </w:rPr>
        <w:t>Current Rules</w:t>
      </w:r>
      <w:r w:rsidR="096988B8">
        <w:t xml:space="preserve">). </w:t>
      </w:r>
    </w:p>
    <w:p w14:paraId="79D373A9" w14:textId="6C0A8B14" w:rsidR="00A71821" w:rsidRDefault="20960D97" w:rsidP="605207D1">
      <w:r>
        <w:t xml:space="preserve">AUSTRAC is working closely with industry in </w:t>
      </w:r>
      <w:r w:rsidR="097FFC90">
        <w:t>developing the</w:t>
      </w:r>
      <w:r w:rsidR="2FC5A8EB">
        <w:t xml:space="preserve"> </w:t>
      </w:r>
      <w:r w:rsidR="10B6D522">
        <w:t xml:space="preserve">new </w:t>
      </w:r>
      <w:r w:rsidR="65B1B3B7">
        <w:t>r</w:t>
      </w:r>
      <w:r>
        <w:t xml:space="preserve">ules. Consultation will occur through two </w:t>
      </w:r>
      <w:r w:rsidR="097FFC90">
        <w:t xml:space="preserve">rounds </w:t>
      </w:r>
      <w:r>
        <w:t xml:space="preserve">of </w:t>
      </w:r>
      <w:r w:rsidR="00B34CAA">
        <w:t>exposure draft rules</w:t>
      </w:r>
      <w:r w:rsidR="2EA3DBD6">
        <w:t>, with this paper initiating consultation on ‘</w:t>
      </w:r>
      <w:r w:rsidR="3BF143C2">
        <w:t>Exposure Draft</w:t>
      </w:r>
      <w:r w:rsidR="2EA3DBD6">
        <w:t xml:space="preserve"> </w:t>
      </w:r>
      <w:r w:rsidR="65703BC4">
        <w:t>1’</w:t>
      </w:r>
      <w:r w:rsidR="0C3A1223">
        <w:t xml:space="preserve"> (</w:t>
      </w:r>
      <w:r w:rsidR="7385E6F8" w:rsidRPr="24363412">
        <w:rPr>
          <w:b/>
          <w:bCs/>
        </w:rPr>
        <w:t xml:space="preserve">the </w:t>
      </w:r>
      <w:r w:rsidR="3BF143C2" w:rsidRPr="24363412">
        <w:rPr>
          <w:b/>
          <w:bCs/>
        </w:rPr>
        <w:t>Exposure Draft</w:t>
      </w:r>
      <w:r w:rsidR="3088B032" w:rsidRPr="24363412">
        <w:rPr>
          <w:b/>
          <w:bCs/>
        </w:rPr>
        <w:t xml:space="preserve"> Rules</w:t>
      </w:r>
      <w:r w:rsidR="0C3A1223">
        <w:t>)</w:t>
      </w:r>
      <w:r w:rsidR="2EA3DBD6">
        <w:t xml:space="preserve">. </w:t>
      </w:r>
    </w:p>
    <w:tbl>
      <w:tblPr>
        <w:tblStyle w:val="PlainTable11"/>
        <w:tblW w:w="8954" w:type="dxa"/>
        <w:tblCellMar>
          <w:top w:w="43" w:type="dxa"/>
          <w:left w:w="85" w:type="dxa"/>
          <w:bottom w:w="40" w:type="dxa"/>
          <w:right w:w="85" w:type="dxa"/>
        </w:tblCellMar>
        <w:tblLook w:val="0420" w:firstRow="1" w:lastRow="0" w:firstColumn="0" w:lastColumn="0" w:noHBand="0" w:noVBand="1"/>
      </w:tblPr>
      <w:tblGrid>
        <w:gridCol w:w="1843"/>
        <w:gridCol w:w="7111"/>
      </w:tblGrid>
      <w:tr w:rsidR="00A71821" w:rsidRPr="00A426E3" w14:paraId="5E6D4259" w14:textId="77777777" w:rsidTr="24363412">
        <w:trPr>
          <w:cnfStyle w:val="100000000000" w:firstRow="1" w:lastRow="0" w:firstColumn="0" w:lastColumn="0" w:oddVBand="0" w:evenVBand="0" w:oddHBand="0" w:evenHBand="0" w:firstRowFirstColumn="0" w:firstRowLastColumn="0" w:lastRowFirstColumn="0" w:lastRowLastColumn="0"/>
          <w:trHeight w:val="451"/>
        </w:trPr>
        <w:tc>
          <w:tcPr>
            <w:tcW w:w="1843" w:type="dxa"/>
            <w:vMerge w:val="restart"/>
            <w:tcBorders>
              <w:top w:val="nil"/>
              <w:left w:val="nil"/>
              <w:right w:val="nil"/>
            </w:tcBorders>
            <w:shd w:val="clear" w:color="auto" w:fill="01426A"/>
            <w:vAlign w:val="center"/>
          </w:tcPr>
          <w:p w14:paraId="4009101C" w14:textId="77777777" w:rsidR="00A71821" w:rsidRPr="00571BC3" w:rsidRDefault="00A049A3" w:rsidP="008D54A1">
            <w:pPr>
              <w:pStyle w:val="Tableheader1"/>
              <w:jc w:val="center"/>
              <w:rPr>
                <w:rFonts w:cs="Calibri"/>
                <w:b/>
                <w:sz w:val="24"/>
              </w:rPr>
            </w:pPr>
            <w:r>
              <w:rPr>
                <w:rFonts w:cs="Calibri"/>
                <w:b/>
                <w:sz w:val="24"/>
              </w:rPr>
              <w:t>Consultation Round</w:t>
            </w:r>
          </w:p>
        </w:tc>
        <w:tc>
          <w:tcPr>
            <w:tcW w:w="7111" w:type="dxa"/>
            <w:vMerge w:val="restart"/>
            <w:tcBorders>
              <w:top w:val="nil"/>
              <w:left w:val="nil"/>
              <w:right w:val="nil"/>
            </w:tcBorders>
            <w:shd w:val="clear" w:color="auto" w:fill="01426A"/>
            <w:vAlign w:val="center"/>
          </w:tcPr>
          <w:p w14:paraId="36BBD1D2" w14:textId="042603D9" w:rsidR="00A71821" w:rsidRPr="00A426E3" w:rsidRDefault="097FFC90" w:rsidP="24363412">
            <w:pPr>
              <w:pStyle w:val="Tableheader1"/>
              <w:jc w:val="center"/>
              <w:rPr>
                <w:b/>
                <w:sz w:val="24"/>
                <w:szCs w:val="24"/>
              </w:rPr>
            </w:pPr>
            <w:r w:rsidRPr="24363412">
              <w:rPr>
                <w:b/>
                <w:sz w:val="24"/>
                <w:szCs w:val="24"/>
              </w:rPr>
              <w:t xml:space="preserve">To contain </w:t>
            </w:r>
            <w:r w:rsidR="06913D82" w:rsidRPr="24363412">
              <w:rPr>
                <w:b/>
                <w:sz w:val="24"/>
                <w:szCs w:val="24"/>
              </w:rPr>
              <w:t xml:space="preserve">exposure draft </w:t>
            </w:r>
            <w:r w:rsidR="7298CEEA" w:rsidRPr="24363412">
              <w:rPr>
                <w:b/>
                <w:sz w:val="24"/>
                <w:szCs w:val="24"/>
              </w:rPr>
              <w:t>r</w:t>
            </w:r>
            <w:r w:rsidR="20960D97" w:rsidRPr="24363412">
              <w:rPr>
                <w:b/>
                <w:sz w:val="24"/>
                <w:szCs w:val="24"/>
              </w:rPr>
              <w:t xml:space="preserve">ules </w:t>
            </w:r>
            <w:r w:rsidRPr="24363412">
              <w:rPr>
                <w:b/>
                <w:sz w:val="24"/>
                <w:szCs w:val="24"/>
              </w:rPr>
              <w:t>on the following s</w:t>
            </w:r>
            <w:r w:rsidR="20960D97" w:rsidRPr="24363412">
              <w:rPr>
                <w:b/>
                <w:sz w:val="24"/>
                <w:szCs w:val="24"/>
              </w:rPr>
              <w:t>ubject</w:t>
            </w:r>
            <w:r w:rsidRPr="24363412">
              <w:rPr>
                <w:b/>
                <w:sz w:val="24"/>
                <w:szCs w:val="24"/>
              </w:rPr>
              <w:t>s</w:t>
            </w:r>
            <w:r w:rsidR="20960D97" w:rsidRPr="24363412">
              <w:rPr>
                <w:b/>
                <w:sz w:val="24"/>
                <w:szCs w:val="24"/>
              </w:rPr>
              <w:t xml:space="preserve">  </w:t>
            </w:r>
          </w:p>
        </w:tc>
      </w:tr>
      <w:tr w:rsidR="00A71821" w:rsidRPr="00A426E3" w14:paraId="29A5B7F7" w14:textId="77777777" w:rsidTr="24363412">
        <w:trPr>
          <w:cnfStyle w:val="000000100000" w:firstRow="0" w:lastRow="0" w:firstColumn="0" w:lastColumn="0" w:oddVBand="0" w:evenVBand="0" w:oddHBand="1" w:evenHBand="0" w:firstRowFirstColumn="0" w:firstRowLastColumn="0" w:lastRowFirstColumn="0" w:lastRowLastColumn="0"/>
          <w:trHeight w:val="451"/>
        </w:trPr>
        <w:tc>
          <w:tcPr>
            <w:tcW w:w="1843" w:type="dxa"/>
            <w:vMerge/>
          </w:tcPr>
          <w:p w14:paraId="2097411A" w14:textId="77777777" w:rsidR="00A71821" w:rsidRPr="00571BC3" w:rsidRDefault="00A71821" w:rsidP="008D54A1">
            <w:pPr>
              <w:pStyle w:val="Tableheader1"/>
              <w:jc w:val="center"/>
              <w:rPr>
                <w:rFonts w:cs="Calibri"/>
                <w:b w:val="0"/>
                <w:sz w:val="20"/>
              </w:rPr>
            </w:pPr>
          </w:p>
        </w:tc>
        <w:tc>
          <w:tcPr>
            <w:tcW w:w="7111" w:type="dxa"/>
            <w:vMerge/>
          </w:tcPr>
          <w:p w14:paraId="65A94415" w14:textId="77777777" w:rsidR="00A71821" w:rsidRPr="00A426E3" w:rsidRDefault="00A71821" w:rsidP="008D54A1">
            <w:pPr>
              <w:pStyle w:val="Tableheader1"/>
              <w:jc w:val="center"/>
              <w:rPr>
                <w:b w:val="0"/>
                <w:sz w:val="20"/>
              </w:rPr>
            </w:pPr>
          </w:p>
        </w:tc>
      </w:tr>
      <w:tr w:rsidR="00A71821" w:rsidRPr="00A426E3" w14:paraId="448395CE" w14:textId="77777777" w:rsidTr="24363412">
        <w:trPr>
          <w:trHeight w:val="169"/>
        </w:trPr>
        <w:tc>
          <w:tcPr>
            <w:tcW w:w="1843" w:type="dxa"/>
            <w:vMerge w:val="restart"/>
            <w:tcBorders>
              <w:top w:val="nil"/>
            </w:tcBorders>
            <w:vAlign w:val="center"/>
          </w:tcPr>
          <w:p w14:paraId="558F4C81" w14:textId="623A9A33" w:rsidR="00A71821" w:rsidRPr="00C73E48" w:rsidRDefault="3BF143C2" w:rsidP="24363412">
            <w:pPr>
              <w:jc w:val="center"/>
              <w:rPr>
                <w:rFonts w:eastAsia="Times New Roman" w:cs="Calibri"/>
                <w:i/>
                <w:iCs/>
                <w:color w:val="000000" w:themeColor="text1"/>
                <w:kern w:val="24"/>
                <w:sz w:val="20"/>
                <w:szCs w:val="20"/>
                <w:lang w:val="en-US" w:eastAsia="en-AU"/>
              </w:rPr>
            </w:pPr>
            <w:r w:rsidRPr="24363412">
              <w:rPr>
                <w:rFonts w:eastAsia="Times New Roman" w:cs="Calibri"/>
                <w:i/>
                <w:iCs/>
                <w:color w:val="000000" w:themeColor="text1"/>
                <w:kern w:val="24"/>
                <w:sz w:val="20"/>
                <w:szCs w:val="20"/>
                <w:lang w:val="en-US" w:eastAsia="en-AU"/>
              </w:rPr>
              <w:t>Exposure Draft</w:t>
            </w:r>
            <w:r w:rsidR="20960D97" w:rsidRPr="24363412">
              <w:rPr>
                <w:rFonts w:eastAsia="Times New Roman" w:cs="Calibri"/>
                <w:i/>
                <w:iCs/>
                <w:color w:val="000000" w:themeColor="text1"/>
                <w:kern w:val="24"/>
                <w:sz w:val="20"/>
                <w:szCs w:val="20"/>
                <w:lang w:val="en-US" w:eastAsia="en-AU"/>
              </w:rPr>
              <w:t xml:space="preserve"> </w:t>
            </w:r>
            <w:r w:rsidR="65703BC4" w:rsidRPr="24363412">
              <w:rPr>
                <w:rFonts w:eastAsia="Times New Roman" w:cs="Calibri"/>
                <w:i/>
                <w:iCs/>
                <w:color w:val="000000" w:themeColor="text1"/>
                <w:kern w:val="24"/>
                <w:sz w:val="20"/>
                <w:szCs w:val="20"/>
                <w:lang w:val="en-US" w:eastAsia="en-AU"/>
              </w:rPr>
              <w:t>1</w:t>
            </w:r>
          </w:p>
          <w:p w14:paraId="7576DF88" w14:textId="77777777" w:rsidR="00A71821" w:rsidRPr="00571BC3" w:rsidRDefault="00A71821" w:rsidP="008D54A1">
            <w:pPr>
              <w:jc w:val="center"/>
              <w:rPr>
                <w:rFonts w:eastAsia="Times New Roman" w:cs="Calibri"/>
                <w:color w:val="000000" w:themeColor="text1"/>
                <w:kern w:val="24"/>
                <w:sz w:val="20"/>
                <w:lang w:val="en-US" w:eastAsia="en-AU"/>
              </w:rPr>
            </w:pPr>
          </w:p>
        </w:tc>
        <w:tc>
          <w:tcPr>
            <w:tcW w:w="7111" w:type="dxa"/>
            <w:tcBorders>
              <w:top w:val="nil"/>
            </w:tcBorders>
            <w:vAlign w:val="center"/>
          </w:tcPr>
          <w:p w14:paraId="6C6A491C" w14:textId="68DD442E" w:rsidR="00A71821" w:rsidRPr="00C73E48" w:rsidRDefault="00A049A3" w:rsidP="00A049A3">
            <w:pPr>
              <w:rPr>
                <w:rFonts w:ascii="Wingdings 2" w:eastAsia="Times New Roman" w:hAnsi="Wingdings 2"/>
                <w:color w:val="000000" w:themeColor="text1"/>
                <w:kern w:val="24"/>
                <w:sz w:val="20"/>
                <w:lang w:val="en-US" w:eastAsia="en-AU"/>
              </w:rPr>
            </w:pPr>
            <w:r w:rsidRPr="00C73E48">
              <w:rPr>
                <w:rFonts w:eastAsia="Times New Roman" w:cs="Calibri"/>
                <w:color w:val="000000" w:themeColor="text1"/>
                <w:kern w:val="24"/>
                <w:sz w:val="20"/>
                <w:lang w:val="en-US" w:eastAsia="en-AU"/>
              </w:rPr>
              <w:t xml:space="preserve">Reporting </w:t>
            </w:r>
            <w:r w:rsidR="00337935">
              <w:rPr>
                <w:rFonts w:eastAsia="Times New Roman" w:cs="Calibri"/>
                <w:color w:val="000000" w:themeColor="text1"/>
                <w:kern w:val="24"/>
                <w:sz w:val="20"/>
                <w:lang w:val="en-US" w:eastAsia="en-AU"/>
              </w:rPr>
              <w:t>g</w:t>
            </w:r>
            <w:r w:rsidRPr="00C73E48">
              <w:rPr>
                <w:rFonts w:eastAsia="Times New Roman" w:cs="Calibri"/>
                <w:color w:val="000000" w:themeColor="text1"/>
                <w:kern w:val="24"/>
                <w:sz w:val="20"/>
                <w:lang w:val="en-US" w:eastAsia="en-AU"/>
              </w:rPr>
              <w:t xml:space="preserve">roups </w:t>
            </w:r>
          </w:p>
        </w:tc>
      </w:tr>
      <w:tr w:rsidR="00A71821" w:rsidRPr="00A426E3" w14:paraId="60DCDF86" w14:textId="77777777" w:rsidTr="24363412">
        <w:trPr>
          <w:cnfStyle w:val="000000100000" w:firstRow="0" w:lastRow="0" w:firstColumn="0" w:lastColumn="0" w:oddVBand="0" w:evenVBand="0" w:oddHBand="1" w:evenHBand="0" w:firstRowFirstColumn="0" w:firstRowLastColumn="0" w:lastRowFirstColumn="0" w:lastRowLastColumn="0"/>
          <w:trHeight w:val="169"/>
        </w:trPr>
        <w:tc>
          <w:tcPr>
            <w:tcW w:w="1843" w:type="dxa"/>
            <w:vMerge/>
          </w:tcPr>
          <w:p w14:paraId="0716E990"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150AF81B" w14:textId="7C9325F6" w:rsidR="00A71821" w:rsidRPr="00C73E48" w:rsidRDefault="00A049A3" w:rsidP="008D54A1">
            <w:pPr>
              <w:rPr>
                <w:rFonts w:ascii="Wingdings 2" w:eastAsia="Times New Roman" w:hAnsi="Wingdings 2"/>
                <w:color w:val="000000" w:themeColor="text1"/>
                <w:kern w:val="24"/>
                <w:sz w:val="20"/>
                <w:lang w:val="en-US" w:eastAsia="en-AU"/>
              </w:rPr>
            </w:pPr>
            <w:r w:rsidRPr="00C73E48">
              <w:rPr>
                <w:rFonts w:eastAsia="Times New Roman" w:cs="Calibri"/>
                <w:color w:val="000000" w:themeColor="text1"/>
                <w:kern w:val="24"/>
                <w:sz w:val="20"/>
                <w:lang w:val="en-US" w:eastAsia="en-AU"/>
              </w:rPr>
              <w:t xml:space="preserve">AML/CTF </w:t>
            </w:r>
            <w:r w:rsidR="00337935">
              <w:rPr>
                <w:rFonts w:eastAsia="Times New Roman" w:cs="Calibri"/>
                <w:color w:val="000000" w:themeColor="text1"/>
                <w:kern w:val="24"/>
                <w:sz w:val="20"/>
                <w:lang w:val="en-US" w:eastAsia="en-AU"/>
              </w:rPr>
              <w:t>p</w:t>
            </w:r>
            <w:r w:rsidRPr="00C73E48">
              <w:rPr>
                <w:rFonts w:eastAsia="Times New Roman" w:cs="Calibri"/>
                <w:color w:val="000000" w:themeColor="text1"/>
                <w:kern w:val="24"/>
                <w:sz w:val="20"/>
                <w:lang w:val="en-US" w:eastAsia="en-AU"/>
              </w:rPr>
              <w:t>rograms</w:t>
            </w:r>
            <w:r w:rsidRPr="00C73E48" w:rsidDel="00A049A3">
              <w:rPr>
                <w:rFonts w:eastAsia="Times New Roman" w:cs="Calibri"/>
                <w:color w:val="000000" w:themeColor="text1"/>
                <w:kern w:val="24"/>
                <w:sz w:val="20"/>
                <w:lang w:val="en-US" w:eastAsia="en-AU"/>
              </w:rPr>
              <w:t xml:space="preserve"> </w:t>
            </w:r>
          </w:p>
        </w:tc>
      </w:tr>
      <w:tr w:rsidR="00A71821" w:rsidRPr="00A426E3" w14:paraId="0AA3EE55" w14:textId="77777777" w:rsidTr="24363412">
        <w:trPr>
          <w:trHeight w:val="169"/>
        </w:trPr>
        <w:tc>
          <w:tcPr>
            <w:tcW w:w="1843" w:type="dxa"/>
            <w:vMerge/>
          </w:tcPr>
          <w:p w14:paraId="14780EF8"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5CE2FA29" w14:textId="595AAE3A" w:rsidR="00A71821" w:rsidRPr="00C73E48" w:rsidRDefault="00A71821" w:rsidP="008D54A1">
            <w:pPr>
              <w:rPr>
                <w:rFonts w:ascii="Wingdings 2" w:eastAsia="Times New Roman" w:hAnsi="Wingdings 2"/>
                <w:color w:val="000000" w:themeColor="text1"/>
                <w:kern w:val="24"/>
                <w:sz w:val="20"/>
                <w:lang w:val="en-US" w:eastAsia="en-AU"/>
              </w:rPr>
            </w:pPr>
            <w:r w:rsidRPr="00C73E48">
              <w:rPr>
                <w:rFonts w:eastAsia="Times New Roman" w:cs="Calibri"/>
                <w:color w:val="000000" w:themeColor="text1"/>
                <w:kern w:val="24"/>
                <w:sz w:val="20"/>
                <w:lang w:val="en-US" w:eastAsia="en-AU"/>
              </w:rPr>
              <w:t xml:space="preserve">Customer </w:t>
            </w:r>
            <w:r w:rsidR="00337935">
              <w:rPr>
                <w:rFonts w:eastAsia="Times New Roman" w:cs="Calibri"/>
                <w:color w:val="000000" w:themeColor="text1"/>
                <w:kern w:val="24"/>
                <w:sz w:val="20"/>
                <w:lang w:val="en-US" w:eastAsia="en-AU"/>
              </w:rPr>
              <w:t>d</w:t>
            </w:r>
            <w:r w:rsidRPr="00C73E48">
              <w:rPr>
                <w:rFonts w:eastAsia="Times New Roman" w:cs="Calibri"/>
                <w:color w:val="000000" w:themeColor="text1"/>
                <w:kern w:val="24"/>
                <w:sz w:val="20"/>
                <w:lang w:val="en-US" w:eastAsia="en-AU"/>
              </w:rPr>
              <w:t xml:space="preserve">ue </w:t>
            </w:r>
            <w:r w:rsidR="00337935">
              <w:rPr>
                <w:rFonts w:eastAsia="Times New Roman" w:cs="Calibri"/>
                <w:color w:val="000000" w:themeColor="text1"/>
                <w:kern w:val="24"/>
                <w:sz w:val="20"/>
                <w:lang w:val="en-US" w:eastAsia="en-AU"/>
              </w:rPr>
              <w:t>d</w:t>
            </w:r>
            <w:r w:rsidRPr="00C73E48">
              <w:rPr>
                <w:rFonts w:eastAsia="Times New Roman" w:cs="Calibri"/>
                <w:color w:val="000000" w:themeColor="text1"/>
                <w:kern w:val="24"/>
                <w:sz w:val="20"/>
                <w:lang w:val="en-US" w:eastAsia="en-AU"/>
              </w:rPr>
              <w:t>iligence</w:t>
            </w:r>
          </w:p>
        </w:tc>
      </w:tr>
      <w:tr w:rsidR="00A71821" w:rsidRPr="00A426E3" w14:paraId="7826EF5D" w14:textId="77777777" w:rsidTr="24363412">
        <w:trPr>
          <w:cnfStyle w:val="000000100000" w:firstRow="0" w:lastRow="0" w:firstColumn="0" w:lastColumn="0" w:oddVBand="0" w:evenVBand="0" w:oddHBand="1" w:evenHBand="0" w:firstRowFirstColumn="0" w:firstRowLastColumn="0" w:lastRowFirstColumn="0" w:lastRowLastColumn="0"/>
          <w:trHeight w:val="169"/>
        </w:trPr>
        <w:tc>
          <w:tcPr>
            <w:tcW w:w="1843" w:type="dxa"/>
            <w:vMerge/>
          </w:tcPr>
          <w:p w14:paraId="4DFAFAE2"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30779F4C" w14:textId="789E0D04" w:rsidR="00A71821" w:rsidRPr="00C73E48" w:rsidRDefault="00A049A3" w:rsidP="008D54A1">
            <w:pPr>
              <w:rPr>
                <w:rFonts w:ascii="Wingdings 2" w:eastAsia="Times New Roman" w:hAnsi="Wingdings 2"/>
                <w:color w:val="000000" w:themeColor="text1"/>
                <w:kern w:val="24"/>
                <w:sz w:val="20"/>
                <w:lang w:val="en-US" w:eastAsia="en-AU"/>
              </w:rPr>
            </w:pPr>
            <w:r>
              <w:rPr>
                <w:rFonts w:eastAsia="Times New Roman" w:cs="Calibri"/>
                <w:color w:val="000000" w:themeColor="text1"/>
                <w:kern w:val="24"/>
                <w:sz w:val="20"/>
                <w:lang w:val="en-US" w:eastAsia="en-AU"/>
              </w:rPr>
              <w:t xml:space="preserve">AML/CTF </w:t>
            </w:r>
            <w:r w:rsidR="00337935">
              <w:rPr>
                <w:rFonts w:eastAsia="Times New Roman" w:cs="Calibri"/>
                <w:color w:val="000000" w:themeColor="text1"/>
                <w:kern w:val="24"/>
                <w:sz w:val="20"/>
                <w:lang w:val="en-US" w:eastAsia="en-AU"/>
              </w:rPr>
              <w:t>c</w:t>
            </w:r>
            <w:r>
              <w:rPr>
                <w:rFonts w:eastAsia="Times New Roman" w:cs="Calibri"/>
                <w:color w:val="000000" w:themeColor="text1"/>
                <w:kern w:val="24"/>
                <w:sz w:val="20"/>
                <w:lang w:val="en-US" w:eastAsia="en-AU"/>
              </w:rPr>
              <w:t xml:space="preserve">ompliance </w:t>
            </w:r>
            <w:r w:rsidR="00337935">
              <w:rPr>
                <w:rFonts w:eastAsia="Times New Roman" w:cs="Calibri"/>
                <w:color w:val="000000" w:themeColor="text1"/>
                <w:kern w:val="24"/>
                <w:sz w:val="20"/>
                <w:lang w:val="en-US" w:eastAsia="en-AU"/>
              </w:rPr>
              <w:t>o</w:t>
            </w:r>
            <w:r>
              <w:rPr>
                <w:rFonts w:eastAsia="Times New Roman" w:cs="Calibri"/>
                <w:color w:val="000000" w:themeColor="text1"/>
                <w:kern w:val="24"/>
                <w:sz w:val="20"/>
                <w:lang w:val="en-US" w:eastAsia="en-AU"/>
              </w:rPr>
              <w:t>fficers</w:t>
            </w:r>
          </w:p>
        </w:tc>
      </w:tr>
      <w:tr w:rsidR="00A71821" w:rsidRPr="00A426E3" w14:paraId="7A21675B" w14:textId="77777777" w:rsidTr="24363412">
        <w:trPr>
          <w:trHeight w:val="168"/>
        </w:trPr>
        <w:tc>
          <w:tcPr>
            <w:tcW w:w="1843" w:type="dxa"/>
            <w:vMerge/>
          </w:tcPr>
          <w:p w14:paraId="08B9AAF0" w14:textId="77777777" w:rsidR="00A71821" w:rsidRPr="00571BC3"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55DF7F3F" w14:textId="0A6396B1" w:rsidR="00A71821" w:rsidRPr="00C73E48" w:rsidRDefault="00A049A3" w:rsidP="008D54A1">
            <w:pPr>
              <w:rPr>
                <w:rFonts w:ascii="Wingdings 2" w:eastAsia="Times New Roman" w:hAnsi="Wingdings 2"/>
                <w:color w:val="000000" w:themeColor="text1"/>
                <w:kern w:val="24"/>
                <w:sz w:val="20"/>
                <w:lang w:val="en-US" w:eastAsia="en-AU"/>
              </w:rPr>
            </w:pPr>
            <w:r>
              <w:rPr>
                <w:rFonts w:eastAsia="Times New Roman" w:cs="Calibri"/>
                <w:color w:val="000000" w:themeColor="text1"/>
                <w:kern w:val="24"/>
                <w:sz w:val="20"/>
                <w:lang w:val="en-US" w:eastAsia="en-AU"/>
              </w:rPr>
              <w:t xml:space="preserve">Keep </w:t>
            </w:r>
            <w:r w:rsidR="00337935">
              <w:rPr>
                <w:rFonts w:eastAsia="Times New Roman" w:cs="Calibri"/>
                <w:color w:val="000000" w:themeColor="text1"/>
                <w:kern w:val="24"/>
                <w:sz w:val="20"/>
                <w:lang w:val="en-US" w:eastAsia="en-AU"/>
              </w:rPr>
              <w:t>o</w:t>
            </w:r>
            <w:r>
              <w:rPr>
                <w:rFonts w:eastAsia="Times New Roman" w:cs="Calibri"/>
                <w:color w:val="000000" w:themeColor="text1"/>
                <w:kern w:val="24"/>
                <w:sz w:val="20"/>
                <w:lang w:val="en-US" w:eastAsia="en-AU"/>
              </w:rPr>
              <w:t xml:space="preserve">pen </w:t>
            </w:r>
            <w:r w:rsidR="00337935">
              <w:rPr>
                <w:rFonts w:eastAsia="Times New Roman" w:cs="Calibri"/>
                <w:color w:val="000000" w:themeColor="text1"/>
                <w:kern w:val="24"/>
                <w:sz w:val="20"/>
                <w:lang w:val="en-US" w:eastAsia="en-AU"/>
              </w:rPr>
              <w:t>n</w:t>
            </w:r>
            <w:r>
              <w:rPr>
                <w:rFonts w:eastAsia="Times New Roman" w:cs="Calibri"/>
                <w:color w:val="000000" w:themeColor="text1"/>
                <w:kern w:val="24"/>
                <w:sz w:val="20"/>
                <w:lang w:val="en-US" w:eastAsia="en-AU"/>
              </w:rPr>
              <w:t>otices</w:t>
            </w:r>
          </w:p>
        </w:tc>
      </w:tr>
      <w:tr w:rsidR="00A71821" w:rsidRPr="00A426E3" w14:paraId="6687EEF1" w14:textId="77777777" w:rsidTr="24363412">
        <w:trPr>
          <w:cnfStyle w:val="000000100000" w:firstRow="0" w:lastRow="0" w:firstColumn="0" w:lastColumn="0" w:oddVBand="0" w:evenVBand="0" w:oddHBand="1" w:evenHBand="0" w:firstRowFirstColumn="0" w:firstRowLastColumn="0" w:lastRowFirstColumn="0" w:lastRowLastColumn="0"/>
          <w:trHeight w:val="168"/>
        </w:trPr>
        <w:tc>
          <w:tcPr>
            <w:tcW w:w="1843" w:type="dxa"/>
            <w:vMerge/>
          </w:tcPr>
          <w:p w14:paraId="6E86F53B"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4A7ADD48" w14:textId="3839465C" w:rsidR="00A71821" w:rsidRPr="00C73E48" w:rsidRDefault="00B10AC4" w:rsidP="008D54A1">
            <w:pPr>
              <w:rPr>
                <w:rFonts w:ascii="Wingdings 2" w:eastAsia="Times New Roman" w:hAnsi="Wingdings 2"/>
                <w:color w:val="000000" w:themeColor="text1"/>
                <w:kern w:val="24"/>
                <w:sz w:val="20"/>
                <w:lang w:val="en-US" w:eastAsia="en-AU"/>
              </w:rPr>
            </w:pPr>
            <w:r>
              <w:rPr>
                <w:rFonts w:eastAsia="Times New Roman" w:cs="Calibri"/>
                <w:color w:val="000000" w:themeColor="text1"/>
                <w:kern w:val="24"/>
                <w:sz w:val="20"/>
                <w:lang w:val="en-US" w:eastAsia="en-AU"/>
              </w:rPr>
              <w:t xml:space="preserve">Transfer of value </w:t>
            </w:r>
            <w:r w:rsidR="00A71821" w:rsidRPr="00C73E48">
              <w:rPr>
                <w:rFonts w:eastAsia="Times New Roman" w:cs="Calibri"/>
                <w:color w:val="000000" w:themeColor="text1"/>
                <w:kern w:val="24"/>
                <w:sz w:val="20"/>
                <w:lang w:val="en-US" w:eastAsia="en-AU"/>
              </w:rPr>
              <w:t>(</w:t>
            </w:r>
            <w:r w:rsidR="00D17B1D">
              <w:rPr>
                <w:rFonts w:eastAsia="Times New Roman" w:cs="Calibri"/>
                <w:color w:val="000000" w:themeColor="text1"/>
                <w:kern w:val="24"/>
                <w:sz w:val="20"/>
                <w:lang w:val="en-US" w:eastAsia="en-AU"/>
              </w:rPr>
              <w:t>including the ‘</w:t>
            </w:r>
            <w:r w:rsidR="00C81B01">
              <w:rPr>
                <w:rFonts w:eastAsia="Times New Roman" w:cs="Calibri"/>
                <w:color w:val="000000" w:themeColor="text1"/>
                <w:kern w:val="24"/>
                <w:sz w:val="20"/>
                <w:lang w:val="en-US" w:eastAsia="en-AU"/>
              </w:rPr>
              <w:t>t</w:t>
            </w:r>
            <w:r w:rsidR="00A71821" w:rsidRPr="00C73E48">
              <w:rPr>
                <w:rFonts w:eastAsia="Times New Roman" w:cs="Calibri"/>
                <w:color w:val="000000" w:themeColor="text1"/>
                <w:kern w:val="24"/>
                <w:sz w:val="20"/>
                <w:lang w:val="en-US" w:eastAsia="en-AU"/>
              </w:rPr>
              <w:t xml:space="preserve">ravel </w:t>
            </w:r>
            <w:r w:rsidR="00C81B01">
              <w:rPr>
                <w:rFonts w:eastAsia="Times New Roman" w:cs="Calibri"/>
                <w:color w:val="000000" w:themeColor="text1"/>
                <w:kern w:val="24"/>
                <w:sz w:val="20"/>
                <w:lang w:val="en-US" w:eastAsia="en-AU"/>
              </w:rPr>
              <w:t>r</w:t>
            </w:r>
            <w:r w:rsidR="00A71821" w:rsidRPr="00C73E48">
              <w:rPr>
                <w:rFonts w:eastAsia="Times New Roman" w:cs="Calibri"/>
                <w:color w:val="000000" w:themeColor="text1"/>
                <w:kern w:val="24"/>
                <w:sz w:val="20"/>
                <w:lang w:val="en-US" w:eastAsia="en-AU"/>
              </w:rPr>
              <w:t>ule</w:t>
            </w:r>
            <w:r w:rsidR="00D17B1D">
              <w:rPr>
                <w:rFonts w:eastAsia="Times New Roman" w:cs="Calibri"/>
                <w:color w:val="000000" w:themeColor="text1"/>
                <w:kern w:val="24"/>
                <w:sz w:val="20"/>
                <w:lang w:val="en-US" w:eastAsia="en-AU"/>
              </w:rPr>
              <w:t>’</w:t>
            </w:r>
            <w:r w:rsidR="00A71821" w:rsidRPr="00C73E48">
              <w:rPr>
                <w:rFonts w:eastAsia="Times New Roman" w:cs="Calibri"/>
                <w:color w:val="000000" w:themeColor="text1"/>
                <w:kern w:val="24"/>
                <w:sz w:val="20"/>
                <w:lang w:val="en-US" w:eastAsia="en-AU"/>
              </w:rPr>
              <w:t>)</w:t>
            </w:r>
          </w:p>
        </w:tc>
      </w:tr>
      <w:tr w:rsidR="00A71821" w:rsidRPr="00A426E3" w14:paraId="27E939DB" w14:textId="77777777" w:rsidTr="24363412">
        <w:trPr>
          <w:trHeight w:val="168"/>
        </w:trPr>
        <w:tc>
          <w:tcPr>
            <w:tcW w:w="1843" w:type="dxa"/>
            <w:vMerge/>
          </w:tcPr>
          <w:p w14:paraId="07E680F3"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30EDA53F" w14:textId="597A4804" w:rsidR="00A71821" w:rsidRPr="00C73E48" w:rsidRDefault="00A71821" w:rsidP="008D54A1">
            <w:pPr>
              <w:rPr>
                <w:rFonts w:ascii="Wingdings 2" w:eastAsia="Times New Roman" w:hAnsi="Wingdings 2"/>
                <w:color w:val="000000" w:themeColor="text1"/>
                <w:kern w:val="24"/>
                <w:sz w:val="20"/>
                <w:lang w:val="en-US" w:eastAsia="en-AU"/>
              </w:rPr>
            </w:pPr>
            <w:r w:rsidRPr="00C73E48">
              <w:rPr>
                <w:rFonts w:eastAsia="Times New Roman" w:cs="Calibri"/>
                <w:color w:val="000000" w:themeColor="text1"/>
                <w:kern w:val="24"/>
                <w:sz w:val="20"/>
                <w:lang w:val="en-US" w:eastAsia="en-AU"/>
              </w:rPr>
              <w:t xml:space="preserve">Correspondent </w:t>
            </w:r>
            <w:r w:rsidR="00337935">
              <w:rPr>
                <w:rFonts w:eastAsia="Times New Roman" w:cs="Calibri"/>
                <w:color w:val="000000" w:themeColor="text1"/>
                <w:kern w:val="24"/>
                <w:sz w:val="20"/>
                <w:lang w:val="en-US" w:eastAsia="en-AU"/>
              </w:rPr>
              <w:t>b</w:t>
            </w:r>
            <w:r w:rsidRPr="00C73E48">
              <w:rPr>
                <w:rFonts w:eastAsia="Times New Roman" w:cs="Calibri"/>
                <w:color w:val="000000" w:themeColor="text1"/>
                <w:kern w:val="24"/>
                <w:sz w:val="20"/>
                <w:lang w:val="en-US" w:eastAsia="en-AU"/>
              </w:rPr>
              <w:t xml:space="preserve">anking </w:t>
            </w:r>
          </w:p>
        </w:tc>
      </w:tr>
      <w:tr w:rsidR="00A71821" w:rsidRPr="00A426E3" w14:paraId="743EE129" w14:textId="77777777" w:rsidTr="24363412">
        <w:trPr>
          <w:cnfStyle w:val="000000100000" w:firstRow="0" w:lastRow="0" w:firstColumn="0" w:lastColumn="0" w:oddVBand="0" w:evenVBand="0" w:oddHBand="1" w:evenHBand="0" w:firstRowFirstColumn="0" w:firstRowLastColumn="0" w:lastRowFirstColumn="0" w:lastRowLastColumn="0"/>
          <w:trHeight w:val="168"/>
        </w:trPr>
        <w:tc>
          <w:tcPr>
            <w:tcW w:w="1843" w:type="dxa"/>
            <w:vMerge/>
          </w:tcPr>
          <w:p w14:paraId="395D437A"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49F26CA5" w14:textId="37C6D2F3" w:rsidR="00A71821" w:rsidRPr="00C73E48" w:rsidRDefault="00611786" w:rsidP="00A049A3">
            <w:pPr>
              <w:rPr>
                <w:rFonts w:ascii="Wingdings 2" w:eastAsia="Times New Roman" w:hAnsi="Wingdings 2"/>
                <w:color w:val="000000" w:themeColor="text1"/>
                <w:kern w:val="24"/>
                <w:sz w:val="20"/>
                <w:lang w:val="en-US" w:eastAsia="en-AU"/>
              </w:rPr>
            </w:pPr>
            <w:r>
              <w:rPr>
                <w:rFonts w:eastAsia="Times New Roman" w:cs="Calibri"/>
                <w:color w:val="000000" w:themeColor="text1"/>
                <w:kern w:val="24"/>
                <w:sz w:val="20"/>
                <w:lang w:val="en-US" w:eastAsia="en-AU"/>
              </w:rPr>
              <w:t xml:space="preserve">Cross-border movement </w:t>
            </w:r>
            <w:r w:rsidR="00337935">
              <w:rPr>
                <w:rFonts w:eastAsia="Times New Roman" w:cs="Calibri"/>
                <w:color w:val="000000" w:themeColor="text1"/>
                <w:kern w:val="24"/>
                <w:sz w:val="20"/>
                <w:lang w:val="en-US" w:eastAsia="en-AU"/>
              </w:rPr>
              <w:t>r</w:t>
            </w:r>
            <w:r w:rsidR="00A049A3">
              <w:rPr>
                <w:rFonts w:eastAsia="Times New Roman" w:cs="Calibri"/>
                <w:color w:val="000000" w:themeColor="text1"/>
                <w:kern w:val="24"/>
                <w:sz w:val="20"/>
                <w:lang w:val="en-US" w:eastAsia="en-AU"/>
              </w:rPr>
              <w:t>eports</w:t>
            </w:r>
          </w:p>
        </w:tc>
      </w:tr>
      <w:tr w:rsidR="00A71821" w:rsidRPr="00A426E3" w14:paraId="4CC1F94A" w14:textId="77777777" w:rsidTr="24363412">
        <w:trPr>
          <w:trHeight w:val="168"/>
        </w:trPr>
        <w:tc>
          <w:tcPr>
            <w:tcW w:w="1843" w:type="dxa"/>
            <w:vMerge/>
          </w:tcPr>
          <w:p w14:paraId="2B50DF53"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58944FB0" w14:textId="77777777" w:rsidR="00A71821" w:rsidRPr="00C73E48" w:rsidRDefault="00A71821" w:rsidP="008D54A1">
            <w:pPr>
              <w:rPr>
                <w:rFonts w:eastAsia="Times New Roman" w:cs="Calibri"/>
                <w:color w:val="000000" w:themeColor="text1"/>
                <w:kern w:val="24"/>
                <w:sz w:val="20"/>
                <w:lang w:val="en-US" w:eastAsia="en-AU"/>
              </w:rPr>
            </w:pPr>
            <w:r w:rsidRPr="00C73E48">
              <w:rPr>
                <w:rFonts w:eastAsia="Times New Roman" w:cs="Calibri"/>
                <w:color w:val="000000" w:themeColor="text1"/>
                <w:kern w:val="24"/>
                <w:sz w:val="20"/>
                <w:lang w:val="en-US" w:eastAsia="en-AU"/>
              </w:rPr>
              <w:t>Disclosure of AUSTRAC information to foreign counterparts</w:t>
            </w:r>
          </w:p>
        </w:tc>
      </w:tr>
      <w:tr w:rsidR="0089627F" w:rsidRPr="00A426E3" w14:paraId="79BFA558" w14:textId="77777777" w:rsidTr="24363412">
        <w:trPr>
          <w:cnfStyle w:val="000000100000" w:firstRow="0" w:lastRow="0" w:firstColumn="0" w:lastColumn="0" w:oddVBand="0" w:evenVBand="0" w:oddHBand="1" w:evenHBand="0" w:firstRowFirstColumn="0" w:firstRowLastColumn="0" w:lastRowFirstColumn="0" w:lastRowLastColumn="0"/>
          <w:trHeight w:val="20"/>
        </w:trPr>
        <w:tc>
          <w:tcPr>
            <w:tcW w:w="1843" w:type="dxa"/>
            <w:vMerge/>
          </w:tcPr>
          <w:p w14:paraId="48856A5E" w14:textId="77777777" w:rsidR="0089627F" w:rsidRDefault="0089627F" w:rsidP="008D54A1">
            <w:pPr>
              <w:jc w:val="center"/>
              <w:rPr>
                <w:rFonts w:eastAsia="Times New Roman" w:cs="Calibri"/>
                <w:color w:val="000000" w:themeColor="text1"/>
                <w:kern w:val="24"/>
                <w:sz w:val="20"/>
                <w:lang w:val="en-US" w:eastAsia="en-AU"/>
              </w:rPr>
            </w:pPr>
          </w:p>
        </w:tc>
        <w:tc>
          <w:tcPr>
            <w:tcW w:w="7111" w:type="dxa"/>
            <w:vAlign w:val="center"/>
          </w:tcPr>
          <w:p w14:paraId="414E73DC" w14:textId="77777777" w:rsidR="0089627F" w:rsidRPr="00C73E48" w:rsidRDefault="0089627F" w:rsidP="008D54A1">
            <w:pPr>
              <w:rPr>
                <w:rFonts w:eastAsia="Times New Roman" w:cs="Calibri"/>
                <w:color w:val="000000" w:themeColor="text1"/>
                <w:kern w:val="24"/>
                <w:sz w:val="20"/>
                <w:lang w:val="en-US" w:eastAsia="en-AU"/>
              </w:rPr>
            </w:pPr>
            <w:r>
              <w:rPr>
                <w:rFonts w:eastAsia="Times New Roman" w:cs="Calibri"/>
                <w:color w:val="000000" w:themeColor="text1"/>
                <w:kern w:val="24"/>
                <w:sz w:val="20"/>
                <w:lang w:val="en-US" w:eastAsia="en-AU"/>
              </w:rPr>
              <w:t>Compliance reporting</w:t>
            </w:r>
          </w:p>
        </w:tc>
      </w:tr>
      <w:tr w:rsidR="00A71821" w:rsidRPr="00A426E3" w14:paraId="1430A4AC" w14:textId="77777777" w:rsidTr="24363412">
        <w:trPr>
          <w:trHeight w:val="168"/>
        </w:trPr>
        <w:tc>
          <w:tcPr>
            <w:tcW w:w="1843" w:type="dxa"/>
            <w:vMerge w:val="restart"/>
            <w:tcBorders>
              <w:top w:val="single" w:sz="8" w:space="0" w:color="A6A6A6" w:themeColor="background1" w:themeShade="A6"/>
            </w:tcBorders>
            <w:vAlign w:val="center"/>
          </w:tcPr>
          <w:p w14:paraId="48372CC9" w14:textId="4FBC9EAF" w:rsidR="00A71821" w:rsidRDefault="3BF143C2" w:rsidP="24363412">
            <w:pPr>
              <w:jc w:val="center"/>
              <w:rPr>
                <w:rFonts w:eastAsia="Times New Roman" w:cs="Calibri"/>
                <w:i/>
                <w:iCs/>
                <w:color w:val="000000" w:themeColor="text1"/>
                <w:kern w:val="24"/>
                <w:sz w:val="20"/>
                <w:szCs w:val="20"/>
                <w:lang w:val="en-US" w:eastAsia="en-AU"/>
              </w:rPr>
            </w:pPr>
            <w:r w:rsidRPr="24363412">
              <w:rPr>
                <w:rFonts w:eastAsia="Times New Roman" w:cs="Calibri"/>
                <w:i/>
                <w:iCs/>
                <w:color w:val="000000" w:themeColor="text1"/>
                <w:kern w:val="24"/>
                <w:sz w:val="20"/>
                <w:szCs w:val="20"/>
                <w:lang w:val="en-US" w:eastAsia="en-AU"/>
              </w:rPr>
              <w:t>Exposure Draft</w:t>
            </w:r>
            <w:r w:rsidR="20960D97" w:rsidRPr="24363412">
              <w:rPr>
                <w:rFonts w:eastAsia="Times New Roman" w:cs="Calibri"/>
                <w:i/>
                <w:iCs/>
                <w:color w:val="000000" w:themeColor="text1"/>
                <w:kern w:val="24"/>
                <w:sz w:val="20"/>
                <w:szCs w:val="20"/>
                <w:lang w:val="en-US" w:eastAsia="en-AU"/>
              </w:rPr>
              <w:t xml:space="preserve"> </w:t>
            </w:r>
            <w:r w:rsidR="0D133D8E" w:rsidRPr="24363412">
              <w:rPr>
                <w:rFonts w:eastAsia="Times New Roman" w:cs="Calibri"/>
                <w:i/>
                <w:iCs/>
                <w:color w:val="000000" w:themeColor="text1"/>
                <w:kern w:val="24"/>
                <w:sz w:val="20"/>
                <w:szCs w:val="20"/>
                <w:lang w:val="en-US" w:eastAsia="en-AU"/>
              </w:rPr>
              <w:t>2</w:t>
            </w:r>
          </w:p>
          <w:p w14:paraId="07BDF2C4" w14:textId="77777777" w:rsidR="00A71821" w:rsidRDefault="00A71821" w:rsidP="008D54A1">
            <w:pPr>
              <w:jc w:val="center"/>
              <w:rPr>
                <w:rFonts w:eastAsia="Times New Roman" w:cs="Calibri"/>
                <w:color w:val="000000" w:themeColor="text1"/>
                <w:kern w:val="24"/>
                <w:sz w:val="20"/>
                <w:lang w:val="en-US" w:eastAsia="en-AU"/>
              </w:rPr>
            </w:pPr>
          </w:p>
        </w:tc>
        <w:tc>
          <w:tcPr>
            <w:tcW w:w="7111" w:type="dxa"/>
            <w:tcBorders>
              <w:top w:val="single" w:sz="8" w:space="0" w:color="A6A6A6" w:themeColor="background1" w:themeShade="A6"/>
            </w:tcBorders>
            <w:vAlign w:val="center"/>
          </w:tcPr>
          <w:p w14:paraId="1D16F138" w14:textId="77777777" w:rsidR="00A71821" w:rsidRPr="0016761F" w:rsidRDefault="20960D97" w:rsidP="24363412">
            <w:pPr>
              <w:rPr>
                <w:rFonts w:eastAsia="Times New Roman" w:cs="Calibri"/>
                <w:color w:val="000000" w:themeColor="text1"/>
                <w:kern w:val="24"/>
                <w:sz w:val="20"/>
                <w:szCs w:val="20"/>
                <w:lang w:val="en-US" w:eastAsia="en-AU"/>
              </w:rPr>
            </w:pPr>
            <w:r w:rsidRPr="24363412">
              <w:rPr>
                <w:rFonts w:eastAsia="Times New Roman" w:cs="Calibri"/>
                <w:color w:val="000000" w:themeColor="text1"/>
                <w:kern w:val="24"/>
                <w:sz w:val="20"/>
                <w:szCs w:val="20"/>
                <w:lang w:val="en-US" w:eastAsia="en-AU"/>
              </w:rPr>
              <w:t>Those presented above, with amendments (as required)</w:t>
            </w:r>
          </w:p>
        </w:tc>
      </w:tr>
      <w:tr w:rsidR="00A71821" w:rsidRPr="0016761F" w14:paraId="6661E34B" w14:textId="77777777" w:rsidTr="24363412">
        <w:trPr>
          <w:cnfStyle w:val="000000100000" w:firstRow="0" w:lastRow="0" w:firstColumn="0" w:lastColumn="0" w:oddVBand="0" w:evenVBand="0" w:oddHBand="1" w:evenHBand="0" w:firstRowFirstColumn="0" w:firstRowLastColumn="0" w:lastRowFirstColumn="0" w:lastRowLastColumn="0"/>
          <w:trHeight w:val="168"/>
        </w:trPr>
        <w:tc>
          <w:tcPr>
            <w:tcW w:w="1843" w:type="dxa"/>
            <w:vMerge/>
          </w:tcPr>
          <w:p w14:paraId="292A1E39"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4FD62BFA" w14:textId="452ACBC2" w:rsidR="00A71821" w:rsidRPr="0016761F" w:rsidRDefault="00A71821" w:rsidP="008D54A1">
            <w:pPr>
              <w:rPr>
                <w:rFonts w:eastAsia="Times New Roman" w:cs="Calibri"/>
                <w:color w:val="000000" w:themeColor="text1"/>
                <w:kern w:val="24"/>
                <w:sz w:val="20"/>
                <w:lang w:val="en-US" w:eastAsia="en-AU"/>
              </w:rPr>
            </w:pPr>
            <w:r w:rsidRPr="0016761F">
              <w:rPr>
                <w:rFonts w:eastAsia="Times New Roman" w:cs="Calibri"/>
                <w:color w:val="000000" w:themeColor="text1"/>
                <w:kern w:val="24"/>
                <w:sz w:val="20"/>
                <w:lang w:val="en-US" w:eastAsia="en-AU"/>
              </w:rPr>
              <w:t xml:space="preserve">Enrolment </w:t>
            </w:r>
            <w:r w:rsidR="00337935">
              <w:rPr>
                <w:rFonts w:eastAsia="Times New Roman" w:cs="Calibri"/>
                <w:color w:val="000000" w:themeColor="text1"/>
                <w:kern w:val="24"/>
                <w:sz w:val="20"/>
                <w:lang w:val="en-US" w:eastAsia="en-AU"/>
              </w:rPr>
              <w:t>d</w:t>
            </w:r>
            <w:r w:rsidRPr="0016761F">
              <w:rPr>
                <w:rFonts w:eastAsia="Times New Roman" w:cs="Calibri"/>
                <w:color w:val="000000" w:themeColor="text1"/>
                <w:kern w:val="24"/>
                <w:sz w:val="20"/>
                <w:lang w:val="en-US" w:eastAsia="en-AU"/>
              </w:rPr>
              <w:t xml:space="preserve">etails </w:t>
            </w:r>
          </w:p>
        </w:tc>
      </w:tr>
      <w:tr w:rsidR="00A71821" w:rsidRPr="0016761F" w14:paraId="2D6E4072" w14:textId="77777777" w:rsidTr="24363412">
        <w:trPr>
          <w:trHeight w:val="168"/>
        </w:trPr>
        <w:tc>
          <w:tcPr>
            <w:tcW w:w="1843" w:type="dxa"/>
            <w:vMerge/>
          </w:tcPr>
          <w:p w14:paraId="5459AD67" w14:textId="77777777" w:rsidR="00A71821" w:rsidRDefault="00A71821" w:rsidP="008D54A1">
            <w:pPr>
              <w:jc w:val="center"/>
              <w:rPr>
                <w:rFonts w:eastAsia="Times New Roman" w:cs="Calibri"/>
                <w:color w:val="000000" w:themeColor="text1"/>
                <w:kern w:val="24"/>
                <w:sz w:val="20"/>
                <w:lang w:val="en-US" w:eastAsia="en-AU"/>
              </w:rPr>
            </w:pPr>
          </w:p>
        </w:tc>
        <w:tc>
          <w:tcPr>
            <w:tcW w:w="7111" w:type="dxa"/>
            <w:vAlign w:val="center"/>
          </w:tcPr>
          <w:p w14:paraId="0F5E3D9C" w14:textId="47CE06D3" w:rsidR="00A71821" w:rsidRPr="0016761F" w:rsidRDefault="00A71821" w:rsidP="008D54A1">
            <w:pPr>
              <w:rPr>
                <w:rFonts w:eastAsia="Times New Roman" w:cs="Calibri"/>
                <w:color w:val="000000" w:themeColor="text1"/>
                <w:kern w:val="24"/>
                <w:sz w:val="20"/>
                <w:lang w:val="en-US" w:eastAsia="en-AU"/>
              </w:rPr>
            </w:pPr>
            <w:r w:rsidRPr="0016761F">
              <w:rPr>
                <w:rFonts w:eastAsia="Times New Roman" w:cs="Calibri"/>
                <w:color w:val="000000" w:themeColor="text1"/>
                <w:kern w:val="24"/>
                <w:sz w:val="20"/>
                <w:lang w:val="en-US" w:eastAsia="en-AU"/>
              </w:rPr>
              <w:t xml:space="preserve">Registration </w:t>
            </w:r>
            <w:r w:rsidR="00337935">
              <w:rPr>
                <w:rFonts w:eastAsia="Times New Roman" w:cs="Calibri"/>
                <w:color w:val="000000" w:themeColor="text1"/>
                <w:kern w:val="24"/>
                <w:sz w:val="20"/>
                <w:lang w:val="en-US" w:eastAsia="en-AU"/>
              </w:rPr>
              <w:t>d</w:t>
            </w:r>
            <w:r w:rsidRPr="0016761F">
              <w:rPr>
                <w:rFonts w:eastAsia="Times New Roman" w:cs="Calibri"/>
                <w:color w:val="000000" w:themeColor="text1"/>
                <w:kern w:val="24"/>
                <w:sz w:val="20"/>
                <w:lang w:val="en-US" w:eastAsia="en-AU"/>
              </w:rPr>
              <w:t>etails</w:t>
            </w:r>
          </w:p>
        </w:tc>
      </w:tr>
      <w:tr w:rsidR="00B10AC4" w:rsidRPr="0016761F" w14:paraId="1889E657" w14:textId="77777777" w:rsidTr="24363412">
        <w:trPr>
          <w:cnfStyle w:val="000000100000" w:firstRow="0" w:lastRow="0" w:firstColumn="0" w:lastColumn="0" w:oddVBand="0" w:evenVBand="0" w:oddHBand="1" w:evenHBand="0" w:firstRowFirstColumn="0" w:firstRowLastColumn="0" w:lastRowFirstColumn="0" w:lastRowLastColumn="0"/>
          <w:trHeight w:val="287"/>
        </w:trPr>
        <w:tc>
          <w:tcPr>
            <w:tcW w:w="1843" w:type="dxa"/>
            <w:vMerge/>
          </w:tcPr>
          <w:p w14:paraId="79AB26C8" w14:textId="77777777" w:rsidR="00B10AC4" w:rsidRDefault="00B10AC4" w:rsidP="008D54A1">
            <w:pPr>
              <w:jc w:val="center"/>
              <w:rPr>
                <w:rFonts w:eastAsia="Times New Roman" w:cs="Calibri"/>
                <w:color w:val="000000" w:themeColor="text1"/>
                <w:kern w:val="24"/>
                <w:sz w:val="20"/>
                <w:lang w:val="en-US" w:eastAsia="en-AU"/>
              </w:rPr>
            </w:pPr>
          </w:p>
        </w:tc>
        <w:tc>
          <w:tcPr>
            <w:tcW w:w="7111" w:type="dxa"/>
            <w:vAlign w:val="center"/>
          </w:tcPr>
          <w:p w14:paraId="35FBD0E6" w14:textId="0BD4DFFB" w:rsidR="00B10AC4" w:rsidRPr="0016761F" w:rsidRDefault="00B10AC4" w:rsidP="00B10AC4">
            <w:pPr>
              <w:spacing w:before="0"/>
              <w:rPr>
                <w:rFonts w:eastAsia="Times New Roman" w:cs="Calibri"/>
                <w:color w:val="000000" w:themeColor="text1"/>
                <w:kern w:val="24"/>
                <w:sz w:val="20"/>
                <w:lang w:val="en-US" w:eastAsia="en-AU"/>
              </w:rPr>
            </w:pPr>
            <w:r>
              <w:rPr>
                <w:rFonts w:eastAsia="Times New Roman" w:cs="Calibri"/>
                <w:color w:val="000000" w:themeColor="text1"/>
                <w:kern w:val="24"/>
                <w:sz w:val="20"/>
                <w:lang w:val="en-US" w:eastAsia="en-AU"/>
              </w:rPr>
              <w:t xml:space="preserve">Reportable details for </w:t>
            </w:r>
            <w:r w:rsidR="00337935">
              <w:rPr>
                <w:rFonts w:eastAsia="Times New Roman" w:cs="Calibri"/>
                <w:color w:val="000000" w:themeColor="text1"/>
                <w:kern w:val="24"/>
                <w:sz w:val="20"/>
                <w:lang w:val="en-US" w:eastAsia="en-AU"/>
              </w:rPr>
              <w:t>t</w:t>
            </w:r>
            <w:r w:rsidRPr="0016761F">
              <w:rPr>
                <w:rFonts w:eastAsia="Times New Roman" w:cs="Calibri"/>
                <w:color w:val="000000" w:themeColor="text1"/>
                <w:kern w:val="24"/>
                <w:sz w:val="20"/>
                <w:lang w:val="en-US" w:eastAsia="en-AU"/>
              </w:rPr>
              <w:t xml:space="preserve">hreshold </w:t>
            </w:r>
            <w:r w:rsidR="00337935">
              <w:rPr>
                <w:rFonts w:eastAsia="Times New Roman" w:cs="Calibri"/>
                <w:color w:val="000000" w:themeColor="text1"/>
                <w:kern w:val="24"/>
                <w:sz w:val="20"/>
                <w:lang w:val="en-US" w:eastAsia="en-AU"/>
              </w:rPr>
              <w:t>t</w:t>
            </w:r>
            <w:r w:rsidRPr="0016761F">
              <w:rPr>
                <w:rFonts w:eastAsia="Times New Roman" w:cs="Calibri"/>
                <w:color w:val="000000" w:themeColor="text1"/>
                <w:kern w:val="24"/>
                <w:sz w:val="20"/>
                <w:lang w:val="en-US" w:eastAsia="en-AU"/>
              </w:rPr>
              <w:t xml:space="preserve">ransaction </w:t>
            </w:r>
            <w:r w:rsidR="00337935">
              <w:rPr>
                <w:rFonts w:eastAsia="Times New Roman" w:cs="Calibri"/>
                <w:color w:val="000000" w:themeColor="text1"/>
                <w:kern w:val="24"/>
                <w:sz w:val="20"/>
                <w:lang w:val="en-US" w:eastAsia="en-AU"/>
              </w:rPr>
              <w:t>r</w:t>
            </w:r>
            <w:r w:rsidRPr="0016761F">
              <w:rPr>
                <w:rFonts w:eastAsia="Times New Roman" w:cs="Calibri"/>
                <w:color w:val="000000" w:themeColor="text1"/>
                <w:kern w:val="24"/>
                <w:sz w:val="20"/>
                <w:lang w:val="en-US" w:eastAsia="en-AU"/>
              </w:rPr>
              <w:t>eports</w:t>
            </w:r>
            <w:r>
              <w:rPr>
                <w:rFonts w:eastAsia="Times New Roman" w:cs="Calibri"/>
                <w:color w:val="000000" w:themeColor="text1"/>
                <w:kern w:val="24"/>
                <w:sz w:val="20"/>
                <w:lang w:val="en-US" w:eastAsia="en-AU"/>
              </w:rPr>
              <w:t xml:space="preserve"> and </w:t>
            </w:r>
            <w:r w:rsidR="00337935">
              <w:rPr>
                <w:rFonts w:eastAsia="Times New Roman" w:cs="Calibri"/>
                <w:color w:val="000000" w:themeColor="text1"/>
                <w:kern w:val="24"/>
                <w:sz w:val="20"/>
                <w:lang w:val="en-US" w:eastAsia="en-AU"/>
              </w:rPr>
              <w:t>s</w:t>
            </w:r>
            <w:r>
              <w:rPr>
                <w:rFonts w:eastAsia="Times New Roman" w:cs="Calibri"/>
                <w:color w:val="000000" w:themeColor="text1"/>
                <w:kern w:val="24"/>
                <w:sz w:val="20"/>
                <w:lang w:val="en-US" w:eastAsia="en-AU"/>
              </w:rPr>
              <w:t xml:space="preserve">uspicious </w:t>
            </w:r>
            <w:r w:rsidR="00337935">
              <w:rPr>
                <w:rFonts w:eastAsia="Times New Roman" w:cs="Calibri"/>
                <w:color w:val="000000" w:themeColor="text1"/>
                <w:kern w:val="24"/>
                <w:sz w:val="20"/>
                <w:lang w:val="en-US" w:eastAsia="en-AU"/>
              </w:rPr>
              <w:t>m</w:t>
            </w:r>
            <w:r>
              <w:rPr>
                <w:rFonts w:eastAsia="Times New Roman" w:cs="Calibri"/>
                <w:color w:val="000000" w:themeColor="text1"/>
                <w:kern w:val="24"/>
                <w:sz w:val="20"/>
                <w:lang w:val="en-US" w:eastAsia="en-AU"/>
              </w:rPr>
              <w:t xml:space="preserve">atter </w:t>
            </w:r>
            <w:r w:rsidR="00337935">
              <w:rPr>
                <w:rFonts w:eastAsia="Times New Roman" w:cs="Calibri"/>
                <w:color w:val="000000" w:themeColor="text1"/>
                <w:kern w:val="24"/>
                <w:sz w:val="20"/>
                <w:lang w:val="en-US" w:eastAsia="en-AU"/>
              </w:rPr>
              <w:t>r</w:t>
            </w:r>
            <w:r>
              <w:rPr>
                <w:rFonts w:eastAsia="Times New Roman" w:cs="Calibri"/>
                <w:color w:val="000000" w:themeColor="text1"/>
                <w:kern w:val="24"/>
                <w:sz w:val="20"/>
                <w:lang w:val="en-US" w:eastAsia="en-AU"/>
              </w:rPr>
              <w:t>eports</w:t>
            </w:r>
          </w:p>
        </w:tc>
      </w:tr>
      <w:tr w:rsidR="00A71821" w:rsidRPr="0016761F" w14:paraId="64E13807" w14:textId="77777777" w:rsidTr="24363412">
        <w:trPr>
          <w:trHeight w:val="168"/>
        </w:trPr>
        <w:tc>
          <w:tcPr>
            <w:tcW w:w="1843" w:type="dxa"/>
            <w:vMerge/>
          </w:tcPr>
          <w:p w14:paraId="7D5668D3" w14:textId="77777777" w:rsidR="00A71821" w:rsidRDefault="00A71821" w:rsidP="008D54A1">
            <w:pPr>
              <w:jc w:val="center"/>
              <w:rPr>
                <w:rFonts w:eastAsia="Times New Roman" w:cs="Calibri"/>
                <w:color w:val="000000" w:themeColor="text1"/>
                <w:kern w:val="24"/>
                <w:sz w:val="20"/>
                <w:lang w:val="en-US" w:eastAsia="en-AU"/>
              </w:rPr>
            </w:pPr>
          </w:p>
        </w:tc>
        <w:tc>
          <w:tcPr>
            <w:tcW w:w="7111" w:type="dxa"/>
            <w:tcBorders>
              <w:bottom w:val="single" w:sz="8" w:space="0" w:color="A6A6A6" w:themeColor="background1" w:themeShade="A6"/>
            </w:tcBorders>
            <w:vAlign w:val="center"/>
          </w:tcPr>
          <w:p w14:paraId="770062F5" w14:textId="77777777" w:rsidR="00A71821" w:rsidRPr="0016761F" w:rsidRDefault="20960D97" w:rsidP="24363412">
            <w:pPr>
              <w:rPr>
                <w:rFonts w:eastAsia="Times New Roman" w:cs="Calibri"/>
                <w:color w:val="000000" w:themeColor="text1"/>
                <w:kern w:val="24"/>
                <w:sz w:val="20"/>
                <w:szCs w:val="20"/>
                <w:lang w:val="en-US" w:eastAsia="en-AU"/>
              </w:rPr>
            </w:pPr>
            <w:r w:rsidRPr="24363412">
              <w:rPr>
                <w:rFonts w:eastAsia="Times New Roman" w:cs="Calibri"/>
                <w:color w:val="000000" w:themeColor="text1"/>
                <w:kern w:val="24"/>
                <w:sz w:val="20"/>
                <w:szCs w:val="20"/>
                <w:lang w:val="en-US" w:eastAsia="en-AU"/>
              </w:rPr>
              <w:t>Any additional measures (as required)</w:t>
            </w:r>
          </w:p>
        </w:tc>
      </w:tr>
      <w:tr w:rsidR="00A71821" w:rsidRPr="0016761F" w14:paraId="5AD15F65" w14:textId="77777777" w:rsidTr="24363412">
        <w:trPr>
          <w:cnfStyle w:val="000000100000" w:firstRow="0" w:lastRow="0" w:firstColumn="0" w:lastColumn="0" w:oddVBand="0" w:evenVBand="0" w:oddHBand="1" w:evenHBand="0" w:firstRowFirstColumn="0" w:firstRowLastColumn="0" w:lastRowFirstColumn="0" w:lastRowLastColumn="0"/>
          <w:trHeight w:val="168"/>
        </w:trPr>
        <w:tc>
          <w:tcPr>
            <w:tcW w:w="1843" w:type="dxa"/>
            <w:vMerge/>
          </w:tcPr>
          <w:p w14:paraId="2F2F5B75" w14:textId="77777777" w:rsidR="00A71821" w:rsidRDefault="00A71821" w:rsidP="008D54A1">
            <w:pPr>
              <w:jc w:val="center"/>
              <w:rPr>
                <w:rFonts w:eastAsia="Times New Roman" w:cs="Calibri"/>
                <w:color w:val="000000" w:themeColor="text1"/>
                <w:kern w:val="24"/>
                <w:sz w:val="20"/>
                <w:lang w:val="en-US" w:eastAsia="en-AU"/>
              </w:rPr>
            </w:pPr>
          </w:p>
        </w:tc>
        <w:tc>
          <w:tcPr>
            <w:tcW w:w="7111" w:type="dxa"/>
            <w:tcBorders>
              <w:top w:val="single" w:sz="8" w:space="0" w:color="A6A6A6" w:themeColor="background1" w:themeShade="A6"/>
            </w:tcBorders>
            <w:vAlign w:val="center"/>
          </w:tcPr>
          <w:p w14:paraId="46D45518" w14:textId="77777777" w:rsidR="00A71821" w:rsidRPr="0016761F" w:rsidRDefault="20960D97" w:rsidP="24363412">
            <w:pPr>
              <w:rPr>
                <w:rFonts w:eastAsia="Times New Roman" w:cs="Calibri"/>
                <w:color w:val="000000" w:themeColor="text1"/>
                <w:kern w:val="24"/>
                <w:sz w:val="20"/>
                <w:szCs w:val="20"/>
                <w:lang w:val="en-US" w:eastAsia="en-AU"/>
              </w:rPr>
            </w:pPr>
            <w:r w:rsidRPr="24363412">
              <w:rPr>
                <w:rFonts w:eastAsia="Times New Roman" w:cs="Calibri"/>
                <w:color w:val="000000" w:themeColor="text1"/>
                <w:kern w:val="24"/>
                <w:sz w:val="20"/>
                <w:szCs w:val="20"/>
                <w:lang w:val="en-US" w:eastAsia="en-AU"/>
              </w:rPr>
              <w:t>Current rules-based exemptions subject to consequential amendment</w:t>
            </w:r>
          </w:p>
        </w:tc>
      </w:tr>
    </w:tbl>
    <w:p w14:paraId="13C0BDE0" w14:textId="77777777" w:rsidR="00B34CAA" w:rsidRDefault="00B34CAA" w:rsidP="00B34CAA"/>
    <w:p w14:paraId="2D459230" w14:textId="6BE6E3DE" w:rsidR="00A71821" w:rsidRDefault="20960D97" w:rsidP="00B34CAA">
      <w:pPr>
        <w:pStyle w:val="Heading2"/>
      </w:pPr>
      <w:bookmarkStart w:id="14" w:name="_Toc184666426"/>
      <w:r>
        <w:t>Making a submission</w:t>
      </w:r>
      <w:bookmarkEnd w:id="14"/>
    </w:p>
    <w:p w14:paraId="610615E0" w14:textId="3E6C26D0" w:rsidR="00A71821" w:rsidRDefault="2EA3DBD6" w:rsidP="00A71821">
      <w:r>
        <w:t>AUSTRAC invites submission</w:t>
      </w:r>
      <w:r w:rsidR="0C72B5E4">
        <w:t>s</w:t>
      </w:r>
      <w:r>
        <w:t xml:space="preserve"> on the proposals discussed in this consultation paper. </w:t>
      </w:r>
      <w:r w:rsidR="46301BFC">
        <w:t xml:space="preserve">Part 4 of this consultation paper contains </w:t>
      </w:r>
      <w:r w:rsidR="3F95DEC2">
        <w:t xml:space="preserve">a range of </w:t>
      </w:r>
      <w:r w:rsidR="46301BFC">
        <w:t xml:space="preserve">questions </w:t>
      </w:r>
      <w:r w:rsidR="3E9C5733">
        <w:t xml:space="preserve">you may </w:t>
      </w:r>
      <w:r w:rsidR="46301BFC">
        <w:t>respond to in submissions.</w:t>
      </w:r>
    </w:p>
    <w:p w14:paraId="4182156E" w14:textId="76D61E7A" w:rsidR="00E01CA8" w:rsidRPr="00B34CAA" w:rsidRDefault="6F6C2BB1" w:rsidP="00B34CAA">
      <w:r>
        <w:t xml:space="preserve">You can provide submissions </w:t>
      </w:r>
      <w:r w:rsidR="56623C54">
        <w:t>via</w:t>
      </w:r>
      <w:r w:rsidR="2BEB04BD">
        <w:t xml:space="preserve"> </w:t>
      </w:r>
      <w:hyperlink r:id="rId16" w:history="1">
        <w:r w:rsidRPr="006528AE">
          <w:rPr>
            <w:rStyle w:val="Hyperlink"/>
          </w:rPr>
          <w:t>AUSTRAC’s</w:t>
        </w:r>
        <w:r w:rsidR="2EA3DBD6" w:rsidRPr="006528AE">
          <w:rPr>
            <w:rStyle w:val="Hyperlink"/>
          </w:rPr>
          <w:t xml:space="preserve"> </w:t>
        </w:r>
        <w:r w:rsidR="136F191F" w:rsidRPr="006528AE">
          <w:rPr>
            <w:rStyle w:val="Hyperlink"/>
          </w:rPr>
          <w:t>c</w:t>
        </w:r>
        <w:r w:rsidR="2EA3DBD6" w:rsidRPr="006528AE">
          <w:rPr>
            <w:rStyle w:val="Hyperlink"/>
          </w:rPr>
          <w:t xml:space="preserve">onsultation </w:t>
        </w:r>
        <w:r w:rsidRPr="006528AE">
          <w:rPr>
            <w:rStyle w:val="Hyperlink"/>
          </w:rPr>
          <w:t>page</w:t>
        </w:r>
      </w:hyperlink>
      <w:r w:rsidR="2EA3DBD6">
        <w:t xml:space="preserve">. The closing date for submissions is </w:t>
      </w:r>
      <w:r w:rsidRPr="00B34CAA">
        <w:t xml:space="preserve">11:59PM </w:t>
      </w:r>
      <w:r w:rsidR="2881610E" w:rsidRPr="00B34CAA">
        <w:t xml:space="preserve">Friday </w:t>
      </w:r>
      <w:r w:rsidR="2BDB9EA8" w:rsidRPr="00B34CAA">
        <w:t>14</w:t>
      </w:r>
      <w:r w:rsidR="2EA3DBD6" w:rsidRPr="00B34CAA">
        <w:t xml:space="preserve"> February 2025</w:t>
      </w:r>
      <w:r w:rsidR="2EA3DBD6">
        <w:t xml:space="preserve">. </w:t>
      </w:r>
    </w:p>
    <w:p w14:paraId="7F618545" w14:textId="5F590A0C" w:rsidR="17DB5272" w:rsidRDefault="00722787" w:rsidP="00B34CAA">
      <w:r>
        <w:lastRenderedPageBreak/>
        <w:t xml:space="preserve">Your feedback will assist AUSTRAC to determine </w:t>
      </w:r>
      <w:r w:rsidR="17DB5272">
        <w:t xml:space="preserve">whether measures </w:t>
      </w:r>
      <w:r w:rsidR="51FC43C0">
        <w:t>in</w:t>
      </w:r>
      <w:r w:rsidR="17DB5272">
        <w:t xml:space="preserve"> the Exposure Draft Rules require </w:t>
      </w:r>
      <w:r>
        <w:t>amendment</w:t>
      </w:r>
      <w:r w:rsidR="17DB5272">
        <w:t xml:space="preserve">, or whether additional rules are required. </w:t>
      </w:r>
      <w:r w:rsidR="0A655AB2">
        <w:t xml:space="preserve">You will have an opportunity to comment on any reworked measures when </w:t>
      </w:r>
      <w:r w:rsidR="00337935">
        <w:t>Exposure Draft 2 is</w:t>
      </w:r>
      <w:r w:rsidR="00B34CAA">
        <w:t xml:space="preserve"> released for consultation in 2025.</w:t>
      </w:r>
    </w:p>
    <w:p w14:paraId="367CFBBF" w14:textId="77777777" w:rsidR="00DD0F52" w:rsidRPr="00005BA8" w:rsidRDefault="50B24B08" w:rsidP="00AE4732">
      <w:pPr>
        <w:pStyle w:val="Heading1"/>
      </w:pPr>
      <w:bookmarkStart w:id="15" w:name="_Toc184666427"/>
      <w:r>
        <w:lastRenderedPageBreak/>
        <w:t>New AML/CTF</w:t>
      </w:r>
      <w:r w:rsidR="65703BC4">
        <w:t xml:space="preserve"> Rules</w:t>
      </w:r>
      <w:r w:rsidR="136F191F">
        <w:t xml:space="preserve"> f</w:t>
      </w:r>
      <w:r>
        <w:t>ramework</w:t>
      </w:r>
      <w:bookmarkEnd w:id="15"/>
    </w:p>
    <w:p w14:paraId="73D29F9B" w14:textId="77777777" w:rsidR="008D54A1" w:rsidRDefault="65703BC4" w:rsidP="008D54A1">
      <w:bookmarkStart w:id="16" w:name="_Toc361912846"/>
      <w:r>
        <w:t xml:space="preserve">The reforms </w:t>
      </w:r>
      <w:r w:rsidR="2FC5A8EB">
        <w:t>will</w:t>
      </w:r>
      <w:r>
        <w:t xml:space="preserve"> simplify the AML/CTF Rules in line</w:t>
      </w:r>
      <w:r w:rsidR="0D133D8E">
        <w:t xml:space="preserve"> with the findings of the 2016 </w:t>
      </w:r>
      <w:r>
        <w:t>Statutory Review of the AML/CTF regime (</w:t>
      </w:r>
      <w:r w:rsidRPr="24363412">
        <w:rPr>
          <w:b/>
          <w:bCs/>
        </w:rPr>
        <w:t xml:space="preserve">the </w:t>
      </w:r>
      <w:r w:rsidR="50B24B08" w:rsidRPr="24363412">
        <w:rPr>
          <w:b/>
          <w:bCs/>
        </w:rPr>
        <w:t xml:space="preserve">Statutory </w:t>
      </w:r>
      <w:r w:rsidRPr="24363412">
        <w:rPr>
          <w:b/>
          <w:bCs/>
        </w:rPr>
        <w:t>Review</w:t>
      </w:r>
      <w:r>
        <w:t>).</w:t>
      </w:r>
      <w:r w:rsidR="008D54A1">
        <w:rPr>
          <w:rStyle w:val="FootnoteReference"/>
        </w:rPr>
        <w:footnoteReference w:id="3"/>
      </w:r>
      <w:r>
        <w:t xml:space="preserve"> </w:t>
      </w:r>
    </w:p>
    <w:p w14:paraId="7241F99D" w14:textId="3AD71901" w:rsidR="008D54A1" w:rsidRDefault="008D54A1" w:rsidP="008D54A1">
      <w:r>
        <w:t xml:space="preserve">The </w:t>
      </w:r>
      <w:r w:rsidR="007E7576">
        <w:t xml:space="preserve">Statutory </w:t>
      </w:r>
      <w:r>
        <w:t xml:space="preserve">Review recommended that the current AML/CTF Rules be simplified and rationalised, employing plain language and publishing guidance materials to </w:t>
      </w:r>
      <w:r w:rsidR="00945531">
        <w:t>replace</w:t>
      </w:r>
      <w:r>
        <w:t xml:space="preserve"> the lengthy prescriptions in the </w:t>
      </w:r>
      <w:r w:rsidR="00B34CAA">
        <w:t xml:space="preserve">Current </w:t>
      </w:r>
      <w:r>
        <w:t xml:space="preserve">Rules. </w:t>
      </w:r>
    </w:p>
    <w:p w14:paraId="6811E30F" w14:textId="3AF7C9E0" w:rsidR="008D54A1" w:rsidRDefault="004831D4" w:rsidP="00B34CAA">
      <w:pPr>
        <w:pStyle w:val="Heading2"/>
      </w:pPr>
      <w:bookmarkStart w:id="17" w:name="_Toc184666428"/>
      <w:r>
        <w:t>Establishing two r</w:t>
      </w:r>
      <w:r w:rsidR="0D133D8E">
        <w:t>ules i</w:t>
      </w:r>
      <w:r w:rsidR="65703BC4">
        <w:t>nstruments</w:t>
      </w:r>
      <w:bookmarkEnd w:id="17"/>
      <w:r w:rsidR="65703BC4">
        <w:t xml:space="preserve"> </w:t>
      </w:r>
    </w:p>
    <w:p w14:paraId="1140AD5D" w14:textId="2A822F56" w:rsidR="008D54A1" w:rsidRDefault="65703BC4" w:rsidP="008D54A1">
      <w:r>
        <w:t xml:space="preserve">AUSTRAC </w:t>
      </w:r>
      <w:r w:rsidR="3C1CA5B8">
        <w:t>will</w:t>
      </w:r>
      <w:r>
        <w:t xml:space="preserve"> </w:t>
      </w:r>
      <w:r w:rsidR="48A1A087">
        <w:t>amend</w:t>
      </w:r>
      <w:r w:rsidR="50B24B08">
        <w:t xml:space="preserve"> the AML/CTF Rules framework</w:t>
      </w:r>
      <w:r>
        <w:t xml:space="preserve"> by </w:t>
      </w:r>
      <w:r w:rsidR="5C921919">
        <w:t>creating</w:t>
      </w:r>
      <w:r>
        <w:t xml:space="preserve"> two separate instruments: </w:t>
      </w:r>
    </w:p>
    <w:p w14:paraId="7947865F" w14:textId="3C7C248B" w:rsidR="00151617" w:rsidRDefault="1302841A" w:rsidP="24363412">
      <w:pPr>
        <w:pStyle w:val="ListParagraph"/>
        <w:numPr>
          <w:ilvl w:val="0"/>
          <w:numId w:val="22"/>
        </w:numPr>
        <w:ind w:left="777" w:hanging="357"/>
        <w:contextualSpacing w:val="0"/>
      </w:pPr>
      <w:r>
        <w:t xml:space="preserve">Most </w:t>
      </w:r>
      <w:r w:rsidR="5430E48C">
        <w:t>r</w:t>
      </w:r>
      <w:r>
        <w:t xml:space="preserve">ules would be included in a new instrument that will align with </w:t>
      </w:r>
      <w:r w:rsidR="751B37F9">
        <w:t xml:space="preserve">the </w:t>
      </w:r>
      <w:r w:rsidR="21397202">
        <w:t>Amended AML/CTF Act</w:t>
      </w:r>
      <w:r>
        <w:t xml:space="preserve"> and would be named the </w:t>
      </w:r>
      <w:r w:rsidRPr="24363412">
        <w:rPr>
          <w:i/>
          <w:iCs/>
        </w:rPr>
        <w:t>Anti-Money Laundering and Counter Terrorism Financing Rules 2025</w:t>
      </w:r>
      <w:r>
        <w:t xml:space="preserve"> (</w:t>
      </w:r>
      <w:r w:rsidRPr="24363412">
        <w:rPr>
          <w:b/>
          <w:bCs/>
        </w:rPr>
        <w:t>new General Rules</w:t>
      </w:r>
      <w:r>
        <w:t>).</w:t>
      </w:r>
      <w:r w:rsidR="00B34CAA">
        <w:t xml:space="preserve"> The Exposure Draft Rules accompanying this paper are a subset of the new General Rules.</w:t>
      </w:r>
    </w:p>
    <w:p w14:paraId="47FAF68D" w14:textId="72C4BB70" w:rsidR="008D54A1" w:rsidRDefault="50B24B08" w:rsidP="24363412">
      <w:pPr>
        <w:pStyle w:val="ListParagraph"/>
        <w:numPr>
          <w:ilvl w:val="0"/>
          <w:numId w:val="22"/>
        </w:numPr>
        <w:ind w:left="777" w:hanging="357"/>
        <w:contextualSpacing w:val="0"/>
      </w:pPr>
      <w:r>
        <w:t>Some e</w:t>
      </w:r>
      <w:r w:rsidR="65703BC4">
        <w:t xml:space="preserve">xisting exemptions to the </w:t>
      </w:r>
      <w:r w:rsidR="136F191F">
        <w:t xml:space="preserve">current </w:t>
      </w:r>
      <w:r w:rsidR="65703BC4">
        <w:t>AML/CTF Act would be retained</w:t>
      </w:r>
      <w:r w:rsidR="0D133D8E">
        <w:t xml:space="preserve"> (where appropriate)</w:t>
      </w:r>
      <w:r w:rsidR="65703BC4">
        <w:t xml:space="preserve"> in the existing AML/CTF Rules, which will be renamed the </w:t>
      </w:r>
      <w:r w:rsidR="65703BC4" w:rsidRPr="24363412">
        <w:rPr>
          <w:i/>
          <w:iCs/>
        </w:rPr>
        <w:t>AML/CTF (Exemptions) Rules 2007</w:t>
      </w:r>
      <w:r w:rsidR="0D133D8E">
        <w:t xml:space="preserve"> (</w:t>
      </w:r>
      <w:r w:rsidR="0D133D8E" w:rsidRPr="24363412">
        <w:rPr>
          <w:b/>
          <w:bCs/>
        </w:rPr>
        <w:t>Exemption Rules</w:t>
      </w:r>
      <w:r w:rsidR="0D133D8E">
        <w:t>)</w:t>
      </w:r>
      <w:r w:rsidR="65703BC4">
        <w:t>.</w:t>
      </w:r>
    </w:p>
    <w:p w14:paraId="01D16BCC" w14:textId="6BB39941" w:rsidR="00071EAD" w:rsidRDefault="6F6C2BB1" w:rsidP="00071EAD">
      <w:r>
        <w:t xml:space="preserve">Separating the </w:t>
      </w:r>
      <w:r w:rsidR="255C7753">
        <w:t>r</w:t>
      </w:r>
      <w:r>
        <w:t>ules</w:t>
      </w:r>
      <w:r w:rsidR="50B24B08">
        <w:t xml:space="preserve"> instrument</w:t>
      </w:r>
      <w:r>
        <w:t xml:space="preserve"> in this way ensures that laws of general application are confined to a single instrument, while </w:t>
      </w:r>
      <w:r w:rsidR="1EABA6EF">
        <w:t xml:space="preserve">existing </w:t>
      </w:r>
      <w:r>
        <w:t xml:space="preserve">exemptions are separated for reporting entities they affect. </w:t>
      </w:r>
    </w:p>
    <w:p w14:paraId="5A212C27" w14:textId="2ACCBFD4" w:rsidR="00071EAD" w:rsidRDefault="6F6C2BB1" w:rsidP="00071EAD">
      <w:r>
        <w:t xml:space="preserve">This also ensures that the existing </w:t>
      </w:r>
      <w:r w:rsidR="50B24B08">
        <w:t>r</w:t>
      </w:r>
      <w:r>
        <w:t xml:space="preserve">ules-based exemptions that do not require significant amendments can be retained without the need to remake them. This ensures greater stability for existing exemptions going forward. </w:t>
      </w:r>
    </w:p>
    <w:p w14:paraId="690CC108" w14:textId="07CBA72D" w:rsidR="2F6C22CD" w:rsidRDefault="2F6C22CD" w:rsidP="00B34CAA">
      <w:pPr>
        <w:pStyle w:val="Heading3"/>
      </w:pPr>
      <w:bookmarkStart w:id="18" w:name="_Toc184666429"/>
      <w:r>
        <w:t>Current Rules to become new Exemption Rules</w:t>
      </w:r>
      <w:bookmarkEnd w:id="18"/>
    </w:p>
    <w:p w14:paraId="66045EA3" w14:textId="49947501" w:rsidR="2F6C22CD" w:rsidRDefault="2F6C22CD" w:rsidP="24363412">
      <w:r>
        <w:t>Al</w:t>
      </w:r>
      <w:r w:rsidR="68084D9A">
        <w:t>most all chapters will be repealed from the</w:t>
      </w:r>
      <w:r>
        <w:t xml:space="preserve"> Current Rules </w:t>
      </w:r>
      <w:r w:rsidR="4F254890">
        <w:t xml:space="preserve">as they are either redundant due to the reforms in the </w:t>
      </w:r>
      <w:r w:rsidR="006003EE">
        <w:t>Amendment Act</w:t>
      </w:r>
      <w:r w:rsidR="34D40733">
        <w:t>,</w:t>
      </w:r>
      <w:r w:rsidR="13D81475">
        <w:t xml:space="preserve"> or</w:t>
      </w:r>
      <w:r w:rsidR="4F254890">
        <w:t xml:space="preserve"> </w:t>
      </w:r>
      <w:r w:rsidR="676CF6F8">
        <w:t>will be</w:t>
      </w:r>
      <w:r w:rsidR="0FABFEF9">
        <w:t xml:space="preserve"> </w:t>
      </w:r>
      <w:r w:rsidR="693FBABA">
        <w:t>rewritten in the new General Rules.</w:t>
      </w:r>
      <w:r w:rsidR="4BE1ED8C">
        <w:t xml:space="preserve"> For example, rules </w:t>
      </w:r>
      <w:r w:rsidR="00722787">
        <w:t xml:space="preserve">that </w:t>
      </w:r>
      <w:r w:rsidR="3E2200B3">
        <w:t xml:space="preserve">prescribe </w:t>
      </w:r>
      <w:r w:rsidR="1795D502">
        <w:t>methods of verification are no longer necessary</w:t>
      </w:r>
      <w:r w:rsidR="00722787">
        <w:t xml:space="preserve"> as the central principle underpinning verification, that it is based on ‘reliable and independent data’, is now enshrined in </w:t>
      </w:r>
      <w:r w:rsidR="005937F0">
        <w:t>paragraph</w:t>
      </w:r>
      <w:r w:rsidR="1795D502">
        <w:t xml:space="preserve"> 28</w:t>
      </w:r>
      <w:r w:rsidR="56777B4C">
        <w:t xml:space="preserve">(3)(d) </w:t>
      </w:r>
      <w:r w:rsidR="5D94941A">
        <w:t xml:space="preserve">of the </w:t>
      </w:r>
      <w:r w:rsidR="21397202">
        <w:t>Amended AML/CTF Act</w:t>
      </w:r>
      <w:r w:rsidR="574239AA">
        <w:t>.</w:t>
      </w:r>
    </w:p>
    <w:p w14:paraId="46783ACE" w14:textId="39CB25F0" w:rsidR="693FBABA" w:rsidRDefault="693FBABA" w:rsidP="24363412">
      <w:r>
        <w:t xml:space="preserve">The only chapters to be preserved in the Current Rules are </w:t>
      </w:r>
      <w:r w:rsidR="2F6C22CD">
        <w:t>Chapters 21, 22, 28, 31, 42, 43, 45, 47, 48, 49 and 66</w:t>
      </w:r>
      <w:r w:rsidR="243F1606">
        <w:t xml:space="preserve">. </w:t>
      </w:r>
      <w:r w:rsidR="48285186">
        <w:t xml:space="preserve">The second </w:t>
      </w:r>
      <w:r w:rsidR="392E4AAD">
        <w:t>round of consultation will include an exposure draft version of the new Exemption Rules</w:t>
      </w:r>
      <w:r w:rsidR="48285186">
        <w:t xml:space="preserve"> contain</w:t>
      </w:r>
      <w:r w:rsidR="1AA5CA6E">
        <w:t>ing</w:t>
      </w:r>
      <w:r w:rsidR="48285186">
        <w:t xml:space="preserve"> these chapters</w:t>
      </w:r>
      <w:r w:rsidR="2A8D1564">
        <w:t xml:space="preserve"> with necessary consequential amendments to fit in the reformed AML/CTF regime. </w:t>
      </w:r>
      <w:r w:rsidR="48285186">
        <w:t xml:space="preserve"> </w:t>
      </w:r>
    </w:p>
    <w:p w14:paraId="45A7B31B" w14:textId="77777777" w:rsidR="00C01A08" w:rsidRDefault="0D133D8E" w:rsidP="00B34CAA">
      <w:pPr>
        <w:pStyle w:val="Heading2"/>
      </w:pPr>
      <w:bookmarkStart w:id="19" w:name="_Toc184666430"/>
      <w:r>
        <w:lastRenderedPageBreak/>
        <w:t>Adopting an outcomes-based approach</w:t>
      </w:r>
      <w:bookmarkEnd w:id="19"/>
    </w:p>
    <w:p w14:paraId="4D8EE29B" w14:textId="0B9364ED" w:rsidR="00071EAD" w:rsidRDefault="6F6C2BB1" w:rsidP="00071EAD">
      <w:r>
        <w:t xml:space="preserve">The </w:t>
      </w:r>
      <w:r w:rsidR="59457F92">
        <w:t>Current Rules</w:t>
      </w:r>
      <w:r>
        <w:t xml:space="preserve"> are overly prescriptive, providing extensive mandatory steps to achieve the objectives of the</w:t>
      </w:r>
      <w:r w:rsidR="0C72B5E4">
        <w:t xml:space="preserve"> current</w:t>
      </w:r>
      <w:r>
        <w:t xml:space="preserve"> AML/CTF Act.</w:t>
      </w:r>
    </w:p>
    <w:p w14:paraId="7D983F4E" w14:textId="6EFAF24A" w:rsidR="00071EAD" w:rsidRDefault="6F6C2BB1" w:rsidP="00071EAD">
      <w:r>
        <w:t xml:space="preserve">The </w:t>
      </w:r>
      <w:r w:rsidR="21397202">
        <w:t>Amended AML/CTF Act</w:t>
      </w:r>
      <w:r w:rsidR="17A1A17E">
        <w:t xml:space="preserve"> will</w:t>
      </w:r>
      <w:r>
        <w:t xml:space="preserve"> establi</w:t>
      </w:r>
      <w:r w:rsidR="17A1A17E">
        <w:t>sh</w:t>
      </w:r>
      <w:r>
        <w:t xml:space="preserve"> a</w:t>
      </w:r>
      <w:r w:rsidR="5DA67B59">
        <w:t xml:space="preserve"> more</w:t>
      </w:r>
      <w:r>
        <w:t xml:space="preserve"> outcomes-</w:t>
      </w:r>
      <w:r w:rsidR="00E1527C">
        <w:t xml:space="preserve">based </w:t>
      </w:r>
      <w:r>
        <w:t xml:space="preserve">system of </w:t>
      </w:r>
      <w:r w:rsidR="0C72B5E4">
        <w:t xml:space="preserve">compliance, outlining the outcome to be achieved while affording </w:t>
      </w:r>
      <w:r>
        <w:t xml:space="preserve">flexibility to meet this outcome. </w:t>
      </w:r>
    </w:p>
    <w:p w14:paraId="54C17BDC" w14:textId="4B45A38D" w:rsidR="00071EAD" w:rsidRDefault="6F6C2BB1" w:rsidP="00071EAD">
      <w:r>
        <w:t xml:space="preserve">Reforms to the </w:t>
      </w:r>
      <w:r w:rsidR="1207CEEF">
        <w:t>Current Rules</w:t>
      </w:r>
      <w:r>
        <w:t xml:space="preserve"> will facilitate this outcomes-</w:t>
      </w:r>
      <w:r w:rsidR="00E1527C">
        <w:t xml:space="preserve">based </w:t>
      </w:r>
      <w:r w:rsidR="0C72B5E4">
        <w:t>system</w:t>
      </w:r>
      <w:r>
        <w:t xml:space="preserve"> by removing unnecessary</w:t>
      </w:r>
      <w:r w:rsidR="50B24B08">
        <w:t xml:space="preserve"> </w:t>
      </w:r>
      <w:r>
        <w:t xml:space="preserve">prescriptive steps. Instead, the outcomes in the </w:t>
      </w:r>
      <w:r w:rsidR="21397202">
        <w:t>Amended AML/CTF Act</w:t>
      </w:r>
      <w:r>
        <w:t xml:space="preserve"> </w:t>
      </w:r>
      <w:r w:rsidR="004831D4">
        <w:t xml:space="preserve">and new General Rules </w:t>
      </w:r>
      <w:r>
        <w:t>will be supported by comprehensive guidance for reporting entities on how they can meet the</w:t>
      </w:r>
      <w:r w:rsidR="00E1527C">
        <w:t>ir</w:t>
      </w:r>
      <w:r>
        <w:t xml:space="preserve"> AML/CTF compliance outcomes</w:t>
      </w:r>
      <w:r w:rsidR="1302841A">
        <w:t>.</w:t>
      </w:r>
      <w:r w:rsidR="00E1527C">
        <w:t xml:space="preserve"> For further information on upcoming guidance, see the about the reforms page on the </w:t>
      </w:r>
      <w:hyperlink r:id="rId17" w:history="1">
        <w:r w:rsidR="00E1527C" w:rsidRPr="006528AE">
          <w:rPr>
            <w:rStyle w:val="Hyperlink"/>
          </w:rPr>
          <w:t>AUSTRAC website</w:t>
        </w:r>
      </w:hyperlink>
      <w:r w:rsidR="00E1527C">
        <w:t xml:space="preserve">. </w:t>
      </w:r>
    </w:p>
    <w:p w14:paraId="1DB98FC0" w14:textId="77777777" w:rsidR="00DB3ACF" w:rsidRDefault="00DB3ACF" w:rsidP="00071EAD">
      <w:r w:rsidRPr="009C1D25">
        <w:rPr>
          <w:b/>
        </w:rPr>
        <w:t>Summary of the outcomes-based approach</w:t>
      </w:r>
      <w:r>
        <w:t xml:space="preserve"> </w:t>
      </w:r>
    </w:p>
    <w:p w14:paraId="72CC70A5" w14:textId="77777777" w:rsidR="00DB3ACF" w:rsidRDefault="00DB3ACF" w:rsidP="00DB3ACF">
      <w:pPr>
        <w:jc w:val="center"/>
      </w:pPr>
      <w:r>
        <w:rPr>
          <w:noProof/>
          <w:lang w:eastAsia="en-AU"/>
        </w:rPr>
        <w:drawing>
          <wp:inline distT="0" distB="0" distL="0" distR="0" wp14:anchorId="1E8F45B7" wp14:editId="7972487B">
            <wp:extent cx="5302109" cy="2991173"/>
            <wp:effectExtent l="19050" t="19050" r="1333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2629" cy="3002749"/>
                    </a:xfrm>
                    <a:prstGeom prst="rect">
                      <a:avLst/>
                    </a:prstGeom>
                    <a:ln>
                      <a:solidFill>
                        <a:schemeClr val="tx1">
                          <a:lumMod val="75000"/>
                          <a:lumOff val="25000"/>
                        </a:schemeClr>
                      </a:solidFill>
                    </a:ln>
                  </pic:spPr>
                </pic:pic>
              </a:graphicData>
            </a:graphic>
          </wp:inline>
        </w:drawing>
      </w:r>
    </w:p>
    <w:p w14:paraId="280A571D" w14:textId="4FC0ED8B" w:rsidR="00DB3ACF" w:rsidRDefault="6B58AC80" w:rsidP="00DB3ACF">
      <w:r>
        <w:t xml:space="preserve">To facilitate these changes, the </w:t>
      </w:r>
      <w:r w:rsidR="4A1F3157">
        <w:t>Current Rules</w:t>
      </w:r>
      <w:r>
        <w:t xml:space="preserve"> will be substantially reduced, </w:t>
      </w:r>
      <w:r w:rsidR="6F6C2BB1">
        <w:t>with only</w:t>
      </w:r>
      <w:r>
        <w:t xml:space="preserve"> specific legacy exemptions</w:t>
      </w:r>
      <w:r w:rsidR="6F6C2BB1">
        <w:t xml:space="preserve"> being retained</w:t>
      </w:r>
      <w:r>
        <w:t>.</w:t>
      </w:r>
    </w:p>
    <w:p w14:paraId="47829D3B" w14:textId="6988C585" w:rsidR="006308DE" w:rsidRDefault="1CFEF0E4" w:rsidP="00B34CAA">
      <w:pPr>
        <w:pStyle w:val="Heading2"/>
      </w:pPr>
      <w:bookmarkStart w:id="20" w:name="_Toc184666431"/>
      <w:r>
        <w:t>Scalability of obligations</w:t>
      </w:r>
      <w:bookmarkEnd w:id="20"/>
    </w:p>
    <w:p w14:paraId="56A39137" w14:textId="5590285D" w:rsidR="00E1527C" w:rsidRDefault="1CFEF0E4" w:rsidP="24363412">
      <w:r>
        <w:t>AUSTRAC’s regulated population will cover</w:t>
      </w:r>
      <w:r w:rsidR="00E1527C">
        <w:t xml:space="preserve"> a wide range of businesses of varying scale, from</w:t>
      </w:r>
      <w:r>
        <w:t xml:space="preserve"> Australia’s largest financial institutions </w:t>
      </w:r>
      <w:r w:rsidR="4806F536">
        <w:t xml:space="preserve">to </w:t>
      </w:r>
      <w:r>
        <w:t>sole traders</w:t>
      </w:r>
      <w:r w:rsidR="1A72C9D1">
        <w:t xml:space="preserve"> operating </w:t>
      </w:r>
      <w:r w:rsidR="00E1527C">
        <w:t>small</w:t>
      </w:r>
      <w:r w:rsidR="1A72C9D1">
        <w:t xml:space="preserve"> businesses in </w:t>
      </w:r>
      <w:r w:rsidR="00E1527C">
        <w:t xml:space="preserve">remote </w:t>
      </w:r>
      <w:r w:rsidR="1A72C9D1">
        <w:t>communities</w:t>
      </w:r>
      <w:r>
        <w:t xml:space="preserve">. </w:t>
      </w:r>
    </w:p>
    <w:p w14:paraId="47B44B0F" w14:textId="0E22FAF7" w:rsidR="004831D4" w:rsidRDefault="00E1527C" w:rsidP="24363412">
      <w:r>
        <w:t>While t</w:t>
      </w:r>
      <w:r w:rsidR="1CFEF0E4">
        <w:t xml:space="preserve">he </w:t>
      </w:r>
      <w:r w:rsidR="5639EAF8">
        <w:t xml:space="preserve">general </w:t>
      </w:r>
      <w:r w:rsidR="1CFEF0E4">
        <w:t xml:space="preserve">obligations </w:t>
      </w:r>
      <w:r>
        <w:t>in</w:t>
      </w:r>
      <w:r w:rsidR="1CFEF0E4">
        <w:t xml:space="preserve"> the </w:t>
      </w:r>
      <w:r w:rsidR="004831D4">
        <w:t xml:space="preserve">Amended </w:t>
      </w:r>
      <w:r w:rsidR="1CFEF0E4">
        <w:t xml:space="preserve">AML/CTF Act and </w:t>
      </w:r>
      <w:r w:rsidR="004831D4">
        <w:t>new General</w:t>
      </w:r>
      <w:r w:rsidR="1CFEF0E4">
        <w:t xml:space="preserve"> Rules apply equally to regulated </w:t>
      </w:r>
      <w:r>
        <w:t>entities</w:t>
      </w:r>
      <w:r w:rsidR="1CFEF0E4">
        <w:t xml:space="preserve">, </w:t>
      </w:r>
      <w:r>
        <w:t xml:space="preserve">the steps required to </w:t>
      </w:r>
      <w:r w:rsidR="00D0798A">
        <w:t>fulfil</w:t>
      </w:r>
      <w:r>
        <w:t xml:space="preserve"> each obligation will differ depending </w:t>
      </w:r>
      <w:r>
        <w:lastRenderedPageBreak/>
        <w:t>on the nature, size and complexity of the business</w:t>
      </w:r>
      <w:r w:rsidR="00D0798A">
        <w:t xml:space="preserve">. </w:t>
      </w:r>
      <w:r w:rsidR="77307595">
        <w:t>This is</w:t>
      </w:r>
      <w:r w:rsidR="62EBB613">
        <w:t xml:space="preserve"> expressly recognised in the </w:t>
      </w:r>
      <w:r w:rsidR="21397202">
        <w:t>Amended AML/CTF Act</w:t>
      </w:r>
      <w:r w:rsidR="1CFEF0E4">
        <w:t>.</w:t>
      </w:r>
      <w:r w:rsidR="005937F0">
        <w:rPr>
          <w:rStyle w:val="FootnoteReference"/>
        </w:rPr>
        <w:footnoteReference w:id="4"/>
      </w:r>
      <w:r w:rsidR="00E42B30">
        <w:t xml:space="preserve"> </w:t>
      </w:r>
    </w:p>
    <w:p w14:paraId="600A4849" w14:textId="10D5C602" w:rsidR="006308DE" w:rsidRDefault="73D6FC55" w:rsidP="24363412">
      <w:r>
        <w:t xml:space="preserve">The outcomes-based approach to the </w:t>
      </w:r>
      <w:r w:rsidR="004831D4">
        <w:t>new General R</w:t>
      </w:r>
      <w:r>
        <w:t>ules</w:t>
      </w:r>
      <w:r w:rsidR="1256FD08">
        <w:t>,</w:t>
      </w:r>
      <w:r>
        <w:t xml:space="preserve"> which avoids prescribing processes</w:t>
      </w:r>
      <w:r w:rsidR="79D3C055">
        <w:t xml:space="preserve"> reporting entities must carry out</w:t>
      </w:r>
      <w:r w:rsidR="720422F7">
        <w:t>,</w:t>
      </w:r>
      <w:r>
        <w:t xml:space="preserve"> also </w:t>
      </w:r>
      <w:r w:rsidR="34813AB1">
        <w:t xml:space="preserve">supports </w:t>
      </w:r>
      <w:r>
        <w:t xml:space="preserve">the rules to be flexible and scalable to the diverse </w:t>
      </w:r>
      <w:r w:rsidR="60D2BB94">
        <w:t>regulated population.</w:t>
      </w:r>
    </w:p>
    <w:p w14:paraId="0BCCDA87" w14:textId="5274C63B" w:rsidR="006308DE" w:rsidRDefault="1CFEF0E4" w:rsidP="24363412">
      <w:r>
        <w:t xml:space="preserve">For example, references to a ‘governing body’ or ‘senior manager’ in the Act and Rules includes a sole trader or a sole director of a small company. Similarly, the </w:t>
      </w:r>
      <w:r w:rsidR="2CB1296E">
        <w:t>AML/CTF</w:t>
      </w:r>
      <w:r>
        <w:t xml:space="preserve"> compliance officer may also be a sole trader or the sole director of a </w:t>
      </w:r>
      <w:r w:rsidR="4172E0D8">
        <w:t>body corporate</w:t>
      </w:r>
      <w:r w:rsidR="00E1527C">
        <w:t>, allowing all these roles to be discharged by a single person</w:t>
      </w:r>
      <w:r w:rsidR="00E42B30">
        <w:t xml:space="preserve"> in sole practitioner businesses</w:t>
      </w:r>
      <w:r>
        <w:t xml:space="preserve">. The law is flexible enough to allow the roles to be carried out effectively in a variety of business types. </w:t>
      </w:r>
    </w:p>
    <w:p w14:paraId="3B5A4D59" w14:textId="70A81937" w:rsidR="006308DE" w:rsidRDefault="1CFEF0E4" w:rsidP="24363412">
      <w:r>
        <w:t xml:space="preserve">The </w:t>
      </w:r>
      <w:r w:rsidR="004831D4">
        <w:t xml:space="preserve">Amended </w:t>
      </w:r>
      <w:r>
        <w:t xml:space="preserve">AML/CTF Act and </w:t>
      </w:r>
      <w:r w:rsidR="004831D4">
        <w:t>new General</w:t>
      </w:r>
      <w:r>
        <w:t xml:space="preserve"> Rules are also flexible enough to recognise certain existing processes can be leveraged by small businesses to fulfil obligations under the AML/CTF regime. This could include</w:t>
      </w:r>
      <w:r w:rsidR="35157C57">
        <w:t>,</w:t>
      </w:r>
      <w:r>
        <w:t xml:space="preserve"> for instance, professionally-mandated client identification requirements</w:t>
      </w:r>
      <w:r w:rsidR="00E42B30">
        <w:t xml:space="preserve"> being leveraged to complete customer identification checks under the AML/CTF regime</w:t>
      </w:r>
      <w:r>
        <w:t xml:space="preserve">.  </w:t>
      </w:r>
    </w:p>
    <w:p w14:paraId="2FBCC00A" w14:textId="2BE87CB9" w:rsidR="006308DE" w:rsidRDefault="6B58AC80" w:rsidP="00B34CAA">
      <w:pPr>
        <w:pStyle w:val="Heading2"/>
      </w:pPr>
      <w:bookmarkStart w:id="21" w:name="_Toc184666432"/>
      <w:r>
        <w:t>Simplifying the structure</w:t>
      </w:r>
      <w:bookmarkEnd w:id="21"/>
    </w:p>
    <w:p w14:paraId="77200490" w14:textId="68D6407F" w:rsidR="00D92A83" w:rsidRDefault="090AEF95" w:rsidP="006308DE">
      <w:r>
        <w:t xml:space="preserve">Due to the </w:t>
      </w:r>
      <w:r w:rsidR="1302841A">
        <w:t xml:space="preserve">reactive and chronological </w:t>
      </w:r>
      <w:r>
        <w:t xml:space="preserve">way in which the </w:t>
      </w:r>
      <w:r w:rsidR="18146F24">
        <w:t>Current Rules</w:t>
      </w:r>
      <w:r>
        <w:t xml:space="preserve"> developed, they have become convoluted, disorganised, and difficult to follow. </w:t>
      </w:r>
    </w:p>
    <w:p w14:paraId="225C0CB7" w14:textId="341F33B5" w:rsidR="00D854FA" w:rsidRDefault="332B38EF" w:rsidP="006308DE">
      <w:r>
        <w:t xml:space="preserve">The laws on customer identification procedures, for example, are spread across Chapters 4, 5, 6, 7, 28, 33, 35, 38, 39, 41, 46, 50, 66, 68, 77, 79 and 82 of the </w:t>
      </w:r>
      <w:r w:rsidR="18146F24">
        <w:t>Current Rules</w:t>
      </w:r>
      <w:r>
        <w:t xml:space="preserve">.  </w:t>
      </w:r>
    </w:p>
    <w:p w14:paraId="40607A75" w14:textId="77777777" w:rsidR="003E52CD" w:rsidRDefault="003E52CD" w:rsidP="006308DE">
      <w:r>
        <w:t xml:space="preserve">The reforms would reorganise relevant Rules into ‘Parts’ as follows, organised thematically in the order in which a reporting entity would implement each obligation. </w:t>
      </w:r>
    </w:p>
    <w:p w14:paraId="5046BA43" w14:textId="698453F0" w:rsidR="003E52CD" w:rsidRPr="0028601C" w:rsidRDefault="793A0C84" w:rsidP="24363412">
      <w:pPr>
        <w:pStyle w:val="ListParagraph"/>
        <w:numPr>
          <w:ilvl w:val="0"/>
          <w:numId w:val="22"/>
        </w:numPr>
        <w:ind w:left="777" w:hanging="357"/>
        <w:contextualSpacing w:val="0"/>
      </w:pPr>
      <w:r>
        <w:t xml:space="preserve">Part 1: </w:t>
      </w:r>
      <w:r w:rsidR="6CDF7C11">
        <w:t>Preliminary</w:t>
      </w:r>
    </w:p>
    <w:p w14:paraId="5DDFCB54" w14:textId="61E6C848" w:rsidR="003E52CD" w:rsidRPr="0028601C" w:rsidRDefault="793A0C84" w:rsidP="24363412">
      <w:pPr>
        <w:numPr>
          <w:ilvl w:val="0"/>
          <w:numId w:val="22"/>
        </w:numPr>
      </w:pPr>
      <w:r>
        <w:t xml:space="preserve">Part </w:t>
      </w:r>
      <w:r w:rsidR="61C9F1E7">
        <w:t>2</w:t>
      </w:r>
      <w:r>
        <w:t xml:space="preserve">: Enrolment </w:t>
      </w:r>
    </w:p>
    <w:p w14:paraId="6D884156" w14:textId="1F0EC56F" w:rsidR="003E52CD" w:rsidRPr="0028601C" w:rsidRDefault="793A0C84" w:rsidP="24363412">
      <w:pPr>
        <w:pStyle w:val="ListParagraph"/>
        <w:numPr>
          <w:ilvl w:val="0"/>
          <w:numId w:val="22"/>
        </w:numPr>
        <w:ind w:left="777" w:hanging="357"/>
        <w:contextualSpacing w:val="0"/>
      </w:pPr>
      <w:r>
        <w:t xml:space="preserve">Part </w:t>
      </w:r>
      <w:r w:rsidR="5AD9A11E">
        <w:t>3</w:t>
      </w:r>
      <w:r>
        <w:t>: Registration</w:t>
      </w:r>
    </w:p>
    <w:p w14:paraId="1F3F68B2" w14:textId="5CB139B1" w:rsidR="003E52CD" w:rsidRPr="0028601C" w:rsidRDefault="793A0C84" w:rsidP="24363412">
      <w:pPr>
        <w:pStyle w:val="ListParagraph"/>
        <w:numPr>
          <w:ilvl w:val="0"/>
          <w:numId w:val="22"/>
        </w:numPr>
        <w:ind w:left="777" w:hanging="357"/>
        <w:contextualSpacing w:val="0"/>
      </w:pPr>
      <w:r>
        <w:t xml:space="preserve">Part </w:t>
      </w:r>
      <w:r w:rsidR="3E226FD3">
        <w:t>4</w:t>
      </w:r>
      <w:r>
        <w:t xml:space="preserve">: AML/CTF programs </w:t>
      </w:r>
    </w:p>
    <w:p w14:paraId="5EA0303B" w14:textId="336B3B8A" w:rsidR="003E52CD" w:rsidRPr="0028601C" w:rsidRDefault="793A0C84" w:rsidP="24363412">
      <w:pPr>
        <w:pStyle w:val="ListParagraph"/>
        <w:numPr>
          <w:ilvl w:val="0"/>
          <w:numId w:val="22"/>
        </w:numPr>
        <w:ind w:left="777" w:hanging="357"/>
        <w:contextualSpacing w:val="0"/>
      </w:pPr>
      <w:r>
        <w:t xml:space="preserve">Part </w:t>
      </w:r>
      <w:r w:rsidR="0B38E0BB">
        <w:t>5</w:t>
      </w:r>
      <w:r>
        <w:t xml:space="preserve">: Customer due diligence </w:t>
      </w:r>
    </w:p>
    <w:p w14:paraId="426730C8" w14:textId="25B10091" w:rsidR="003E52CD" w:rsidRPr="0028601C" w:rsidRDefault="793A0C84" w:rsidP="24363412">
      <w:pPr>
        <w:pStyle w:val="ListParagraph"/>
        <w:numPr>
          <w:ilvl w:val="0"/>
          <w:numId w:val="22"/>
        </w:numPr>
        <w:ind w:left="777" w:hanging="357"/>
        <w:contextualSpacing w:val="0"/>
      </w:pPr>
      <w:r>
        <w:t xml:space="preserve">Part </w:t>
      </w:r>
      <w:r w:rsidR="1A361B46">
        <w:t>6</w:t>
      </w:r>
      <w:r>
        <w:t>: Correspondent banking</w:t>
      </w:r>
    </w:p>
    <w:p w14:paraId="0BC75156" w14:textId="61D23CEB" w:rsidR="0028601C" w:rsidRPr="0028601C" w:rsidRDefault="19A43D5E" w:rsidP="24363412">
      <w:pPr>
        <w:pStyle w:val="ListParagraph"/>
        <w:numPr>
          <w:ilvl w:val="0"/>
          <w:numId w:val="22"/>
        </w:numPr>
        <w:ind w:left="777" w:hanging="357"/>
        <w:contextualSpacing w:val="0"/>
      </w:pPr>
      <w:r>
        <w:t xml:space="preserve">Part </w:t>
      </w:r>
      <w:r w:rsidR="3DB4687B">
        <w:t>7</w:t>
      </w:r>
      <w:r>
        <w:t xml:space="preserve">: Transfers of value </w:t>
      </w:r>
    </w:p>
    <w:p w14:paraId="7887FA33" w14:textId="57585831" w:rsidR="003E52CD" w:rsidRPr="0028601C" w:rsidRDefault="19A43D5E" w:rsidP="24363412">
      <w:pPr>
        <w:pStyle w:val="ListParagraph"/>
        <w:numPr>
          <w:ilvl w:val="0"/>
          <w:numId w:val="22"/>
        </w:numPr>
        <w:ind w:left="777" w:hanging="357"/>
        <w:contextualSpacing w:val="0"/>
      </w:pPr>
      <w:r>
        <w:t xml:space="preserve">Part </w:t>
      </w:r>
      <w:r w:rsidR="38D0B8B5">
        <w:t>8</w:t>
      </w:r>
      <w:r w:rsidR="793A0C84">
        <w:t xml:space="preserve">: Reporting </w:t>
      </w:r>
    </w:p>
    <w:p w14:paraId="13966BF1" w14:textId="3CCD999F" w:rsidR="003E52CD" w:rsidRPr="0028601C" w:rsidRDefault="19A43D5E" w:rsidP="24363412">
      <w:pPr>
        <w:pStyle w:val="ListParagraph"/>
        <w:numPr>
          <w:ilvl w:val="0"/>
          <w:numId w:val="22"/>
        </w:numPr>
        <w:ind w:left="777" w:hanging="357"/>
        <w:contextualSpacing w:val="0"/>
      </w:pPr>
      <w:r>
        <w:lastRenderedPageBreak/>
        <w:t xml:space="preserve">Part </w:t>
      </w:r>
      <w:r w:rsidR="37CC6C6A">
        <w:t>9</w:t>
      </w:r>
      <w:r w:rsidR="793A0C84">
        <w:t>: Record-keeping</w:t>
      </w:r>
    </w:p>
    <w:p w14:paraId="0CB7C84F" w14:textId="1E05CF59" w:rsidR="003E52CD" w:rsidRPr="0028601C" w:rsidRDefault="793A0C84" w:rsidP="24363412">
      <w:pPr>
        <w:pStyle w:val="ListParagraph"/>
        <w:numPr>
          <w:ilvl w:val="0"/>
          <w:numId w:val="22"/>
        </w:numPr>
        <w:ind w:left="777" w:hanging="357"/>
        <w:contextualSpacing w:val="0"/>
      </w:pPr>
      <w:r>
        <w:t>Part 1</w:t>
      </w:r>
      <w:r w:rsidR="60DC0DE5">
        <w:t>0</w:t>
      </w:r>
      <w:r>
        <w:t>: Secrecy and Access</w:t>
      </w:r>
    </w:p>
    <w:p w14:paraId="018C2451" w14:textId="35CE69D1" w:rsidR="0028601C" w:rsidRPr="0028601C" w:rsidRDefault="19A43D5E" w:rsidP="24363412">
      <w:pPr>
        <w:pStyle w:val="ListParagraph"/>
        <w:numPr>
          <w:ilvl w:val="0"/>
          <w:numId w:val="22"/>
        </w:numPr>
        <w:ind w:left="777" w:hanging="357"/>
        <w:contextualSpacing w:val="0"/>
      </w:pPr>
      <w:r>
        <w:t>Part 1</w:t>
      </w:r>
      <w:r w:rsidR="00F5FAC3">
        <w:t>1</w:t>
      </w:r>
      <w:r>
        <w:t>: Other matters</w:t>
      </w:r>
    </w:p>
    <w:p w14:paraId="6A77A383" w14:textId="681CCF30" w:rsidR="000F5C7A" w:rsidRDefault="17575CCB" w:rsidP="24363412">
      <w:pPr>
        <w:pStyle w:val="ListParagraph"/>
        <w:numPr>
          <w:ilvl w:val="0"/>
          <w:numId w:val="22"/>
        </w:numPr>
        <w:ind w:left="777" w:hanging="357"/>
        <w:contextualSpacing w:val="0"/>
      </w:pPr>
      <w:r>
        <w:t>Part 1</w:t>
      </w:r>
      <w:r w:rsidR="02F46E80">
        <w:t>2</w:t>
      </w:r>
      <w:r w:rsidR="19A43D5E">
        <w:t>: Application, saving and transitional provisions</w:t>
      </w:r>
    </w:p>
    <w:p w14:paraId="34456192" w14:textId="16BE260F" w:rsidR="007E642B" w:rsidRDefault="007E642B" w:rsidP="24363412">
      <w:pPr>
        <w:pStyle w:val="ListParagraph"/>
        <w:numPr>
          <w:ilvl w:val="0"/>
          <w:numId w:val="22"/>
        </w:numPr>
        <w:ind w:left="777" w:hanging="357"/>
        <w:contextualSpacing w:val="0"/>
      </w:pPr>
      <w:r>
        <w:t>Schedule 1: Forms</w:t>
      </w:r>
    </w:p>
    <w:p w14:paraId="7A0E7481" w14:textId="5C2A1B9D" w:rsidR="00750D71" w:rsidRPr="002E333F" w:rsidRDefault="3BF143C2" w:rsidP="24363412">
      <w:pPr>
        <w:pStyle w:val="Heading1"/>
      </w:pPr>
      <w:bookmarkStart w:id="22" w:name="_Toc184666433"/>
      <w:r>
        <w:lastRenderedPageBreak/>
        <w:t>Exposure Draft</w:t>
      </w:r>
      <w:r w:rsidR="33C15E62">
        <w:t xml:space="preserve"> </w:t>
      </w:r>
      <w:r w:rsidR="50B24B08">
        <w:t>AML/CTF Rules</w:t>
      </w:r>
      <w:bookmarkEnd w:id="22"/>
    </w:p>
    <w:p w14:paraId="17986942" w14:textId="2B1AADAC" w:rsidR="00945531" w:rsidRPr="002E333F" w:rsidRDefault="7385E6F8" w:rsidP="003C5E3F">
      <w:r>
        <w:t xml:space="preserve">The </w:t>
      </w:r>
      <w:r w:rsidR="172A1B35">
        <w:t>Exposure Draft Rules</w:t>
      </w:r>
      <w:r w:rsidR="16DFD5F1">
        <w:t xml:space="preserve"> </w:t>
      </w:r>
      <w:r w:rsidR="17A1A17E">
        <w:t>will support</w:t>
      </w:r>
      <w:r w:rsidR="16DFD5F1">
        <w:t xml:space="preserve"> the</w:t>
      </w:r>
      <w:r w:rsidR="17A1A17E">
        <w:t xml:space="preserve"> </w:t>
      </w:r>
      <w:r w:rsidR="21397202">
        <w:t>Amended AML/CTF Act</w:t>
      </w:r>
      <w:r w:rsidR="17A1A17E">
        <w:t xml:space="preserve"> </w:t>
      </w:r>
      <w:r w:rsidR="16DFD5F1">
        <w:t xml:space="preserve">by: </w:t>
      </w:r>
    </w:p>
    <w:p w14:paraId="4D0ACE23" w14:textId="2AF243E1" w:rsidR="00D92A83" w:rsidRPr="002E333F" w:rsidRDefault="090AEF95" w:rsidP="24363412">
      <w:pPr>
        <w:numPr>
          <w:ilvl w:val="0"/>
          <w:numId w:val="22"/>
        </w:numPr>
        <w:rPr>
          <w:b/>
          <w:bCs/>
        </w:rPr>
      </w:pPr>
      <w:r>
        <w:t xml:space="preserve">removing the majority of existing requirements in the </w:t>
      </w:r>
      <w:r w:rsidR="20E32E24">
        <w:t xml:space="preserve">Current </w:t>
      </w:r>
      <w:r>
        <w:t xml:space="preserve">Rules – these </w:t>
      </w:r>
      <w:r w:rsidR="3513DECB">
        <w:t xml:space="preserve">have </w:t>
      </w:r>
      <w:r>
        <w:t>either be</w:t>
      </w:r>
      <w:r w:rsidR="43BA8E5B">
        <w:t>en</w:t>
      </w:r>
      <w:r w:rsidR="0C72B5E4">
        <w:t xml:space="preserve"> </w:t>
      </w:r>
      <w:r>
        <w:t xml:space="preserve">absorbed into or rendered obsolete </w:t>
      </w:r>
      <w:r w:rsidR="0C72B5E4">
        <w:t>by</w:t>
      </w:r>
      <w:r>
        <w:t xml:space="preserve"> the </w:t>
      </w:r>
      <w:r w:rsidR="21397202">
        <w:t>Amended AML/CTF Act</w:t>
      </w:r>
      <w:r>
        <w:t xml:space="preserve">, or </w:t>
      </w:r>
      <w:r w:rsidR="0C72B5E4">
        <w:t>will be</w:t>
      </w:r>
      <w:r>
        <w:t xml:space="preserve"> incompatible w</w:t>
      </w:r>
      <w:r w:rsidR="4552BA20">
        <w:t>ith the outcomes-based approach</w:t>
      </w:r>
    </w:p>
    <w:p w14:paraId="3292E14B" w14:textId="39FA6903" w:rsidR="00D92A83" w:rsidRPr="002E333F" w:rsidRDefault="1302841A" w:rsidP="001838F9">
      <w:pPr>
        <w:numPr>
          <w:ilvl w:val="0"/>
          <w:numId w:val="22"/>
        </w:numPr>
      </w:pPr>
      <w:r>
        <w:t xml:space="preserve">including </w:t>
      </w:r>
      <w:r w:rsidR="7AB099AB">
        <w:t xml:space="preserve">detail on </w:t>
      </w:r>
      <w:r>
        <w:t>fundamental AML/CTF</w:t>
      </w:r>
      <w:r w:rsidR="090AEF95">
        <w:t xml:space="preserve"> co</w:t>
      </w:r>
      <w:r w:rsidR="6FD08876">
        <w:t xml:space="preserve">ncepts in the </w:t>
      </w:r>
      <w:r w:rsidR="50B24B08">
        <w:t>primary legislation</w:t>
      </w:r>
      <w:r w:rsidR="6FD08876">
        <w:t xml:space="preserve"> – i</w:t>
      </w:r>
      <w:r w:rsidR="090AEF95">
        <w:t xml:space="preserve">ncluding </w:t>
      </w:r>
      <w:r w:rsidR="3B39C5D5">
        <w:t xml:space="preserve">an initial proposal about </w:t>
      </w:r>
      <w:r w:rsidR="732FA141">
        <w:t xml:space="preserve">who must be </w:t>
      </w:r>
      <w:r w:rsidR="44D1BE42">
        <w:t xml:space="preserve">the lead entity of a </w:t>
      </w:r>
      <w:r w:rsidR="090AEF95">
        <w:t>reporting group</w:t>
      </w:r>
      <w:r w:rsidR="408A556D">
        <w:t xml:space="preserve"> (which will be further developed throughout the consultation)</w:t>
      </w:r>
      <w:r w:rsidR="090AEF95">
        <w:t xml:space="preserve">, the travel rule and new definitions for </w:t>
      </w:r>
      <w:r w:rsidR="00C81B01">
        <w:t>p</w:t>
      </w:r>
      <w:r w:rsidR="090AEF95">
        <w:t>ol</w:t>
      </w:r>
      <w:r w:rsidR="4552BA20">
        <w:t xml:space="preserve">itically </w:t>
      </w:r>
      <w:r w:rsidR="00C81B01">
        <w:t>e</w:t>
      </w:r>
      <w:r w:rsidR="4552BA20">
        <w:t xml:space="preserve">xposed </w:t>
      </w:r>
      <w:r w:rsidR="00C81B01">
        <w:t>p</w:t>
      </w:r>
      <w:r w:rsidR="4552BA20">
        <w:t>ersons (PEPs)</w:t>
      </w:r>
    </w:p>
    <w:p w14:paraId="47D9C626" w14:textId="77777777" w:rsidR="008C5668" w:rsidRPr="002E333F" w:rsidRDefault="090AEF95" w:rsidP="00B10AC4">
      <w:pPr>
        <w:numPr>
          <w:ilvl w:val="0"/>
          <w:numId w:val="22"/>
        </w:numPr>
      </w:pPr>
      <w:r>
        <w:t xml:space="preserve">including additional requirements to meet specific obligations – particularly for AML/CTF Programs, customer due diligence, </w:t>
      </w:r>
      <w:r w:rsidR="50B24B08">
        <w:t xml:space="preserve">AML/CTF </w:t>
      </w:r>
      <w:r w:rsidR="17575CCB">
        <w:t>c</w:t>
      </w:r>
      <w:r w:rsidR="50B24B08">
        <w:t xml:space="preserve">ompliance </w:t>
      </w:r>
      <w:r w:rsidR="17575CCB">
        <w:t>o</w:t>
      </w:r>
      <w:r w:rsidR="50B24B08">
        <w:t>fficers</w:t>
      </w:r>
      <w:r w:rsidR="7C08518E">
        <w:t xml:space="preserve">, </w:t>
      </w:r>
      <w:r w:rsidR="17575CCB">
        <w:t>k</w:t>
      </w:r>
      <w:r w:rsidR="7C08518E">
        <w:t xml:space="preserve">eep </w:t>
      </w:r>
      <w:r w:rsidR="17575CCB">
        <w:t>o</w:t>
      </w:r>
      <w:r w:rsidR="7C08518E">
        <w:t xml:space="preserve">pen </w:t>
      </w:r>
      <w:r w:rsidR="17575CCB">
        <w:t>n</w:t>
      </w:r>
      <w:r w:rsidR="7C08518E">
        <w:t>otices</w:t>
      </w:r>
      <w:r w:rsidR="4552BA20">
        <w:t xml:space="preserve"> and the transfer of value</w:t>
      </w:r>
    </w:p>
    <w:p w14:paraId="089379B9" w14:textId="5F597104" w:rsidR="003F36C2" w:rsidRPr="002E333F" w:rsidRDefault="4552BA20" w:rsidP="00B10AC4">
      <w:pPr>
        <w:numPr>
          <w:ilvl w:val="0"/>
          <w:numId w:val="22"/>
        </w:numPr>
      </w:pPr>
      <w:r>
        <w:t>rewriting existing measures that are not</w:t>
      </w:r>
      <w:r w:rsidR="5CF32013">
        <w:t xml:space="preserve"> substantively</w:t>
      </w:r>
      <w:r w:rsidR="73AFC067">
        <w:t xml:space="preserve"> changed in</w:t>
      </w:r>
      <w:r>
        <w:t xml:space="preserve"> the </w:t>
      </w:r>
      <w:r w:rsidR="006003EE">
        <w:t>Amendment Act</w:t>
      </w:r>
      <w:r>
        <w:t xml:space="preserve"> – including correspondent banking and AML/CTF compliance reports requirements.</w:t>
      </w:r>
    </w:p>
    <w:p w14:paraId="1CB1607D" w14:textId="25552A53" w:rsidR="000237B6" w:rsidRPr="002E333F" w:rsidRDefault="0DAFE146" w:rsidP="003F36C2">
      <w:pPr>
        <w:spacing w:before="240"/>
      </w:pPr>
      <w:r>
        <w:t xml:space="preserve">The </w:t>
      </w:r>
      <w:r w:rsidR="55EBA439">
        <w:t>Exposure Draft Rules</w:t>
      </w:r>
      <w:r>
        <w:t xml:space="preserve"> also </w:t>
      </w:r>
      <w:r w:rsidR="7C08518E">
        <w:t xml:space="preserve">contain measures required </w:t>
      </w:r>
      <w:r>
        <w:t>to meet international</w:t>
      </w:r>
      <w:r w:rsidR="7C08518E">
        <w:t xml:space="preserve"> minimum</w:t>
      </w:r>
      <w:r>
        <w:t xml:space="preserve"> standards set by the Fi</w:t>
      </w:r>
      <w:r w:rsidR="4552BA20">
        <w:t>nancial Action Task Force (FATF).</w:t>
      </w:r>
    </w:p>
    <w:p w14:paraId="5BCF4A50" w14:textId="77777777" w:rsidR="00231515" w:rsidRPr="002E333F" w:rsidRDefault="6A8589D6" w:rsidP="00B34CAA">
      <w:pPr>
        <w:pStyle w:val="Heading2"/>
      </w:pPr>
      <w:bookmarkStart w:id="23" w:name="_Toc181186838"/>
      <w:bookmarkStart w:id="24" w:name="_Toc184666434"/>
      <w:r>
        <w:t>AM</w:t>
      </w:r>
      <w:r w:rsidR="3B701EB2">
        <w:t>L/CTF p</w:t>
      </w:r>
      <w:r w:rsidR="5CEF8185">
        <w:t>rograms</w:t>
      </w:r>
      <w:bookmarkEnd w:id="23"/>
      <w:bookmarkEnd w:id="24"/>
      <w:r w:rsidR="3FC5CA21">
        <w:t xml:space="preserve"> </w:t>
      </w:r>
    </w:p>
    <w:p w14:paraId="3A62D407" w14:textId="5FDD5332" w:rsidR="00EF6C8C" w:rsidRPr="002E333F" w:rsidRDefault="4552BA20" w:rsidP="4A6D1805">
      <w:r>
        <w:t xml:space="preserve">The </w:t>
      </w:r>
      <w:r w:rsidR="21397202">
        <w:t>Amended AML/CTF Act</w:t>
      </w:r>
      <w:r w:rsidR="69FECF74">
        <w:t xml:space="preserve"> and the new General Rules will dovetail to set the full suite of obligations relating to AML/CTF programs. </w:t>
      </w:r>
    </w:p>
    <w:p w14:paraId="7C6CD8C5" w14:textId="45BB87C9" w:rsidR="00EA3136" w:rsidRPr="002E333F" w:rsidRDefault="0DE14143" w:rsidP="00EA3136">
      <w:r>
        <w:t xml:space="preserve">The </w:t>
      </w:r>
      <w:r w:rsidR="21397202">
        <w:t>Amended AML/CTF Act</w:t>
      </w:r>
      <w:r w:rsidR="2372B842">
        <w:t xml:space="preserve"> will </w:t>
      </w:r>
      <w:r>
        <w:t>take the following general approach throughout Parts 1A (AML/CTF programs) and 2 (Customer Due Diligence):</w:t>
      </w:r>
    </w:p>
    <w:p w14:paraId="76C501A9" w14:textId="1F05CA7D" w:rsidR="00EA3136" w:rsidRPr="002E333F" w:rsidRDefault="0DE14143" w:rsidP="00D0798A">
      <w:pPr>
        <w:numPr>
          <w:ilvl w:val="0"/>
          <w:numId w:val="22"/>
        </w:numPr>
        <w:ind w:left="777" w:hanging="357"/>
      </w:pPr>
      <w:r>
        <w:t xml:space="preserve">High-level principles about the outcome to be achieved apply to all designated services under the </w:t>
      </w:r>
      <w:r w:rsidR="21397202">
        <w:t>Amended AML/CTF Act</w:t>
      </w:r>
      <w:r>
        <w:t xml:space="preserve">. For example, the identification, assessment, mitigation or management of ML/TF risk. </w:t>
      </w:r>
      <w:r w:rsidR="673F5BC3">
        <w:t xml:space="preserve">These principles are based on </w:t>
      </w:r>
      <w:r w:rsidR="520CBDED">
        <w:t>s</w:t>
      </w:r>
      <w:r>
        <w:t>tandards that are the foundation of AML/CTF regimes around the world.</w:t>
      </w:r>
    </w:p>
    <w:p w14:paraId="7EDDB996" w14:textId="7D12EF9E" w:rsidR="00EA3136" w:rsidRPr="002E333F" w:rsidRDefault="00782A6F" w:rsidP="00D0798A">
      <w:pPr>
        <w:numPr>
          <w:ilvl w:val="0"/>
          <w:numId w:val="22"/>
        </w:numPr>
        <w:ind w:left="777" w:hanging="357"/>
      </w:pPr>
      <w:r>
        <w:t>S</w:t>
      </w:r>
      <w:r w:rsidR="00EA3136" w:rsidRPr="002E333F">
        <w:t xml:space="preserve">pecific obligations apply to designated services provided in Australia and not to those provided overseas. For example, factors to be considered in undertaking risk assessments, specific AML/CTF policies to be included in AML/CTF programs, and specific </w:t>
      </w:r>
      <w:r>
        <w:t>customer due diligence (</w:t>
      </w:r>
      <w:r w:rsidR="00EA3136" w:rsidRPr="002E333F">
        <w:t>CDD</w:t>
      </w:r>
      <w:r>
        <w:t>)</w:t>
      </w:r>
      <w:r w:rsidR="00EA3136" w:rsidRPr="002E333F">
        <w:t xml:space="preserve"> requirements. </w:t>
      </w:r>
    </w:p>
    <w:p w14:paraId="1B259FD0" w14:textId="34433260" w:rsidR="00EA3136" w:rsidRPr="002E333F" w:rsidRDefault="0C72B5E4" w:rsidP="00D0798A">
      <w:pPr>
        <w:numPr>
          <w:ilvl w:val="0"/>
          <w:numId w:val="22"/>
        </w:numPr>
        <w:ind w:left="777" w:hanging="357"/>
      </w:pPr>
      <w:r>
        <w:t>Conferral of rule-</w:t>
      </w:r>
      <w:r w:rsidR="0DE14143">
        <w:t xml:space="preserve">making powers to the AUSTRAC CEO to make further specific rules to supplement obligations in the </w:t>
      </w:r>
      <w:r w:rsidR="21397202">
        <w:t>Amended AML/CTF Act</w:t>
      </w:r>
      <w:r w:rsidR="0DE14143">
        <w:t>.</w:t>
      </w:r>
    </w:p>
    <w:p w14:paraId="0D70ACD5" w14:textId="77777777" w:rsidR="006324FF" w:rsidRPr="002E333F" w:rsidRDefault="0D31F282" w:rsidP="00B34CAA">
      <w:pPr>
        <w:pStyle w:val="Heading3"/>
      </w:pPr>
      <w:bookmarkStart w:id="25" w:name="_Toc184666435"/>
      <w:r>
        <w:lastRenderedPageBreak/>
        <w:t>ML/TF risk a</w:t>
      </w:r>
      <w:r w:rsidR="46B9D9F3">
        <w:t>ssessments</w:t>
      </w:r>
      <w:bookmarkEnd w:id="25"/>
    </w:p>
    <w:p w14:paraId="36A318AF" w14:textId="7A9193AA" w:rsidR="00F13B0D" w:rsidRPr="002E333F" w:rsidRDefault="017C99CB" w:rsidP="00EA3136">
      <w:r>
        <w:t xml:space="preserve">The </w:t>
      </w:r>
      <w:r w:rsidR="21397202">
        <w:t>Amended AML/CTF Act</w:t>
      </w:r>
      <w:r w:rsidR="751B37F9">
        <w:t xml:space="preserve"> </w:t>
      </w:r>
      <w:r w:rsidR="0DE14143">
        <w:t>sets out triggers for when a reporting entity must review and update its ML/TF risk assessment</w:t>
      </w:r>
      <w:r w:rsidR="3D9787B8">
        <w:t>,</w:t>
      </w:r>
      <w:r w:rsidR="0DE14143">
        <w:t xml:space="preserve"> </w:t>
      </w:r>
      <w:r w:rsidR="453D57A5">
        <w:t>and allows the</w:t>
      </w:r>
      <w:r w:rsidR="0DE14143">
        <w:t xml:space="preserve"> AML/CTF Rules </w:t>
      </w:r>
      <w:r w:rsidR="2BACCD38">
        <w:t xml:space="preserve">to </w:t>
      </w:r>
      <w:r w:rsidR="0DE14143">
        <w:t>provide further detail on other kinds of circumstances that trigger reviews of ML/TF risk assessments.</w:t>
      </w:r>
      <w:r w:rsidR="00B10AC4" w:rsidRPr="24363412">
        <w:rPr>
          <w:rStyle w:val="FootnoteReference"/>
        </w:rPr>
        <w:footnoteReference w:id="5"/>
      </w:r>
      <w:r w:rsidR="0DE14143">
        <w:t xml:space="preserve"> </w:t>
      </w:r>
    </w:p>
    <w:p w14:paraId="12E57860" w14:textId="31104CDA" w:rsidR="006324FF" w:rsidRPr="002E333F" w:rsidRDefault="2CAABE27" w:rsidP="24363412">
      <w:r>
        <w:t xml:space="preserve">The </w:t>
      </w:r>
      <w:r w:rsidR="21397202">
        <w:t>Amended AML/CTF Act</w:t>
      </w:r>
      <w:r>
        <w:t xml:space="preserve"> is largely self-contained in relation to ML/TF risk assessments and AUSTRAC does </w:t>
      </w:r>
      <w:r w:rsidRPr="24363412">
        <w:rPr>
          <w:i/>
          <w:iCs/>
        </w:rPr>
        <w:t>not</w:t>
      </w:r>
      <w:r>
        <w:t xml:space="preserve"> envisage making significant rules prescribing further detail. </w:t>
      </w:r>
      <w:r w:rsidR="4DD661E0">
        <w:t>S</w:t>
      </w:r>
      <w:r w:rsidR="0DE14143">
        <w:t xml:space="preserve">ection 9 of the </w:t>
      </w:r>
      <w:r w:rsidR="2244821B">
        <w:t>Exposure Draft Rules</w:t>
      </w:r>
      <w:r w:rsidR="0DE14143">
        <w:t xml:space="preserve"> </w:t>
      </w:r>
      <w:r w:rsidR="4A16F8A2">
        <w:t xml:space="preserve">do, however, </w:t>
      </w:r>
      <w:r w:rsidR="7FACEDDA">
        <w:t>set out an additional trigger</w:t>
      </w:r>
      <w:r w:rsidR="36F22C3A">
        <w:t xml:space="preserve"> for review and update of a reporting entity’s ML/TF risk assessment</w:t>
      </w:r>
      <w:r w:rsidR="332E8AE1">
        <w:t>,</w:t>
      </w:r>
      <w:r w:rsidR="00E40A26">
        <w:t xml:space="preserve"> which will activate </w:t>
      </w:r>
      <w:r w:rsidR="169D2E5F">
        <w:t>when there are</w:t>
      </w:r>
      <w:r w:rsidR="0DA596DD">
        <w:t xml:space="preserve"> </w:t>
      </w:r>
      <w:r w:rsidR="327892F8">
        <w:t>adverse</w:t>
      </w:r>
      <w:r w:rsidR="7FACEDDA">
        <w:t xml:space="preserve"> </w:t>
      </w:r>
      <w:r w:rsidR="3A3733AA">
        <w:t>findings in an independent evaluation report in relation to the ML/TF risk assessment</w:t>
      </w:r>
      <w:r w:rsidR="1353E4EB">
        <w:t xml:space="preserve">. It </w:t>
      </w:r>
      <w:r w:rsidR="7FACEDDA">
        <w:t xml:space="preserve">specifies </w:t>
      </w:r>
      <w:r w:rsidR="6FF08A82">
        <w:t xml:space="preserve">that </w:t>
      </w:r>
      <w:r w:rsidR="18319591">
        <w:t>t</w:t>
      </w:r>
      <w:r w:rsidR="7FACEDDA">
        <w:t>he review must be undertaken</w:t>
      </w:r>
      <w:r w:rsidR="4F7A9E9B">
        <w:t xml:space="preserve"> ‘as soon as practicable’</w:t>
      </w:r>
      <w:r w:rsidR="00883A05">
        <w:t xml:space="preserve"> after the</w:t>
      </w:r>
      <w:r w:rsidR="009D4360">
        <w:t xml:space="preserve"> governing body of the</w:t>
      </w:r>
      <w:r w:rsidR="00883A05">
        <w:t xml:space="preserve"> </w:t>
      </w:r>
      <w:r w:rsidR="00883A05" w:rsidRPr="009D4360">
        <w:t xml:space="preserve">reporting entity </w:t>
      </w:r>
      <w:r w:rsidR="00883A05">
        <w:t>receives the evaluation report containing adverse findings</w:t>
      </w:r>
      <w:r w:rsidR="7FACEDDA">
        <w:t xml:space="preserve">. </w:t>
      </w:r>
      <w:r w:rsidR="69FECF74">
        <w:t xml:space="preserve"> </w:t>
      </w:r>
    </w:p>
    <w:p w14:paraId="792352FE" w14:textId="75398F66" w:rsidR="006324FF" w:rsidRPr="002E333F" w:rsidRDefault="0D31F282" w:rsidP="00B34CAA">
      <w:pPr>
        <w:pStyle w:val="Heading3"/>
      </w:pPr>
      <w:bookmarkStart w:id="26" w:name="_Toc184666436"/>
      <w:r>
        <w:t>AML/CTF p</w:t>
      </w:r>
      <w:r w:rsidR="46B9D9F3">
        <w:t>olicies</w:t>
      </w:r>
      <w:bookmarkEnd w:id="26"/>
    </w:p>
    <w:p w14:paraId="5B1EC54A" w14:textId="46F790E1" w:rsidR="009D0F52" w:rsidRPr="002E333F" w:rsidRDefault="329CF220" w:rsidP="24363412">
      <w:pPr>
        <w:rPr>
          <w:rFonts w:eastAsia="Calibri" w:cs="Calibri"/>
        </w:rPr>
      </w:pPr>
      <w:r w:rsidRPr="24363412">
        <w:rPr>
          <w:rFonts w:eastAsia="Calibri" w:cs="Calibri"/>
        </w:rPr>
        <w:t>T</w:t>
      </w:r>
      <w:r w:rsidR="4A2FF679" w:rsidRPr="24363412">
        <w:rPr>
          <w:rFonts w:eastAsia="Calibri" w:cs="Calibri"/>
        </w:rPr>
        <w:t xml:space="preserve">he </w:t>
      </w:r>
      <w:r w:rsidR="21397202" w:rsidRPr="24363412">
        <w:rPr>
          <w:rFonts w:eastAsia="Calibri" w:cs="Calibri"/>
        </w:rPr>
        <w:t>Amended AML/CTF Act</w:t>
      </w:r>
      <w:r w:rsidR="4D8E5BC3" w:rsidRPr="24363412">
        <w:rPr>
          <w:rFonts w:eastAsia="Calibri" w:cs="Calibri"/>
        </w:rPr>
        <w:t xml:space="preserve"> requires </w:t>
      </w:r>
      <w:r w:rsidR="00E40A26">
        <w:rPr>
          <w:rFonts w:eastAsia="Calibri" w:cs="Calibri"/>
        </w:rPr>
        <w:t>a</w:t>
      </w:r>
      <w:r w:rsidR="00E40A26" w:rsidRPr="24363412">
        <w:rPr>
          <w:rFonts w:eastAsia="Calibri" w:cs="Calibri"/>
        </w:rPr>
        <w:t xml:space="preserve"> </w:t>
      </w:r>
      <w:r w:rsidR="4D8E5BC3" w:rsidRPr="24363412">
        <w:rPr>
          <w:rFonts w:eastAsia="Calibri" w:cs="Calibri"/>
        </w:rPr>
        <w:t>reporting entity to develop and maintain AML/CTF policies that achieve two outcomes:</w:t>
      </w:r>
    </w:p>
    <w:p w14:paraId="50EFC831" w14:textId="65FC0EFA" w:rsidR="009D0F52" w:rsidRPr="002E333F" w:rsidRDefault="4D8E5BC3" w:rsidP="000274CD">
      <w:pPr>
        <w:pStyle w:val="ListParagraph"/>
        <w:numPr>
          <w:ilvl w:val="0"/>
          <w:numId w:val="14"/>
        </w:numPr>
        <w:ind w:left="714" w:hanging="357"/>
        <w:contextualSpacing w:val="0"/>
        <w:rPr>
          <w:rFonts w:eastAsia="Calibri" w:cs="Calibri"/>
        </w:rPr>
      </w:pPr>
      <w:r w:rsidRPr="24363412">
        <w:rPr>
          <w:rFonts w:eastAsia="Calibri" w:cs="Calibri"/>
        </w:rPr>
        <w:t>manage and mitigate the ML/TF risks that the reporting entity may reasonably face in providing its designated services;</w:t>
      </w:r>
      <w:r w:rsidR="00FC6619" w:rsidRPr="24363412">
        <w:rPr>
          <w:rStyle w:val="FootnoteReference"/>
          <w:rFonts w:eastAsia="Calibri" w:cs="Calibri"/>
        </w:rPr>
        <w:footnoteReference w:id="6"/>
      </w:r>
      <w:r w:rsidRPr="24363412">
        <w:rPr>
          <w:rFonts w:eastAsia="Calibri" w:cs="Calibri"/>
        </w:rPr>
        <w:t xml:space="preserve"> and </w:t>
      </w:r>
    </w:p>
    <w:p w14:paraId="56F65778" w14:textId="7D3C4A35" w:rsidR="009D0F52" w:rsidRPr="002E333F" w:rsidRDefault="4D8E5BC3" w:rsidP="000274CD">
      <w:pPr>
        <w:pStyle w:val="ListParagraph"/>
        <w:numPr>
          <w:ilvl w:val="0"/>
          <w:numId w:val="14"/>
        </w:numPr>
        <w:ind w:left="714" w:hanging="357"/>
        <w:contextualSpacing w:val="0"/>
        <w:rPr>
          <w:rFonts w:eastAsia="Calibri" w:cs="Calibri"/>
        </w:rPr>
      </w:pPr>
      <w:r w:rsidRPr="24363412">
        <w:rPr>
          <w:rFonts w:eastAsia="Calibri" w:cs="Calibri"/>
        </w:rPr>
        <w:t>internal compliance management to ensure the reporting entity complies with the AML/CTF Act, Rules</w:t>
      </w:r>
      <w:r w:rsidR="5C12077A" w:rsidRPr="24363412">
        <w:rPr>
          <w:rFonts w:eastAsia="Calibri" w:cs="Calibri"/>
        </w:rPr>
        <w:t>,</w:t>
      </w:r>
      <w:r w:rsidRPr="24363412">
        <w:rPr>
          <w:rFonts w:eastAsia="Calibri" w:cs="Calibri"/>
        </w:rPr>
        <w:t xml:space="preserve"> regulations</w:t>
      </w:r>
      <w:r w:rsidR="151C42B8" w:rsidRPr="24363412">
        <w:rPr>
          <w:rFonts w:eastAsia="Calibri" w:cs="Calibri"/>
        </w:rPr>
        <w:t xml:space="preserve"> and</w:t>
      </w:r>
      <w:r w:rsidR="5C0082ED" w:rsidRPr="24363412">
        <w:rPr>
          <w:rFonts w:eastAsia="Calibri" w:cs="Calibri"/>
        </w:rPr>
        <w:t>, by extension,</w:t>
      </w:r>
      <w:r w:rsidR="151C42B8" w:rsidRPr="24363412">
        <w:rPr>
          <w:rFonts w:eastAsia="Calibri" w:cs="Calibri"/>
        </w:rPr>
        <w:t xml:space="preserve"> </w:t>
      </w:r>
      <w:r w:rsidR="31236046" w:rsidRPr="24363412">
        <w:rPr>
          <w:rFonts w:eastAsia="Calibri" w:cs="Calibri"/>
        </w:rPr>
        <w:t>the reporting entity’s own</w:t>
      </w:r>
      <w:r w:rsidR="151C42B8" w:rsidRPr="24363412">
        <w:rPr>
          <w:rFonts w:eastAsia="Calibri" w:cs="Calibri"/>
        </w:rPr>
        <w:t xml:space="preserve"> AML/CTF program</w:t>
      </w:r>
      <w:r w:rsidRPr="24363412">
        <w:rPr>
          <w:rFonts w:eastAsia="Calibri" w:cs="Calibri"/>
        </w:rPr>
        <w:t>.</w:t>
      </w:r>
      <w:r w:rsidR="00FC6619" w:rsidRPr="24363412">
        <w:rPr>
          <w:rStyle w:val="FootnoteReference"/>
          <w:rFonts w:eastAsia="Calibri" w:cs="Calibri"/>
        </w:rPr>
        <w:footnoteReference w:id="7"/>
      </w:r>
      <w:r w:rsidRPr="24363412">
        <w:rPr>
          <w:rFonts w:eastAsia="Calibri" w:cs="Calibri"/>
        </w:rPr>
        <w:t xml:space="preserve"> </w:t>
      </w:r>
    </w:p>
    <w:p w14:paraId="546CCAFD" w14:textId="0CDCA27D" w:rsidR="009D0F52" w:rsidRPr="002E333F" w:rsidRDefault="0EBA95C0" w:rsidP="24363412">
      <w:pPr>
        <w:rPr>
          <w:rFonts w:eastAsia="Calibri" w:cs="Calibri"/>
        </w:rPr>
      </w:pPr>
      <w:r w:rsidRPr="24363412">
        <w:rPr>
          <w:rFonts w:eastAsia="Calibri" w:cs="Calibri"/>
        </w:rPr>
        <w:t xml:space="preserve">The </w:t>
      </w:r>
      <w:r w:rsidR="21397202" w:rsidRPr="24363412">
        <w:rPr>
          <w:rFonts w:eastAsia="Calibri" w:cs="Calibri"/>
        </w:rPr>
        <w:t>Amended AML/CTF Act</w:t>
      </w:r>
      <w:r w:rsidRPr="24363412">
        <w:rPr>
          <w:rFonts w:eastAsia="Calibri" w:cs="Calibri"/>
        </w:rPr>
        <w:t xml:space="preserve"> includes a</w:t>
      </w:r>
      <w:r w:rsidR="68F9462D" w:rsidRPr="24363412">
        <w:rPr>
          <w:rFonts w:eastAsia="Calibri" w:cs="Calibri"/>
        </w:rPr>
        <w:t xml:space="preserve"> number of specific AML/CTF policies </w:t>
      </w:r>
      <w:r w:rsidR="09EF39DF" w:rsidRPr="24363412">
        <w:rPr>
          <w:rFonts w:eastAsia="Calibri" w:cs="Calibri"/>
        </w:rPr>
        <w:t xml:space="preserve">that </w:t>
      </w:r>
      <w:r w:rsidR="68F9462D" w:rsidRPr="24363412">
        <w:rPr>
          <w:rFonts w:eastAsia="Calibri" w:cs="Calibri"/>
        </w:rPr>
        <w:t xml:space="preserve">are required within these two overarching categories. For example, </w:t>
      </w:r>
      <w:r w:rsidR="4459283B" w:rsidRPr="24363412">
        <w:rPr>
          <w:rFonts w:eastAsia="Calibri" w:cs="Calibri"/>
        </w:rPr>
        <w:t>customer due diligence is a fundament</w:t>
      </w:r>
      <w:r w:rsidR="40FB2A7C" w:rsidRPr="24363412">
        <w:rPr>
          <w:rFonts w:eastAsia="Calibri" w:cs="Calibri"/>
        </w:rPr>
        <w:t>al</w:t>
      </w:r>
      <w:r w:rsidR="68F9462D" w:rsidRPr="24363412">
        <w:rPr>
          <w:rFonts w:eastAsia="Calibri" w:cs="Calibri"/>
        </w:rPr>
        <w:t xml:space="preserve"> ML/TF risk management and mitigation </w:t>
      </w:r>
      <w:r w:rsidR="232D4D39" w:rsidRPr="24363412">
        <w:rPr>
          <w:rFonts w:eastAsia="Calibri" w:cs="Calibri"/>
        </w:rPr>
        <w:t>policy,</w:t>
      </w:r>
      <w:r w:rsidR="004831D4">
        <w:rPr>
          <w:rStyle w:val="FootnoteReference"/>
          <w:rFonts w:eastAsia="Calibri" w:cs="Calibri"/>
        </w:rPr>
        <w:footnoteReference w:id="8"/>
      </w:r>
      <w:r w:rsidR="232D4D39" w:rsidRPr="24363412">
        <w:rPr>
          <w:rFonts w:eastAsia="Calibri" w:cs="Calibri"/>
        </w:rPr>
        <w:t xml:space="preserve"> while undertaking due diligence on</w:t>
      </w:r>
      <w:r w:rsidR="3AC4C756" w:rsidRPr="24363412">
        <w:rPr>
          <w:rFonts w:eastAsia="Calibri" w:cs="Calibri"/>
        </w:rPr>
        <w:t xml:space="preserve"> </w:t>
      </w:r>
      <w:r w:rsidR="00E40A26">
        <w:rPr>
          <w:rFonts w:eastAsia="Calibri" w:cs="Calibri"/>
        </w:rPr>
        <w:t xml:space="preserve">personnel who carry out AML/CTF functions </w:t>
      </w:r>
      <w:r w:rsidR="3AC4C756" w:rsidRPr="24363412">
        <w:rPr>
          <w:rFonts w:eastAsia="Calibri" w:cs="Calibri"/>
        </w:rPr>
        <w:t>and providing them with appropriate training are important compliance management policies.</w:t>
      </w:r>
      <w:r w:rsidR="004831D4">
        <w:rPr>
          <w:rStyle w:val="FootnoteReference"/>
          <w:rFonts w:eastAsia="Calibri" w:cs="Calibri"/>
        </w:rPr>
        <w:footnoteReference w:id="9"/>
      </w:r>
    </w:p>
    <w:p w14:paraId="424DFB8E" w14:textId="23A5964F" w:rsidR="009D0F52" w:rsidRPr="002E333F" w:rsidRDefault="68F9462D" w:rsidP="24363412">
      <w:pPr>
        <w:rPr>
          <w:rFonts w:eastAsia="Calibri" w:cs="Calibri"/>
        </w:rPr>
      </w:pPr>
      <w:r w:rsidRPr="24363412">
        <w:rPr>
          <w:rFonts w:eastAsia="Calibri" w:cs="Calibri"/>
        </w:rPr>
        <w:t xml:space="preserve">The AUSTRAC CEO has been empowered to make </w:t>
      </w:r>
      <w:r w:rsidR="33CAA723" w:rsidRPr="24363412">
        <w:rPr>
          <w:rFonts w:eastAsia="Calibri" w:cs="Calibri"/>
        </w:rPr>
        <w:t>rules, including to</w:t>
      </w:r>
      <w:r w:rsidR="645EEE7A" w:rsidRPr="24363412">
        <w:rPr>
          <w:rFonts w:eastAsia="Calibri" w:cs="Calibri"/>
        </w:rPr>
        <w:t>:</w:t>
      </w:r>
      <w:r w:rsidR="001E153C" w:rsidRPr="001E153C">
        <w:rPr>
          <w:rStyle w:val="FootnoteReference"/>
          <w:rFonts w:eastAsia="Calibri" w:cs="Calibri"/>
        </w:rPr>
        <w:t xml:space="preserve"> </w:t>
      </w:r>
      <w:r w:rsidR="001E153C">
        <w:rPr>
          <w:rStyle w:val="FootnoteReference"/>
          <w:rFonts w:eastAsia="Calibri" w:cs="Calibri"/>
        </w:rPr>
        <w:footnoteReference w:id="10"/>
      </w:r>
    </w:p>
    <w:p w14:paraId="6504CF3E" w14:textId="170B0643" w:rsidR="009D0F52" w:rsidRPr="002E333F" w:rsidRDefault="645EEE7A" w:rsidP="000274CD">
      <w:pPr>
        <w:pStyle w:val="ListParagraph"/>
        <w:numPr>
          <w:ilvl w:val="0"/>
          <w:numId w:val="5"/>
        </w:numPr>
        <w:ind w:left="714" w:hanging="357"/>
        <w:contextualSpacing w:val="0"/>
        <w:rPr>
          <w:rFonts w:eastAsia="Calibri" w:cs="Calibri"/>
        </w:rPr>
      </w:pPr>
      <w:r w:rsidRPr="24363412">
        <w:rPr>
          <w:rFonts w:eastAsia="Calibri" w:cs="Calibri"/>
        </w:rPr>
        <w:t xml:space="preserve">set out </w:t>
      </w:r>
      <w:r w:rsidR="6EB2BA16" w:rsidRPr="24363412">
        <w:rPr>
          <w:rFonts w:eastAsia="Calibri" w:cs="Calibri"/>
        </w:rPr>
        <w:t>more detailed</w:t>
      </w:r>
      <w:r w:rsidRPr="24363412">
        <w:rPr>
          <w:rFonts w:eastAsia="Calibri" w:cs="Calibri"/>
        </w:rPr>
        <w:t xml:space="preserve"> requirements for particular AML/CTF policies,</w:t>
      </w:r>
    </w:p>
    <w:p w14:paraId="486642B6" w14:textId="05519580" w:rsidR="009D0F52" w:rsidRPr="002E333F" w:rsidRDefault="645EEE7A" w:rsidP="00883A05">
      <w:pPr>
        <w:pStyle w:val="ListParagraph"/>
        <w:numPr>
          <w:ilvl w:val="0"/>
          <w:numId w:val="5"/>
        </w:numPr>
        <w:ind w:left="714" w:hanging="357"/>
        <w:contextualSpacing w:val="0"/>
        <w:rPr>
          <w:rFonts w:eastAsia="Calibri" w:cs="Calibri"/>
        </w:rPr>
      </w:pPr>
      <w:r w:rsidRPr="24363412">
        <w:rPr>
          <w:rFonts w:eastAsia="Calibri" w:cs="Calibri"/>
        </w:rPr>
        <w:t xml:space="preserve">set out additional specific AML/CTF policies </w:t>
      </w:r>
      <w:r w:rsidR="2B2A5FC8" w:rsidRPr="24363412">
        <w:rPr>
          <w:rFonts w:eastAsia="Calibri" w:cs="Calibri"/>
        </w:rPr>
        <w:t xml:space="preserve">within the two broad categories mentioned above </w:t>
      </w:r>
      <w:r w:rsidRPr="24363412">
        <w:rPr>
          <w:rFonts w:eastAsia="Calibri" w:cs="Calibri"/>
        </w:rPr>
        <w:t>that must be developed by a reporting entity.</w:t>
      </w:r>
    </w:p>
    <w:p w14:paraId="7E1EF041" w14:textId="1748458B" w:rsidR="009D0F52" w:rsidRPr="002E333F" w:rsidRDefault="12411A39" w:rsidP="24363412">
      <w:pPr>
        <w:rPr>
          <w:rFonts w:eastAsia="Calibri" w:cs="Calibri"/>
        </w:rPr>
      </w:pPr>
      <w:r w:rsidRPr="24363412">
        <w:rPr>
          <w:rFonts w:eastAsia="Calibri" w:cs="Calibri"/>
        </w:rPr>
        <w:t xml:space="preserve">The Exposure Draft </w:t>
      </w:r>
      <w:r w:rsidR="002E43D9">
        <w:rPr>
          <w:rFonts w:eastAsia="Calibri" w:cs="Calibri"/>
        </w:rPr>
        <w:t>Rules contain</w:t>
      </w:r>
      <w:r w:rsidRPr="24363412">
        <w:rPr>
          <w:rFonts w:eastAsia="Calibri" w:cs="Calibri"/>
        </w:rPr>
        <w:t xml:space="preserve"> a number of proposed rules made under these powers and these are explored further below. </w:t>
      </w:r>
      <w:r w:rsidR="62CCB45D" w:rsidRPr="24363412">
        <w:rPr>
          <w:rFonts w:eastAsia="Calibri" w:cs="Calibri"/>
        </w:rPr>
        <w:t xml:space="preserve">All of the specific policies and requirements </w:t>
      </w:r>
      <w:r w:rsidR="62CCB45D" w:rsidRPr="24363412">
        <w:rPr>
          <w:rFonts w:eastAsia="Calibri" w:cs="Calibri"/>
        </w:rPr>
        <w:lastRenderedPageBreak/>
        <w:t>mentioned below must be read with the overarching requirement that policies must achieve the outcomes of manag</w:t>
      </w:r>
      <w:r w:rsidR="058E9AA5" w:rsidRPr="24363412">
        <w:rPr>
          <w:rFonts w:eastAsia="Calibri" w:cs="Calibri"/>
        </w:rPr>
        <w:t>in</w:t>
      </w:r>
      <w:r w:rsidR="621F4427" w:rsidRPr="24363412">
        <w:rPr>
          <w:rFonts w:eastAsia="Calibri" w:cs="Calibri"/>
        </w:rPr>
        <w:t>g</w:t>
      </w:r>
      <w:r w:rsidR="62CCB45D" w:rsidRPr="24363412">
        <w:rPr>
          <w:rFonts w:eastAsia="Calibri" w:cs="Calibri"/>
        </w:rPr>
        <w:t xml:space="preserve"> and mitigat</w:t>
      </w:r>
      <w:r w:rsidR="605B6048" w:rsidRPr="24363412">
        <w:rPr>
          <w:rFonts w:eastAsia="Calibri" w:cs="Calibri"/>
        </w:rPr>
        <w:t>i</w:t>
      </w:r>
      <w:r w:rsidR="23A2BCBE" w:rsidRPr="24363412">
        <w:rPr>
          <w:rFonts w:eastAsia="Calibri" w:cs="Calibri"/>
        </w:rPr>
        <w:t>ng</w:t>
      </w:r>
      <w:r w:rsidR="62CCB45D" w:rsidRPr="24363412">
        <w:rPr>
          <w:rFonts w:eastAsia="Calibri" w:cs="Calibri"/>
        </w:rPr>
        <w:t xml:space="preserve"> ML/TF risk and ensur</w:t>
      </w:r>
      <w:r w:rsidR="6B321E5D" w:rsidRPr="24363412">
        <w:rPr>
          <w:rFonts w:eastAsia="Calibri" w:cs="Calibri"/>
        </w:rPr>
        <w:t>ing</w:t>
      </w:r>
      <w:r w:rsidR="62CCB45D" w:rsidRPr="24363412">
        <w:rPr>
          <w:rFonts w:eastAsia="Calibri" w:cs="Calibri"/>
        </w:rPr>
        <w:t xml:space="preserve"> AML/CTF compliance.</w:t>
      </w:r>
    </w:p>
    <w:p w14:paraId="1AE98817" w14:textId="4E668A66" w:rsidR="00E40A26" w:rsidRDefault="12411A39" w:rsidP="24363412">
      <w:pPr>
        <w:rPr>
          <w:rFonts w:eastAsia="Calibri" w:cs="Calibri"/>
        </w:rPr>
      </w:pPr>
      <w:r w:rsidRPr="24363412">
        <w:rPr>
          <w:rFonts w:eastAsia="Calibri" w:cs="Calibri"/>
        </w:rPr>
        <w:t xml:space="preserve">The Exposure Draft contains the ‘default’ AML/CTF rules that will apply to reporting entities, but AUSTRAC is seeking views throughout the consultation about whether and how to adapt </w:t>
      </w:r>
      <w:r w:rsidR="00E142B2">
        <w:rPr>
          <w:rFonts w:eastAsia="Calibri" w:cs="Calibri"/>
        </w:rPr>
        <w:t xml:space="preserve">the </w:t>
      </w:r>
      <w:r w:rsidRPr="24363412">
        <w:rPr>
          <w:rFonts w:eastAsia="Calibri" w:cs="Calibri"/>
        </w:rPr>
        <w:t>requirements for AML/CTF policies to the specific circumstances of small businesses and s</w:t>
      </w:r>
      <w:r w:rsidR="0EA98B88" w:rsidRPr="24363412">
        <w:rPr>
          <w:rFonts w:eastAsia="Calibri" w:cs="Calibri"/>
        </w:rPr>
        <w:t>ole traders or sole practitioners (e.g. to avoid requiring a sole trader to report to himself or herself).</w:t>
      </w:r>
      <w:r w:rsidR="23765AC5" w:rsidRPr="24363412">
        <w:rPr>
          <w:rFonts w:eastAsia="Calibri" w:cs="Calibri"/>
        </w:rPr>
        <w:t xml:space="preserve"> </w:t>
      </w:r>
    </w:p>
    <w:p w14:paraId="5070D9BD" w14:textId="18E80CEF" w:rsidR="05D2CEDC" w:rsidRDefault="23765AC5" w:rsidP="24363412">
      <w:r w:rsidRPr="24363412">
        <w:rPr>
          <w:rFonts w:eastAsia="Calibri" w:cs="Calibri"/>
        </w:rPr>
        <w:t xml:space="preserve">Adapted rules for these circumstances, where appropriate, will be included in the Exposure Draft </w:t>
      </w:r>
      <w:r w:rsidR="00E40A26">
        <w:rPr>
          <w:rFonts w:eastAsia="Calibri" w:cs="Calibri"/>
        </w:rPr>
        <w:t xml:space="preserve">2 </w:t>
      </w:r>
      <w:r w:rsidRPr="24363412">
        <w:rPr>
          <w:rFonts w:eastAsia="Calibri" w:cs="Calibri"/>
        </w:rPr>
        <w:t>in 2025.</w:t>
      </w:r>
      <w:r w:rsidR="00E37D68">
        <w:rPr>
          <w:rFonts w:eastAsia="Calibri" w:cs="Calibri"/>
        </w:rPr>
        <w:t xml:space="preserve"> </w:t>
      </w:r>
      <w:r w:rsidR="05D2CEDC">
        <w:t>Under</w:t>
      </w:r>
      <w:r w:rsidR="61BBF649">
        <w:t xml:space="preserve"> the </w:t>
      </w:r>
      <w:r w:rsidR="21397202">
        <w:t>Amended AML/CTF Act</w:t>
      </w:r>
      <w:r w:rsidR="05D2CEDC">
        <w:t xml:space="preserve"> all AML/CTF policies must be appropriate to the nature, size and complexity of th</w:t>
      </w:r>
      <w:r w:rsidR="309A7D5C">
        <w:t>e reporting entity’s business.</w:t>
      </w:r>
      <w:r w:rsidR="05D2CEDC" w:rsidRPr="24363412">
        <w:rPr>
          <w:rStyle w:val="FootnoteReference"/>
        </w:rPr>
        <w:footnoteReference w:id="11"/>
      </w:r>
      <w:r w:rsidR="309A7D5C">
        <w:t xml:space="preserve"> Practically this means that</w:t>
      </w:r>
      <w:r w:rsidR="70B4FEC6">
        <w:t>, for example,</w:t>
      </w:r>
      <w:r w:rsidR="309A7D5C">
        <w:t xml:space="preserve"> what </w:t>
      </w:r>
      <w:r w:rsidR="2B2658AF">
        <w:t>is</w:t>
      </w:r>
      <w:r w:rsidR="309A7D5C">
        <w:t xml:space="preserve"> appropriate for a small accounting firm servicing wage earning customers </w:t>
      </w:r>
      <w:r w:rsidR="2AE9C09A">
        <w:t>will be simpler and therefore inappropriate for a multinational corporate bookmaker.</w:t>
      </w:r>
    </w:p>
    <w:p w14:paraId="399F47FD" w14:textId="7E69EDE8" w:rsidR="3F62CE75" w:rsidRDefault="3F62CE75" w:rsidP="24363412">
      <w:r w:rsidRPr="24363412">
        <w:rPr>
          <w:rFonts w:eastAsia="Calibri" w:cs="Calibri"/>
        </w:rPr>
        <w:t>A reporting entity is required to comply with its AML/CTF policies in accordance with section 2</w:t>
      </w:r>
      <w:r>
        <w:t xml:space="preserve">6G of the </w:t>
      </w:r>
      <w:r w:rsidR="21397202">
        <w:t>Amended AML/CTF Act</w:t>
      </w:r>
      <w:r>
        <w:t>.</w:t>
      </w:r>
    </w:p>
    <w:p w14:paraId="64D16F82" w14:textId="2C9643CA" w:rsidR="3F96DA4F" w:rsidRDefault="3F96DA4F" w:rsidP="00B34CAA">
      <w:pPr>
        <w:pStyle w:val="Heading3"/>
      </w:pPr>
      <w:bookmarkStart w:id="27" w:name="_Toc184666437"/>
      <w:r>
        <w:t>Additional AML/CTF policies for compliance management</w:t>
      </w:r>
      <w:bookmarkEnd w:id="27"/>
    </w:p>
    <w:p w14:paraId="62352B57" w14:textId="51B851F2" w:rsidR="3F96DA4F" w:rsidRDefault="3F96DA4F" w:rsidP="24363412">
      <w:pPr>
        <w:rPr>
          <w:rFonts w:eastAsia="Calibri" w:cs="Calibri"/>
        </w:rPr>
      </w:pPr>
      <w:r w:rsidRPr="24363412">
        <w:rPr>
          <w:rFonts w:eastAsia="Calibri" w:cs="Calibri"/>
        </w:rPr>
        <w:t xml:space="preserve">The Exposure Draft </w:t>
      </w:r>
      <w:r w:rsidR="3F06A14D" w:rsidRPr="24363412">
        <w:rPr>
          <w:rFonts w:eastAsia="Calibri" w:cs="Calibri"/>
        </w:rPr>
        <w:t xml:space="preserve">Rules </w:t>
      </w:r>
      <w:r w:rsidRPr="24363412">
        <w:rPr>
          <w:rFonts w:eastAsia="Calibri" w:cs="Calibri"/>
        </w:rPr>
        <w:t>require reporting entities to develop the following additional AML/CTF policies</w:t>
      </w:r>
      <w:r w:rsidR="002E43D9" w:rsidRPr="002E43D9">
        <w:rPr>
          <w:rFonts w:eastAsia="Calibri" w:cs="Calibri"/>
        </w:rPr>
        <w:t xml:space="preserve"> </w:t>
      </w:r>
      <w:r w:rsidR="00E142B2">
        <w:rPr>
          <w:rFonts w:eastAsia="Calibri" w:cs="Calibri"/>
        </w:rPr>
        <w:t>that</w:t>
      </w:r>
      <w:r w:rsidR="00E142B2" w:rsidRPr="24363412">
        <w:rPr>
          <w:rFonts w:eastAsia="Calibri" w:cs="Calibri"/>
        </w:rPr>
        <w:t xml:space="preserve"> </w:t>
      </w:r>
      <w:r w:rsidR="002E43D9" w:rsidRPr="24363412">
        <w:rPr>
          <w:rFonts w:eastAsia="Calibri" w:cs="Calibri"/>
        </w:rPr>
        <w:t>are focused on compliance management</w:t>
      </w:r>
      <w:r w:rsidRPr="24363412">
        <w:rPr>
          <w:rFonts w:eastAsia="Calibri" w:cs="Calibri"/>
        </w:rPr>
        <w:t xml:space="preserve">, in additional to those mentioned in the </w:t>
      </w:r>
      <w:r w:rsidR="21397202" w:rsidRPr="24363412">
        <w:rPr>
          <w:rFonts w:eastAsia="Calibri" w:cs="Calibri"/>
        </w:rPr>
        <w:t>Amended AML/CTF Act</w:t>
      </w:r>
      <w:r w:rsidRPr="24363412">
        <w:rPr>
          <w:rFonts w:eastAsia="Calibri" w:cs="Calibri"/>
        </w:rPr>
        <w:t>:</w:t>
      </w:r>
    </w:p>
    <w:p w14:paraId="2A168BA9" w14:textId="645C7509" w:rsidR="3F96DA4F" w:rsidRDefault="3F96DA4F" w:rsidP="00081813">
      <w:pPr>
        <w:pStyle w:val="ListParagraph"/>
        <w:numPr>
          <w:ilvl w:val="0"/>
          <w:numId w:val="4"/>
        </w:numPr>
        <w:ind w:left="714" w:hanging="357"/>
        <w:contextualSpacing w:val="0"/>
        <w:rPr>
          <w:rFonts w:eastAsia="Calibri" w:cs="Calibri"/>
        </w:rPr>
      </w:pPr>
      <w:r w:rsidRPr="24363412">
        <w:rPr>
          <w:rFonts w:eastAsia="Calibri" w:cs="Calibri"/>
        </w:rPr>
        <w:t>safeguards to prevent tipping off, i.e. the unlawful disclosure of suspicious matter report</w:t>
      </w:r>
      <w:r w:rsidR="00E142B2">
        <w:rPr>
          <w:rFonts w:eastAsia="Calibri" w:cs="Calibri"/>
        </w:rPr>
        <w:t>s</w:t>
      </w:r>
      <w:r w:rsidRPr="24363412">
        <w:rPr>
          <w:rFonts w:eastAsia="Calibri" w:cs="Calibri"/>
        </w:rPr>
        <w:t xml:space="preserve"> and other sensitive information related to financial intelligence and law enforcement investigations—these AML/CTF policies will complement the move to the more flexible ‘harm prevention’ model for the tipping off offence</w:t>
      </w:r>
      <w:r w:rsidR="00E142B2">
        <w:rPr>
          <w:rFonts w:eastAsia="Calibri" w:cs="Calibri"/>
        </w:rPr>
        <w:t>,</w:t>
      </w:r>
      <w:r w:rsidRPr="24363412">
        <w:rPr>
          <w:rFonts w:eastAsia="Calibri" w:cs="Calibri"/>
        </w:rPr>
        <w:t xml:space="preserve"> which only prohibits disclosures that would or could reasonably be expected to prejudice an investigation</w:t>
      </w:r>
      <w:r w:rsidRPr="24363412">
        <w:rPr>
          <w:rStyle w:val="FootnoteReference"/>
          <w:rFonts w:eastAsia="Calibri" w:cs="Calibri"/>
        </w:rPr>
        <w:footnoteReference w:id="12"/>
      </w:r>
    </w:p>
    <w:p w14:paraId="44C43DB2" w14:textId="0DC57E3F" w:rsidR="3F96DA4F" w:rsidRDefault="3F96DA4F" w:rsidP="00081813">
      <w:pPr>
        <w:pStyle w:val="ListParagraph"/>
        <w:numPr>
          <w:ilvl w:val="0"/>
          <w:numId w:val="4"/>
        </w:numPr>
        <w:ind w:left="714" w:hanging="357"/>
        <w:contextualSpacing w:val="0"/>
        <w:rPr>
          <w:rFonts w:eastAsia="Calibri" w:cs="Calibri"/>
        </w:rPr>
      </w:pPr>
      <w:r w:rsidRPr="24363412">
        <w:rPr>
          <w:rFonts w:eastAsia="Calibri" w:cs="Calibri"/>
        </w:rPr>
        <w:t xml:space="preserve">ensuring the reporting entity’s </w:t>
      </w:r>
      <w:r w:rsidR="6AD56F51" w:rsidRPr="24363412">
        <w:rPr>
          <w:rFonts w:eastAsia="Calibri" w:cs="Calibri"/>
        </w:rPr>
        <w:t>‘</w:t>
      </w:r>
      <w:r w:rsidRPr="24363412">
        <w:rPr>
          <w:rFonts w:eastAsia="Calibri" w:cs="Calibri"/>
        </w:rPr>
        <w:t>governing body</w:t>
      </w:r>
      <w:r w:rsidR="0AD59C82" w:rsidRPr="24363412">
        <w:rPr>
          <w:rFonts w:eastAsia="Calibri" w:cs="Calibri"/>
        </w:rPr>
        <w:t>’</w:t>
      </w:r>
      <w:r w:rsidRPr="24363412">
        <w:rPr>
          <w:rFonts w:eastAsia="Calibri" w:cs="Calibri"/>
        </w:rPr>
        <w:t xml:space="preserve"> (e.g. its board) receives information to fulfil its strategic oversight and other responsibilities</w:t>
      </w:r>
      <w:r w:rsidRPr="24363412">
        <w:rPr>
          <w:rStyle w:val="FootnoteReference"/>
          <w:rFonts w:eastAsia="Calibri" w:cs="Calibri"/>
        </w:rPr>
        <w:footnoteReference w:id="13"/>
      </w:r>
    </w:p>
    <w:p w14:paraId="14262EBC" w14:textId="5F5EB4DF" w:rsidR="3F96DA4F" w:rsidRDefault="3F96DA4F" w:rsidP="00081813">
      <w:pPr>
        <w:pStyle w:val="ListParagraph"/>
        <w:numPr>
          <w:ilvl w:val="0"/>
          <w:numId w:val="4"/>
        </w:numPr>
        <w:ind w:left="714" w:hanging="357"/>
        <w:contextualSpacing w:val="0"/>
        <w:rPr>
          <w:rFonts w:eastAsia="Calibri" w:cs="Calibri"/>
        </w:rPr>
      </w:pPr>
      <w:r w:rsidRPr="24363412">
        <w:rPr>
          <w:rFonts w:eastAsia="Calibri" w:cs="Calibri"/>
        </w:rPr>
        <w:t xml:space="preserve">requiring the AML/CTF compliance officer to report </w:t>
      </w:r>
      <w:r w:rsidR="33073582" w:rsidRPr="24363412">
        <w:rPr>
          <w:rFonts w:eastAsia="Calibri" w:cs="Calibri"/>
        </w:rPr>
        <w:t xml:space="preserve">regularly, and </w:t>
      </w:r>
      <w:r w:rsidRPr="24363412">
        <w:rPr>
          <w:rFonts w:eastAsia="Calibri" w:cs="Calibri"/>
        </w:rPr>
        <w:t>at least annually</w:t>
      </w:r>
      <w:r w:rsidR="0CDAD583" w:rsidRPr="24363412">
        <w:rPr>
          <w:rFonts w:eastAsia="Calibri" w:cs="Calibri"/>
        </w:rPr>
        <w:t>,</w:t>
      </w:r>
      <w:r w:rsidRPr="24363412">
        <w:rPr>
          <w:rFonts w:eastAsia="Calibri" w:cs="Calibri"/>
        </w:rPr>
        <w:t xml:space="preserve"> to the governing body about the reporting entity’s compliance and the effectiveness of its policies in appropriately mitigating and managing the reporting entity’s ML/TF risk</w:t>
      </w:r>
      <w:r w:rsidRPr="24363412">
        <w:rPr>
          <w:rStyle w:val="FootnoteReference"/>
          <w:rFonts w:eastAsia="Calibri" w:cs="Calibri"/>
        </w:rPr>
        <w:footnoteReference w:id="14"/>
      </w:r>
    </w:p>
    <w:p w14:paraId="062717C5" w14:textId="2221EDE2" w:rsidR="3F96DA4F" w:rsidRDefault="3F96DA4F" w:rsidP="00081813">
      <w:pPr>
        <w:pStyle w:val="ListParagraph"/>
        <w:numPr>
          <w:ilvl w:val="0"/>
          <w:numId w:val="4"/>
        </w:numPr>
        <w:ind w:left="714" w:hanging="357"/>
        <w:contextualSpacing w:val="0"/>
        <w:rPr>
          <w:rFonts w:eastAsia="Calibri" w:cs="Calibri"/>
        </w:rPr>
      </w:pPr>
      <w:r w:rsidRPr="24363412">
        <w:rPr>
          <w:rFonts w:eastAsia="Calibri" w:cs="Calibri"/>
        </w:rPr>
        <w:lastRenderedPageBreak/>
        <w:t xml:space="preserve">ensuring that information reported by the </w:t>
      </w:r>
      <w:r w:rsidR="00E142B2">
        <w:rPr>
          <w:rFonts w:eastAsia="Calibri" w:cs="Calibri"/>
        </w:rPr>
        <w:t xml:space="preserve">reporting </w:t>
      </w:r>
      <w:r w:rsidRPr="24363412">
        <w:rPr>
          <w:rFonts w:eastAsia="Calibri" w:cs="Calibri"/>
        </w:rPr>
        <w:t>entity under various reporting obligations (e.g. suspicious matter reporting) is complete, accurate and free from unauthorised change</w:t>
      </w:r>
      <w:r w:rsidRPr="24363412">
        <w:rPr>
          <w:rStyle w:val="FootnoteReference"/>
          <w:rFonts w:eastAsia="Calibri" w:cs="Calibri"/>
        </w:rPr>
        <w:footnoteReference w:id="15"/>
      </w:r>
    </w:p>
    <w:p w14:paraId="3CC7F596" w14:textId="389DD2F4" w:rsidR="3F96DA4F" w:rsidRDefault="00E142B2" w:rsidP="00081813">
      <w:pPr>
        <w:pStyle w:val="ListParagraph"/>
        <w:numPr>
          <w:ilvl w:val="0"/>
          <w:numId w:val="4"/>
        </w:numPr>
        <w:ind w:left="714" w:hanging="357"/>
        <w:contextualSpacing w:val="0"/>
        <w:rPr>
          <w:rFonts w:eastAsia="Calibri" w:cs="Calibri"/>
        </w:rPr>
      </w:pPr>
      <w:r>
        <w:rPr>
          <w:rFonts w:eastAsia="Calibri" w:cs="Calibri"/>
        </w:rPr>
        <w:t>ensuring that reporting entities determine as soon as practicable whether they have formed a suspicion on reasonable grounds that would necessitate making</w:t>
      </w:r>
      <w:r w:rsidRPr="24363412">
        <w:rPr>
          <w:rFonts w:eastAsia="Calibri" w:cs="Calibri"/>
        </w:rPr>
        <w:t xml:space="preserve"> </w:t>
      </w:r>
      <w:r>
        <w:rPr>
          <w:rFonts w:eastAsia="Calibri" w:cs="Calibri"/>
        </w:rPr>
        <w:t>a</w:t>
      </w:r>
      <w:r w:rsidR="3F96DA4F" w:rsidRPr="24363412">
        <w:rPr>
          <w:rFonts w:eastAsia="Calibri" w:cs="Calibri"/>
        </w:rPr>
        <w:t xml:space="preserve"> suspicious matter report —this will help ensure that reporting to AUSTRAC is not delayed due to overly long or unclear processes for determining whether to report a suspicious matter.</w:t>
      </w:r>
      <w:r w:rsidR="3F96DA4F" w:rsidRPr="24363412">
        <w:rPr>
          <w:rStyle w:val="FootnoteReference"/>
          <w:rFonts w:eastAsia="Calibri" w:cs="Calibri"/>
        </w:rPr>
        <w:footnoteReference w:id="16"/>
      </w:r>
    </w:p>
    <w:p w14:paraId="023671E5" w14:textId="044B6936" w:rsidR="3F96DA4F" w:rsidRDefault="3F96DA4F" w:rsidP="00B34CAA">
      <w:pPr>
        <w:pStyle w:val="Heading3"/>
      </w:pPr>
      <w:bookmarkStart w:id="28" w:name="_Toc184666438"/>
      <w:r>
        <w:t>Specific requirements for compliance management</w:t>
      </w:r>
      <w:r w:rsidR="2DF4E575">
        <w:t xml:space="preserve"> AML/CTF</w:t>
      </w:r>
      <w:r>
        <w:t xml:space="preserve"> policies</w:t>
      </w:r>
      <w:bookmarkEnd w:id="28"/>
    </w:p>
    <w:p w14:paraId="4B51B4AC" w14:textId="71CC59D6" w:rsidR="3F96DA4F" w:rsidRDefault="3F96DA4F" w:rsidP="24363412">
      <w:r>
        <w:t>The Exposure Draft</w:t>
      </w:r>
      <w:r w:rsidR="6DD46C02">
        <w:t xml:space="preserve"> Rules</w:t>
      </w:r>
      <w:r>
        <w:t xml:space="preserve"> elaborate on </w:t>
      </w:r>
      <w:r w:rsidR="00E142B2">
        <w:t>the following</w:t>
      </w:r>
      <w:r>
        <w:t xml:space="preserve"> compliance management AML/CTF policies mentioned in the </w:t>
      </w:r>
      <w:r w:rsidR="21397202">
        <w:t>Amended AML/CTF Act</w:t>
      </w:r>
      <w:r>
        <w:t>, providing greater detail about what must be done to achieve compliance:</w:t>
      </w:r>
    </w:p>
    <w:p w14:paraId="0D07E5F8" w14:textId="4B0811AB" w:rsidR="3F96DA4F" w:rsidRDefault="3F96DA4F" w:rsidP="00081813">
      <w:pPr>
        <w:pStyle w:val="ListParagraph"/>
        <w:numPr>
          <w:ilvl w:val="0"/>
          <w:numId w:val="1"/>
        </w:numPr>
        <w:ind w:left="714" w:hanging="357"/>
        <w:contextualSpacing w:val="0"/>
      </w:pPr>
      <w:r>
        <w:t>due diligence</w:t>
      </w:r>
      <w:r w:rsidR="00E142B2">
        <w:t xml:space="preserve"> policies </w:t>
      </w:r>
      <w:r w:rsidR="004130FC">
        <w:t xml:space="preserve">must be applied to </w:t>
      </w:r>
      <w:r>
        <w:t xml:space="preserve">personnel </w:t>
      </w:r>
      <w:r w:rsidR="004130FC">
        <w:t xml:space="preserve">with </w:t>
      </w:r>
      <w:r>
        <w:t xml:space="preserve">AML/CTF </w:t>
      </w:r>
      <w:r w:rsidR="004130FC">
        <w:t>functions before they are employed or engaged and must remain ongoing throughout their employment or engagement</w:t>
      </w:r>
      <w:r w:rsidR="19D5BB26">
        <w:t>—</w:t>
      </w:r>
      <w:r w:rsidR="2A102B8A">
        <w:t xml:space="preserve">for existing reporting entities </w:t>
      </w:r>
      <w:r w:rsidR="19D5BB26">
        <w:t xml:space="preserve">these policies will replace what is currently referred to as </w:t>
      </w:r>
      <w:r w:rsidR="675D1469">
        <w:t>the</w:t>
      </w:r>
      <w:r w:rsidR="19D5BB26">
        <w:t xml:space="preserve"> ‘employee due diligence</w:t>
      </w:r>
      <w:r w:rsidR="3FE1F2AC">
        <w:t xml:space="preserve"> program</w:t>
      </w:r>
      <w:r w:rsidR="19D5BB26">
        <w:t>’</w:t>
      </w:r>
      <w:r w:rsidR="35F7696E">
        <w:t xml:space="preserve"> </w:t>
      </w:r>
      <w:r w:rsidR="004130FC">
        <w:t xml:space="preserve">and </w:t>
      </w:r>
      <w:r w:rsidR="35F7696E">
        <w:t>extends to contractors</w:t>
      </w:r>
      <w:r w:rsidR="6A252F5B">
        <w:t xml:space="preserve"> and other individuals engaged in AML/CTF related functions</w:t>
      </w:r>
      <w:r w:rsidR="002E43D9">
        <w:rPr>
          <w:rStyle w:val="FootnoteReference"/>
        </w:rPr>
        <w:footnoteReference w:id="17"/>
      </w:r>
    </w:p>
    <w:p w14:paraId="3A718857" w14:textId="536BCE0B" w:rsidR="3F96DA4F" w:rsidRDefault="004130FC" w:rsidP="00081813">
      <w:pPr>
        <w:pStyle w:val="ListParagraph"/>
        <w:numPr>
          <w:ilvl w:val="0"/>
          <w:numId w:val="1"/>
        </w:numPr>
        <w:ind w:left="714" w:hanging="357"/>
        <w:contextualSpacing w:val="0"/>
      </w:pPr>
      <w:r>
        <w:t xml:space="preserve">training </w:t>
      </w:r>
      <w:r w:rsidR="3F96DA4F">
        <w:t>policies</w:t>
      </w:r>
      <w:r>
        <w:t xml:space="preserve"> for personnel with</w:t>
      </w:r>
      <w:r w:rsidR="3F96DA4F">
        <w:t xml:space="preserve"> AML/CTF </w:t>
      </w:r>
      <w:r>
        <w:t>functions</w:t>
      </w:r>
      <w:r w:rsidR="3F96DA4F">
        <w:t xml:space="preserve"> must provide both initial and ongoing training throughout a person’s engagement or employment, and such training must be appropriate to the person and their responsibilities</w:t>
      </w:r>
      <w:r w:rsidR="2589D7F9">
        <w:t>—for existing reporting entities these requirements will replace what is currently referred to as the ‘AML/CTF awareness training program’</w:t>
      </w:r>
      <w:r w:rsidR="3F96DA4F">
        <w:t>.</w:t>
      </w:r>
      <w:r w:rsidR="002E43D9">
        <w:rPr>
          <w:rStyle w:val="FootnoteReference"/>
        </w:rPr>
        <w:footnoteReference w:id="18"/>
      </w:r>
    </w:p>
    <w:p w14:paraId="553D4966" w14:textId="77777777" w:rsidR="004130FC" w:rsidRDefault="53ED1224" w:rsidP="24363412">
      <w:r>
        <w:t xml:space="preserve">Some industries and professions already have protocols in place to ensure that employed personnel are appropriately skilled and act with integrity. For example, legal professionals are bound by the Australian Solicitors Conduct Rules, and accounting professionals are bound by the APES 110 Code of Ethics for Professional Accountants. </w:t>
      </w:r>
    </w:p>
    <w:p w14:paraId="587172B8" w14:textId="335C5FFE" w:rsidR="53ED1224" w:rsidRDefault="53ED1224" w:rsidP="24363412">
      <w:r>
        <w:t>A reporting entity may elect to leverage existing protocols regarding a person’s integrity for the purpose of fulfilling personnel due diligence requirements under the AML/CTF regime</w:t>
      </w:r>
      <w:r w:rsidR="004130FC">
        <w:t xml:space="preserve">. If existing protocols are adequate to cover a reporting entity’s obligations, they will still be required to adequately document these protocols in their </w:t>
      </w:r>
      <w:r>
        <w:t xml:space="preserve"> AML/CTF policies</w:t>
      </w:r>
      <w:r w:rsidR="002E43D9">
        <w:t xml:space="preserve"> and </w:t>
      </w:r>
      <w:r w:rsidR="004130FC">
        <w:t xml:space="preserve">supplement them in cases where </w:t>
      </w:r>
      <w:r w:rsidR="002E43D9">
        <w:t>person</w:t>
      </w:r>
      <w:r w:rsidR="002D6085">
        <w:t xml:space="preserve">nel </w:t>
      </w:r>
      <w:r w:rsidR="004130FC">
        <w:t xml:space="preserve">are </w:t>
      </w:r>
      <w:r w:rsidR="002D6085">
        <w:t xml:space="preserve">not subject to </w:t>
      </w:r>
      <w:r w:rsidR="004130FC">
        <w:t>them</w:t>
      </w:r>
      <w:r w:rsidR="002D6085">
        <w:t xml:space="preserve"> (conveyancing paralegals, for example)</w:t>
      </w:r>
      <w:r>
        <w:t>.</w:t>
      </w:r>
    </w:p>
    <w:p w14:paraId="2AF1E715" w14:textId="576BD375" w:rsidR="3F96DA4F" w:rsidRDefault="3F96DA4F" w:rsidP="00B34CAA">
      <w:pPr>
        <w:pStyle w:val="Heading3"/>
      </w:pPr>
      <w:bookmarkStart w:id="29" w:name="_Toc184666439"/>
      <w:r>
        <w:lastRenderedPageBreak/>
        <w:t xml:space="preserve">Specific requirements </w:t>
      </w:r>
      <w:r w:rsidR="6ABA4BE9">
        <w:t>for</w:t>
      </w:r>
      <w:r>
        <w:t xml:space="preserve"> </w:t>
      </w:r>
      <w:r w:rsidR="30000E64">
        <w:t xml:space="preserve">AML/CTF policies </w:t>
      </w:r>
      <w:r w:rsidR="00C14D59">
        <w:t xml:space="preserve">on </w:t>
      </w:r>
      <w:r>
        <w:t>independent evaluations</w:t>
      </w:r>
      <w:bookmarkEnd w:id="29"/>
    </w:p>
    <w:p w14:paraId="05A57252" w14:textId="3ADC12CB" w:rsidR="3F96DA4F" w:rsidRDefault="3F96DA4F" w:rsidP="24363412">
      <w:r>
        <w:t>The Exposure Draft</w:t>
      </w:r>
      <w:r w:rsidR="6DD5B67E">
        <w:t xml:space="preserve"> Rules</w:t>
      </w:r>
      <w:r>
        <w:t xml:space="preserve"> include AML/CTF policy requirements </w:t>
      </w:r>
      <w:r w:rsidR="00C14D59">
        <w:t xml:space="preserve">on </w:t>
      </w:r>
      <w:r>
        <w:t xml:space="preserve">the conduct of independent evaluations of </w:t>
      </w:r>
      <w:r w:rsidR="00C14D59">
        <w:t xml:space="preserve">a </w:t>
      </w:r>
      <w:r>
        <w:t>reporting entit</w:t>
      </w:r>
      <w:r w:rsidR="00C14D59">
        <w:t>y’s</w:t>
      </w:r>
      <w:r>
        <w:t xml:space="preserve"> AML/CTF programs, and steps a reporting entity must include in its AML/CTF policies to respond to </w:t>
      </w:r>
      <w:r w:rsidR="00C14D59">
        <w:t xml:space="preserve">these </w:t>
      </w:r>
      <w:r>
        <w:t>evaluations:</w:t>
      </w:r>
      <w:r w:rsidR="002D6085">
        <w:rPr>
          <w:rStyle w:val="FootnoteReference"/>
        </w:rPr>
        <w:footnoteReference w:id="19"/>
      </w:r>
    </w:p>
    <w:p w14:paraId="6E2AA0A2" w14:textId="47A9907E" w:rsidR="27A5B7EF" w:rsidRDefault="27A5B7EF" w:rsidP="00081813">
      <w:pPr>
        <w:pStyle w:val="ListParagraph"/>
        <w:numPr>
          <w:ilvl w:val="0"/>
          <w:numId w:val="1"/>
        </w:numPr>
        <w:ind w:left="714" w:hanging="357"/>
        <w:contextualSpacing w:val="0"/>
      </w:pPr>
      <w:r>
        <w:t>the polici</w:t>
      </w:r>
      <w:r w:rsidR="3F96DA4F">
        <w:t xml:space="preserve">es must provide for the evaluation </w:t>
      </w:r>
      <w:r w:rsidR="4F59DB43">
        <w:t xml:space="preserve">of </w:t>
      </w:r>
      <w:r w:rsidR="3F96DA4F">
        <w:t>steps taken to undertake and update ML/TF risk assessments, the design of AML/CTF policies, and the reporting entity’s compliance with its AML/CTF obligations</w:t>
      </w:r>
    </w:p>
    <w:p w14:paraId="43736DD7" w14:textId="086480FE" w:rsidR="3F96DA4F" w:rsidRDefault="3F96DA4F" w:rsidP="00081813">
      <w:pPr>
        <w:pStyle w:val="ListParagraph"/>
        <w:numPr>
          <w:ilvl w:val="0"/>
          <w:numId w:val="1"/>
        </w:numPr>
        <w:ind w:left="714" w:hanging="357"/>
        <w:contextualSpacing w:val="0"/>
      </w:pPr>
      <w:r>
        <w:t>the policies must provide for the independent evaluation to produce a written report that is provided to the governing body and relevant senior managers with AML/CTF responsibilities</w:t>
      </w:r>
    </w:p>
    <w:p w14:paraId="4CF238B9" w14:textId="02EE6D86" w:rsidR="3F96DA4F" w:rsidRDefault="3F96DA4F" w:rsidP="00081813">
      <w:pPr>
        <w:pStyle w:val="ListParagraph"/>
        <w:numPr>
          <w:ilvl w:val="0"/>
          <w:numId w:val="1"/>
        </w:numPr>
        <w:ind w:left="714" w:hanging="357"/>
        <w:contextualSpacing w:val="0"/>
      </w:pPr>
      <w:r>
        <w:t>the policies must set out how the reporting entity will respond to independent evaluation reports</w:t>
      </w:r>
      <w:r w:rsidR="1D43069C">
        <w:t xml:space="preserve">—this is not a prescriptive requirement, instead reporting entities will develop their own policies </w:t>
      </w:r>
      <w:r w:rsidR="00C14D59">
        <w:t>on</w:t>
      </w:r>
      <w:r w:rsidR="1D43069C">
        <w:t xml:space="preserve"> how to respond to </w:t>
      </w:r>
      <w:r w:rsidR="00C14D59">
        <w:t>these</w:t>
      </w:r>
      <w:r w:rsidR="1D43069C">
        <w:t xml:space="preserve"> reports</w:t>
      </w:r>
    </w:p>
    <w:p w14:paraId="588FF72C" w14:textId="35DE2168" w:rsidR="3F96DA4F" w:rsidRDefault="3F96DA4F" w:rsidP="00081813">
      <w:pPr>
        <w:pStyle w:val="ListParagraph"/>
        <w:numPr>
          <w:ilvl w:val="0"/>
          <w:numId w:val="1"/>
        </w:numPr>
        <w:ind w:left="714" w:hanging="357"/>
        <w:contextualSpacing w:val="0"/>
      </w:pPr>
      <w:r>
        <w:t>the policies must deal with reviewing and updating a reporting entity’s AML/CTF policies in response to adverse findings as part of an independent evaluation (this requirement mirrors the ML/TF risk assessment review trigger outlined above).</w:t>
      </w:r>
    </w:p>
    <w:p w14:paraId="55155AC8" w14:textId="01E95921" w:rsidR="3F96DA4F" w:rsidRDefault="3F96DA4F" w:rsidP="00B34CAA">
      <w:pPr>
        <w:pStyle w:val="Heading3"/>
      </w:pPr>
      <w:bookmarkStart w:id="30" w:name="_Toc184666440"/>
      <w:r>
        <w:t>Additional AML/CTF policies for value transfer services</w:t>
      </w:r>
      <w:bookmarkEnd w:id="30"/>
    </w:p>
    <w:p w14:paraId="2AD80806" w14:textId="18FC6988" w:rsidR="3F96DA4F" w:rsidRDefault="3F96DA4F" w:rsidP="24363412">
      <w:pPr>
        <w:rPr>
          <w:rFonts w:eastAsia="Calibri" w:cs="Calibri"/>
        </w:rPr>
      </w:pPr>
      <w:r w:rsidRPr="24363412">
        <w:rPr>
          <w:rFonts w:eastAsia="Calibri" w:cs="Calibri"/>
        </w:rPr>
        <w:t>Some additional AML/CTF policies focused on mitigating and managing ML/TF risk will be required for those reporting entities that provide value transfer services.</w:t>
      </w:r>
      <w:r w:rsidR="002D6085">
        <w:rPr>
          <w:rStyle w:val="FootnoteReference"/>
          <w:rFonts w:eastAsia="Calibri" w:cs="Calibri"/>
        </w:rPr>
        <w:footnoteReference w:id="20"/>
      </w:r>
      <w:r w:rsidRPr="24363412">
        <w:rPr>
          <w:rFonts w:eastAsia="Calibri" w:cs="Calibri"/>
        </w:rPr>
        <w:t xml:space="preserve"> Other reporting entities will not be required to develop and maintain these AML/CTF policies</w:t>
      </w:r>
    </w:p>
    <w:p w14:paraId="604A1DA2" w14:textId="6CB31FD8" w:rsidR="3F96DA4F" w:rsidRDefault="3F96DA4F" w:rsidP="24363412">
      <w:pPr>
        <w:rPr>
          <w:rFonts w:eastAsia="Calibri" w:cs="Calibri"/>
        </w:rPr>
      </w:pPr>
      <w:r w:rsidRPr="24363412">
        <w:rPr>
          <w:rFonts w:eastAsia="Calibri" w:cs="Calibri"/>
        </w:rPr>
        <w:t xml:space="preserve">These value transfer service-focused AML/CTF policies will document </w:t>
      </w:r>
      <w:r w:rsidRPr="24363412">
        <w:rPr>
          <w:rFonts w:eastAsia="Calibri" w:cs="Calibri"/>
          <w:i/>
          <w:iCs/>
        </w:rPr>
        <w:t>how</w:t>
      </w:r>
      <w:r w:rsidRPr="24363412">
        <w:rPr>
          <w:rFonts w:eastAsia="Calibri" w:cs="Calibri"/>
        </w:rPr>
        <w:t xml:space="preserve"> relevant reporting entities services will fulfil their obligations under Part 5 of the </w:t>
      </w:r>
      <w:r w:rsidR="21397202" w:rsidRPr="24363412">
        <w:rPr>
          <w:rFonts w:eastAsia="Calibri" w:cs="Calibri"/>
        </w:rPr>
        <w:t>Amended AML/CTF Act</w:t>
      </w:r>
      <w:r w:rsidRPr="24363412">
        <w:rPr>
          <w:rFonts w:eastAsia="Calibri" w:cs="Calibri"/>
        </w:rPr>
        <w:t>, which relates to value transfer transparency and is commonly referred to as the ‘travel rule’ including:</w:t>
      </w:r>
    </w:p>
    <w:p w14:paraId="53DBFF4A" w14:textId="20E8CFED" w:rsidR="3F96DA4F" w:rsidRDefault="3F96DA4F" w:rsidP="00081813">
      <w:pPr>
        <w:pStyle w:val="ListParagraph"/>
        <w:numPr>
          <w:ilvl w:val="0"/>
          <w:numId w:val="2"/>
        </w:numPr>
        <w:ind w:left="714" w:hanging="357"/>
        <w:contextualSpacing w:val="0"/>
        <w:rPr>
          <w:rFonts w:eastAsia="Calibri" w:cs="Calibri"/>
        </w:rPr>
      </w:pPr>
      <w:r w:rsidRPr="24363412">
        <w:rPr>
          <w:rFonts w:eastAsia="Calibri" w:cs="Calibri"/>
        </w:rPr>
        <w:t>for ordering and beneficiary institutions involved in virtual asset transfers—counterparty due diligence to understand the other institution (if any) involved in the transfer, and to undertake associated risk management and mitigation</w:t>
      </w:r>
    </w:p>
    <w:p w14:paraId="5846013C" w14:textId="731BEEB3" w:rsidR="3F96DA4F" w:rsidRDefault="3F96DA4F" w:rsidP="00081813">
      <w:pPr>
        <w:pStyle w:val="ListParagraph"/>
        <w:numPr>
          <w:ilvl w:val="0"/>
          <w:numId w:val="2"/>
        </w:numPr>
        <w:ind w:left="714" w:hanging="357"/>
        <w:contextualSpacing w:val="0"/>
        <w:rPr>
          <w:rFonts w:eastAsia="Calibri" w:cs="Calibri"/>
        </w:rPr>
      </w:pPr>
      <w:r w:rsidRPr="24363412">
        <w:rPr>
          <w:rFonts w:eastAsia="Calibri" w:cs="Calibri"/>
        </w:rPr>
        <w:t>for intermediary institutions and beneficiary institutions involved in transfers of money, property or virtual assets—what reasonable steps the institution will take to monitor for the completeness of travel rule information received and what steps to mitigate and manage ML/TF risk the institution will take where it receives incomplete information</w:t>
      </w:r>
    </w:p>
    <w:p w14:paraId="410C205B" w14:textId="725C168B" w:rsidR="24363412" w:rsidRPr="006A0A32" w:rsidRDefault="3F96DA4F" w:rsidP="24363412">
      <w:pPr>
        <w:pStyle w:val="ListParagraph"/>
        <w:numPr>
          <w:ilvl w:val="0"/>
          <w:numId w:val="2"/>
        </w:numPr>
        <w:ind w:left="714" w:hanging="357"/>
        <w:contextualSpacing w:val="0"/>
        <w:rPr>
          <w:rFonts w:eastAsia="Calibri" w:cs="Calibri"/>
        </w:rPr>
      </w:pPr>
      <w:r w:rsidRPr="24363412">
        <w:rPr>
          <w:rFonts w:eastAsia="Calibri" w:cs="Calibri"/>
        </w:rPr>
        <w:lastRenderedPageBreak/>
        <w:t>for the beneficiary institution—what reasonable steps the institution will take to monitor for the accuracy of the information received about its customer, the payee, and what steps to mitigate and manage ML/TF risk the institution will take where it receives inaccurate information.</w:t>
      </w:r>
    </w:p>
    <w:p w14:paraId="3DBF8DFA" w14:textId="6710CAD3" w:rsidR="006324FF" w:rsidRDefault="002D6085" w:rsidP="00B34CAA">
      <w:pPr>
        <w:pStyle w:val="Heading2"/>
      </w:pPr>
      <w:bookmarkStart w:id="31" w:name="_Toc184666441"/>
      <w:r>
        <w:t>AML/</w:t>
      </w:r>
      <w:r w:rsidR="0D31F282">
        <w:t>CTF compliance o</w:t>
      </w:r>
      <w:r w:rsidR="46B9D9F3">
        <w:t>fficer</w:t>
      </w:r>
      <w:bookmarkEnd w:id="31"/>
    </w:p>
    <w:p w14:paraId="6F7D25A8" w14:textId="1204C2E5" w:rsidR="00C700C4" w:rsidRDefault="00081813" w:rsidP="00D63DA4">
      <w:r>
        <w:t xml:space="preserve">The Amended AML/CTF Act </w:t>
      </w:r>
      <w:r w:rsidR="00C700C4">
        <w:t>requires the designation of an individual as the reporting entity’s AML/CTF compliance officer,</w:t>
      </w:r>
      <w:r w:rsidR="00C700C4">
        <w:rPr>
          <w:rStyle w:val="FootnoteReference"/>
        </w:rPr>
        <w:footnoteReference w:id="21"/>
      </w:r>
      <w:r w:rsidR="00C700C4">
        <w:t xml:space="preserve"> and certain requirements which that individual must meet to be eligible for the role. Those requirements are that the individual:</w:t>
      </w:r>
    </w:p>
    <w:p w14:paraId="7A499D36" w14:textId="1B55CAFE" w:rsidR="00C700C4" w:rsidRDefault="00C700C4" w:rsidP="00C700C4">
      <w:pPr>
        <w:pStyle w:val="ListParagraph"/>
        <w:numPr>
          <w:ilvl w:val="0"/>
          <w:numId w:val="35"/>
        </w:numPr>
      </w:pPr>
      <w:r>
        <w:t>is resident in Australia (if the reporting entity provides its designated services at or through a permanent establishment in Australia)</w:t>
      </w:r>
    </w:p>
    <w:p w14:paraId="73058659" w14:textId="69A58C65" w:rsidR="00C700C4" w:rsidRDefault="00C700C4" w:rsidP="00C700C4">
      <w:pPr>
        <w:pStyle w:val="ListParagraph"/>
        <w:numPr>
          <w:ilvl w:val="0"/>
          <w:numId w:val="35"/>
        </w:numPr>
      </w:pPr>
      <w:r>
        <w:t>is a fit and proper person; and</w:t>
      </w:r>
    </w:p>
    <w:p w14:paraId="7F3C5FBF" w14:textId="1B8DF175" w:rsidR="00C700C4" w:rsidRDefault="00C700C4" w:rsidP="00C700C4">
      <w:pPr>
        <w:pStyle w:val="ListParagraph"/>
        <w:numPr>
          <w:ilvl w:val="0"/>
          <w:numId w:val="35"/>
        </w:numPr>
      </w:pPr>
      <w:r>
        <w:t>meets the requirements specified in the AML/CTF Rules.</w:t>
      </w:r>
      <w:r w:rsidRPr="00C700C4">
        <w:rPr>
          <w:rStyle w:val="FootnoteReference"/>
        </w:rPr>
        <w:t xml:space="preserve"> </w:t>
      </w:r>
      <w:r>
        <w:rPr>
          <w:rStyle w:val="FootnoteReference"/>
        </w:rPr>
        <w:footnoteReference w:id="22"/>
      </w:r>
    </w:p>
    <w:p w14:paraId="78B69412" w14:textId="6017D6C7" w:rsidR="008C5668" w:rsidRDefault="2372B842" w:rsidP="00D63DA4">
      <w:r>
        <w:t>Section 23 of the</w:t>
      </w:r>
      <w:r w:rsidR="69D7F911">
        <w:t xml:space="preserve"> </w:t>
      </w:r>
      <w:r w:rsidR="0D0556BD">
        <w:t>Exposure Draft Rules</w:t>
      </w:r>
      <w:r w:rsidR="69D7F911">
        <w:t xml:space="preserve"> outlines what a reporting entity must cons</w:t>
      </w:r>
      <w:r w:rsidR="47758076">
        <w:t xml:space="preserve">ider when determining whether someone </w:t>
      </w:r>
      <w:r w:rsidR="69D7F911">
        <w:t xml:space="preserve">is a fit and proper person to </w:t>
      </w:r>
      <w:r>
        <w:t>be an AML/CTF compliance officer</w:t>
      </w:r>
      <w:r w:rsidR="69D7F911">
        <w:t>.</w:t>
      </w:r>
      <w:r w:rsidR="7B3F4B4D">
        <w:t xml:space="preserve"> </w:t>
      </w:r>
    </w:p>
    <w:p w14:paraId="0F5B7818" w14:textId="1F36480B" w:rsidR="00D63DA4" w:rsidRDefault="7B3F4B4D" w:rsidP="00D63DA4">
      <w:r>
        <w:t xml:space="preserve">AUSTRAC’s operational experience has </w:t>
      </w:r>
      <w:r w:rsidR="6FE4084A">
        <w:t xml:space="preserve">found </w:t>
      </w:r>
      <w:r>
        <w:t xml:space="preserve">that a reporting entity’s effective identification, mitigation and management of ML/TF risk relies heavily on the individual fulfilling the AML/CTF compliance officer role. </w:t>
      </w:r>
      <w:r w:rsidR="06CFF499">
        <w:t xml:space="preserve">The </w:t>
      </w:r>
      <w:r w:rsidR="21397202">
        <w:t>Amended AML/CTF Act</w:t>
      </w:r>
      <w:r w:rsidR="06CFF499">
        <w:t xml:space="preserve"> reflects this finding and elevates the role of the AML/CTF compliance officer in the AML/CTF regime.</w:t>
      </w:r>
    </w:p>
    <w:p w14:paraId="065F6323" w14:textId="16C328E6" w:rsidR="003B39A9" w:rsidRDefault="090AEF95" w:rsidP="00187402">
      <w:r>
        <w:t>T</w:t>
      </w:r>
      <w:r w:rsidR="06CFF499">
        <w:t xml:space="preserve">o support the </w:t>
      </w:r>
      <w:r w:rsidR="21397202">
        <w:t>Amended AML/CTF Act</w:t>
      </w:r>
      <w:r w:rsidR="06CFF499">
        <w:t xml:space="preserve"> and the significance of the AML/CTF compliance officer role, the </w:t>
      </w:r>
      <w:r w:rsidR="22874FA0">
        <w:t>Exposure Draft Rules</w:t>
      </w:r>
      <w:r w:rsidR="06CFF499">
        <w:t xml:space="preserve"> set out t</w:t>
      </w:r>
      <w:r>
        <w:t>he</w:t>
      </w:r>
      <w:r w:rsidR="1AB07D37">
        <w:rPr>
          <w:rFonts w:ascii="Verdana" w:hAnsi="Verdana"/>
          <w:color w:val="444444"/>
          <w:sz w:val="18"/>
          <w:szCs w:val="18"/>
          <w:shd w:val="clear" w:color="auto" w:fill="FFFFFF"/>
        </w:rPr>
        <w:t> </w:t>
      </w:r>
      <w:r w:rsidR="4A17C7B0" w:rsidRPr="009F2A9C">
        <w:t>matters</w:t>
      </w:r>
      <w:r w:rsidR="3A082D79" w:rsidRPr="009F2A9C">
        <w:t xml:space="preserve"> </w:t>
      </w:r>
      <w:r w:rsidR="646550CA" w:rsidRPr="009F2A9C">
        <w:t xml:space="preserve">reporting entities </w:t>
      </w:r>
      <w:r w:rsidR="0A36FA3F" w:rsidRPr="009F2A9C">
        <w:t xml:space="preserve">must consider </w:t>
      </w:r>
      <w:r w:rsidR="646550CA" w:rsidRPr="009F2A9C">
        <w:t xml:space="preserve">when evaluating whether a proposed </w:t>
      </w:r>
      <w:r>
        <w:t xml:space="preserve">AML/CTF </w:t>
      </w:r>
      <w:r w:rsidR="646550CA" w:rsidRPr="009F2A9C">
        <w:t>compliance officer</w:t>
      </w:r>
      <w:r w:rsidR="003B39A9">
        <w:t xml:space="preserve"> is a fit and proper person. </w:t>
      </w:r>
    </w:p>
    <w:p w14:paraId="75B211E1" w14:textId="77777777" w:rsidR="003B39A9" w:rsidRDefault="003B39A9" w:rsidP="00187402">
      <w:r>
        <w:t xml:space="preserve">A reporting entity must consider whether the person: </w:t>
      </w:r>
    </w:p>
    <w:p w14:paraId="47AD653F" w14:textId="5804B7D3" w:rsidR="003B39A9" w:rsidRDefault="090AEF95" w:rsidP="00081813">
      <w:pPr>
        <w:pStyle w:val="ListParagraph"/>
        <w:numPr>
          <w:ilvl w:val="0"/>
          <w:numId w:val="33"/>
        </w:numPr>
        <w:ind w:left="771" w:hanging="357"/>
        <w:contextualSpacing w:val="0"/>
      </w:pPr>
      <w:r>
        <w:t>has</w:t>
      </w:r>
      <w:r w:rsidR="646550CA" w:rsidRPr="009F2A9C">
        <w:t xml:space="preserve"> the </w:t>
      </w:r>
      <w:r w:rsidR="7B3F4B4D">
        <w:t>competence, character, diligence, honesty, integrity and judgement</w:t>
      </w:r>
      <w:r w:rsidR="646550CA" w:rsidRPr="009F2A9C">
        <w:t xml:space="preserve"> </w:t>
      </w:r>
      <w:r w:rsidR="5B7579AF" w:rsidRPr="009F2A9C">
        <w:t xml:space="preserve">to </w:t>
      </w:r>
      <w:r w:rsidR="64A40AD0" w:rsidRPr="009F2A9C">
        <w:t>properly perform the duties of</w:t>
      </w:r>
      <w:r w:rsidR="646550CA" w:rsidRPr="009F2A9C">
        <w:t xml:space="preserve"> the role</w:t>
      </w:r>
    </w:p>
    <w:p w14:paraId="77C925FE" w14:textId="480D034D" w:rsidR="00157D83" w:rsidRDefault="003B39A9" w:rsidP="00081813">
      <w:pPr>
        <w:pStyle w:val="ListParagraph"/>
        <w:numPr>
          <w:ilvl w:val="0"/>
          <w:numId w:val="33"/>
        </w:numPr>
        <w:ind w:left="771" w:hanging="357"/>
        <w:contextualSpacing w:val="0"/>
      </w:pPr>
      <w:r>
        <w:t>has been convicted of a serious offence or been subject to adverse findings or found to engage in serious misconduct by a regulatory body</w:t>
      </w:r>
    </w:p>
    <w:p w14:paraId="7B5868DB" w14:textId="192FA11D" w:rsidR="003B39A9" w:rsidRDefault="003B39A9" w:rsidP="00081813">
      <w:pPr>
        <w:pStyle w:val="ListParagraph"/>
        <w:numPr>
          <w:ilvl w:val="0"/>
          <w:numId w:val="33"/>
        </w:numPr>
        <w:ind w:left="771" w:hanging="357"/>
        <w:contextualSpacing w:val="0"/>
      </w:pPr>
      <w:r>
        <w:t>is a undischarged bankrupt or has executed a personal insolvency agreement</w:t>
      </w:r>
    </w:p>
    <w:p w14:paraId="2ACF88E4" w14:textId="77777777" w:rsidR="00081813" w:rsidRDefault="003B39A9" w:rsidP="00081813">
      <w:pPr>
        <w:pStyle w:val="ListParagraph"/>
        <w:numPr>
          <w:ilvl w:val="0"/>
          <w:numId w:val="33"/>
        </w:numPr>
      </w:pPr>
      <w:r>
        <w:t xml:space="preserve">has a conflict of interest that will create a material risk that they will fail to properly discharge their duties.   </w:t>
      </w:r>
    </w:p>
    <w:p w14:paraId="47B5D7E4" w14:textId="582B5697" w:rsidR="002D6085" w:rsidRDefault="001117A1" w:rsidP="00187402">
      <w:r>
        <w:t>These considerations are consistent with other Commonwealth regulatory regime interpretations of fit and proper, and align with international best practice.</w:t>
      </w:r>
      <w:r w:rsidR="00157D83">
        <w:t xml:space="preserve"> </w:t>
      </w:r>
      <w:r w:rsidR="00081813">
        <w:t xml:space="preserve">However, like </w:t>
      </w:r>
      <w:r w:rsidR="00081813">
        <w:lastRenderedPageBreak/>
        <w:t xml:space="preserve">these other regimes it is important to note that competence, character, diligence, honesty, integrity and judgement must relate to the duties of the AML/CTF compliance officer. </w:t>
      </w:r>
    </w:p>
    <w:p w14:paraId="07F90ADB" w14:textId="3A0ABE2C" w:rsidR="009F256C" w:rsidRDefault="003B39A9" w:rsidP="00187402">
      <w:r>
        <w:t>T</w:t>
      </w:r>
      <w:r w:rsidR="7B3F4B4D">
        <w:t>hese considerations are not exhaustive and</w:t>
      </w:r>
      <w:r w:rsidR="47758076">
        <w:t>,</w:t>
      </w:r>
      <w:r w:rsidR="7B3F4B4D">
        <w:t xml:space="preserve"> like all AML/CTF program obligations, r</w:t>
      </w:r>
      <w:r w:rsidR="646550CA">
        <w:t xml:space="preserve">eporting entities </w:t>
      </w:r>
      <w:r w:rsidR="344ECA4B">
        <w:t xml:space="preserve">should </w:t>
      </w:r>
      <w:r w:rsidR="090AEF95">
        <w:t xml:space="preserve">consider additional criteria as </w:t>
      </w:r>
      <w:r w:rsidR="7A89D1F1">
        <w:t xml:space="preserve">may be </w:t>
      </w:r>
      <w:r w:rsidR="090AEF95">
        <w:t>appropriate</w:t>
      </w:r>
      <w:r w:rsidR="344ECA4B">
        <w:t xml:space="preserve"> to the nature, size and complexity of their business</w:t>
      </w:r>
      <w:r w:rsidR="090AEF95">
        <w:t xml:space="preserve">. </w:t>
      </w:r>
    </w:p>
    <w:p w14:paraId="782226BB" w14:textId="77777777" w:rsidR="00C817B1" w:rsidRDefault="69D7F911" w:rsidP="00B34CAA">
      <w:pPr>
        <w:pStyle w:val="Heading2"/>
      </w:pPr>
      <w:bookmarkStart w:id="32" w:name="_Toc181186839"/>
      <w:bookmarkStart w:id="33" w:name="_Toc184666442"/>
      <w:r>
        <w:t>Reporting g</w:t>
      </w:r>
      <w:r w:rsidR="35C2B53A">
        <w:t>roups</w:t>
      </w:r>
      <w:bookmarkEnd w:id="32"/>
      <w:bookmarkEnd w:id="33"/>
      <w:r w:rsidR="5894EB52">
        <w:t xml:space="preserve"> </w:t>
      </w:r>
    </w:p>
    <w:p w14:paraId="366304BC" w14:textId="3E7F00E4" w:rsidR="00D63DA4" w:rsidRDefault="0262D14D" w:rsidP="00D63DA4">
      <w:r>
        <w:t xml:space="preserve">The </w:t>
      </w:r>
      <w:r w:rsidR="0016791F">
        <w:t>existing</w:t>
      </w:r>
      <w:r w:rsidR="4E176C45">
        <w:t xml:space="preserve"> concept of designated business group</w:t>
      </w:r>
      <w:r w:rsidR="006F0987">
        <w:t xml:space="preserve">s </w:t>
      </w:r>
      <w:r w:rsidR="0016791F">
        <w:t xml:space="preserve">will be replaced by </w:t>
      </w:r>
      <w:r w:rsidR="69D7F911">
        <w:t xml:space="preserve">the </w:t>
      </w:r>
      <w:r w:rsidR="344ECA4B">
        <w:t xml:space="preserve">new </w:t>
      </w:r>
      <w:r w:rsidR="69D7F911">
        <w:t xml:space="preserve">concept of a ‘reporting group’ </w:t>
      </w:r>
      <w:r w:rsidR="17A1A17E">
        <w:t xml:space="preserve">in Part 1 of the </w:t>
      </w:r>
      <w:r w:rsidR="21397202">
        <w:t>Amended AML/CTF Act</w:t>
      </w:r>
      <w:r>
        <w:t>.</w:t>
      </w:r>
      <w:r w:rsidR="42926000">
        <w:t xml:space="preserve"> </w:t>
      </w:r>
    </w:p>
    <w:p w14:paraId="0C0A406E" w14:textId="115FA1C8" w:rsidR="006F0987" w:rsidRDefault="667CFB21">
      <w:r>
        <w:t xml:space="preserve">The intention behind the </w:t>
      </w:r>
      <w:r w:rsidR="6F57FFE7">
        <w:t>new</w:t>
      </w:r>
      <w:r>
        <w:t xml:space="preserve"> reporting group </w:t>
      </w:r>
      <w:r w:rsidR="1F215851">
        <w:t xml:space="preserve">framework </w:t>
      </w:r>
      <w:r>
        <w:t xml:space="preserve">is to </w:t>
      </w:r>
      <w:r w:rsidR="22C9AC7A">
        <w:t>require</w:t>
      </w:r>
      <w:r w:rsidR="4ADD9814">
        <w:t xml:space="preserve"> the</w:t>
      </w:r>
      <w:r>
        <w:t xml:space="preserve"> </w:t>
      </w:r>
      <w:r w:rsidR="110A2784">
        <w:t xml:space="preserve">management of ML/TF risk at the group level, and to facilitate </w:t>
      </w:r>
      <w:r>
        <w:t>more efficient implementation of AML/CTF program obligations amongst group members</w:t>
      </w:r>
      <w:r w:rsidR="6A1ECEAC">
        <w:t xml:space="preserve">. This is achieved by </w:t>
      </w:r>
      <w:r>
        <w:t>recognising traditional corporate group arrangements as found in the financial services sector</w:t>
      </w:r>
      <w:r w:rsidR="3C7CDFDE">
        <w:t xml:space="preserve"> and other sectors</w:t>
      </w:r>
      <w:r>
        <w:t>, as well as other non-corporate st</w:t>
      </w:r>
      <w:r w:rsidR="1CE6B91B">
        <w:t>ructures and franchise arrangements</w:t>
      </w:r>
      <w:r w:rsidR="6FF353E8">
        <w:t xml:space="preserve"> that may be found more commonly in </w:t>
      </w:r>
      <w:r w:rsidR="009361F7">
        <w:t>new regulated</w:t>
      </w:r>
      <w:r w:rsidR="6FF353E8">
        <w:t xml:space="preserve"> industry sectors and professions</w:t>
      </w:r>
      <w:r w:rsidR="1CE6B91B">
        <w:t xml:space="preserve">. </w:t>
      </w:r>
    </w:p>
    <w:p w14:paraId="5134D675" w14:textId="0C1D7927" w:rsidR="00D63DA4" w:rsidRDefault="1CE6B91B">
      <w:r>
        <w:t>Non-reporting entities are included in the concept</w:t>
      </w:r>
      <w:r w:rsidR="1E33D251">
        <w:t>—while they are not subject to AML/CTF regulation by AUSTRAC they often discharge AML/CTF obligations on behalf of reporting entities and the reforms are intended to facilitate this with appropriate safeguards</w:t>
      </w:r>
      <w:r>
        <w:t xml:space="preserve">. </w:t>
      </w:r>
    </w:p>
    <w:p w14:paraId="73143086" w14:textId="61BD8510" w:rsidR="00FF668E" w:rsidRDefault="5473D60F" w:rsidP="00D63DA4">
      <w:r>
        <w:t xml:space="preserve">The </w:t>
      </w:r>
      <w:r w:rsidR="21397202">
        <w:t>Amended AML/CTF Act</w:t>
      </w:r>
      <w:r w:rsidR="4552BA20">
        <w:t xml:space="preserve"> will</w:t>
      </w:r>
      <w:r>
        <w:t xml:space="preserve"> require </w:t>
      </w:r>
      <w:r w:rsidR="112330D1">
        <w:t xml:space="preserve">the ‘lead entity’ of </w:t>
      </w:r>
      <w:r>
        <w:t>a</w:t>
      </w:r>
      <w:r w:rsidR="17BC7EAE">
        <w:t xml:space="preserve"> ‘reporting group’</w:t>
      </w:r>
      <w:r>
        <w:t xml:space="preserve">, whether formed by election or by operation of law, </w:t>
      </w:r>
      <w:r w:rsidR="0AC01CBD">
        <w:t xml:space="preserve">to </w:t>
      </w:r>
      <w:r w:rsidR="7C36EF66">
        <w:t>develop and maintain</w:t>
      </w:r>
      <w:r w:rsidR="0AC01CBD">
        <w:t xml:space="preserve"> a</w:t>
      </w:r>
      <w:r w:rsidR="344ECA4B">
        <w:t>n</w:t>
      </w:r>
      <w:r w:rsidR="0AC01CBD">
        <w:t xml:space="preserve"> AML/CTF p</w:t>
      </w:r>
      <w:r>
        <w:t>rogram</w:t>
      </w:r>
      <w:r w:rsidR="4552BA20">
        <w:t xml:space="preserve"> that</w:t>
      </w:r>
      <w:r w:rsidR="344ECA4B">
        <w:t xml:space="preserve"> identifies, assesses, mitigates and manages ML/TF risk and ensures AML/CTF compliance across the group</w:t>
      </w:r>
      <w:r>
        <w:t xml:space="preserve">. </w:t>
      </w:r>
      <w:r w:rsidR="0AC01CBD">
        <w:t xml:space="preserve">Members of the reporting group are </w:t>
      </w:r>
      <w:r w:rsidR="344ECA4B">
        <w:t>given flexibility</w:t>
      </w:r>
      <w:r w:rsidR="0AC01CBD">
        <w:t xml:space="preserve"> t</w:t>
      </w:r>
      <w:r w:rsidR="112330D1">
        <w:t>o</w:t>
      </w:r>
      <w:r w:rsidR="7C36EF66">
        <w:t xml:space="preserve"> satisfy</w:t>
      </w:r>
      <w:r w:rsidR="112330D1">
        <w:t xml:space="preserve"> </w:t>
      </w:r>
      <w:r w:rsidR="7C36EF66">
        <w:t>each other’s</w:t>
      </w:r>
      <w:r w:rsidR="112330D1">
        <w:t xml:space="preserve"> </w:t>
      </w:r>
      <w:r w:rsidR="3C1FB55D">
        <w:t xml:space="preserve">AML/CTF </w:t>
      </w:r>
      <w:r w:rsidR="112330D1">
        <w:t>obligations</w:t>
      </w:r>
      <w:r w:rsidR="344ECA4B">
        <w:t xml:space="preserve"> subject to </w:t>
      </w:r>
      <w:r w:rsidR="006F0987">
        <w:t>conditions</w:t>
      </w:r>
      <w:r w:rsidR="344ECA4B">
        <w:t xml:space="preserve"> in the AML/CTF Rules</w:t>
      </w:r>
      <w:r w:rsidR="112330D1">
        <w:t>.</w:t>
      </w:r>
      <w:r w:rsidR="0AC01CBD">
        <w:t xml:space="preserve"> </w:t>
      </w:r>
    </w:p>
    <w:p w14:paraId="689685B4" w14:textId="3EA6A3FC" w:rsidR="00611786" w:rsidRDefault="006F0987" w:rsidP="00D63DA4">
      <w:r>
        <w:t>T</w:t>
      </w:r>
      <w:r w:rsidR="425B645A">
        <w:t xml:space="preserve">he </w:t>
      </w:r>
      <w:r w:rsidR="21397202">
        <w:t>Amended AML/CTF Act</w:t>
      </w:r>
      <w:r w:rsidR="0AC01CBD">
        <w:t xml:space="preserve"> provides </w:t>
      </w:r>
      <w:r>
        <w:t xml:space="preserve">the definition of ‘reporting group’ and specifies </w:t>
      </w:r>
      <w:r w:rsidR="0AC01CBD">
        <w:t>that a reporting group will be automatically formed if at least one person in the group provides a designated service and the conditions (if any) in the Rules are met.</w:t>
      </w:r>
      <w:r>
        <w:rPr>
          <w:rStyle w:val="FootnoteReference"/>
        </w:rPr>
        <w:footnoteReference w:id="23"/>
      </w:r>
      <w:r w:rsidR="0AC01CBD">
        <w:t xml:space="preserve"> </w:t>
      </w:r>
    </w:p>
    <w:p w14:paraId="7194427F" w14:textId="537C3C11" w:rsidR="00B7035E" w:rsidRDefault="00B7035E" w:rsidP="00D63DA4">
      <w:r>
        <w:t>This means that in most cases where there is a structure in which a business providing designated services is c</w:t>
      </w:r>
      <w:r w:rsidR="006F0987">
        <w:t>ontrolled by another entity (for example,</w:t>
      </w:r>
      <w:r>
        <w:t xml:space="preserve"> it is a subsidiary), a reporting group will exist.</w:t>
      </w:r>
    </w:p>
    <w:p w14:paraId="5FC808DB" w14:textId="77777777" w:rsidR="003F36C2" w:rsidRDefault="00B7035E" w:rsidP="0094267C">
      <w:r>
        <w:t xml:space="preserve">Given the flexibility offered by reporting groups, AUSTRAC </w:t>
      </w:r>
      <w:r w:rsidR="0094267C">
        <w:t xml:space="preserve">is seeking to identify structures that operate collectively to provide an element </w:t>
      </w:r>
      <w:r w:rsidR="00961A6C">
        <w:t>of</w:t>
      </w:r>
      <w:r>
        <w:t xml:space="preserve"> ‘control’ </w:t>
      </w:r>
      <w:r w:rsidR="003F36C2">
        <w:t xml:space="preserve">by which to exercise group-wide ML/TF risk mitigation, </w:t>
      </w:r>
      <w:r>
        <w:t xml:space="preserve">AML/CTF compliance management, and flexible information sharing. This could include </w:t>
      </w:r>
      <w:r w:rsidR="00961A6C">
        <w:t>networks of</w:t>
      </w:r>
      <w:r>
        <w:t xml:space="preserve"> partnerships,</w:t>
      </w:r>
      <w:r w:rsidR="00961A6C">
        <w:t xml:space="preserve"> central service companies,</w:t>
      </w:r>
      <w:r>
        <w:t xml:space="preserve"> trust structure</w:t>
      </w:r>
      <w:r w:rsidR="00961A6C">
        <w:t>s</w:t>
      </w:r>
      <w:r>
        <w:t>, franchise arrangements and so on.</w:t>
      </w:r>
      <w:r w:rsidR="004A5305">
        <w:t xml:space="preserve"> </w:t>
      </w:r>
    </w:p>
    <w:p w14:paraId="1808AA2E" w14:textId="77777777" w:rsidR="00B7035E" w:rsidRDefault="00062489" w:rsidP="00B7035E">
      <w:r>
        <w:lastRenderedPageBreak/>
        <w:t>R</w:t>
      </w:r>
      <w:r w:rsidR="0027629F">
        <w:t>eporting groups will only be appropriate where members of the group are prepared to share customer and compliance information with each other for AML/CTF purposes.</w:t>
      </w:r>
    </w:p>
    <w:p w14:paraId="1F755A6A" w14:textId="77777777" w:rsidR="00E41E6B" w:rsidRDefault="00FF668E" w:rsidP="00D63DA4">
      <w:r>
        <w:t xml:space="preserve">AUSTRAC is </w:t>
      </w:r>
      <w:r w:rsidR="00B7035E">
        <w:t xml:space="preserve">also </w:t>
      </w:r>
      <w:r>
        <w:t xml:space="preserve">considering the conditions that will </w:t>
      </w:r>
      <w:r w:rsidR="00CC15A5">
        <w:t>determine who is the</w:t>
      </w:r>
      <w:r w:rsidR="00D733CC">
        <w:t xml:space="preserve"> ‘lead entity’</w:t>
      </w:r>
      <w:r w:rsidR="00CC15A5">
        <w:t xml:space="preserve"> </w:t>
      </w:r>
      <w:r w:rsidR="0094267C">
        <w:t xml:space="preserve">in a </w:t>
      </w:r>
      <w:r w:rsidR="00CC15A5">
        <w:t>reporting group</w:t>
      </w:r>
      <w:r w:rsidR="00E41E6B">
        <w:t>.</w:t>
      </w:r>
      <w:r w:rsidR="00CC15A5">
        <w:t xml:space="preserve"> Every reporting group must have a lead en</w:t>
      </w:r>
      <w:r w:rsidR="00B7035E">
        <w:t>t</w:t>
      </w:r>
      <w:r w:rsidR="00CC15A5">
        <w:t>ity.</w:t>
      </w:r>
      <w:r w:rsidR="00E41E6B">
        <w:t xml:space="preserve"> </w:t>
      </w:r>
    </w:p>
    <w:p w14:paraId="741A54B8" w14:textId="07523B67" w:rsidR="00E41E6B" w:rsidRDefault="006F0987" w:rsidP="00D63DA4">
      <w:r>
        <w:t xml:space="preserve">The </w:t>
      </w:r>
      <w:r w:rsidR="79B00C20">
        <w:t>Exposure Draft Rules</w:t>
      </w:r>
      <w:r w:rsidR="47758076">
        <w:t xml:space="preserve"> provide, f</w:t>
      </w:r>
      <w:r w:rsidR="00F659D6">
        <w:t xml:space="preserve">or a </w:t>
      </w:r>
      <w:r w:rsidR="47758076">
        <w:t>reporting</w:t>
      </w:r>
      <w:r w:rsidR="00F659D6">
        <w:t xml:space="preserve"> group formed by operation of law, a </w:t>
      </w:r>
      <w:r w:rsidR="3C1FB55D">
        <w:t xml:space="preserve">business will </w:t>
      </w:r>
      <w:r w:rsidR="344ECA4B">
        <w:t>be the</w:t>
      </w:r>
      <w:r w:rsidR="3C1FB55D">
        <w:t xml:space="preserve"> ‘lead entity</w:t>
      </w:r>
      <w:r w:rsidR="17A1A17E">
        <w:t>’</w:t>
      </w:r>
      <w:r w:rsidR="3C1FB55D">
        <w:t xml:space="preserve"> if it: </w:t>
      </w:r>
    </w:p>
    <w:p w14:paraId="31310A3C" w14:textId="77777777" w:rsidR="00E41E6B" w:rsidRDefault="00E41E6B" w:rsidP="008C5668">
      <w:pPr>
        <w:pStyle w:val="ListParagraph"/>
        <w:numPr>
          <w:ilvl w:val="0"/>
          <w:numId w:val="22"/>
        </w:numPr>
        <w:ind w:left="777" w:hanging="357"/>
        <w:contextualSpacing w:val="0"/>
      </w:pPr>
      <w:r>
        <w:t>is a resident of Australia</w:t>
      </w:r>
    </w:p>
    <w:p w14:paraId="41626F25" w14:textId="77777777" w:rsidR="00E41E6B" w:rsidRDefault="00E41E6B" w:rsidP="008C5668">
      <w:pPr>
        <w:pStyle w:val="ListParagraph"/>
        <w:numPr>
          <w:ilvl w:val="0"/>
          <w:numId w:val="22"/>
        </w:numPr>
        <w:ind w:left="777" w:hanging="357"/>
        <w:contextualSpacing w:val="0"/>
      </w:pPr>
      <w:r>
        <w:t xml:space="preserve">provides a designated service, or </w:t>
      </w:r>
    </w:p>
    <w:p w14:paraId="784EC5FD" w14:textId="77777777" w:rsidR="00E41E6B" w:rsidRDefault="00E41E6B" w:rsidP="008C5668">
      <w:pPr>
        <w:pStyle w:val="ListParagraph"/>
        <w:numPr>
          <w:ilvl w:val="0"/>
          <w:numId w:val="22"/>
        </w:numPr>
        <w:ind w:left="777" w:hanging="357"/>
        <w:contextualSpacing w:val="0"/>
      </w:pPr>
      <w:r>
        <w:t xml:space="preserve">is registered under Division 2 of Part 5B.2 of the </w:t>
      </w:r>
      <w:r w:rsidRPr="00E41E6B">
        <w:rPr>
          <w:i/>
        </w:rPr>
        <w:t xml:space="preserve">Corporations Act 2001 </w:t>
      </w:r>
    </w:p>
    <w:p w14:paraId="747F5A90" w14:textId="77777777" w:rsidR="006F0987" w:rsidRDefault="00E41E6B" w:rsidP="00D63DA4">
      <w:r>
        <w:t xml:space="preserve">and it </w:t>
      </w:r>
      <w:r w:rsidR="00FF668E">
        <w:t>control</w:t>
      </w:r>
      <w:r w:rsidR="00D733CC">
        <w:t xml:space="preserve">s </w:t>
      </w:r>
      <w:r w:rsidR="00B7035E">
        <w:t>all</w:t>
      </w:r>
      <w:r>
        <w:t xml:space="preserve"> other business</w:t>
      </w:r>
      <w:r w:rsidR="00B7035E">
        <w:t>es in the group</w:t>
      </w:r>
      <w:r w:rsidR="00D733CC">
        <w:t xml:space="preserve"> that provide</w:t>
      </w:r>
      <w:r>
        <w:t xml:space="preserve"> a designated service</w:t>
      </w:r>
      <w:r w:rsidR="00D733CC">
        <w:t>.</w:t>
      </w:r>
      <w:r w:rsidR="006F0987">
        <w:rPr>
          <w:rStyle w:val="FootnoteReference"/>
        </w:rPr>
        <w:footnoteReference w:id="24"/>
      </w:r>
      <w:r w:rsidR="00D733CC">
        <w:t xml:space="preserve"> </w:t>
      </w:r>
    </w:p>
    <w:p w14:paraId="23BE1779" w14:textId="78BD956A" w:rsidR="009F256C" w:rsidRDefault="006F0987" w:rsidP="00D63DA4">
      <w:r>
        <w:t>T</w:t>
      </w:r>
      <w:r w:rsidR="2372B842">
        <w:t xml:space="preserve">he </w:t>
      </w:r>
      <w:r w:rsidR="6ECB254C">
        <w:t>Exposure Draft Rules</w:t>
      </w:r>
      <w:r>
        <w:t xml:space="preserve"> further</w:t>
      </w:r>
      <w:r w:rsidR="69D7F911">
        <w:t xml:space="preserve"> provide that, where a member of a reporting group who is not a reporting entity discharges an obligation of a member who is a reporting entity, the relevant person who discharged the obligation must have undergone appropriate due diligence checks and training</w:t>
      </w:r>
      <w:r w:rsidR="3DC296CA">
        <w:t xml:space="preserve"> that is equivalent to the due diligence and training </w:t>
      </w:r>
      <w:r w:rsidR="3ADA692F">
        <w:t xml:space="preserve">required </w:t>
      </w:r>
      <w:r w:rsidR="3DC296CA">
        <w:t>by the reporting entity’s AML/CTF policies</w:t>
      </w:r>
      <w:r w:rsidR="69D7F911">
        <w:t>.</w:t>
      </w:r>
      <w:r>
        <w:rPr>
          <w:rStyle w:val="FootnoteReference"/>
        </w:rPr>
        <w:footnoteReference w:id="25"/>
      </w:r>
      <w:r w:rsidR="69D7F911">
        <w:t xml:space="preserve"> This </w:t>
      </w:r>
      <w:r w:rsidR="4E176C45">
        <w:t>ensures that</w:t>
      </w:r>
      <w:r w:rsidR="69D7F911">
        <w:t xml:space="preserve"> unqualified or inappropriate people in reporting groups </w:t>
      </w:r>
      <w:r w:rsidR="4E176C45">
        <w:t>are not task</w:t>
      </w:r>
      <w:r w:rsidR="00782A6F">
        <w:t>ed</w:t>
      </w:r>
      <w:r w:rsidR="4E176C45">
        <w:t xml:space="preserve"> with </w:t>
      </w:r>
      <w:r w:rsidR="69D7F911">
        <w:t>discharging AML/CTF obligations.</w:t>
      </w:r>
    </w:p>
    <w:p w14:paraId="4E9749FC" w14:textId="77777777" w:rsidR="00441946" w:rsidRDefault="69D7F911" w:rsidP="00B34CAA">
      <w:pPr>
        <w:pStyle w:val="Heading2"/>
      </w:pPr>
      <w:bookmarkStart w:id="34" w:name="_Toc181186840"/>
      <w:bookmarkStart w:id="35" w:name="_Toc184666443"/>
      <w:r>
        <w:t>Customer due d</w:t>
      </w:r>
      <w:r w:rsidR="35A22F33">
        <w:t>iligence</w:t>
      </w:r>
      <w:bookmarkEnd w:id="34"/>
      <w:bookmarkEnd w:id="35"/>
      <w:r w:rsidR="35A22F33">
        <w:t xml:space="preserve"> </w:t>
      </w:r>
    </w:p>
    <w:p w14:paraId="1CFE2366" w14:textId="10FE5B2E" w:rsidR="00F13B0D" w:rsidRPr="00ED0D1D" w:rsidRDefault="3FA039D0" w:rsidP="24363412">
      <w:r>
        <w:t>The new Part 2 of the</w:t>
      </w:r>
      <w:r w:rsidR="4552BA20">
        <w:t xml:space="preserve"> </w:t>
      </w:r>
      <w:r w:rsidR="21397202">
        <w:t>Amended AML/CTF Act</w:t>
      </w:r>
      <w:r w:rsidR="425B645A">
        <w:t xml:space="preserve"> </w:t>
      </w:r>
      <w:r w:rsidR="17A1A17E">
        <w:t>will establish</w:t>
      </w:r>
      <w:r w:rsidR="69D7F911">
        <w:t xml:space="preserve"> the initial customer due dil</w:t>
      </w:r>
      <w:r w:rsidR="751B37F9">
        <w:t xml:space="preserve">igence (initial CDD) obligation, which </w:t>
      </w:r>
      <w:r w:rsidR="69D7F911">
        <w:t>replace</w:t>
      </w:r>
      <w:r w:rsidR="751B37F9">
        <w:t>s</w:t>
      </w:r>
      <w:r w:rsidR="69D7F911">
        <w:t xml:space="preserve"> the concept of ‘Applicable Custo</w:t>
      </w:r>
      <w:r w:rsidR="751B37F9">
        <w:t xml:space="preserve">mer Identification Procedures’, and </w:t>
      </w:r>
      <w:r>
        <w:t xml:space="preserve">continues the concept of ongoing customer due diligence (ongoing CDD). </w:t>
      </w:r>
    </w:p>
    <w:p w14:paraId="5CA0CFED" w14:textId="5F5BF178" w:rsidR="00D63DA4" w:rsidRPr="00ED0D1D" w:rsidRDefault="024A7593" w:rsidP="24363412">
      <w:r>
        <w:t xml:space="preserve">Part </w:t>
      </w:r>
      <w:r w:rsidR="69D7F911">
        <w:t>2</w:t>
      </w:r>
      <w:r w:rsidR="4552BA20">
        <w:t xml:space="preserve"> of the </w:t>
      </w:r>
      <w:r w:rsidR="21397202">
        <w:t>Amended AML/CTF Act</w:t>
      </w:r>
      <w:r>
        <w:t xml:space="preserve"> </w:t>
      </w:r>
      <w:r w:rsidR="17A1A17E">
        <w:t>also</w:t>
      </w:r>
      <w:r w:rsidR="69D7F911">
        <w:t xml:space="preserve"> </w:t>
      </w:r>
      <w:r w:rsidR="17A1A17E">
        <w:t>set</w:t>
      </w:r>
      <w:r w:rsidR="1A3FED6E">
        <w:t>s</w:t>
      </w:r>
      <w:r w:rsidR="3FA039D0">
        <w:t xml:space="preserve"> out</w:t>
      </w:r>
      <w:r w:rsidR="69D7F911">
        <w:t xml:space="preserve">: </w:t>
      </w:r>
    </w:p>
    <w:p w14:paraId="2055A911" w14:textId="77777777" w:rsidR="003820A8" w:rsidRPr="00ED0D1D" w:rsidRDefault="69D7F911" w:rsidP="24363412">
      <w:pPr>
        <w:pStyle w:val="ListParagraph"/>
        <w:numPr>
          <w:ilvl w:val="0"/>
          <w:numId w:val="22"/>
        </w:numPr>
        <w:ind w:left="777" w:hanging="357"/>
        <w:contextualSpacing w:val="0"/>
      </w:pPr>
      <w:r>
        <w:t xml:space="preserve">the outcomes that initial CDD </w:t>
      </w:r>
      <w:r w:rsidR="024A7593">
        <w:t xml:space="preserve">and ongoing CDD </w:t>
      </w:r>
      <w:r>
        <w:t>must achieve</w:t>
      </w:r>
      <w:r w:rsidR="3FA039D0">
        <w:t xml:space="preserve"> </w:t>
      </w:r>
    </w:p>
    <w:p w14:paraId="1143AF38" w14:textId="77777777" w:rsidR="00D63DA4" w:rsidRPr="00ED0D1D" w:rsidRDefault="3FA039D0" w:rsidP="24363412">
      <w:pPr>
        <w:pStyle w:val="ListParagraph"/>
        <w:numPr>
          <w:ilvl w:val="0"/>
          <w:numId w:val="22"/>
        </w:numPr>
        <w:ind w:left="777" w:hanging="357"/>
        <w:contextualSpacing w:val="0"/>
      </w:pPr>
      <w:r>
        <w:t>requirements for delayed customer due diligence (e.g. verifying information about the customer after commencing to provide a service)</w:t>
      </w:r>
      <w:r w:rsidR="69D7F911">
        <w:t xml:space="preserve">, and </w:t>
      </w:r>
    </w:p>
    <w:p w14:paraId="6CA5BA1A" w14:textId="77777777" w:rsidR="00D63DA4" w:rsidRPr="00ED0D1D" w:rsidRDefault="69D7F911" w:rsidP="24363412">
      <w:pPr>
        <w:pStyle w:val="ListParagraph"/>
        <w:numPr>
          <w:ilvl w:val="0"/>
          <w:numId w:val="22"/>
        </w:numPr>
        <w:ind w:left="777" w:hanging="357"/>
        <w:contextualSpacing w:val="0"/>
      </w:pPr>
      <w:r>
        <w:t xml:space="preserve">reliance provisions. </w:t>
      </w:r>
    </w:p>
    <w:p w14:paraId="2CE17194" w14:textId="073DF912" w:rsidR="00D63DA4" w:rsidRPr="00ED0D1D" w:rsidRDefault="69D7F911" w:rsidP="24363412">
      <w:r>
        <w:t xml:space="preserve">Part </w:t>
      </w:r>
      <w:r w:rsidR="7CD124C9">
        <w:t xml:space="preserve">5 </w:t>
      </w:r>
      <w:r>
        <w:t xml:space="preserve">of the </w:t>
      </w:r>
      <w:r w:rsidR="6ECB254C">
        <w:t>Exposure Draft Rules</w:t>
      </w:r>
      <w:r w:rsidR="3FA039D0">
        <w:t xml:space="preserve"> </w:t>
      </w:r>
      <w:r>
        <w:t xml:space="preserve">outline general requirements for initial </w:t>
      </w:r>
      <w:r w:rsidR="0AE42E01">
        <w:t xml:space="preserve">and ongoing </w:t>
      </w:r>
      <w:r>
        <w:t>CDD, including:</w:t>
      </w:r>
    </w:p>
    <w:p w14:paraId="5FCF179A" w14:textId="1343D4AE" w:rsidR="00D63DA4" w:rsidRPr="00ED0D1D" w:rsidRDefault="69D7F911" w:rsidP="24363412">
      <w:pPr>
        <w:pStyle w:val="ListParagraph"/>
        <w:numPr>
          <w:ilvl w:val="0"/>
          <w:numId w:val="22"/>
        </w:numPr>
        <w:ind w:left="777" w:hanging="357"/>
        <w:contextualSpacing w:val="0"/>
      </w:pPr>
      <w:r>
        <w:t xml:space="preserve">requirements for </w:t>
      </w:r>
      <w:r w:rsidR="3FA039D0">
        <w:t xml:space="preserve">standard </w:t>
      </w:r>
      <w:r>
        <w:t xml:space="preserve">initial CDD </w:t>
      </w:r>
      <w:r w:rsidR="3FA039D0">
        <w:t xml:space="preserve">for </w:t>
      </w:r>
      <w:r>
        <w:t xml:space="preserve">particular </w:t>
      </w:r>
      <w:r w:rsidR="3FA039D0">
        <w:t>kinds of customers</w:t>
      </w:r>
      <w:r>
        <w:t xml:space="preserve"> where services are provided through an Australian permanent establishment</w:t>
      </w:r>
      <w:r w:rsidR="006F0987">
        <w:rPr>
          <w:rStyle w:val="FootnoteReference"/>
        </w:rPr>
        <w:footnoteReference w:id="26"/>
      </w:r>
    </w:p>
    <w:p w14:paraId="26C94ACF" w14:textId="0308AC26" w:rsidR="00D63DA4" w:rsidRPr="00ED0D1D" w:rsidRDefault="69D7F911" w:rsidP="24363412">
      <w:pPr>
        <w:pStyle w:val="ListParagraph"/>
        <w:numPr>
          <w:ilvl w:val="0"/>
          <w:numId w:val="22"/>
        </w:numPr>
        <w:ind w:left="777" w:hanging="357"/>
        <w:contextualSpacing w:val="0"/>
      </w:pPr>
      <w:r>
        <w:lastRenderedPageBreak/>
        <w:t>circumstances where delayed verification is permissible</w:t>
      </w:r>
      <w:r w:rsidR="006F0987">
        <w:rPr>
          <w:rStyle w:val="FootnoteReference"/>
        </w:rPr>
        <w:footnoteReference w:id="27"/>
      </w:r>
    </w:p>
    <w:p w14:paraId="1347B534" w14:textId="051E0CD4" w:rsidR="00D63DA4" w:rsidRPr="00ED0D1D" w:rsidRDefault="69D7F911" w:rsidP="24363412">
      <w:pPr>
        <w:pStyle w:val="ListParagraph"/>
        <w:numPr>
          <w:ilvl w:val="0"/>
          <w:numId w:val="22"/>
        </w:numPr>
        <w:ind w:left="777" w:hanging="357"/>
        <w:contextualSpacing w:val="0"/>
      </w:pPr>
      <w:r>
        <w:t>circumstances where alternative verification is permissible</w:t>
      </w:r>
      <w:r w:rsidR="006F0987">
        <w:rPr>
          <w:rStyle w:val="FootnoteReference"/>
        </w:rPr>
        <w:footnoteReference w:id="28"/>
      </w:r>
    </w:p>
    <w:p w14:paraId="40FF42BD" w14:textId="25E10A52" w:rsidR="00D63DA4" w:rsidRPr="00ED0D1D" w:rsidRDefault="3FA039D0" w:rsidP="24363412">
      <w:pPr>
        <w:pStyle w:val="ListParagraph"/>
        <w:numPr>
          <w:ilvl w:val="0"/>
          <w:numId w:val="22"/>
        </w:numPr>
        <w:ind w:left="777" w:hanging="357"/>
        <w:contextualSpacing w:val="0"/>
      </w:pPr>
      <w:r>
        <w:t xml:space="preserve">specific </w:t>
      </w:r>
      <w:r w:rsidR="69D7F911">
        <w:t>enhanced CDD requirements for foreign PEPs, high-risk domestic and international organisation PEPs,</w:t>
      </w:r>
      <w:r w:rsidR="006F0987">
        <w:rPr>
          <w:rStyle w:val="FootnoteReference"/>
        </w:rPr>
        <w:footnoteReference w:id="29"/>
      </w:r>
      <w:r w:rsidR="69D7F911">
        <w:t xml:space="preserve"> and designated services provided as part of nested services relationships</w:t>
      </w:r>
      <w:r w:rsidR="001E153C">
        <w:rPr>
          <w:rStyle w:val="FootnoteReference"/>
        </w:rPr>
        <w:footnoteReference w:id="30"/>
      </w:r>
      <w:r>
        <w:t>, consistent with international standards</w:t>
      </w:r>
      <w:r w:rsidR="69D7F911">
        <w:t>.</w:t>
      </w:r>
    </w:p>
    <w:p w14:paraId="6BC47773" w14:textId="1C89DA45" w:rsidR="3F394500" w:rsidRDefault="311D2D4B" w:rsidP="24363412">
      <w:pPr>
        <w:rPr>
          <w:rFonts w:eastAsia="Calibri" w:cs="Calibri"/>
          <w:szCs w:val="24"/>
        </w:rPr>
      </w:pPr>
      <w:r w:rsidRPr="24363412">
        <w:rPr>
          <w:rFonts w:eastAsia="Calibri" w:cs="Calibri"/>
          <w:szCs w:val="24"/>
        </w:rPr>
        <w:t>Rules relating to standard initial CDD generally set out specific requirements for establishing aspects of a customer’s identity and due diligence for related persons such as beneficial owners.</w:t>
      </w:r>
      <w:r w:rsidR="006F0987">
        <w:rPr>
          <w:rStyle w:val="FootnoteReference"/>
          <w:rFonts w:eastAsia="Calibri" w:cs="Calibri"/>
          <w:szCs w:val="24"/>
        </w:rPr>
        <w:footnoteReference w:id="31"/>
      </w:r>
      <w:r w:rsidRPr="24363412">
        <w:rPr>
          <w:rFonts w:eastAsia="Calibri" w:cs="Calibri"/>
          <w:szCs w:val="24"/>
        </w:rPr>
        <w:t xml:space="preserve"> These rules are supplementary to section 28 of the </w:t>
      </w:r>
      <w:r w:rsidR="21397202" w:rsidRPr="24363412">
        <w:rPr>
          <w:rFonts w:eastAsia="Calibri" w:cs="Calibri"/>
          <w:szCs w:val="24"/>
        </w:rPr>
        <w:t>Amended AML/CTF Act</w:t>
      </w:r>
      <w:r w:rsidRPr="24363412">
        <w:rPr>
          <w:rFonts w:eastAsia="Calibri" w:cs="Calibri"/>
          <w:szCs w:val="24"/>
        </w:rPr>
        <w:t xml:space="preserve"> and should be read together with that section.</w:t>
      </w:r>
    </w:p>
    <w:p w14:paraId="3800C63B" w14:textId="654BA7FB" w:rsidR="4EAFF5EE" w:rsidRDefault="4EAFF5EE">
      <w:r>
        <w:t xml:space="preserve">The </w:t>
      </w:r>
      <w:r w:rsidR="66C7CCC1">
        <w:t>Exposure Draft Rules</w:t>
      </w:r>
      <w:r>
        <w:t xml:space="preserve"> ha</w:t>
      </w:r>
      <w:r w:rsidR="0016791F">
        <w:t>ve</w:t>
      </w:r>
      <w:r>
        <w:t xml:space="preserve"> been designed to maximise flexibility, allowing reporting entities to collect and verify information about the customer in a way that is appropriate to their ML/TF risk while achieving the outcomes that will be set in the </w:t>
      </w:r>
      <w:r w:rsidR="21397202">
        <w:t>Amended AML/CTF Act</w:t>
      </w:r>
      <w:r>
        <w:t>.</w:t>
      </w:r>
    </w:p>
    <w:p w14:paraId="2D68A50F" w14:textId="15AAB8E6" w:rsidR="3475D143" w:rsidRPr="008702B5" w:rsidRDefault="12EE21EB" w:rsidP="008702B5">
      <w:pPr>
        <w:pStyle w:val="Heading3"/>
      </w:pPr>
      <w:bookmarkStart w:id="36" w:name="_Toc184666444"/>
      <w:r w:rsidRPr="24363412">
        <w:t>C</w:t>
      </w:r>
      <w:r w:rsidR="1E41F073" w:rsidRPr="24363412">
        <w:t>DD</w:t>
      </w:r>
      <w:r w:rsidRPr="24363412">
        <w:t xml:space="preserve"> </w:t>
      </w:r>
      <w:r w:rsidR="273D336E" w:rsidRPr="24363412">
        <w:t>when providing services to</w:t>
      </w:r>
      <w:r w:rsidRPr="24363412">
        <w:t xml:space="preserve"> individuals</w:t>
      </w:r>
      <w:bookmarkEnd w:id="36"/>
    </w:p>
    <w:p w14:paraId="68E27D92" w14:textId="77777777" w:rsidR="00782A6F" w:rsidRDefault="311D2D4B" w:rsidP="24363412">
      <w:pPr>
        <w:rPr>
          <w:rFonts w:eastAsia="Calibri" w:cs="Calibri"/>
          <w:szCs w:val="24"/>
        </w:rPr>
      </w:pPr>
      <w:r w:rsidRPr="24363412">
        <w:rPr>
          <w:rFonts w:eastAsia="Calibri" w:cs="Calibri"/>
          <w:szCs w:val="24"/>
        </w:rPr>
        <w:t xml:space="preserve">There are no proposed </w:t>
      </w:r>
      <w:r w:rsidR="006F0987">
        <w:rPr>
          <w:rFonts w:eastAsia="Calibri" w:cs="Calibri"/>
          <w:szCs w:val="24"/>
        </w:rPr>
        <w:t xml:space="preserve">generally applicable </w:t>
      </w:r>
      <w:r w:rsidRPr="24363412">
        <w:rPr>
          <w:rFonts w:eastAsia="Calibri" w:cs="Calibri"/>
          <w:szCs w:val="24"/>
        </w:rPr>
        <w:t xml:space="preserve">rules related to individual customers receiving designated services in a personal capacity. </w:t>
      </w:r>
    </w:p>
    <w:p w14:paraId="0EAD2E7B" w14:textId="33C62942" w:rsidR="3F394500" w:rsidRDefault="311D2D4B" w:rsidP="24363412">
      <w:pPr>
        <w:rPr>
          <w:rFonts w:eastAsia="Calibri" w:cs="Calibri"/>
          <w:szCs w:val="24"/>
        </w:rPr>
      </w:pPr>
      <w:r w:rsidRPr="24363412">
        <w:rPr>
          <w:rFonts w:eastAsia="Calibri" w:cs="Calibri"/>
          <w:szCs w:val="24"/>
        </w:rPr>
        <w:t xml:space="preserve">Collection and verification of information about the customer should be </w:t>
      </w:r>
      <w:r w:rsidR="00782A6F">
        <w:rPr>
          <w:rFonts w:eastAsia="Calibri" w:cs="Calibri"/>
          <w:szCs w:val="24"/>
        </w:rPr>
        <w:t>completed</w:t>
      </w:r>
      <w:r w:rsidR="00782A6F" w:rsidRPr="24363412">
        <w:rPr>
          <w:rFonts w:eastAsia="Calibri" w:cs="Calibri"/>
          <w:szCs w:val="24"/>
        </w:rPr>
        <w:t xml:space="preserve"> </w:t>
      </w:r>
      <w:r w:rsidRPr="24363412">
        <w:rPr>
          <w:rFonts w:eastAsia="Calibri" w:cs="Calibri"/>
          <w:szCs w:val="24"/>
        </w:rPr>
        <w:t>in accordance with section 28</w:t>
      </w:r>
      <w:r w:rsidR="76B5396E" w:rsidRPr="24363412">
        <w:rPr>
          <w:rFonts w:eastAsia="Calibri" w:cs="Calibri"/>
          <w:szCs w:val="24"/>
        </w:rPr>
        <w:t xml:space="preserve"> in the</w:t>
      </w:r>
      <w:r w:rsidR="1976D5E9" w:rsidRPr="24363412">
        <w:rPr>
          <w:rFonts w:eastAsia="Calibri" w:cs="Calibri"/>
          <w:szCs w:val="24"/>
        </w:rPr>
        <w:t xml:space="preserve"> </w:t>
      </w:r>
      <w:r w:rsidR="21397202" w:rsidRPr="24363412">
        <w:rPr>
          <w:rFonts w:eastAsia="Calibri" w:cs="Calibri"/>
          <w:szCs w:val="24"/>
        </w:rPr>
        <w:t>Amended AML/CTF Act</w:t>
      </w:r>
      <w:r w:rsidRPr="24363412">
        <w:rPr>
          <w:rFonts w:eastAsia="Calibri" w:cs="Calibri"/>
          <w:szCs w:val="24"/>
        </w:rPr>
        <w:t>, i.e. both collection and verification of information should be appropriate to ML/TF risk to achieve the outcome of ‘establishing on reasonable grounds’ the various matters required under subsection 28(2).</w:t>
      </w:r>
      <w:r w:rsidR="3000079D" w:rsidRPr="24363412">
        <w:rPr>
          <w:rFonts w:eastAsia="Calibri" w:cs="Calibri"/>
          <w:szCs w:val="24"/>
        </w:rPr>
        <w:t xml:space="preserve"> Guidance will elaborate on examples of initial customer due diligence for individuals to assist reporting entities, particularly smaller businesses, in designing </w:t>
      </w:r>
      <w:r w:rsidR="3DD638CE" w:rsidRPr="24363412">
        <w:rPr>
          <w:rFonts w:eastAsia="Calibri" w:cs="Calibri"/>
          <w:szCs w:val="24"/>
        </w:rPr>
        <w:t>policies related to CDD for their AML/CTF programs.</w:t>
      </w:r>
    </w:p>
    <w:p w14:paraId="1C79A481" w14:textId="39CCDF8E" w:rsidR="3F394500" w:rsidRDefault="311D2D4B" w:rsidP="24363412">
      <w:pPr>
        <w:rPr>
          <w:rFonts w:eastAsia="Calibri" w:cs="Calibri"/>
          <w:szCs w:val="24"/>
        </w:rPr>
      </w:pPr>
      <w:r w:rsidRPr="24363412">
        <w:rPr>
          <w:rFonts w:eastAsia="Calibri" w:cs="Calibri"/>
          <w:szCs w:val="24"/>
        </w:rPr>
        <w:t xml:space="preserve">This provides businesses with wide discretion in how to carry out initial customer due diligence in relation to individual customers, and reduces the possibility of conflicts with other applicable customer due diligence or verification of identity requirements under applicable regulations or standards. For example, a lawyer or conveyancer who verifies a customer’s identity in accordance with ARNECC verification of identity standard may continue to do so. However, </w:t>
      </w:r>
      <w:r w:rsidR="376B482F" w:rsidRPr="24363412">
        <w:rPr>
          <w:rFonts w:eastAsia="Calibri" w:cs="Calibri"/>
          <w:szCs w:val="24"/>
        </w:rPr>
        <w:t xml:space="preserve">where existing process are followed, </w:t>
      </w:r>
      <w:r w:rsidRPr="24363412">
        <w:rPr>
          <w:rFonts w:eastAsia="Calibri" w:cs="Calibri"/>
          <w:szCs w:val="24"/>
        </w:rPr>
        <w:t xml:space="preserve">supplementary steps may be required to meet the </w:t>
      </w:r>
      <w:r w:rsidR="006F0987">
        <w:rPr>
          <w:rFonts w:eastAsia="Calibri" w:cs="Calibri"/>
          <w:szCs w:val="24"/>
        </w:rPr>
        <w:t xml:space="preserve">full </w:t>
      </w:r>
      <w:r w:rsidRPr="24363412">
        <w:rPr>
          <w:rFonts w:eastAsia="Calibri" w:cs="Calibri"/>
          <w:szCs w:val="24"/>
        </w:rPr>
        <w:t xml:space="preserve">requirements of section 28, e.g. undertaking enhanced customer due diligence where the ML/TF risk of the customer is high, establishing whether the customer is a </w:t>
      </w:r>
      <w:r w:rsidR="03074445" w:rsidRPr="24363412">
        <w:rPr>
          <w:rFonts w:eastAsia="Calibri" w:cs="Calibri"/>
          <w:szCs w:val="24"/>
        </w:rPr>
        <w:t>PEP</w:t>
      </w:r>
      <w:r w:rsidRPr="24363412">
        <w:rPr>
          <w:rFonts w:eastAsia="Calibri" w:cs="Calibri"/>
          <w:szCs w:val="24"/>
        </w:rPr>
        <w:t xml:space="preserve"> or listed for targeted financial sanctions, etc.</w:t>
      </w:r>
    </w:p>
    <w:p w14:paraId="3E0D11C0" w14:textId="2368EEED" w:rsidR="00644048" w:rsidRDefault="00F96633" w:rsidP="24363412">
      <w:pPr>
        <w:rPr>
          <w:rFonts w:eastAsia="Calibri" w:cs="Calibri"/>
          <w:szCs w:val="24"/>
        </w:rPr>
      </w:pPr>
      <w:r>
        <w:rPr>
          <w:rFonts w:eastAsia="Calibri" w:cs="Calibri"/>
          <w:szCs w:val="24"/>
        </w:rPr>
        <w:lastRenderedPageBreak/>
        <w:t xml:space="preserve">The Exposure Draft Rules require some specific </w:t>
      </w:r>
      <w:r w:rsidR="00644048">
        <w:rPr>
          <w:rFonts w:eastAsia="Calibri" w:cs="Calibri"/>
          <w:szCs w:val="24"/>
        </w:rPr>
        <w:t>‘know your customer’ (</w:t>
      </w:r>
      <w:r>
        <w:rPr>
          <w:rFonts w:eastAsia="Calibri" w:cs="Calibri"/>
          <w:szCs w:val="24"/>
        </w:rPr>
        <w:t>KYC</w:t>
      </w:r>
      <w:r w:rsidR="00644048">
        <w:rPr>
          <w:rFonts w:eastAsia="Calibri" w:cs="Calibri"/>
          <w:szCs w:val="24"/>
        </w:rPr>
        <w:t>)</w:t>
      </w:r>
      <w:r>
        <w:rPr>
          <w:rFonts w:eastAsia="Calibri" w:cs="Calibri"/>
          <w:szCs w:val="24"/>
        </w:rPr>
        <w:t xml:space="preserve"> information to be collected and verified where</w:t>
      </w:r>
    </w:p>
    <w:p w14:paraId="268BB0C8" w14:textId="62F50F89" w:rsidR="00644048" w:rsidRDefault="00F96633" w:rsidP="00C700C4">
      <w:pPr>
        <w:pStyle w:val="ListParagraph"/>
        <w:numPr>
          <w:ilvl w:val="0"/>
          <w:numId w:val="34"/>
        </w:numPr>
        <w:ind w:left="771" w:hanging="357"/>
        <w:contextualSpacing w:val="0"/>
        <w:rPr>
          <w:rFonts w:eastAsia="Calibri" w:cs="Calibri"/>
          <w:szCs w:val="24"/>
        </w:rPr>
      </w:pPr>
      <w:r w:rsidRPr="00644048">
        <w:rPr>
          <w:rFonts w:eastAsia="Calibri" w:cs="Calibri"/>
          <w:szCs w:val="24"/>
        </w:rPr>
        <w:t>the customer is an individual</w:t>
      </w:r>
    </w:p>
    <w:p w14:paraId="5707A310" w14:textId="39B14820" w:rsidR="00644048" w:rsidRDefault="00F96633" w:rsidP="00C700C4">
      <w:pPr>
        <w:pStyle w:val="ListParagraph"/>
        <w:numPr>
          <w:ilvl w:val="0"/>
          <w:numId w:val="34"/>
        </w:numPr>
        <w:ind w:left="771" w:hanging="357"/>
        <w:contextualSpacing w:val="0"/>
        <w:rPr>
          <w:rFonts w:eastAsia="Calibri" w:cs="Calibri"/>
          <w:szCs w:val="24"/>
        </w:rPr>
      </w:pPr>
      <w:r w:rsidRPr="00644048">
        <w:rPr>
          <w:rFonts w:eastAsia="Calibri" w:cs="Calibri"/>
          <w:szCs w:val="24"/>
        </w:rPr>
        <w:t xml:space="preserve">the designated service they receive or propose to receive is in Australia and </w:t>
      </w:r>
    </w:p>
    <w:p w14:paraId="264B8539" w14:textId="2D5AC546" w:rsidR="00644048" w:rsidRPr="00644048" w:rsidRDefault="00644048" w:rsidP="00C700C4">
      <w:pPr>
        <w:pStyle w:val="ListParagraph"/>
        <w:numPr>
          <w:ilvl w:val="0"/>
          <w:numId w:val="34"/>
        </w:numPr>
        <w:ind w:left="771" w:hanging="357"/>
        <w:contextualSpacing w:val="0"/>
        <w:rPr>
          <w:rFonts w:eastAsia="Calibri" w:cs="Calibri"/>
          <w:szCs w:val="24"/>
        </w:rPr>
      </w:pPr>
      <w:r>
        <w:rPr>
          <w:rFonts w:eastAsia="Calibri" w:cs="Calibri"/>
          <w:szCs w:val="24"/>
        </w:rPr>
        <w:t xml:space="preserve">the designated service </w:t>
      </w:r>
      <w:r w:rsidR="00F96633" w:rsidRPr="00644048">
        <w:rPr>
          <w:rFonts w:eastAsia="Calibri" w:cs="Calibri"/>
          <w:szCs w:val="24"/>
        </w:rPr>
        <w:t>is an account</w:t>
      </w:r>
      <w:r>
        <w:rPr>
          <w:rFonts w:eastAsia="Calibri" w:cs="Calibri"/>
          <w:szCs w:val="24"/>
        </w:rPr>
        <w:t>-</w:t>
      </w:r>
      <w:r w:rsidR="00F96633" w:rsidRPr="00644048">
        <w:rPr>
          <w:rFonts w:eastAsia="Calibri" w:cs="Calibri"/>
          <w:szCs w:val="24"/>
        </w:rPr>
        <w:t>based or transfer of value designated service.</w:t>
      </w:r>
      <w:r w:rsidR="00F96633">
        <w:rPr>
          <w:rStyle w:val="FootnoteReference"/>
          <w:rFonts w:eastAsia="Calibri" w:cs="Calibri"/>
          <w:szCs w:val="24"/>
        </w:rPr>
        <w:footnoteReference w:id="32"/>
      </w:r>
      <w:r w:rsidR="00F96633" w:rsidRPr="00644048">
        <w:rPr>
          <w:rFonts w:eastAsia="Calibri" w:cs="Calibri"/>
          <w:szCs w:val="24"/>
        </w:rPr>
        <w:t xml:space="preserve"> </w:t>
      </w:r>
    </w:p>
    <w:p w14:paraId="03A91F69" w14:textId="2DDA7248" w:rsidR="00F96633" w:rsidRDefault="00F96633" w:rsidP="24363412">
      <w:pPr>
        <w:rPr>
          <w:rFonts w:eastAsia="Calibri" w:cs="Calibri"/>
          <w:szCs w:val="24"/>
        </w:rPr>
      </w:pPr>
      <w:r>
        <w:rPr>
          <w:rFonts w:eastAsia="Calibri" w:cs="Calibri"/>
          <w:szCs w:val="24"/>
        </w:rPr>
        <w:t>In these instances, a reporting entity must collect and verify the individual’s date and place of birth. This is to assist with the reporting entity meeting travel rule obligations, and to enhance intelligence value when reports are given to AUSTRAC regarding these services.</w:t>
      </w:r>
    </w:p>
    <w:p w14:paraId="74BA9208" w14:textId="309BD015" w:rsidR="54A1711E" w:rsidRPr="008702B5" w:rsidRDefault="053AE9B3" w:rsidP="008702B5">
      <w:pPr>
        <w:pStyle w:val="Heading3"/>
      </w:pPr>
      <w:bookmarkStart w:id="37" w:name="_Toc184666445"/>
      <w:r w:rsidRPr="24363412">
        <w:t>C</w:t>
      </w:r>
      <w:r w:rsidR="3F2F54CF" w:rsidRPr="24363412">
        <w:t>DD</w:t>
      </w:r>
      <w:r w:rsidRPr="24363412">
        <w:t xml:space="preserve"> </w:t>
      </w:r>
      <w:r w:rsidR="3EA38E19" w:rsidRPr="24363412">
        <w:t>when providing services to</w:t>
      </w:r>
      <w:r w:rsidRPr="24363412">
        <w:t xml:space="preserve"> businesses, bodies corporate, trusts etc.</w:t>
      </w:r>
      <w:bookmarkEnd w:id="37"/>
    </w:p>
    <w:p w14:paraId="0740AEC1" w14:textId="4B2687DA" w:rsidR="3F394500" w:rsidRDefault="311D2D4B" w:rsidP="24363412">
      <w:pPr>
        <w:rPr>
          <w:rFonts w:eastAsia="Calibri" w:cs="Calibri"/>
          <w:szCs w:val="24"/>
        </w:rPr>
      </w:pPr>
      <w:r w:rsidRPr="24363412">
        <w:rPr>
          <w:rFonts w:eastAsia="Calibri" w:cs="Calibri"/>
          <w:szCs w:val="24"/>
        </w:rPr>
        <w:t>For non-individual customers and customers that are sole traders, the rules set out specific requirements that elaborate on the requirements in section 28</w:t>
      </w:r>
      <w:r w:rsidR="00644048">
        <w:rPr>
          <w:rFonts w:eastAsia="Calibri" w:cs="Calibri"/>
          <w:szCs w:val="24"/>
        </w:rPr>
        <w:t xml:space="preserve"> of the Amended AML/CTF Act</w:t>
      </w:r>
      <w:r w:rsidRPr="24363412">
        <w:rPr>
          <w:rFonts w:eastAsia="Calibri" w:cs="Calibri"/>
          <w:szCs w:val="24"/>
        </w:rPr>
        <w:t>, that is:</w:t>
      </w:r>
    </w:p>
    <w:p w14:paraId="3BCC6BB1" w14:textId="40A9225B" w:rsidR="3F394500" w:rsidRDefault="311D2D4B" w:rsidP="006A0A32">
      <w:pPr>
        <w:pStyle w:val="ListParagraph"/>
        <w:numPr>
          <w:ilvl w:val="0"/>
          <w:numId w:val="18"/>
        </w:numPr>
        <w:ind w:left="714" w:hanging="357"/>
        <w:contextualSpacing w:val="0"/>
        <w:rPr>
          <w:rFonts w:eastAsia="Calibri" w:cs="Calibri"/>
          <w:szCs w:val="24"/>
        </w:rPr>
      </w:pPr>
      <w:r w:rsidRPr="24363412">
        <w:rPr>
          <w:rFonts w:eastAsia="Calibri" w:cs="Calibri"/>
          <w:szCs w:val="24"/>
        </w:rPr>
        <w:t>information that must be collected</w:t>
      </w:r>
      <w:r w:rsidR="00F05DE5">
        <w:rPr>
          <w:rFonts w:eastAsia="Calibri" w:cs="Calibri"/>
          <w:szCs w:val="24"/>
        </w:rPr>
        <w:t xml:space="preserve"> and verified</w:t>
      </w:r>
      <w:r w:rsidRPr="24363412">
        <w:rPr>
          <w:rFonts w:eastAsia="Calibri" w:cs="Calibri"/>
          <w:szCs w:val="24"/>
        </w:rPr>
        <w:t xml:space="preserve"> about customers th</w:t>
      </w:r>
      <w:r w:rsidR="00F05DE5">
        <w:rPr>
          <w:rFonts w:eastAsia="Calibri" w:cs="Calibri"/>
          <w:szCs w:val="24"/>
        </w:rPr>
        <w:t>at are businesses</w:t>
      </w:r>
      <w:r w:rsidR="00782A6F">
        <w:rPr>
          <w:rFonts w:eastAsia="Calibri" w:cs="Calibri"/>
          <w:szCs w:val="24"/>
        </w:rPr>
        <w:t xml:space="preserve"> </w:t>
      </w:r>
      <w:r w:rsidR="00782A6F" w:rsidRPr="24363412">
        <w:rPr>
          <w:rFonts w:eastAsia="Calibri" w:cs="Calibri"/>
          <w:szCs w:val="24"/>
        </w:rPr>
        <w:t>—</w:t>
      </w:r>
      <w:r w:rsidR="00782A6F">
        <w:rPr>
          <w:rFonts w:eastAsia="Calibri" w:cs="Calibri"/>
          <w:szCs w:val="24"/>
        </w:rPr>
        <w:t xml:space="preserve"> including the customer’s</w:t>
      </w:r>
      <w:r w:rsidRPr="24363412">
        <w:rPr>
          <w:rFonts w:eastAsia="Calibri" w:cs="Calibri"/>
          <w:szCs w:val="24"/>
        </w:rPr>
        <w:t xml:space="preserve"> trading name, relevant identity numbers issued by a government body, address of the customer’s registered office, address of the customer’s principal place of operations</w:t>
      </w:r>
      <w:r w:rsidR="00F05DE5">
        <w:rPr>
          <w:rFonts w:eastAsia="Calibri" w:cs="Calibri"/>
          <w:szCs w:val="24"/>
        </w:rPr>
        <w:t>.</w:t>
      </w:r>
      <w:r w:rsidR="00F05DE5">
        <w:rPr>
          <w:rStyle w:val="FootnoteReference"/>
          <w:rFonts w:eastAsia="Calibri" w:cs="Calibri"/>
          <w:szCs w:val="24"/>
        </w:rPr>
        <w:footnoteReference w:id="33"/>
      </w:r>
      <w:r w:rsidR="00F05DE5">
        <w:rPr>
          <w:rFonts w:eastAsia="Calibri" w:cs="Calibri"/>
          <w:szCs w:val="24"/>
        </w:rPr>
        <w:t xml:space="preserve"> </w:t>
      </w:r>
      <w:r w:rsidR="00782A6F">
        <w:rPr>
          <w:rFonts w:eastAsia="Calibri" w:cs="Calibri"/>
          <w:szCs w:val="24"/>
        </w:rPr>
        <w:t>Information on t</w:t>
      </w:r>
      <w:r w:rsidR="00F05DE5">
        <w:rPr>
          <w:rFonts w:eastAsia="Calibri" w:cs="Calibri"/>
          <w:szCs w:val="24"/>
        </w:rPr>
        <w:t>he nature of the customer’s business is to be collected, but is not required to be verified.</w:t>
      </w:r>
      <w:r w:rsidR="00F05DE5">
        <w:rPr>
          <w:rStyle w:val="FootnoteReference"/>
          <w:rFonts w:eastAsia="Calibri" w:cs="Calibri"/>
          <w:szCs w:val="24"/>
        </w:rPr>
        <w:footnoteReference w:id="34"/>
      </w:r>
    </w:p>
    <w:p w14:paraId="2E1C8CF8" w14:textId="3C534E93" w:rsidR="3F394500" w:rsidRDefault="311D2D4B" w:rsidP="006A0A32">
      <w:pPr>
        <w:pStyle w:val="ListParagraph"/>
        <w:numPr>
          <w:ilvl w:val="0"/>
          <w:numId w:val="18"/>
        </w:numPr>
        <w:ind w:left="714" w:hanging="357"/>
        <w:contextualSpacing w:val="0"/>
        <w:rPr>
          <w:rFonts w:eastAsia="Calibri" w:cs="Calibri"/>
          <w:szCs w:val="24"/>
        </w:rPr>
      </w:pPr>
      <w:r w:rsidRPr="24363412">
        <w:rPr>
          <w:rFonts w:eastAsia="Calibri" w:cs="Calibri"/>
          <w:szCs w:val="24"/>
        </w:rPr>
        <w:t>requirements in relation to beneficial owners of customers, persons on whose behalf the customer is receiving the designated</w:t>
      </w:r>
      <w:r w:rsidR="00782A6F">
        <w:rPr>
          <w:rFonts w:eastAsia="Calibri" w:cs="Calibri"/>
          <w:szCs w:val="24"/>
        </w:rPr>
        <w:t xml:space="preserve"> service</w:t>
      </w:r>
      <w:r w:rsidRPr="24363412">
        <w:rPr>
          <w:rFonts w:eastAsia="Calibri" w:cs="Calibri"/>
          <w:szCs w:val="24"/>
        </w:rPr>
        <w:t>, persons acting on behalf of the customer (such as agents) and other specified persons associated with the customer.</w:t>
      </w:r>
      <w:r w:rsidR="00F96633">
        <w:rPr>
          <w:rStyle w:val="FootnoteReference"/>
          <w:rFonts w:eastAsia="Calibri" w:cs="Calibri"/>
          <w:szCs w:val="24"/>
        </w:rPr>
        <w:footnoteReference w:id="35"/>
      </w:r>
    </w:p>
    <w:p w14:paraId="11C46B80" w14:textId="0C8CF010" w:rsidR="11C96FD5" w:rsidRPr="008702B5" w:rsidRDefault="5F1A34B3" w:rsidP="00B34CAA">
      <w:pPr>
        <w:pStyle w:val="Heading3"/>
      </w:pPr>
      <w:bookmarkStart w:id="38" w:name="_Toc184666446"/>
      <w:r w:rsidRPr="24363412">
        <w:t>Circumstances in which delayed verification is permitted</w:t>
      </w:r>
      <w:bookmarkEnd w:id="38"/>
    </w:p>
    <w:p w14:paraId="3B44B6C7" w14:textId="76F35A1A" w:rsidR="3F394500" w:rsidRDefault="311D2D4B" w:rsidP="24363412">
      <w:pPr>
        <w:rPr>
          <w:rFonts w:eastAsia="Calibri" w:cs="Calibri"/>
          <w:szCs w:val="24"/>
        </w:rPr>
      </w:pPr>
      <w:r w:rsidRPr="24363412">
        <w:rPr>
          <w:rFonts w:eastAsia="Calibri" w:cs="Calibri"/>
          <w:szCs w:val="24"/>
        </w:rPr>
        <w:t xml:space="preserve">The </w:t>
      </w:r>
      <w:r w:rsidR="00644048">
        <w:rPr>
          <w:rFonts w:eastAsia="Calibri" w:cs="Calibri"/>
          <w:szCs w:val="24"/>
        </w:rPr>
        <w:t>Exposure Draft Rules</w:t>
      </w:r>
      <w:r w:rsidRPr="24363412">
        <w:rPr>
          <w:rFonts w:eastAsia="Calibri" w:cs="Calibri"/>
          <w:szCs w:val="24"/>
        </w:rPr>
        <w:t xml:space="preserve"> also set out circumstances in which </w:t>
      </w:r>
      <w:r w:rsidR="00644048">
        <w:rPr>
          <w:rFonts w:eastAsia="Calibri" w:cs="Calibri"/>
          <w:szCs w:val="24"/>
        </w:rPr>
        <w:t xml:space="preserve">initial customer due diligence </w:t>
      </w:r>
      <w:r w:rsidRPr="24363412">
        <w:rPr>
          <w:rFonts w:eastAsia="Calibri" w:cs="Calibri"/>
          <w:szCs w:val="24"/>
        </w:rPr>
        <w:t>verification may be</w:t>
      </w:r>
      <w:r w:rsidR="00644048">
        <w:rPr>
          <w:rFonts w:eastAsia="Calibri" w:cs="Calibri"/>
          <w:szCs w:val="24"/>
        </w:rPr>
        <w:t xml:space="preserve"> delayed until</w:t>
      </w:r>
      <w:r w:rsidR="00644048" w:rsidRPr="24363412">
        <w:rPr>
          <w:rFonts w:eastAsia="Calibri" w:cs="Calibri"/>
          <w:szCs w:val="24"/>
        </w:rPr>
        <w:t xml:space="preserve"> </w:t>
      </w:r>
      <w:r w:rsidRPr="24363412">
        <w:rPr>
          <w:rFonts w:eastAsia="Calibri" w:cs="Calibri"/>
          <w:i/>
          <w:iCs/>
          <w:szCs w:val="24"/>
        </w:rPr>
        <w:t>after</w:t>
      </w:r>
      <w:r w:rsidRPr="24363412">
        <w:rPr>
          <w:rFonts w:eastAsia="Calibri" w:cs="Calibri"/>
          <w:szCs w:val="24"/>
        </w:rPr>
        <w:t xml:space="preserve"> a reporting entity </w:t>
      </w:r>
      <w:r w:rsidR="00644048">
        <w:rPr>
          <w:rFonts w:eastAsia="Calibri" w:cs="Calibri"/>
          <w:szCs w:val="24"/>
        </w:rPr>
        <w:t>commences</w:t>
      </w:r>
      <w:r w:rsidR="00644048" w:rsidRPr="24363412">
        <w:rPr>
          <w:rFonts w:eastAsia="Calibri" w:cs="Calibri"/>
          <w:szCs w:val="24"/>
        </w:rPr>
        <w:t xml:space="preserve"> </w:t>
      </w:r>
      <w:r w:rsidRPr="24363412">
        <w:rPr>
          <w:rFonts w:eastAsia="Calibri" w:cs="Calibri"/>
          <w:szCs w:val="24"/>
        </w:rPr>
        <w:t>to provide a designated service, including:</w:t>
      </w:r>
    </w:p>
    <w:p w14:paraId="725C456D" w14:textId="3383727F" w:rsidR="3F394500" w:rsidRDefault="311D2D4B" w:rsidP="006A0A32">
      <w:pPr>
        <w:pStyle w:val="ListParagraph"/>
        <w:numPr>
          <w:ilvl w:val="0"/>
          <w:numId w:val="17"/>
        </w:numPr>
        <w:ind w:left="714" w:hanging="357"/>
        <w:contextualSpacing w:val="0"/>
        <w:rPr>
          <w:rFonts w:eastAsia="Calibri" w:cs="Calibri"/>
          <w:szCs w:val="24"/>
        </w:rPr>
      </w:pPr>
      <w:r w:rsidRPr="24363412">
        <w:rPr>
          <w:rFonts w:eastAsia="Calibri" w:cs="Calibri"/>
          <w:szCs w:val="24"/>
        </w:rPr>
        <w:t>Where a financial institution opens an account and only accepts deposits—this continues existing delayed verification rules, but removes the mandated deadline for completing verification.</w:t>
      </w:r>
      <w:r w:rsidR="00F96633">
        <w:rPr>
          <w:rStyle w:val="FootnoteReference"/>
          <w:rFonts w:eastAsia="Calibri" w:cs="Calibri"/>
          <w:szCs w:val="24"/>
        </w:rPr>
        <w:footnoteReference w:id="36"/>
      </w:r>
      <w:r w:rsidRPr="24363412">
        <w:rPr>
          <w:rFonts w:eastAsia="Calibri" w:cs="Calibri"/>
          <w:szCs w:val="24"/>
        </w:rPr>
        <w:t xml:space="preserve"> No time frame for completing verification is specified meaning that it must be done ‘as soon as reasonably practicable’ under section 29 of the </w:t>
      </w:r>
      <w:r w:rsidR="21397202" w:rsidRPr="24363412">
        <w:rPr>
          <w:rFonts w:eastAsia="Calibri" w:cs="Calibri"/>
          <w:szCs w:val="24"/>
        </w:rPr>
        <w:t>Amended AML/CTF Act</w:t>
      </w:r>
      <w:r w:rsidRPr="24363412">
        <w:rPr>
          <w:rFonts w:eastAsia="Calibri" w:cs="Calibri"/>
          <w:szCs w:val="24"/>
        </w:rPr>
        <w:t>.</w:t>
      </w:r>
    </w:p>
    <w:p w14:paraId="149DB2F1" w14:textId="59B8D2BA" w:rsidR="3F394500" w:rsidRDefault="311D2D4B" w:rsidP="006A0A32">
      <w:pPr>
        <w:pStyle w:val="ListParagraph"/>
        <w:numPr>
          <w:ilvl w:val="0"/>
          <w:numId w:val="17"/>
        </w:numPr>
        <w:ind w:left="714" w:hanging="357"/>
        <w:contextualSpacing w:val="0"/>
        <w:rPr>
          <w:rFonts w:eastAsia="Calibri" w:cs="Calibri"/>
          <w:szCs w:val="24"/>
        </w:rPr>
      </w:pPr>
      <w:r w:rsidRPr="24363412">
        <w:rPr>
          <w:rFonts w:eastAsia="Calibri" w:cs="Calibri"/>
          <w:szCs w:val="24"/>
        </w:rPr>
        <w:lastRenderedPageBreak/>
        <w:t>Where the service is the acquisition or disposal of a security, derivative or foreign exchange contract on a declared financial market that must be performed rapidly due to financial market conditions—this continues existing delayed verification rules.</w:t>
      </w:r>
      <w:r w:rsidR="00F96633">
        <w:rPr>
          <w:rStyle w:val="FootnoteReference"/>
          <w:rFonts w:eastAsia="Calibri" w:cs="Calibri"/>
          <w:szCs w:val="24"/>
        </w:rPr>
        <w:footnoteReference w:id="37"/>
      </w:r>
    </w:p>
    <w:p w14:paraId="038F5CA2" w14:textId="0A9DFD8C" w:rsidR="3F394500" w:rsidRPr="007A4CA4" w:rsidRDefault="311D2D4B" w:rsidP="006A0A32">
      <w:pPr>
        <w:pStyle w:val="ListParagraph"/>
        <w:numPr>
          <w:ilvl w:val="0"/>
          <w:numId w:val="17"/>
        </w:numPr>
        <w:ind w:left="714" w:hanging="357"/>
        <w:contextualSpacing w:val="0"/>
        <w:rPr>
          <w:rFonts w:eastAsia="Calibri" w:cs="Calibri"/>
          <w:szCs w:val="24"/>
        </w:rPr>
      </w:pPr>
      <w:r w:rsidRPr="24363412">
        <w:rPr>
          <w:rFonts w:eastAsia="Calibri" w:cs="Calibri"/>
          <w:szCs w:val="24"/>
        </w:rPr>
        <w:t>Where a reporting entity has established all of the matters in section 28</w:t>
      </w:r>
      <w:r w:rsidR="00644048">
        <w:rPr>
          <w:rFonts w:eastAsia="Calibri" w:cs="Calibri"/>
          <w:szCs w:val="24"/>
        </w:rPr>
        <w:t xml:space="preserve"> of the Amended AML/CTF Act</w:t>
      </w:r>
      <w:r w:rsidRPr="24363412">
        <w:rPr>
          <w:rFonts w:eastAsia="Calibri" w:cs="Calibri"/>
          <w:szCs w:val="24"/>
        </w:rPr>
        <w:t xml:space="preserve"> about the customer, except in relation to whether the customer or associated person is a </w:t>
      </w:r>
      <w:r w:rsidR="7F06F8B1" w:rsidRPr="24363412">
        <w:rPr>
          <w:rFonts w:eastAsia="Calibri" w:cs="Calibri"/>
          <w:szCs w:val="24"/>
        </w:rPr>
        <w:t>PEP</w:t>
      </w:r>
      <w:r w:rsidRPr="24363412">
        <w:rPr>
          <w:rFonts w:eastAsia="Calibri" w:cs="Calibri"/>
          <w:szCs w:val="24"/>
        </w:rPr>
        <w:t xml:space="preserve"> or subject to targeted financial sanctions</w:t>
      </w:r>
      <w:r w:rsidR="00F96633">
        <w:rPr>
          <w:rStyle w:val="FootnoteReference"/>
          <w:rFonts w:eastAsia="Calibri" w:cs="Calibri"/>
          <w:szCs w:val="24"/>
        </w:rPr>
        <w:footnoteReference w:id="38"/>
      </w:r>
      <w:r w:rsidRPr="24363412">
        <w:rPr>
          <w:rFonts w:eastAsia="Calibri" w:cs="Calibri"/>
          <w:szCs w:val="24"/>
        </w:rPr>
        <w:t xml:space="preserve">—this will allow </w:t>
      </w:r>
      <w:r w:rsidR="38653919" w:rsidRPr="24363412">
        <w:rPr>
          <w:rFonts w:eastAsia="Calibri" w:cs="Calibri"/>
          <w:szCs w:val="24"/>
        </w:rPr>
        <w:t>PEP</w:t>
      </w:r>
      <w:r w:rsidRPr="24363412">
        <w:rPr>
          <w:rFonts w:eastAsia="Calibri" w:cs="Calibri"/>
          <w:szCs w:val="24"/>
        </w:rPr>
        <w:t xml:space="preserve"> and sanctions screening </w:t>
      </w:r>
      <w:r w:rsidR="00644048">
        <w:rPr>
          <w:rFonts w:eastAsia="Calibri" w:cs="Calibri"/>
          <w:szCs w:val="24"/>
        </w:rPr>
        <w:t xml:space="preserve">to be delayed </w:t>
      </w:r>
      <w:r w:rsidRPr="24363412">
        <w:rPr>
          <w:rFonts w:eastAsia="Calibri" w:cs="Calibri"/>
          <w:szCs w:val="24"/>
        </w:rPr>
        <w:t>where the conditions in the new section 29 are met</w:t>
      </w:r>
      <w:r w:rsidR="00F96633">
        <w:rPr>
          <w:rFonts w:eastAsia="Calibri" w:cs="Calibri"/>
          <w:szCs w:val="24"/>
        </w:rPr>
        <w:t>, including</w:t>
      </w:r>
      <w:r w:rsidR="54065351" w:rsidRPr="24363412">
        <w:rPr>
          <w:rFonts w:eastAsia="Calibri" w:cs="Calibri"/>
          <w:szCs w:val="24"/>
        </w:rPr>
        <w:t xml:space="preserve"> that the delay is essential to avoid interrupting the ordinary course of business and </w:t>
      </w:r>
      <w:r w:rsidR="1E08A363" w:rsidRPr="24363412">
        <w:rPr>
          <w:rFonts w:eastAsia="Calibri" w:cs="Calibri"/>
          <w:szCs w:val="24"/>
        </w:rPr>
        <w:t>appropriate risk mitigations are implemented</w:t>
      </w:r>
      <w:r w:rsidRPr="24363412">
        <w:rPr>
          <w:rFonts w:eastAsia="Calibri" w:cs="Calibri"/>
          <w:szCs w:val="24"/>
        </w:rPr>
        <w:t>.</w:t>
      </w:r>
      <w:r w:rsidR="094537F4" w:rsidRPr="24363412">
        <w:rPr>
          <w:rFonts w:eastAsia="Calibri" w:cs="Calibri"/>
          <w:szCs w:val="24"/>
        </w:rPr>
        <w:t xml:space="preserve"> </w:t>
      </w:r>
      <w:r w:rsidR="188E31E1" w:rsidRPr="24363412">
        <w:rPr>
          <w:rFonts w:eastAsia="Calibri" w:cs="Calibri"/>
          <w:szCs w:val="24"/>
        </w:rPr>
        <w:t xml:space="preserve">In these circumstances, </w:t>
      </w:r>
      <w:r w:rsidR="24E9775C" w:rsidRPr="24363412">
        <w:rPr>
          <w:rFonts w:eastAsia="Calibri" w:cs="Calibri"/>
          <w:szCs w:val="24"/>
        </w:rPr>
        <w:t xml:space="preserve">PEP and sanctions checks must be carried out as soon as </w:t>
      </w:r>
      <w:r w:rsidR="24E9775C" w:rsidRPr="007A4CA4">
        <w:rPr>
          <w:rFonts w:eastAsia="Calibri" w:cs="Calibri"/>
          <w:szCs w:val="24"/>
        </w:rPr>
        <w:t>reasonably practicable.</w:t>
      </w:r>
    </w:p>
    <w:p w14:paraId="0C22F494" w14:textId="0FE3436B" w:rsidR="00F96633" w:rsidRPr="000274CD" w:rsidRDefault="00F96633" w:rsidP="006A0A32">
      <w:pPr>
        <w:pStyle w:val="ListParagraph"/>
        <w:numPr>
          <w:ilvl w:val="0"/>
          <w:numId w:val="17"/>
        </w:numPr>
        <w:ind w:left="714" w:hanging="357"/>
        <w:contextualSpacing w:val="0"/>
        <w:rPr>
          <w:rFonts w:eastAsia="Calibri" w:cs="Calibri"/>
          <w:szCs w:val="24"/>
        </w:rPr>
      </w:pPr>
      <w:r w:rsidRPr="000274CD">
        <w:rPr>
          <w:rFonts w:eastAsia="Calibri" w:cs="Calibri"/>
          <w:szCs w:val="24"/>
        </w:rPr>
        <w:t xml:space="preserve">Where the service is </w:t>
      </w:r>
      <w:r w:rsidRPr="000274CD">
        <w:t>to be provided at or through a permanent establishment of the reporting entity in a foreign country and the law of that country gives effect to the FATF Recommendations which permits dela</w:t>
      </w:r>
      <w:r w:rsidR="0089033D" w:rsidRPr="000274CD">
        <w:t>yed verification, the reporting entity will be eligible for delayed verification when certain requirements are met.</w:t>
      </w:r>
      <w:r w:rsidR="0089033D" w:rsidRPr="000274CD">
        <w:rPr>
          <w:rStyle w:val="FootnoteReference"/>
        </w:rPr>
        <w:footnoteReference w:id="39"/>
      </w:r>
      <w:r w:rsidR="007A4CA4" w:rsidRPr="000274CD">
        <w:t xml:space="preserve"> This is to reduce the possibility of a conflict of laws where a reporting entity or reporting group is regulated by several jurisdictions’ AML/CTF regimes.</w:t>
      </w:r>
    </w:p>
    <w:p w14:paraId="74809479" w14:textId="55212170" w:rsidR="3F394500" w:rsidRDefault="311D2D4B" w:rsidP="24363412">
      <w:pPr>
        <w:rPr>
          <w:rFonts w:eastAsia="Calibri" w:cs="Calibri"/>
          <w:szCs w:val="24"/>
        </w:rPr>
      </w:pPr>
      <w:r w:rsidRPr="24363412">
        <w:rPr>
          <w:rFonts w:eastAsia="Calibri" w:cs="Calibri"/>
          <w:szCs w:val="24"/>
        </w:rPr>
        <w:t>AUSTRAC is seeking feedback on other delayed verification circumstances that should be considered</w:t>
      </w:r>
      <w:r w:rsidR="2E8E6118" w:rsidRPr="24363412">
        <w:rPr>
          <w:rFonts w:eastAsia="Calibri" w:cs="Calibri"/>
          <w:szCs w:val="24"/>
        </w:rPr>
        <w:t xml:space="preserve">, particularly for </w:t>
      </w:r>
      <w:r w:rsidR="009361F7">
        <w:rPr>
          <w:rFonts w:eastAsia="Calibri" w:cs="Calibri"/>
          <w:szCs w:val="24"/>
        </w:rPr>
        <w:t>new regulated</w:t>
      </w:r>
      <w:r w:rsidR="2E8E6118" w:rsidRPr="24363412">
        <w:rPr>
          <w:rFonts w:eastAsia="Calibri" w:cs="Calibri"/>
          <w:szCs w:val="24"/>
        </w:rPr>
        <w:t xml:space="preserve"> sectors</w:t>
      </w:r>
      <w:r w:rsidRPr="24363412">
        <w:rPr>
          <w:rFonts w:eastAsia="Calibri" w:cs="Calibri"/>
          <w:szCs w:val="24"/>
        </w:rPr>
        <w:t>.</w:t>
      </w:r>
    </w:p>
    <w:p w14:paraId="3EAB0ED7" w14:textId="1F019533" w:rsidR="0089033D" w:rsidRDefault="0089033D" w:rsidP="00B34CAA">
      <w:pPr>
        <w:pStyle w:val="Heading3"/>
      </w:pPr>
      <w:bookmarkStart w:id="39" w:name="_Toc184666447"/>
      <w:r>
        <w:t>Simplified CDD requirements</w:t>
      </w:r>
      <w:bookmarkEnd w:id="39"/>
    </w:p>
    <w:p w14:paraId="1AC59375" w14:textId="2FB7F374" w:rsidR="0089033D" w:rsidRDefault="0089033D" w:rsidP="0089033D">
      <w:r>
        <w:t>The Amended AML/CTF Act allows simplified CDD measures to be applied where the ML/TF risk of the customer is low and the reporting entity complies with specified requirements in the AML/CTF Rules.</w:t>
      </w:r>
      <w:r>
        <w:rPr>
          <w:rStyle w:val="FootnoteReference"/>
        </w:rPr>
        <w:footnoteReference w:id="40"/>
      </w:r>
    </w:p>
    <w:p w14:paraId="347B1C98" w14:textId="730CB22E" w:rsidR="0089033D" w:rsidRPr="0089033D" w:rsidRDefault="0089033D" w:rsidP="0089033D">
      <w:r>
        <w:t>In line with the outcomes-</w:t>
      </w:r>
      <w:r w:rsidR="00E1527C">
        <w:t xml:space="preserve">based </w:t>
      </w:r>
      <w:r>
        <w:t xml:space="preserve">approach, the Exposure Draft Rules require only that for a reporting entity to apply simplified CDD measures, it must have in place AML/CTF policies that deal with the application of those measures.  </w:t>
      </w:r>
    </w:p>
    <w:p w14:paraId="289BC0F3" w14:textId="4932D891" w:rsidR="702FCBB0" w:rsidRDefault="702FCBB0" w:rsidP="00B34CAA">
      <w:pPr>
        <w:pStyle w:val="Heading3"/>
      </w:pPr>
      <w:bookmarkStart w:id="40" w:name="_Toc184666448"/>
      <w:r w:rsidRPr="24363412">
        <w:t>Mandated enhanced CDD requirements</w:t>
      </w:r>
      <w:bookmarkEnd w:id="40"/>
    </w:p>
    <w:p w14:paraId="27E69717" w14:textId="1C19E9CA" w:rsidR="7406964E" w:rsidRDefault="7406964E" w:rsidP="24363412">
      <w:r w:rsidRPr="24363412">
        <w:t xml:space="preserve">In limited circumstances, the </w:t>
      </w:r>
      <w:r w:rsidR="4A414208" w:rsidRPr="24363412">
        <w:t>Exposure Draft Rules</w:t>
      </w:r>
      <w:r w:rsidRPr="24363412">
        <w:t xml:space="preserve"> mandate that certain enhanced CDD measures that must be carried out. These rules implement the relevant FATF standards, particularly for Recommendation 12 (</w:t>
      </w:r>
      <w:r w:rsidR="77F4F547" w:rsidRPr="24363412">
        <w:t>PEPs) and Recommendation 13 (relationships similar to correspondent relationships, i.e. nested services relationships).</w:t>
      </w:r>
    </w:p>
    <w:p w14:paraId="257D4062" w14:textId="5CA477D1" w:rsidR="4FB24C1F" w:rsidRDefault="4FB24C1F" w:rsidP="006A0A32">
      <w:pPr>
        <w:pStyle w:val="ListParagraph"/>
        <w:numPr>
          <w:ilvl w:val="0"/>
          <w:numId w:val="15"/>
        </w:numPr>
        <w:ind w:left="714" w:hanging="357"/>
        <w:contextualSpacing w:val="0"/>
      </w:pPr>
      <w:r w:rsidRPr="24363412">
        <w:lastRenderedPageBreak/>
        <w:t xml:space="preserve">For all foreign PEPs and for high-risk domestic and international organisation PEPs, </w:t>
      </w:r>
      <w:r w:rsidR="1EB26AAA" w:rsidRPr="24363412">
        <w:t>source of wealth and source of funds must be established.</w:t>
      </w:r>
      <w:r w:rsidR="00226836">
        <w:rPr>
          <w:rStyle w:val="FootnoteReference"/>
        </w:rPr>
        <w:footnoteReference w:id="41"/>
      </w:r>
      <w:r w:rsidR="1EB26AAA" w:rsidRPr="24363412">
        <w:t xml:space="preserve"> These enhanced CDD requirements should be read together with the AML/CTF prog</w:t>
      </w:r>
      <w:r w:rsidR="4DF9AB20" w:rsidRPr="24363412">
        <w:t>ram governance requirements</w:t>
      </w:r>
      <w:r w:rsidR="1EB26AAA" w:rsidRPr="24363412">
        <w:t xml:space="preserve"> which require policies to ensure </w:t>
      </w:r>
      <w:r w:rsidR="3B237866" w:rsidRPr="24363412">
        <w:t>senior management approval</w:t>
      </w:r>
      <w:r w:rsidR="5A183583" w:rsidRPr="24363412">
        <w:t xml:space="preserve"> is obtained for services provided to such PEPs.</w:t>
      </w:r>
    </w:p>
    <w:p w14:paraId="79E4A2DA" w14:textId="0371F05A" w:rsidR="5A183583" w:rsidRDefault="5A183583" w:rsidP="006A0A32">
      <w:pPr>
        <w:pStyle w:val="ListParagraph"/>
        <w:numPr>
          <w:ilvl w:val="0"/>
          <w:numId w:val="15"/>
        </w:numPr>
        <w:ind w:left="714" w:hanging="357"/>
        <w:contextualSpacing w:val="0"/>
      </w:pPr>
      <w:r w:rsidRPr="24363412">
        <w:t>For nested services relationships, a range of matters relating to the AML/CTF policies and compliance history of the customer are specified,</w:t>
      </w:r>
      <w:r w:rsidR="00226836">
        <w:rPr>
          <w:rStyle w:val="FootnoteReference"/>
        </w:rPr>
        <w:footnoteReference w:id="42"/>
      </w:r>
      <w:r w:rsidRPr="24363412">
        <w:t xml:space="preserve"> given that the reporting entity will in effect </w:t>
      </w:r>
      <w:r w:rsidR="6F782474" w:rsidRPr="24363412">
        <w:t xml:space="preserve">be relying on its overseas customer </w:t>
      </w:r>
      <w:r w:rsidR="37866402" w:rsidRPr="24363412">
        <w:t xml:space="preserve">to </w:t>
      </w:r>
      <w:r w:rsidR="6F782474" w:rsidRPr="24363412">
        <w:t>effectively mitigat</w:t>
      </w:r>
      <w:r w:rsidR="09A9F354" w:rsidRPr="24363412">
        <w:t>e</w:t>
      </w:r>
      <w:r w:rsidR="6F782474" w:rsidRPr="24363412">
        <w:t xml:space="preserve"> ML/TF risks</w:t>
      </w:r>
      <w:r w:rsidR="454B2C46" w:rsidRPr="24363412">
        <w:t xml:space="preserve"> when providing nested services.</w:t>
      </w:r>
      <w:r w:rsidR="6F782474" w:rsidRPr="24363412">
        <w:t xml:space="preserve"> </w:t>
      </w:r>
    </w:p>
    <w:p w14:paraId="5C4BEC5F" w14:textId="77777777" w:rsidR="007A4CA4" w:rsidRDefault="007A4CA4" w:rsidP="007A4CA4">
      <w:r>
        <w:t>AUSTRAC also proposes that enhanced CDD measures are to be applied to a customer who seeks designated services that have no apparent economic or legal purpose, if the proposed provision of designated services would involve:</w:t>
      </w:r>
    </w:p>
    <w:p w14:paraId="67B7D9D7" w14:textId="77777777" w:rsidR="007A4CA4" w:rsidRDefault="007A4CA4" w:rsidP="007A4CA4">
      <w:r>
        <w:tab/>
        <w:t>(a)</w:t>
      </w:r>
      <w:r>
        <w:tab/>
        <w:t>unusually complex or large transactions; or</w:t>
      </w:r>
    </w:p>
    <w:p w14:paraId="451E69D6" w14:textId="64809097" w:rsidR="007A4CA4" w:rsidRDefault="007A4CA4" w:rsidP="007A4CA4">
      <w:r>
        <w:tab/>
        <w:t>(b)</w:t>
      </w:r>
      <w:r>
        <w:tab/>
        <w:t>an unusual pattern of transactions.</w:t>
      </w:r>
      <w:r>
        <w:rPr>
          <w:rStyle w:val="FootnoteReference"/>
        </w:rPr>
        <w:footnoteReference w:id="43"/>
      </w:r>
    </w:p>
    <w:p w14:paraId="3337DC27" w14:textId="4B86B8FD" w:rsidR="007A4CA4" w:rsidRDefault="007A4CA4" w:rsidP="007A4CA4">
      <w:r>
        <w:t>The particular enhanced CDD measures to be applied are not prescribed by the rules</w:t>
      </w:r>
      <w:r w:rsidR="000274CD">
        <w:t xml:space="preserve">, though AUSTRAC’s expectation is that if such a transaction were to occur, the reporting entity would collect the requisite KYC information and information on the transaction to be capable of identifying and assessing the ML/TF risk of the customer receiving the designated service in those circumstances. </w:t>
      </w:r>
    </w:p>
    <w:p w14:paraId="3B8F0190" w14:textId="1FC5550D" w:rsidR="009407A9" w:rsidRPr="004A6CA3" w:rsidRDefault="00226836" w:rsidP="00226836">
      <w:pPr>
        <w:pStyle w:val="Heading3"/>
      </w:pPr>
      <w:bookmarkStart w:id="41" w:name="_Toc181186842"/>
      <w:bookmarkStart w:id="42" w:name="_Toc184666449"/>
      <w:r>
        <w:t>Ongoing CDD - t</w:t>
      </w:r>
      <w:r w:rsidR="1D02B3F8">
        <w:t>ransaction m</w:t>
      </w:r>
      <w:r w:rsidR="35A22F33">
        <w:t>onitoring</w:t>
      </w:r>
      <w:bookmarkEnd w:id="41"/>
      <w:bookmarkEnd w:id="42"/>
    </w:p>
    <w:p w14:paraId="783BB80B" w14:textId="47460B38" w:rsidR="00BF223C" w:rsidRPr="004A6CA3" w:rsidRDefault="16B21B5F" w:rsidP="00BF223C">
      <w:bookmarkStart w:id="43" w:name="_Toc181186843"/>
      <w:r>
        <w:t>Obligations to monitor for unusual transactions and customer behaviours that may give rise to a suspicious matter reporting (SMR) obligation have been moved into</w:t>
      </w:r>
      <w:r w:rsidR="46E5A197">
        <w:t xml:space="preserve"> </w:t>
      </w:r>
      <w:r>
        <w:t xml:space="preserve">section 30 </w:t>
      </w:r>
      <w:r w:rsidR="46E5A197">
        <w:t xml:space="preserve">of the </w:t>
      </w:r>
      <w:r w:rsidR="21397202">
        <w:t>Amended AML/CTF Act</w:t>
      </w:r>
      <w:r>
        <w:t xml:space="preserve">. </w:t>
      </w:r>
    </w:p>
    <w:p w14:paraId="5375AC6C" w14:textId="292A9B9D" w:rsidR="00226836" w:rsidRDefault="06FB1434">
      <w:r>
        <w:t>Section 3</w:t>
      </w:r>
      <w:r w:rsidR="55A7A11B">
        <w:t>9</w:t>
      </w:r>
      <w:r>
        <w:t xml:space="preserve"> </w:t>
      </w:r>
      <w:r w:rsidR="16B21B5F">
        <w:t xml:space="preserve">of the </w:t>
      </w:r>
      <w:r w:rsidR="2DAC8484">
        <w:t>Exposure Draft Rules</w:t>
      </w:r>
      <w:r w:rsidR="16B21B5F">
        <w:t xml:space="preserve"> focus</w:t>
      </w:r>
      <w:r w:rsidR="00226836">
        <w:t xml:space="preserve"> </w:t>
      </w:r>
      <w:r w:rsidR="537636A9">
        <w:t>transaction</w:t>
      </w:r>
      <w:r w:rsidR="16B21B5F">
        <w:t xml:space="preserve"> monitoring on money laundering, terrorism financing, proliferation financing</w:t>
      </w:r>
      <w:r w:rsidR="3BD341B7">
        <w:t>,</w:t>
      </w:r>
      <w:r w:rsidR="16B21B5F">
        <w:t xml:space="preserve"> and serious money laundering predicate offences, rather than </w:t>
      </w:r>
      <w:r>
        <w:t xml:space="preserve">the current </w:t>
      </w:r>
      <w:r w:rsidR="16B21B5F">
        <w:t>‘all crimes’ approach</w:t>
      </w:r>
      <w:r>
        <w:t xml:space="preserve"> to monitoring</w:t>
      </w:r>
      <w:r w:rsidR="16B21B5F">
        <w:t xml:space="preserve">. </w:t>
      </w:r>
      <w:r w:rsidR="26EAA333">
        <w:t xml:space="preserve">This </w:t>
      </w:r>
      <w:r w:rsidR="0B886BEE">
        <w:t xml:space="preserve">shift </w:t>
      </w:r>
      <w:r w:rsidR="26EAA333">
        <w:t>means</w:t>
      </w:r>
      <w:r w:rsidR="1C5866ED">
        <w:t xml:space="preserve"> transaction </w:t>
      </w:r>
      <w:r w:rsidR="6B0E668D">
        <w:t>m</w:t>
      </w:r>
      <w:r>
        <w:t xml:space="preserve">onitoring </w:t>
      </w:r>
      <w:r w:rsidR="07975785">
        <w:t>will be more closely aligned with global standards recommended by the FATF</w:t>
      </w:r>
      <w:r w:rsidR="6404F50A">
        <w:t>.</w:t>
      </w:r>
      <w:r w:rsidR="07975785">
        <w:t xml:space="preserve"> </w:t>
      </w:r>
      <w:r w:rsidR="01B7AFBC">
        <w:t xml:space="preserve">Additionally, it </w:t>
      </w:r>
      <w:r w:rsidR="7CAAA16A">
        <w:t>con</w:t>
      </w:r>
      <w:r w:rsidR="09ED2FAB">
        <w:t>c</w:t>
      </w:r>
      <w:r w:rsidR="7CAAA16A">
        <w:t>entrates transaction monitoring</w:t>
      </w:r>
      <w:r w:rsidR="660E9B40">
        <w:t xml:space="preserve"> </w:t>
      </w:r>
      <w:r w:rsidR="3A9CED77">
        <w:t xml:space="preserve">efforts </w:t>
      </w:r>
      <w:r w:rsidR="16B21B5F">
        <w:t>on crime</w:t>
      </w:r>
      <w:r w:rsidR="78351FDA">
        <w:t xml:space="preserve"> types</w:t>
      </w:r>
      <w:r w:rsidR="16B21B5F">
        <w:t xml:space="preserve"> </w:t>
      </w:r>
      <w:r w:rsidR="68BEBF40">
        <w:t>that drive</w:t>
      </w:r>
      <w:r w:rsidR="03754FDA">
        <w:t xml:space="preserve"> </w:t>
      </w:r>
      <w:r w:rsidR="16B21B5F">
        <w:t>money laundering, terrorism financing and proliferation financing</w:t>
      </w:r>
      <w:r w:rsidR="7C0603C7">
        <w:t>.</w:t>
      </w:r>
    </w:p>
    <w:p w14:paraId="45615092" w14:textId="77777777" w:rsidR="00226836" w:rsidRDefault="00226836" w:rsidP="00226836">
      <w:pPr>
        <w:pStyle w:val="Heading3"/>
      </w:pPr>
      <w:bookmarkStart w:id="44" w:name="_Toc184666450"/>
      <w:r>
        <w:t>Deemed compliance – ACIP previously carried out</w:t>
      </w:r>
      <w:bookmarkEnd w:id="44"/>
    </w:p>
    <w:p w14:paraId="2DAD727B" w14:textId="4F9F629A" w:rsidR="00226836" w:rsidRDefault="00226836" w:rsidP="00226836">
      <w:r>
        <w:t xml:space="preserve">The Exposure Draft Rules provide that a reporting entity is taken to have complied with each of the matters in subsection 28(2) of the Amended AML/CTF Act if the reporting entity has, before 31 March 2026, carried out </w:t>
      </w:r>
      <w:r w:rsidR="009361F7">
        <w:t xml:space="preserve">relevant </w:t>
      </w:r>
      <w:r>
        <w:t>applicable customer identification procedure</w:t>
      </w:r>
      <w:r w:rsidR="009361F7">
        <w:t>s</w:t>
      </w:r>
      <w:r>
        <w:t xml:space="preserve"> in </w:t>
      </w:r>
      <w:r>
        <w:lastRenderedPageBreak/>
        <w:t>respect</w:t>
      </w:r>
      <w:r w:rsidR="0051107A">
        <w:t xml:space="preserve"> of that customer.</w:t>
      </w:r>
      <w:r w:rsidR="0051107A">
        <w:rPr>
          <w:rStyle w:val="FootnoteReference"/>
        </w:rPr>
        <w:footnoteReference w:id="44"/>
      </w:r>
      <w:r w:rsidR="0051107A">
        <w:t xml:space="preserve"> This means that reporting entities regulated before the commencement of the Amended AML/CTF Act are not required to collect or verify additional KYC information to existing customers just because of the reforms to the AML/CTF regime. This will </w:t>
      </w:r>
      <w:r w:rsidR="009361F7">
        <w:t xml:space="preserve">only </w:t>
      </w:r>
      <w:r w:rsidR="0051107A">
        <w:t>apply</w:t>
      </w:r>
      <w:r w:rsidR="009361F7">
        <w:t xml:space="preserve"> </w:t>
      </w:r>
      <w:r w:rsidR="0051107A">
        <w:t>to reporting entities regulated under the current AML/CTF Act.</w:t>
      </w:r>
    </w:p>
    <w:p w14:paraId="26FE15DD" w14:textId="4C6C250B" w:rsidR="00226836" w:rsidRDefault="00226836" w:rsidP="00226836">
      <w:pPr>
        <w:pStyle w:val="Heading3"/>
      </w:pPr>
      <w:bookmarkStart w:id="45" w:name="_Toc184666451"/>
      <w:r>
        <w:t>Deemed compliance – passporting from foreign entities</w:t>
      </w:r>
      <w:bookmarkEnd w:id="45"/>
    </w:p>
    <w:p w14:paraId="274650CA" w14:textId="5B7731A6" w:rsidR="0051107A" w:rsidRPr="0051107A" w:rsidRDefault="0051107A" w:rsidP="0051107A">
      <w:r>
        <w:t>The Exposure Draft Rules provide that a reporting entity is taken to have complied with each of the matters in subsection 28(2) of the Amended AML/CTF Act if the reporting entity or another member of its reporting group has applied foreign CDD measures which give effect to FATF recommendations relating to customer due diligence and record keeping, where certain requirements are met.</w:t>
      </w:r>
      <w:r>
        <w:rPr>
          <w:rStyle w:val="FootnoteReference"/>
        </w:rPr>
        <w:footnoteReference w:id="45"/>
      </w:r>
      <w:r>
        <w:t xml:space="preserve"> This is intended to mitigate the burden of </w:t>
      </w:r>
      <w:r w:rsidR="007A4CA4">
        <w:t xml:space="preserve">carrying over CDD applied to </w:t>
      </w:r>
      <w:r>
        <w:t>customers between different AML/CTF regimes</w:t>
      </w:r>
      <w:r w:rsidR="007A4CA4">
        <w:t>, sometimes referred to as ‘passporting’</w:t>
      </w:r>
      <w:r>
        <w:t>.</w:t>
      </w:r>
    </w:p>
    <w:p w14:paraId="4C96952C" w14:textId="5DF6DE6E" w:rsidR="00226836" w:rsidRDefault="0060564A" w:rsidP="00226836">
      <w:pPr>
        <w:pStyle w:val="Heading3"/>
      </w:pPr>
      <w:bookmarkStart w:id="46" w:name="_Toc184666452"/>
      <w:r>
        <w:t>Customers who don’t have standard identification</w:t>
      </w:r>
      <w:bookmarkEnd w:id="46"/>
    </w:p>
    <w:p w14:paraId="21B112EC" w14:textId="21B8D640" w:rsidR="0060564A" w:rsidRDefault="0051107A" w:rsidP="0051107A">
      <w:r>
        <w:t>To promote financial inclusion</w:t>
      </w:r>
      <w:r w:rsidR="0060564A">
        <w:t xml:space="preserve"> and assist customers who may have difficulty providing standard identification</w:t>
      </w:r>
      <w:r>
        <w:t>, the E</w:t>
      </w:r>
      <w:r w:rsidR="0060564A">
        <w:t>xposure Draft Rules provide a lower standard of</w:t>
      </w:r>
      <w:r>
        <w:t xml:space="preserve"> </w:t>
      </w:r>
      <w:r w:rsidR="0060564A">
        <w:t>verification</w:t>
      </w:r>
      <w:r>
        <w:t xml:space="preserve"> requirements which apply </w:t>
      </w:r>
      <w:r w:rsidR="0060564A">
        <w:t>in certain circumstances.</w:t>
      </w:r>
      <w:r w:rsidR="0060564A">
        <w:rPr>
          <w:rStyle w:val="FootnoteReference"/>
        </w:rPr>
        <w:footnoteReference w:id="46"/>
      </w:r>
      <w:r w:rsidR="0060564A">
        <w:t xml:space="preserve"> </w:t>
      </w:r>
    </w:p>
    <w:p w14:paraId="34B72DC4" w14:textId="77777777" w:rsidR="00103CEB" w:rsidRDefault="0060564A" w:rsidP="0051107A">
      <w:r>
        <w:t xml:space="preserve">Alternative verification may be relied upon </w:t>
      </w:r>
      <w:r w:rsidR="0051107A">
        <w:t>if</w:t>
      </w:r>
      <w:r w:rsidR="00103CEB">
        <w:t>:</w:t>
      </w:r>
    </w:p>
    <w:p w14:paraId="252443A5" w14:textId="77777777" w:rsidR="00103CEB" w:rsidRDefault="0051107A" w:rsidP="006A0A32">
      <w:pPr>
        <w:pStyle w:val="ListParagraph"/>
        <w:numPr>
          <w:ilvl w:val="0"/>
          <w:numId w:val="30"/>
        </w:numPr>
        <w:ind w:hanging="357"/>
        <w:contextualSpacing w:val="0"/>
      </w:pPr>
      <w:r>
        <w:t>a customer is an individual</w:t>
      </w:r>
      <w:r w:rsidR="00103CEB">
        <w:t>,</w:t>
      </w:r>
      <w:r>
        <w:t xml:space="preserve"> and </w:t>
      </w:r>
    </w:p>
    <w:p w14:paraId="21A33D31" w14:textId="77777777" w:rsidR="00103CEB" w:rsidRDefault="0051107A" w:rsidP="006A0A32">
      <w:pPr>
        <w:pStyle w:val="ListParagraph"/>
        <w:numPr>
          <w:ilvl w:val="0"/>
          <w:numId w:val="30"/>
        </w:numPr>
        <w:ind w:hanging="357"/>
        <w:contextualSpacing w:val="0"/>
      </w:pPr>
      <w:r>
        <w:t>is unable to provide information or evidence of identity because</w:t>
      </w:r>
      <w:r w:rsidR="00103CEB">
        <w:t>:</w:t>
      </w:r>
      <w:r>
        <w:t xml:space="preserve"> </w:t>
      </w:r>
    </w:p>
    <w:p w14:paraId="138AA5CA" w14:textId="77777777" w:rsidR="00103CEB" w:rsidRDefault="0051107A" w:rsidP="006A0A32">
      <w:pPr>
        <w:pStyle w:val="ListParagraph"/>
        <w:numPr>
          <w:ilvl w:val="1"/>
          <w:numId w:val="30"/>
        </w:numPr>
        <w:ind w:hanging="357"/>
        <w:contextualSpacing w:val="0"/>
      </w:pPr>
      <w:r>
        <w:t xml:space="preserve">the customer is unable to obtain the information or evidence, or </w:t>
      </w:r>
    </w:p>
    <w:p w14:paraId="24771246" w14:textId="77777777" w:rsidR="00103CEB" w:rsidRDefault="0051107A" w:rsidP="006A0A32">
      <w:pPr>
        <w:pStyle w:val="ListParagraph"/>
        <w:numPr>
          <w:ilvl w:val="1"/>
          <w:numId w:val="30"/>
        </w:numPr>
        <w:ind w:hanging="357"/>
        <w:contextualSpacing w:val="0"/>
      </w:pPr>
      <w:r>
        <w:t>the customer is unable to access the information or evidence due to circumstances beyond the customer’</w:t>
      </w:r>
      <w:r w:rsidR="00103CEB">
        <w:t>s control.</w:t>
      </w:r>
    </w:p>
    <w:p w14:paraId="4B8B467E" w14:textId="3D928E16" w:rsidR="00103CEB" w:rsidRDefault="00103CEB" w:rsidP="00103CEB">
      <w:r>
        <w:t xml:space="preserve">These circumstances are intended to encompass customers who </w:t>
      </w:r>
      <w:r w:rsidR="004C70FD">
        <w:t xml:space="preserve">may not have access to standard verification methods, as they </w:t>
      </w:r>
      <w:r>
        <w:t>are:</w:t>
      </w:r>
    </w:p>
    <w:p w14:paraId="252B4085" w14:textId="0319203C" w:rsidR="00103CEB" w:rsidRDefault="00103CEB" w:rsidP="007A4CA4">
      <w:pPr>
        <w:pStyle w:val="ListParagraph"/>
        <w:numPr>
          <w:ilvl w:val="0"/>
          <w:numId w:val="32"/>
        </w:numPr>
        <w:ind w:left="714" w:hanging="357"/>
        <w:contextualSpacing w:val="0"/>
      </w:pPr>
      <w:r w:rsidRPr="00103CEB">
        <w:t>Aboriginal and</w:t>
      </w:r>
      <w:r>
        <w:t xml:space="preserve"> Torres Strait Islander peoples</w:t>
      </w:r>
    </w:p>
    <w:p w14:paraId="7AD37FF4" w14:textId="0333467A" w:rsidR="00103CEB" w:rsidRDefault="00103CEB" w:rsidP="007A4CA4">
      <w:pPr>
        <w:pStyle w:val="ListParagraph"/>
        <w:numPr>
          <w:ilvl w:val="0"/>
          <w:numId w:val="32"/>
        </w:numPr>
        <w:ind w:left="714" w:hanging="357"/>
        <w:contextualSpacing w:val="0"/>
      </w:pPr>
      <w:r w:rsidRPr="00103CEB">
        <w:t>people affected by natural disaster</w:t>
      </w:r>
      <w:r>
        <w:t>s such as floods or bushfires</w:t>
      </w:r>
    </w:p>
    <w:p w14:paraId="08C4D26E" w14:textId="67B2183B" w:rsidR="00103CEB" w:rsidRDefault="00103CEB" w:rsidP="007A4CA4">
      <w:pPr>
        <w:pStyle w:val="ListParagraph"/>
        <w:numPr>
          <w:ilvl w:val="0"/>
          <w:numId w:val="32"/>
        </w:numPr>
        <w:ind w:left="714" w:hanging="357"/>
        <w:contextualSpacing w:val="0"/>
      </w:pPr>
      <w:r w:rsidRPr="00103CEB">
        <w:t>people affected by</w:t>
      </w:r>
      <w:r>
        <w:t xml:space="preserve"> family and domestic violence</w:t>
      </w:r>
    </w:p>
    <w:p w14:paraId="7F731B1F" w14:textId="1BC9A17D" w:rsidR="00103CEB" w:rsidRDefault="00103CEB" w:rsidP="007A4CA4">
      <w:pPr>
        <w:pStyle w:val="ListParagraph"/>
        <w:numPr>
          <w:ilvl w:val="0"/>
          <w:numId w:val="32"/>
        </w:numPr>
        <w:ind w:left="714" w:hanging="357"/>
        <w:contextualSpacing w:val="0"/>
      </w:pPr>
      <w:r w:rsidRPr="00103CEB">
        <w:t xml:space="preserve">people experiencing </w:t>
      </w:r>
      <w:r>
        <w:t>periods of homelessness</w:t>
      </w:r>
    </w:p>
    <w:p w14:paraId="056185D2" w14:textId="3082CA89" w:rsidR="00103CEB" w:rsidRDefault="00103CEB" w:rsidP="007A4CA4">
      <w:pPr>
        <w:pStyle w:val="ListParagraph"/>
        <w:numPr>
          <w:ilvl w:val="0"/>
          <w:numId w:val="32"/>
        </w:numPr>
        <w:ind w:left="714" w:hanging="357"/>
        <w:contextualSpacing w:val="0"/>
      </w:pPr>
      <w:r w:rsidRPr="00103CEB">
        <w:t>people who are or</w:t>
      </w:r>
      <w:r>
        <w:t xml:space="preserve"> have recently been in prison</w:t>
      </w:r>
    </w:p>
    <w:p w14:paraId="7A4AF94B" w14:textId="4E65E0CD" w:rsidR="00103CEB" w:rsidRDefault="00103CEB" w:rsidP="007A4CA4">
      <w:pPr>
        <w:pStyle w:val="ListParagraph"/>
        <w:numPr>
          <w:ilvl w:val="0"/>
          <w:numId w:val="32"/>
        </w:numPr>
        <w:ind w:left="714" w:hanging="357"/>
        <w:contextualSpacing w:val="0"/>
      </w:pPr>
      <w:r w:rsidRPr="00103CEB">
        <w:lastRenderedPageBreak/>
        <w:t>refugees, asylum seekers and recent migrants to Australia (including people from culturally and lingui</w:t>
      </w:r>
      <w:r>
        <w:t>stically diverse backgrounds)</w:t>
      </w:r>
    </w:p>
    <w:p w14:paraId="6773C416" w14:textId="75292C9D" w:rsidR="00103CEB" w:rsidRDefault="00103CEB" w:rsidP="007A4CA4">
      <w:pPr>
        <w:pStyle w:val="ListParagraph"/>
        <w:numPr>
          <w:ilvl w:val="0"/>
          <w:numId w:val="32"/>
        </w:numPr>
        <w:ind w:left="714" w:hanging="357"/>
        <w:contextualSpacing w:val="0"/>
      </w:pPr>
      <w:r w:rsidRPr="00103CEB">
        <w:t>intersex, transgender and gender diverse people</w:t>
      </w:r>
    </w:p>
    <w:p w14:paraId="1F6FD88F" w14:textId="04342343" w:rsidR="00103CEB" w:rsidRDefault="00103CEB" w:rsidP="007A4CA4">
      <w:pPr>
        <w:pStyle w:val="ListParagraph"/>
        <w:numPr>
          <w:ilvl w:val="0"/>
          <w:numId w:val="32"/>
        </w:numPr>
        <w:ind w:left="714" w:hanging="357"/>
        <w:contextualSpacing w:val="0"/>
      </w:pPr>
      <w:r w:rsidRPr="00103CEB">
        <w:t>people who have difficulty providing identification due to health or ageing</w:t>
      </w:r>
      <w:r>
        <w:t xml:space="preserve"> related reasons</w:t>
      </w:r>
    </w:p>
    <w:p w14:paraId="43BB5BD5" w14:textId="675981E1" w:rsidR="00103CEB" w:rsidRDefault="00103CEB" w:rsidP="007A4CA4">
      <w:pPr>
        <w:pStyle w:val="ListParagraph"/>
        <w:numPr>
          <w:ilvl w:val="0"/>
          <w:numId w:val="32"/>
        </w:numPr>
        <w:ind w:left="714" w:hanging="357"/>
        <w:contextualSpacing w:val="0"/>
      </w:pPr>
      <w:r w:rsidRPr="00103CEB">
        <w:t>people who did not</w:t>
      </w:r>
      <w:r>
        <w:t xml:space="preserve"> have their birth registered</w:t>
      </w:r>
    </w:p>
    <w:p w14:paraId="7F30F254" w14:textId="3C2071D2" w:rsidR="00103CEB" w:rsidRDefault="00103CEB" w:rsidP="007A4CA4">
      <w:pPr>
        <w:pStyle w:val="ListParagraph"/>
        <w:numPr>
          <w:ilvl w:val="0"/>
          <w:numId w:val="32"/>
        </w:numPr>
        <w:ind w:left="714" w:hanging="357"/>
        <w:contextualSpacing w:val="0"/>
      </w:pPr>
      <w:r w:rsidRPr="00103CEB">
        <w:t>young people who have not established a social footprint in the community.</w:t>
      </w:r>
    </w:p>
    <w:p w14:paraId="2EA32738" w14:textId="441EDB0D" w:rsidR="0051107A" w:rsidRPr="0051107A" w:rsidRDefault="0051107A" w:rsidP="0051107A">
      <w:r>
        <w:t>In these circumstances</w:t>
      </w:r>
      <w:r w:rsidR="004C70FD">
        <w:t>,</w:t>
      </w:r>
      <w:r>
        <w:t xml:space="preserve"> the reporting entity </w:t>
      </w:r>
      <w:r w:rsidR="0060564A">
        <w:t>may take reasonable steps to verify KYC information using data reasonably available to the</w:t>
      </w:r>
      <w:r w:rsidR="004C70FD">
        <w:t>m</w:t>
      </w:r>
      <w:r w:rsidR="0060564A">
        <w:t>. This permit</w:t>
      </w:r>
      <w:r w:rsidR="00103CEB">
        <w:t>s reporting entities to rely on alternate data to verify a customer’s identity, such as</w:t>
      </w:r>
      <w:r w:rsidR="00103CEB" w:rsidRPr="00103CEB">
        <w:t xml:space="preserve"> r</w:t>
      </w:r>
      <w:r w:rsidR="00103CEB">
        <w:t xml:space="preserve">eferee statements, </w:t>
      </w:r>
      <w:r w:rsidR="00103CEB" w:rsidRPr="00103CEB">
        <w:t xml:space="preserve">government correspondence, </w:t>
      </w:r>
      <w:r w:rsidR="00103CEB">
        <w:t xml:space="preserve">or </w:t>
      </w:r>
      <w:r w:rsidR="00103CEB" w:rsidRPr="00103CEB">
        <w:t>a community ID or Indigenous organisation membership card for Aboriginal and Torres Strait Islander peoples</w:t>
      </w:r>
      <w:r w:rsidR="00103CEB">
        <w:t xml:space="preserve">. The reporting entity must also implement </w:t>
      </w:r>
      <w:r w:rsidR="007A4CA4">
        <w:t xml:space="preserve">AML/CTF policies </w:t>
      </w:r>
      <w:r w:rsidR="00103CEB">
        <w:t>to mitigate and manage any additional ML/TF risk arising from the lack of information or evidence of the customer’s identity</w:t>
      </w:r>
      <w:r w:rsidR="007A4CA4">
        <w:t>.</w:t>
      </w:r>
    </w:p>
    <w:p w14:paraId="07DA0B8E" w14:textId="77777777" w:rsidR="00226836" w:rsidRDefault="00226836" w:rsidP="00226836">
      <w:pPr>
        <w:pStyle w:val="Heading3"/>
      </w:pPr>
      <w:bookmarkStart w:id="47" w:name="_Toc184666453"/>
      <w:r>
        <w:t>CDD reliance arrangements</w:t>
      </w:r>
      <w:bookmarkEnd w:id="47"/>
    </w:p>
    <w:p w14:paraId="36B4659E" w14:textId="77777777" w:rsidR="00EE7DE8" w:rsidRDefault="00103CEB" w:rsidP="00C9590F">
      <w:r>
        <w:t xml:space="preserve">The Exposure Draft Rules set requirements for arrangements for reliance on other reporting entities, or </w:t>
      </w:r>
      <w:r w:rsidR="004E1745">
        <w:t xml:space="preserve">foreign </w:t>
      </w:r>
      <w:r>
        <w:t xml:space="preserve">entities regulated </w:t>
      </w:r>
      <w:r w:rsidR="004E1745">
        <w:t xml:space="preserve">for AML/CTF compliance </w:t>
      </w:r>
      <w:r>
        <w:t>i</w:t>
      </w:r>
      <w:r w:rsidR="004E1745">
        <w:t>n another jurisdiction.</w:t>
      </w:r>
    </w:p>
    <w:p w14:paraId="261069D2" w14:textId="17546029" w:rsidR="00BF223C" w:rsidRPr="004A6CA3" w:rsidRDefault="004E1745" w:rsidP="00C9590F">
      <w:r>
        <w:t>Section 44 of the Exposure Draft Rules deal with ongoing, written agreements on reliance on collection and verification of KYC information undertaken by another regulated entity, whereas section 45 deals with ad-hoc reliance arrangements</w:t>
      </w:r>
      <w:r w:rsidR="007A4CA4">
        <w:t xml:space="preserve"> where there is no existing written agreement between the parties</w:t>
      </w:r>
      <w:r>
        <w:t>.</w:t>
      </w:r>
    </w:p>
    <w:p w14:paraId="5EB85F73" w14:textId="77777777" w:rsidR="009407A9" w:rsidRPr="004A6CA3" w:rsidRDefault="061273B7" w:rsidP="00B34CAA">
      <w:pPr>
        <w:pStyle w:val="Heading2"/>
      </w:pPr>
      <w:bookmarkStart w:id="48" w:name="_Toc184666454"/>
      <w:r>
        <w:t xml:space="preserve">Transfer of </w:t>
      </w:r>
      <w:r w:rsidR="16B21B5F">
        <w:t>v</w:t>
      </w:r>
      <w:r w:rsidR="067D1158">
        <w:t>alue (travel r</w:t>
      </w:r>
      <w:r>
        <w:t>ule)</w:t>
      </w:r>
      <w:bookmarkEnd w:id="43"/>
      <w:bookmarkEnd w:id="48"/>
    </w:p>
    <w:p w14:paraId="6232A786" w14:textId="1ACE6C96" w:rsidR="00BF223C" w:rsidRPr="004A6CA3" w:rsidRDefault="14F2F6FD" w:rsidP="00BF223C">
      <w:r>
        <w:t xml:space="preserve">Part 5 of the </w:t>
      </w:r>
      <w:r w:rsidR="21397202">
        <w:t>Amended AML/CTF Act</w:t>
      </w:r>
      <w:r>
        <w:t xml:space="preserve"> </w:t>
      </w:r>
      <w:r w:rsidR="16B21B5F">
        <w:t xml:space="preserve">simplifies the </w:t>
      </w:r>
      <w:r w:rsidR="00EE7DE8">
        <w:t>concepts relating</w:t>
      </w:r>
      <w:r w:rsidR="46E5A197">
        <w:t xml:space="preserve"> to</w:t>
      </w:r>
      <w:r w:rsidR="16B21B5F">
        <w:t xml:space="preserve"> transfers of value and international value transfer services, while introducing the </w:t>
      </w:r>
      <w:r w:rsidR="46E5A197">
        <w:t>updated</w:t>
      </w:r>
      <w:r w:rsidR="16B21B5F">
        <w:t xml:space="preserve"> travel rule obligations</w:t>
      </w:r>
      <w:r w:rsidR="46E5A197">
        <w:t xml:space="preserve"> for financial institutions and new travel rule obligations for remitters and virtual asset service providers</w:t>
      </w:r>
      <w:r w:rsidR="16B21B5F">
        <w:t xml:space="preserve">. Under the travel rule, information about the parties to a transaction must travel with the transfer of value. This provides payment transparency and aids preventative measures.  </w:t>
      </w:r>
    </w:p>
    <w:p w14:paraId="4C51BD56" w14:textId="62A09679" w:rsidR="00BF223C" w:rsidRPr="004A6CA3" w:rsidRDefault="1D02B3F8" w:rsidP="00BF223C">
      <w:r>
        <w:t>Part</w:t>
      </w:r>
      <w:r w:rsidR="06FB1434">
        <w:t>s</w:t>
      </w:r>
      <w:r>
        <w:t xml:space="preserve"> </w:t>
      </w:r>
      <w:r w:rsidR="06FB1434">
        <w:t xml:space="preserve">1 and </w:t>
      </w:r>
      <w:r w:rsidR="020C138B">
        <w:t xml:space="preserve">7 </w:t>
      </w:r>
      <w:r w:rsidR="16B21B5F">
        <w:t xml:space="preserve">of the </w:t>
      </w:r>
      <w:r w:rsidR="5484004A">
        <w:t>Exposure Draft Rules</w:t>
      </w:r>
      <w:r w:rsidR="16B21B5F">
        <w:t xml:space="preserve"> outline the relevant definitions and obligations associated with the new provisions in the </w:t>
      </w:r>
      <w:r w:rsidR="21397202">
        <w:t>Amended AML/CTF Act</w:t>
      </w:r>
      <w:r w:rsidR="16B21B5F">
        <w:t>.</w:t>
      </w:r>
    </w:p>
    <w:p w14:paraId="76D9572B" w14:textId="2D95EE0C" w:rsidR="00BF223C" w:rsidRPr="004A6CA3" w:rsidRDefault="00BF223C" w:rsidP="00BF223C">
      <w:r w:rsidRPr="004A6CA3">
        <w:t>Definitions are included</w:t>
      </w:r>
      <w:r w:rsidR="004E1745">
        <w:t xml:space="preserve"> in the Exposure Draft Rules</w:t>
      </w:r>
      <w:r w:rsidRPr="004A6CA3">
        <w:t xml:space="preserve"> for the following terms:</w:t>
      </w:r>
    </w:p>
    <w:p w14:paraId="0AF1FF0A" w14:textId="73052DE1" w:rsidR="005F085C" w:rsidRPr="004A6CA3" w:rsidRDefault="005F085C" w:rsidP="001838F9">
      <w:pPr>
        <w:numPr>
          <w:ilvl w:val="0"/>
          <w:numId w:val="22"/>
        </w:numPr>
      </w:pPr>
      <w:r w:rsidRPr="004A6CA3">
        <w:t>ordering institution</w:t>
      </w:r>
      <w:r w:rsidR="00DB63B3">
        <w:rPr>
          <w:rStyle w:val="FootnoteReference"/>
        </w:rPr>
        <w:footnoteReference w:id="47"/>
      </w:r>
      <w:r w:rsidR="00DB63B3">
        <w:t xml:space="preserve"> </w:t>
      </w:r>
    </w:p>
    <w:p w14:paraId="00D1E433" w14:textId="54BD3E81" w:rsidR="005F085C" w:rsidRPr="004A6CA3" w:rsidRDefault="005F085C" w:rsidP="001838F9">
      <w:pPr>
        <w:numPr>
          <w:ilvl w:val="0"/>
          <w:numId w:val="22"/>
        </w:numPr>
      </w:pPr>
      <w:r w:rsidRPr="004A6CA3">
        <w:lastRenderedPageBreak/>
        <w:t>beneficiary institution</w:t>
      </w:r>
      <w:r w:rsidR="00DB63B3">
        <w:rPr>
          <w:rStyle w:val="FootnoteReference"/>
        </w:rPr>
        <w:footnoteReference w:id="48"/>
      </w:r>
    </w:p>
    <w:p w14:paraId="0F2C2989" w14:textId="19A360DE" w:rsidR="00BF223C" w:rsidRPr="004A6CA3" w:rsidRDefault="00BF223C" w:rsidP="001838F9">
      <w:pPr>
        <w:numPr>
          <w:ilvl w:val="0"/>
          <w:numId w:val="22"/>
        </w:numPr>
      </w:pPr>
      <w:r w:rsidRPr="004A6CA3">
        <w:t>payer information</w:t>
      </w:r>
      <w:r w:rsidR="00DB63B3">
        <w:rPr>
          <w:rStyle w:val="FootnoteReference"/>
        </w:rPr>
        <w:footnoteReference w:id="49"/>
      </w:r>
    </w:p>
    <w:p w14:paraId="2C42184E" w14:textId="6E5D90CD" w:rsidR="00BF223C" w:rsidRPr="004A6CA3" w:rsidRDefault="00BF223C" w:rsidP="001838F9">
      <w:pPr>
        <w:numPr>
          <w:ilvl w:val="0"/>
          <w:numId w:val="22"/>
        </w:numPr>
      </w:pPr>
      <w:r w:rsidRPr="004A6CA3">
        <w:t>payee information</w:t>
      </w:r>
      <w:r w:rsidR="00DB63B3">
        <w:rPr>
          <w:rStyle w:val="FootnoteReference"/>
        </w:rPr>
        <w:footnoteReference w:id="50"/>
      </w:r>
    </w:p>
    <w:p w14:paraId="7EAB3BC4" w14:textId="10DEC493" w:rsidR="00BF223C" w:rsidRPr="004A6CA3" w:rsidRDefault="00BF223C" w:rsidP="001838F9">
      <w:pPr>
        <w:numPr>
          <w:ilvl w:val="0"/>
          <w:numId w:val="22"/>
        </w:numPr>
      </w:pPr>
      <w:r w:rsidRPr="004A6CA3">
        <w:t>tracing information</w:t>
      </w:r>
      <w:r w:rsidR="00DB63B3">
        <w:rPr>
          <w:rStyle w:val="FootnoteReference"/>
        </w:rPr>
        <w:footnoteReference w:id="51"/>
      </w:r>
    </w:p>
    <w:p w14:paraId="0A20C515" w14:textId="6C0D8C90" w:rsidR="00BF223C" w:rsidRPr="004A6CA3" w:rsidRDefault="00BF223C" w:rsidP="001838F9">
      <w:pPr>
        <w:numPr>
          <w:ilvl w:val="0"/>
          <w:numId w:val="22"/>
        </w:numPr>
      </w:pPr>
      <w:r w:rsidRPr="004A6CA3">
        <w:t>card-based pull payment</w:t>
      </w:r>
      <w:r w:rsidR="00DB63B3">
        <w:rPr>
          <w:rStyle w:val="FootnoteReference"/>
        </w:rPr>
        <w:footnoteReference w:id="52"/>
      </w:r>
    </w:p>
    <w:p w14:paraId="26355DAB" w14:textId="4B1855D8" w:rsidR="00BF223C" w:rsidRPr="004A6CA3" w:rsidRDefault="00BF223C" w:rsidP="001838F9">
      <w:pPr>
        <w:numPr>
          <w:ilvl w:val="0"/>
          <w:numId w:val="22"/>
        </w:numPr>
      </w:pPr>
      <w:r w:rsidRPr="004A6CA3">
        <w:t>domestic value transfer service</w:t>
      </w:r>
      <w:r w:rsidR="00DB63B3">
        <w:rPr>
          <w:rStyle w:val="FootnoteReference"/>
        </w:rPr>
        <w:footnoteReference w:id="53"/>
      </w:r>
    </w:p>
    <w:p w14:paraId="685734F2" w14:textId="4555B5D1" w:rsidR="005F085C" w:rsidRPr="004A6CA3" w:rsidRDefault="005F085C" w:rsidP="00BF223C">
      <w:r w:rsidRPr="004A6CA3">
        <w:t>D</w:t>
      </w:r>
      <w:r w:rsidR="00F13B0D" w:rsidRPr="004A6CA3">
        <w:t>uring P</w:t>
      </w:r>
      <w:r w:rsidRPr="004A6CA3">
        <w:t xml:space="preserve">arliamentary consideration of the </w:t>
      </w:r>
      <w:r w:rsidR="006003EE">
        <w:t>Amendment Act</w:t>
      </w:r>
      <w:r w:rsidR="00F13B0D" w:rsidRPr="004A6CA3">
        <w:t>,</w:t>
      </w:r>
      <w:r w:rsidRPr="004A6CA3">
        <w:t xml:space="preserve"> the definitions of ‘ordering institution’ and ‘beneficiary institution’ were moved to the AML/CTF Rules to allow for greater flexibility to respond to changes in technology and possible changes to the FATF standards (currently under consideration).</w:t>
      </w:r>
    </w:p>
    <w:p w14:paraId="74972138" w14:textId="77777777" w:rsidR="005F085C" w:rsidRPr="004A6CA3" w:rsidRDefault="005F085C" w:rsidP="00BF223C">
      <w:r w:rsidRPr="004A6CA3">
        <w:t>The definitions are intended to cover:</w:t>
      </w:r>
    </w:p>
    <w:p w14:paraId="64E26477" w14:textId="77777777" w:rsidR="005F085C" w:rsidRPr="004A6CA3" w:rsidRDefault="005F085C" w:rsidP="00F13B0D">
      <w:pPr>
        <w:numPr>
          <w:ilvl w:val="0"/>
          <w:numId w:val="22"/>
        </w:numPr>
      </w:pPr>
      <w:r w:rsidRPr="004A6CA3">
        <w:t>traditional transfers to or from financial institutions, either through bank accounts or over the counter (in particular, criteria (c) and (d) in both definitions)</w:t>
      </w:r>
    </w:p>
    <w:p w14:paraId="5C3524A3" w14:textId="77777777" w:rsidR="005F085C" w:rsidRPr="004A6CA3" w:rsidRDefault="005F085C" w:rsidP="00F13B0D">
      <w:pPr>
        <w:numPr>
          <w:ilvl w:val="0"/>
          <w:numId w:val="22"/>
        </w:numPr>
      </w:pPr>
      <w:r w:rsidRPr="004A6CA3">
        <w:t xml:space="preserve">certain remitter models where </w:t>
      </w:r>
      <w:r w:rsidR="00933799" w:rsidRPr="004A6CA3">
        <w:t xml:space="preserve">the remitter deposits </w:t>
      </w:r>
      <w:r w:rsidRPr="004A6CA3">
        <w:t xml:space="preserve">money into </w:t>
      </w:r>
      <w:r w:rsidR="00933799" w:rsidRPr="004A6CA3">
        <w:t xml:space="preserve">the customer’s </w:t>
      </w:r>
      <w:r w:rsidRPr="004A6CA3">
        <w:t>bank account</w:t>
      </w:r>
      <w:r w:rsidR="00933799" w:rsidRPr="004A6CA3">
        <w:t>, but the bank otherwise has no active role in the value transfer</w:t>
      </w:r>
      <w:r w:rsidRPr="004A6CA3">
        <w:t xml:space="preserve"> (criterion (b) in the definition of beneficiary institution)</w:t>
      </w:r>
    </w:p>
    <w:p w14:paraId="7DCB6145" w14:textId="77777777" w:rsidR="005F085C" w:rsidRPr="004A6CA3" w:rsidRDefault="005F085C" w:rsidP="00F13B0D">
      <w:pPr>
        <w:numPr>
          <w:ilvl w:val="0"/>
          <w:numId w:val="22"/>
        </w:numPr>
      </w:pPr>
      <w:r w:rsidRPr="004A6CA3">
        <w:t xml:space="preserve">certain </w:t>
      </w:r>
      <w:r w:rsidR="00D60118">
        <w:t>financial technology</w:t>
      </w:r>
      <w:r w:rsidRPr="004A6CA3">
        <w:t xml:space="preserve"> and payment service provider transfer services (in particular, criterion (b) in the definition of ordering institution), and</w:t>
      </w:r>
    </w:p>
    <w:p w14:paraId="7E5F8F05" w14:textId="77777777" w:rsidR="005F085C" w:rsidRPr="004A6CA3" w:rsidRDefault="005F085C" w:rsidP="00F13B0D">
      <w:pPr>
        <w:numPr>
          <w:ilvl w:val="0"/>
          <w:numId w:val="22"/>
        </w:numPr>
      </w:pPr>
      <w:r w:rsidRPr="004A6CA3">
        <w:t>alternative remittance, hawala and other offsetting arrangements (criterion (a) in both definitions).</w:t>
      </w:r>
    </w:p>
    <w:p w14:paraId="32FEB5DE" w14:textId="77777777" w:rsidR="005F085C" w:rsidRPr="004A6CA3" w:rsidRDefault="005F085C" w:rsidP="005F085C">
      <w:r w:rsidRPr="004A6CA3">
        <w:t>These criteria should be read together with the design</w:t>
      </w:r>
      <w:r w:rsidR="00020D6D" w:rsidRPr="004A6CA3">
        <w:t>ated service in which:</w:t>
      </w:r>
    </w:p>
    <w:p w14:paraId="7093D3A5" w14:textId="77777777" w:rsidR="00020D6D" w:rsidRPr="004A6CA3" w:rsidRDefault="00020D6D" w:rsidP="00F13B0D">
      <w:pPr>
        <w:numPr>
          <w:ilvl w:val="0"/>
          <w:numId w:val="22"/>
        </w:numPr>
      </w:pPr>
      <w:r w:rsidRPr="004A6CA3">
        <w:t xml:space="preserve">the ordering institution </w:t>
      </w:r>
      <w:r w:rsidRPr="004A6CA3">
        <w:rPr>
          <w:i/>
        </w:rPr>
        <w:t>accepts</w:t>
      </w:r>
      <w:r w:rsidRPr="004A6CA3">
        <w:t xml:space="preserve"> the instruction from the payer (and thereby begins a value transfer chain), and</w:t>
      </w:r>
    </w:p>
    <w:p w14:paraId="722B6483" w14:textId="77777777" w:rsidR="00020D6D" w:rsidRPr="004A6CA3" w:rsidRDefault="00020D6D" w:rsidP="00F13B0D">
      <w:pPr>
        <w:numPr>
          <w:ilvl w:val="0"/>
          <w:numId w:val="22"/>
        </w:numPr>
      </w:pPr>
      <w:r w:rsidRPr="004A6CA3">
        <w:t xml:space="preserve">the beneficiary institution </w:t>
      </w:r>
      <w:r w:rsidRPr="004A6CA3">
        <w:rPr>
          <w:i/>
        </w:rPr>
        <w:t>makes the transferred value available</w:t>
      </w:r>
      <w:r w:rsidRPr="004A6CA3">
        <w:t xml:space="preserve"> to the payee (and thereby ends the value transfer chain).</w:t>
      </w:r>
    </w:p>
    <w:p w14:paraId="05BBF44C" w14:textId="77777777" w:rsidR="00020D6D" w:rsidRPr="004A6CA3" w:rsidRDefault="00020D6D" w:rsidP="00020D6D">
      <w:r w:rsidRPr="004A6CA3">
        <w:t xml:space="preserve">The order of priority among the criteria in the ‘ordering institution’ and ‘beneficiary institution’ definitions are intended to resolve those relatively uncommon situations where more than one institution could be said to accept the instruction or make the transferred </w:t>
      </w:r>
      <w:r w:rsidRPr="004A6CA3">
        <w:lastRenderedPageBreak/>
        <w:t>value available. AUSTRAC seeks views on whether there are ways to approach these definition</w:t>
      </w:r>
      <w:r w:rsidR="00D60118">
        <w:t>s</w:t>
      </w:r>
      <w:r w:rsidRPr="004A6CA3">
        <w:t xml:space="preserve"> that would provide greater clarity.</w:t>
      </w:r>
    </w:p>
    <w:p w14:paraId="1697C115" w14:textId="77777777" w:rsidR="0062762A" w:rsidRPr="004A6CA3" w:rsidRDefault="0062762A" w:rsidP="00020D6D">
      <w:r w:rsidRPr="004A6CA3">
        <w:t>AUSTRAC guidance will contain extensive example scenarios setting out different types of ‘value transfer chains’ and identifying the ordering institution, intermediary institutions and beneficiary institutions in each of them.</w:t>
      </w:r>
    </w:p>
    <w:p w14:paraId="56D70251" w14:textId="622AF391" w:rsidR="00BF223C" w:rsidRPr="00BF223C" w:rsidRDefault="085FAEF3" w:rsidP="00BF223C">
      <w:r>
        <w:t xml:space="preserve">Part </w:t>
      </w:r>
      <w:r w:rsidR="3F69B735">
        <w:t xml:space="preserve">7 </w:t>
      </w:r>
      <w:r>
        <w:t>of the</w:t>
      </w:r>
      <w:r w:rsidR="16B21B5F">
        <w:t xml:space="preserve"> </w:t>
      </w:r>
      <w:r w:rsidR="735AEF9A">
        <w:t>Exposure Draft Rules</w:t>
      </w:r>
      <w:r w:rsidR="16B21B5F">
        <w:t xml:space="preserve"> also specif</w:t>
      </w:r>
      <w:r w:rsidR="0016791F">
        <w:t>y</w:t>
      </w:r>
      <w:r w:rsidR="16B21B5F">
        <w:t xml:space="preserve"> risk mitigation measures for the travel rule that are applicable to beneficiary and intermediary institutions. </w:t>
      </w:r>
    </w:p>
    <w:p w14:paraId="1180C667" w14:textId="77777777" w:rsidR="00BF223C" w:rsidRPr="00BF223C" w:rsidRDefault="00BF223C" w:rsidP="00BF223C">
      <w:r w:rsidRPr="00BF223C">
        <w:t>Beneficiary institutions must:</w:t>
      </w:r>
    </w:p>
    <w:p w14:paraId="14482341" w14:textId="77777777" w:rsidR="00BF223C" w:rsidRPr="00BF223C" w:rsidRDefault="00BF223C" w:rsidP="001838F9">
      <w:pPr>
        <w:numPr>
          <w:ilvl w:val="0"/>
          <w:numId w:val="22"/>
        </w:numPr>
      </w:pPr>
      <w:r w:rsidRPr="00BF223C">
        <w:t>take reasonable steps to monitor for missing payer and payee information in a transfer of value</w:t>
      </w:r>
    </w:p>
    <w:p w14:paraId="2E7D332E" w14:textId="77777777" w:rsidR="00BF223C" w:rsidRPr="00BF223C" w:rsidRDefault="00BF223C" w:rsidP="001838F9">
      <w:pPr>
        <w:numPr>
          <w:ilvl w:val="0"/>
          <w:numId w:val="22"/>
        </w:numPr>
      </w:pPr>
      <w:r w:rsidRPr="00BF223C">
        <w:t>verify the entity of a payee in a transfer of value to ensure the accuracy of information</w:t>
      </w:r>
    </w:p>
    <w:p w14:paraId="142138E4" w14:textId="77777777" w:rsidR="00BF223C" w:rsidRPr="00BF223C" w:rsidRDefault="00BF223C" w:rsidP="001838F9">
      <w:pPr>
        <w:numPr>
          <w:ilvl w:val="0"/>
          <w:numId w:val="22"/>
        </w:numPr>
      </w:pPr>
      <w:r w:rsidRPr="00BF223C">
        <w:t>monitor if payee information is inaccurate</w:t>
      </w:r>
    </w:p>
    <w:p w14:paraId="599039C0" w14:textId="77777777" w:rsidR="00BF223C" w:rsidRPr="00BF223C" w:rsidRDefault="00BF223C" w:rsidP="001838F9">
      <w:pPr>
        <w:numPr>
          <w:ilvl w:val="0"/>
          <w:numId w:val="22"/>
        </w:numPr>
      </w:pPr>
      <w:r w:rsidRPr="00BF223C">
        <w:t>determine what to do where the information is incomplete or inaccurate</w:t>
      </w:r>
    </w:p>
    <w:p w14:paraId="0D045A10" w14:textId="77777777" w:rsidR="00BF223C" w:rsidRPr="00BF223C" w:rsidRDefault="00BF223C" w:rsidP="00BF223C">
      <w:r w:rsidRPr="00BF223C">
        <w:t xml:space="preserve">Intermediary institutions are only required to: </w:t>
      </w:r>
    </w:p>
    <w:p w14:paraId="7AFFCD15" w14:textId="77777777" w:rsidR="00BF223C" w:rsidRPr="00BF223C" w:rsidRDefault="00BF223C" w:rsidP="001838F9">
      <w:pPr>
        <w:numPr>
          <w:ilvl w:val="0"/>
          <w:numId w:val="22"/>
        </w:numPr>
      </w:pPr>
      <w:r w:rsidRPr="00BF223C">
        <w:t xml:space="preserve">take reasonable steps to monitor for missing payer information </w:t>
      </w:r>
    </w:p>
    <w:p w14:paraId="426BA473" w14:textId="77777777" w:rsidR="00BF223C" w:rsidRPr="00BF223C" w:rsidRDefault="00BF223C" w:rsidP="001838F9">
      <w:pPr>
        <w:numPr>
          <w:ilvl w:val="0"/>
          <w:numId w:val="22"/>
        </w:numPr>
      </w:pPr>
      <w:r w:rsidRPr="00BF223C">
        <w:t>determine what to do in the case such information is incomplete</w:t>
      </w:r>
    </w:p>
    <w:p w14:paraId="3690B981" w14:textId="77777777" w:rsidR="00BF223C" w:rsidRPr="00BF223C" w:rsidRDefault="00BF223C" w:rsidP="001838F9">
      <w:pPr>
        <w:numPr>
          <w:ilvl w:val="0"/>
          <w:numId w:val="22"/>
        </w:numPr>
      </w:pPr>
      <w:r w:rsidRPr="00BF223C">
        <w:t>ensure that the required payer and payee information is retained with the transfer of value.  </w:t>
      </w:r>
    </w:p>
    <w:p w14:paraId="692948A7" w14:textId="31354BB9" w:rsidR="00BF223C" w:rsidRPr="00BF223C" w:rsidRDefault="16B21B5F" w:rsidP="00BF223C">
      <w:r>
        <w:t xml:space="preserve">The </w:t>
      </w:r>
      <w:r w:rsidR="57F2D823">
        <w:t>Exposure Draft Rules</w:t>
      </w:r>
      <w:r>
        <w:t xml:space="preserve"> also outline the information collection, verification and transmission obligations for the ordering, beneficiary, and intermediary institutions involved in transfers of value generally, as well as special provision for certain types of transfers.</w:t>
      </w:r>
    </w:p>
    <w:p w14:paraId="6FD510BF" w14:textId="77777777" w:rsidR="004628DC" w:rsidRDefault="771E8F48" w:rsidP="00B34CAA">
      <w:pPr>
        <w:pStyle w:val="Heading2"/>
      </w:pPr>
      <w:bookmarkStart w:id="49" w:name="_Toc184666455"/>
      <w:r>
        <w:t>Keep open n</w:t>
      </w:r>
      <w:r w:rsidR="57D95B15">
        <w:t>otices</w:t>
      </w:r>
      <w:bookmarkEnd w:id="49"/>
    </w:p>
    <w:p w14:paraId="5FE5D3BC" w14:textId="4327BCBE" w:rsidR="00173819" w:rsidRDefault="17A1A17E" w:rsidP="00DB63B3">
      <w:r>
        <w:t xml:space="preserve">Section 39B of the </w:t>
      </w:r>
      <w:r w:rsidR="21397202">
        <w:t>Amended AML/CTF Act</w:t>
      </w:r>
      <w:r>
        <w:t xml:space="preserve"> </w:t>
      </w:r>
      <w:r w:rsidR="15FFD8C6">
        <w:t>provide</w:t>
      </w:r>
      <w:r w:rsidR="1CD053D7">
        <w:t>s</w:t>
      </w:r>
      <w:r w:rsidR="15FFD8C6">
        <w:t xml:space="preserve"> for the issuing of a ‘</w:t>
      </w:r>
      <w:r w:rsidR="15FFD8C6" w:rsidRPr="00DB63B3">
        <w:t xml:space="preserve">keep open notice’ </w:t>
      </w:r>
      <w:r w:rsidR="15FFD8C6">
        <w:t>to a reporting entity where a senior member</w:t>
      </w:r>
      <w:r w:rsidR="15FFD8C6" w:rsidRPr="00DB63B3">
        <w:t xml:space="preserve"> </w:t>
      </w:r>
      <w:r w:rsidR="15FFD8C6">
        <w:t>of</w:t>
      </w:r>
      <w:r w:rsidR="15FFD8C6" w:rsidRPr="00DB63B3">
        <w:t xml:space="preserve"> </w:t>
      </w:r>
      <w:r w:rsidR="15FFD8C6">
        <w:t>a specified</w:t>
      </w:r>
      <w:r w:rsidR="15FFD8C6" w:rsidRPr="00DB63B3">
        <w:t xml:space="preserve"> </w:t>
      </w:r>
      <w:r w:rsidR="15FFD8C6">
        <w:t>agency</w:t>
      </w:r>
      <w:r w:rsidR="15FFD8C6" w:rsidRPr="00DB63B3">
        <w:t xml:space="preserve"> </w:t>
      </w:r>
      <w:r w:rsidR="15FFD8C6">
        <w:t>reasonably</w:t>
      </w:r>
      <w:r w:rsidR="15FFD8C6" w:rsidRPr="00DB63B3">
        <w:t xml:space="preserve"> </w:t>
      </w:r>
      <w:r w:rsidR="15FFD8C6">
        <w:t>believes</w:t>
      </w:r>
      <w:r w:rsidR="15FFD8C6" w:rsidRPr="00DB63B3">
        <w:t xml:space="preserve"> </w:t>
      </w:r>
      <w:r w:rsidR="15FFD8C6">
        <w:t>that</w:t>
      </w:r>
      <w:r w:rsidR="15FFD8C6" w:rsidRPr="00DB63B3">
        <w:t xml:space="preserve"> </w:t>
      </w:r>
      <w:r w:rsidR="2CBD8A1A">
        <w:t>the provision of</w:t>
      </w:r>
      <w:r w:rsidR="15FFD8C6" w:rsidRPr="00DB63B3">
        <w:t xml:space="preserve"> </w:t>
      </w:r>
      <w:r w:rsidR="15FFD8C6">
        <w:t>a</w:t>
      </w:r>
      <w:r w:rsidR="15FFD8C6" w:rsidRPr="00DB63B3">
        <w:t xml:space="preserve"> </w:t>
      </w:r>
      <w:r w:rsidR="15FFD8C6">
        <w:t>designated</w:t>
      </w:r>
      <w:r w:rsidR="15FFD8C6" w:rsidRPr="00DB63B3">
        <w:t xml:space="preserve"> </w:t>
      </w:r>
      <w:r w:rsidR="15FFD8C6">
        <w:t>service</w:t>
      </w:r>
      <w:r w:rsidR="15FFD8C6" w:rsidRPr="00DB63B3">
        <w:t xml:space="preserve"> </w:t>
      </w:r>
      <w:r w:rsidR="15FFD8C6">
        <w:t>by</w:t>
      </w:r>
      <w:r w:rsidR="15FFD8C6" w:rsidRPr="00DB63B3">
        <w:t xml:space="preserve"> </w:t>
      </w:r>
      <w:r w:rsidR="15FFD8C6">
        <w:t>the</w:t>
      </w:r>
      <w:r w:rsidR="15FFD8C6" w:rsidRPr="00DB63B3">
        <w:t xml:space="preserve"> </w:t>
      </w:r>
      <w:r w:rsidR="15FFD8C6">
        <w:t>reporting</w:t>
      </w:r>
      <w:r w:rsidR="15FFD8C6" w:rsidRPr="00DB63B3">
        <w:t xml:space="preserve"> </w:t>
      </w:r>
      <w:r w:rsidR="15FFD8C6">
        <w:t>entity</w:t>
      </w:r>
      <w:r w:rsidR="15FFD8C6" w:rsidRPr="00DB63B3">
        <w:t xml:space="preserve"> </w:t>
      </w:r>
      <w:r w:rsidR="15FFD8C6">
        <w:t xml:space="preserve">to a customer </w:t>
      </w:r>
      <w:r w:rsidR="2130DCE3">
        <w:t>would assist in the</w:t>
      </w:r>
      <w:r w:rsidR="15FFD8C6">
        <w:t xml:space="preserve"> investigation </w:t>
      </w:r>
      <w:r w:rsidR="4144DC14">
        <w:t>by the agency of</w:t>
      </w:r>
      <w:r w:rsidR="15FFD8C6">
        <w:t xml:space="preserve"> a serious offence</w:t>
      </w:r>
      <w:r w:rsidR="534F1F50">
        <w:t>.</w:t>
      </w:r>
      <w:r w:rsidR="15FFD8C6">
        <w:t xml:space="preserve"> </w:t>
      </w:r>
      <w:r w:rsidR="1288BFFE">
        <w:t>Section 39B also prescribes definitions for ‘senior member’, ‘specified agency’ and ‘serious offence’ for the purpose of the keep open notice framework.</w:t>
      </w:r>
    </w:p>
    <w:p w14:paraId="5BF066AC" w14:textId="579BF6A4" w:rsidR="00F14A77" w:rsidRDefault="6A68B1C1" w:rsidP="00DB63B3">
      <w:r>
        <w:t xml:space="preserve">A keep open notice </w:t>
      </w:r>
      <w:r w:rsidR="71925140">
        <w:t>under s</w:t>
      </w:r>
      <w:r w:rsidR="7FAA8824">
        <w:t xml:space="preserve">ection </w:t>
      </w:r>
      <w:r w:rsidR="71925140">
        <w:t>39B</w:t>
      </w:r>
      <w:r w:rsidR="48EB0B0C">
        <w:t xml:space="preserve"> of the </w:t>
      </w:r>
      <w:r w:rsidR="21397202">
        <w:t>Amended AML/CTF Act</w:t>
      </w:r>
      <w:r w:rsidR="7D3CDFA0">
        <w:t xml:space="preserve"> </w:t>
      </w:r>
      <w:r>
        <w:t xml:space="preserve">will replace the existing </w:t>
      </w:r>
      <w:r w:rsidR="5BC53FF3">
        <w:t xml:space="preserve">process prescribed in Chapter 75 of the </w:t>
      </w:r>
      <w:r w:rsidR="17A56D3A">
        <w:t xml:space="preserve">current </w:t>
      </w:r>
      <w:r w:rsidR="71925140">
        <w:t xml:space="preserve">Rules </w:t>
      </w:r>
      <w:r w:rsidR="534B5810">
        <w:t xml:space="preserve">which allows </w:t>
      </w:r>
      <w:r w:rsidR="144C2B72">
        <w:t xml:space="preserve">for the </w:t>
      </w:r>
      <w:r w:rsidR="6B06C2FC">
        <w:t xml:space="preserve">AUSTRAC CEO to </w:t>
      </w:r>
      <w:r w:rsidR="144C2B72">
        <w:t>issu</w:t>
      </w:r>
      <w:r w:rsidR="44F3B1C4">
        <w:t>e</w:t>
      </w:r>
      <w:r w:rsidR="144C2B72">
        <w:t xml:space="preserve"> exemption notices to reporting entities</w:t>
      </w:r>
      <w:r w:rsidR="30EDDA46">
        <w:t xml:space="preserve"> for the same purpose. </w:t>
      </w:r>
    </w:p>
    <w:p w14:paraId="0E50C405" w14:textId="4F6EB02E" w:rsidR="00D90658" w:rsidRDefault="6A68B1C1" w:rsidP="00173819">
      <w:r>
        <w:t xml:space="preserve">Where the legislative pre-conditions have </w:t>
      </w:r>
      <w:r w:rsidR="4387048A">
        <w:t xml:space="preserve">been </w:t>
      </w:r>
      <w:r>
        <w:t xml:space="preserve">fulfilled, a specified agency may issue a keep open notice directly to a reporting entity, which </w:t>
      </w:r>
      <w:r w:rsidR="7F612352">
        <w:t>will</w:t>
      </w:r>
      <w:r>
        <w:t xml:space="preserve"> exempt the</w:t>
      </w:r>
      <w:r w:rsidR="15FECF44">
        <w:t xml:space="preserve"> </w:t>
      </w:r>
      <w:r w:rsidR="460755F6">
        <w:t xml:space="preserve">reporting entity </w:t>
      </w:r>
      <w:r>
        <w:t xml:space="preserve">from </w:t>
      </w:r>
      <w:r>
        <w:lastRenderedPageBreak/>
        <w:t xml:space="preserve">needing to undertake certain customer due diligence obligations in respect of the customer(s) specified in the keep open notice. </w:t>
      </w:r>
      <w:r w:rsidR="7D411775">
        <w:t xml:space="preserve"> </w:t>
      </w:r>
      <w:r w:rsidR="41276530">
        <w:t xml:space="preserve">AUSTRAC will no longer be the issuing </w:t>
      </w:r>
      <w:r w:rsidR="632B3BFC">
        <w:t>agency but</w:t>
      </w:r>
      <w:r w:rsidR="0B08405C">
        <w:t xml:space="preserve"> will retain an oversight function</w:t>
      </w:r>
      <w:r w:rsidR="40593E13">
        <w:t xml:space="preserve"> in relation to</w:t>
      </w:r>
      <w:r w:rsidR="0A0DC28B">
        <w:t xml:space="preserve"> </w:t>
      </w:r>
      <w:r w:rsidR="052BD4BC">
        <w:t>keep open notices</w:t>
      </w:r>
      <w:r w:rsidR="7DC6A059">
        <w:t>.</w:t>
      </w:r>
      <w:r w:rsidR="41276530">
        <w:t xml:space="preserve"> </w:t>
      </w:r>
    </w:p>
    <w:p w14:paraId="29D7FFEB" w14:textId="4F755EBC" w:rsidR="00173819" w:rsidRPr="00173819" w:rsidRDefault="7D411775" w:rsidP="00173819">
      <w:r>
        <w:t xml:space="preserve">A copy of the </w:t>
      </w:r>
      <w:r w:rsidR="74F45EAE">
        <w:t xml:space="preserve">keep open </w:t>
      </w:r>
      <w:r>
        <w:t xml:space="preserve">notice </w:t>
      </w:r>
      <w:r w:rsidR="671D1959">
        <w:t>must</w:t>
      </w:r>
      <w:r>
        <w:t xml:space="preserve"> to be sent to AUSTRAC </w:t>
      </w:r>
      <w:r w:rsidR="2D1D1B9D">
        <w:t xml:space="preserve">by the issuing agency </w:t>
      </w:r>
      <w:r>
        <w:t xml:space="preserve">at the same time as </w:t>
      </w:r>
      <w:r w:rsidR="21553DA1">
        <w:t xml:space="preserve">it is issued </w:t>
      </w:r>
      <w:r>
        <w:t xml:space="preserve">to the reporting entity. </w:t>
      </w:r>
      <w:r w:rsidR="71925140">
        <w:t>Th</w:t>
      </w:r>
      <w:r w:rsidR="58C0637F">
        <w:t xml:space="preserve">is </w:t>
      </w:r>
      <w:r w:rsidR="3F2BA972">
        <w:t xml:space="preserve">will </w:t>
      </w:r>
      <w:r w:rsidR="58C0637F">
        <w:t>both inform AUSTRAC that the exemption applies to the reporting entity in res</w:t>
      </w:r>
      <w:r w:rsidR="6BC2BB5E">
        <w:t>p</w:t>
      </w:r>
      <w:r w:rsidR="58C0637F">
        <w:t>ect of the customer, and</w:t>
      </w:r>
      <w:r w:rsidR="1BDA338D">
        <w:t xml:space="preserve"> provide an opportunity for the</w:t>
      </w:r>
      <w:r w:rsidR="71925140">
        <w:t xml:space="preserve"> </w:t>
      </w:r>
      <w:r>
        <w:t xml:space="preserve">AUSTRAC </w:t>
      </w:r>
      <w:r w:rsidR="71925140">
        <w:t xml:space="preserve">CEO </w:t>
      </w:r>
      <w:r w:rsidR="2B7E0BE1">
        <w:t>to</w:t>
      </w:r>
      <w:r>
        <w:t xml:space="preserve"> disallow the notice if it is not validly made. </w:t>
      </w:r>
      <w:r w:rsidR="71925140">
        <w:t xml:space="preserve">As currently occurs with </w:t>
      </w:r>
      <w:r w:rsidR="157143BA">
        <w:t>a</w:t>
      </w:r>
      <w:r w:rsidR="71925140">
        <w:t xml:space="preserve"> Chapter 75 exemption notice, t</w:t>
      </w:r>
      <w:r w:rsidR="6A68B1C1">
        <w:t>here is no obligation on the reporting entity to accept</w:t>
      </w:r>
      <w:r w:rsidR="71925140">
        <w:t>,</w:t>
      </w:r>
      <w:r>
        <w:t xml:space="preserve"> and implement</w:t>
      </w:r>
      <w:r w:rsidR="71925140">
        <w:t>,</w:t>
      </w:r>
      <w:r w:rsidR="6A68B1C1">
        <w:t xml:space="preserve"> the keep open notice. </w:t>
      </w:r>
    </w:p>
    <w:p w14:paraId="239AE2DE" w14:textId="701D2F35" w:rsidR="00173819" w:rsidRPr="00226836" w:rsidRDefault="71925140" w:rsidP="24363412">
      <w:r>
        <w:t>A</w:t>
      </w:r>
      <w:r w:rsidR="4387048A">
        <w:t xml:space="preserve"> keep open notice may be extended</w:t>
      </w:r>
      <w:r w:rsidR="7D411775">
        <w:t xml:space="preserve"> by the specified agency</w:t>
      </w:r>
      <w:r w:rsidR="1EB18CF9">
        <w:t>,</w:t>
      </w:r>
      <w:r w:rsidR="4387048A">
        <w:t xml:space="preserve"> if required. </w:t>
      </w:r>
      <w:r w:rsidR="68CAF4B6">
        <w:t>After being issued, an extension notice will also need to be sent to both the reporting entity and AUSTRAC.</w:t>
      </w:r>
      <w:r w:rsidR="49C4E30D">
        <w:t xml:space="preserve"> </w:t>
      </w:r>
      <w:r w:rsidR="49C4E30D" w:rsidRPr="008702B5">
        <w:t xml:space="preserve">A specified agency can </w:t>
      </w:r>
      <w:r w:rsidR="18F9F2F9" w:rsidRPr="00226836">
        <w:t xml:space="preserve">extend the application of a keep open notice twice, before an application needs to be made to the AUSTRAC CEO for further </w:t>
      </w:r>
      <w:r w:rsidR="255DA802" w:rsidRPr="00226836">
        <w:t>extensions. A template application form is included in the Exposure Draft Rules.</w:t>
      </w:r>
    </w:p>
    <w:p w14:paraId="309FB4EB" w14:textId="17366471" w:rsidR="004628DC" w:rsidRDefault="300535C5" w:rsidP="004628DC">
      <w:r>
        <w:t>Schedule 1 to the</w:t>
      </w:r>
      <w:r w:rsidR="17A1A17E">
        <w:t xml:space="preserve"> </w:t>
      </w:r>
      <w:r w:rsidR="57F2D823">
        <w:t>Exposure Draft Rules</w:t>
      </w:r>
      <w:r w:rsidR="57D95B15">
        <w:t xml:space="preserve"> </w:t>
      </w:r>
      <w:r w:rsidR="15FFD8C6">
        <w:t>prescribe the forms to be used</w:t>
      </w:r>
      <w:r w:rsidR="0C9242BA">
        <w:t xml:space="preserve"> </w:t>
      </w:r>
      <w:r w:rsidR="6015220F">
        <w:t>by when a prescribed issuing agency</w:t>
      </w:r>
      <w:r w:rsidR="0B942015">
        <w:t xml:space="preserve"> </w:t>
      </w:r>
      <w:r w:rsidR="0C9242BA">
        <w:t>issu</w:t>
      </w:r>
      <w:r w:rsidR="0F8C02D6">
        <w:t>es</w:t>
      </w:r>
      <w:r w:rsidR="0C9242BA">
        <w:t xml:space="preserve">  keep open notices</w:t>
      </w:r>
      <w:r w:rsidR="79E39891">
        <w:t>,</w:t>
      </w:r>
      <w:r w:rsidR="53029206">
        <w:t xml:space="preserve"> </w:t>
      </w:r>
      <w:r w:rsidR="3C232974">
        <w:t xml:space="preserve">notices </w:t>
      </w:r>
      <w:r w:rsidR="53029206">
        <w:t>extending</w:t>
      </w:r>
      <w:r w:rsidR="09F6C52A">
        <w:t xml:space="preserve"> keep open notices, and application forms which agencies must use to apply to AUSTRAC CEO to for approval to issue further extensions</w:t>
      </w:r>
      <w:r w:rsidR="632E5357">
        <w:t xml:space="preserve">. </w:t>
      </w:r>
      <w:r w:rsidR="4632F09C">
        <w:t xml:space="preserve">These forms have been drafted to contain what AUSTRAC anticipates is a sufficient amount of information </w:t>
      </w:r>
      <w:r w:rsidR="748ED19D">
        <w:t xml:space="preserve">for a reporting entity </w:t>
      </w:r>
      <w:r w:rsidR="4632F09C">
        <w:t xml:space="preserve">to identify the customer or customers to which the exemption applies, and </w:t>
      </w:r>
      <w:r w:rsidR="1696BC09">
        <w:t>promote a consistent manner of presenting information</w:t>
      </w:r>
      <w:r w:rsidR="6216E10A">
        <w:t xml:space="preserve"> by issuing agencies to reporting entities and AUSTRAC.</w:t>
      </w:r>
      <w:r w:rsidR="1775BA64">
        <w:t>.</w:t>
      </w:r>
    </w:p>
    <w:p w14:paraId="79EC6C71" w14:textId="3D078D1E" w:rsidR="00185CE7" w:rsidRDefault="2DC54B2D" w:rsidP="00B34CAA">
      <w:pPr>
        <w:pStyle w:val="Heading2"/>
      </w:pPr>
      <w:bookmarkStart w:id="50" w:name="_Toc184666456"/>
      <w:r>
        <w:t>Minor amendments</w:t>
      </w:r>
      <w:bookmarkEnd w:id="50"/>
    </w:p>
    <w:p w14:paraId="7E09196B" w14:textId="31422C7F" w:rsidR="000D0047" w:rsidRDefault="2DC54B2D" w:rsidP="00B27506">
      <w:r>
        <w:t>Minor amendments have been made to</w:t>
      </w:r>
      <w:r w:rsidR="3355AD14">
        <w:t xml:space="preserve"> generally </w:t>
      </w:r>
      <w:r>
        <w:t xml:space="preserve">align the following obligations to the relevant provisions of the </w:t>
      </w:r>
      <w:r w:rsidR="21397202">
        <w:t>Amended AML/CTF Act</w:t>
      </w:r>
      <w:r>
        <w:t xml:space="preserve">: </w:t>
      </w:r>
    </w:p>
    <w:p w14:paraId="4B00A002" w14:textId="0247C3F9" w:rsidR="2F8B77AF" w:rsidRDefault="2F8B77AF" w:rsidP="24363412">
      <w:pPr>
        <w:pStyle w:val="ListParagraph"/>
        <w:numPr>
          <w:ilvl w:val="0"/>
          <w:numId w:val="22"/>
        </w:numPr>
        <w:ind w:left="777" w:hanging="357"/>
        <w:contextualSpacing w:val="0"/>
      </w:pPr>
      <w:r>
        <w:t>Section 1</w:t>
      </w:r>
      <w:r w:rsidR="17554242">
        <w:t>9</w:t>
      </w:r>
      <w:r>
        <w:t xml:space="preserve"> of the Exposure Draft Rules require that the AML/CTF policies of a reporting entity must </w:t>
      </w:r>
      <w:r w:rsidR="285C3275">
        <w:t>ensure</w:t>
      </w:r>
      <w:r>
        <w:t xml:space="preserve"> </w:t>
      </w:r>
      <w:r w:rsidR="6C805F06">
        <w:t xml:space="preserve">that senior managers give approval or are informed before commencing to provide a designated service in certain circumstances. These measures are additional to the requirement to </w:t>
      </w:r>
      <w:r w:rsidR="26924AE1">
        <w:t xml:space="preserve">perform enhanced customer due diligence pursuant to the circumstances mentioned in section 32 of the </w:t>
      </w:r>
      <w:r w:rsidR="21397202">
        <w:t>Amended AML/CTF Act</w:t>
      </w:r>
      <w:r w:rsidR="26924AE1">
        <w:t>.</w:t>
      </w:r>
      <w:r w:rsidR="6DEFF99D">
        <w:t xml:space="preserve"> The rules take the approach of separating governance around management and mitigation of customer risk from CDD identification and verification requirements.</w:t>
      </w:r>
    </w:p>
    <w:p w14:paraId="3E210D24" w14:textId="7F962350" w:rsidR="000D0047" w:rsidRPr="00DD52B9" w:rsidRDefault="3355AD14" w:rsidP="423425FA">
      <w:pPr>
        <w:pStyle w:val="ListParagraph"/>
        <w:numPr>
          <w:ilvl w:val="0"/>
          <w:numId w:val="22"/>
        </w:numPr>
        <w:ind w:left="777" w:hanging="357"/>
        <w:contextualSpacing w:val="0"/>
      </w:pPr>
      <w:r>
        <w:t xml:space="preserve">Part </w:t>
      </w:r>
      <w:r w:rsidR="634FC760">
        <w:t xml:space="preserve">6 </w:t>
      </w:r>
      <w:r>
        <w:t xml:space="preserve">of the </w:t>
      </w:r>
      <w:r w:rsidR="63F4F5A9">
        <w:t>Exposure Draft Rules</w:t>
      </w:r>
      <w:r w:rsidR="2DC54B2D">
        <w:t xml:space="preserve"> align correspondent banking requirements with the </w:t>
      </w:r>
      <w:r w:rsidR="21397202">
        <w:t>Amended AML/CTF Act</w:t>
      </w:r>
      <w:r>
        <w:t xml:space="preserve">, while maintaining the substance of Chapter 3 of the </w:t>
      </w:r>
      <w:r w:rsidR="369AABAD">
        <w:t>Current Rules</w:t>
      </w:r>
      <w:r>
        <w:t xml:space="preserve">. </w:t>
      </w:r>
    </w:p>
    <w:p w14:paraId="1501EDE1" w14:textId="57924E0B" w:rsidR="00681A46" w:rsidRPr="00DD52B9" w:rsidRDefault="085FAEF3" w:rsidP="423425FA">
      <w:pPr>
        <w:pStyle w:val="ListParagraph"/>
        <w:numPr>
          <w:ilvl w:val="0"/>
          <w:numId w:val="22"/>
        </w:numPr>
        <w:ind w:left="777" w:hanging="357"/>
        <w:contextualSpacing w:val="0"/>
      </w:pPr>
      <w:r>
        <w:lastRenderedPageBreak/>
        <w:t xml:space="preserve">Division </w:t>
      </w:r>
      <w:r w:rsidR="4CD5F1DA">
        <w:t>4</w:t>
      </w:r>
      <w:r>
        <w:t xml:space="preserve"> of </w:t>
      </w:r>
      <w:r w:rsidR="5804D106">
        <w:t xml:space="preserve">Part </w:t>
      </w:r>
      <w:r w:rsidR="7BF1ACC7">
        <w:t xml:space="preserve">8 </w:t>
      </w:r>
      <w:r w:rsidR="3355AD14">
        <w:t xml:space="preserve">of the </w:t>
      </w:r>
      <w:r w:rsidR="1B3E8DA9">
        <w:t>Exposure Draft Rules</w:t>
      </w:r>
      <w:r w:rsidR="3355AD14">
        <w:t xml:space="preserve"> </w:t>
      </w:r>
      <w:r w:rsidR="48D608FD">
        <w:t>specif</w:t>
      </w:r>
      <w:r w:rsidR="0016791F">
        <w:t>y</w:t>
      </w:r>
      <w:r w:rsidR="3355AD14">
        <w:t xml:space="preserve"> the reporting period and lodgement period for compliance reports, which </w:t>
      </w:r>
      <w:r w:rsidR="00226836">
        <w:t>replace</w:t>
      </w:r>
      <w:r w:rsidR="5623E613">
        <w:t xml:space="preserve"> Chapter 11 of the Cu</w:t>
      </w:r>
      <w:r w:rsidR="2234B66A">
        <w:t>rrent Rules</w:t>
      </w:r>
      <w:r>
        <w:t xml:space="preserve">. </w:t>
      </w:r>
    </w:p>
    <w:p w14:paraId="060F9560" w14:textId="1D2E57B1" w:rsidR="008530BC" w:rsidRPr="00DD52B9" w:rsidRDefault="5804D106" w:rsidP="423425FA">
      <w:pPr>
        <w:pStyle w:val="ListParagraph"/>
        <w:numPr>
          <w:ilvl w:val="0"/>
          <w:numId w:val="22"/>
        </w:numPr>
        <w:ind w:left="777" w:hanging="357"/>
        <w:contextualSpacing w:val="0"/>
      </w:pPr>
      <w:r>
        <w:t xml:space="preserve">Division </w:t>
      </w:r>
      <w:r w:rsidR="5F8FB062">
        <w:t>6</w:t>
      </w:r>
      <w:r w:rsidR="085FAEF3">
        <w:t xml:space="preserve"> of </w:t>
      </w:r>
      <w:r>
        <w:t xml:space="preserve">Part </w:t>
      </w:r>
      <w:r w:rsidR="5CBBF6CF">
        <w:t>8</w:t>
      </w:r>
      <w:r w:rsidR="085FAEF3">
        <w:t xml:space="preserve"> of the </w:t>
      </w:r>
      <w:r w:rsidR="1B3E8DA9">
        <w:t>Exposure Draft Rules</w:t>
      </w:r>
      <w:r w:rsidR="085FAEF3">
        <w:t xml:space="preserve"> retain</w:t>
      </w:r>
      <w:r w:rsidR="00DB63B3">
        <w:t xml:space="preserve"> </w:t>
      </w:r>
      <w:r w:rsidR="0016791F">
        <w:t xml:space="preserve">and </w:t>
      </w:r>
      <w:r w:rsidR="00DB63B3">
        <w:t>relocate</w:t>
      </w:r>
      <w:r w:rsidR="085FAEF3">
        <w:t xml:space="preserve"> the existing cross border movement requirements in Chapter 24 of the </w:t>
      </w:r>
      <w:r w:rsidR="369AABAD">
        <w:t>Current Rules</w:t>
      </w:r>
      <w:r w:rsidR="085FAEF3">
        <w:t xml:space="preserve">. </w:t>
      </w:r>
    </w:p>
    <w:p w14:paraId="1EE2460A" w14:textId="408EE009" w:rsidR="00681A46" w:rsidRPr="00DD52B9" w:rsidRDefault="3355AD14" w:rsidP="423425FA">
      <w:pPr>
        <w:pStyle w:val="ListParagraph"/>
        <w:numPr>
          <w:ilvl w:val="0"/>
          <w:numId w:val="22"/>
        </w:numPr>
        <w:ind w:left="777" w:hanging="357"/>
        <w:contextualSpacing w:val="0"/>
      </w:pPr>
      <w:r>
        <w:t>P</w:t>
      </w:r>
      <w:r w:rsidR="085FAEF3">
        <w:t>art 1</w:t>
      </w:r>
      <w:r w:rsidR="7C5490D7">
        <w:t>0</w:t>
      </w:r>
      <w:r>
        <w:t xml:space="preserve"> of the </w:t>
      </w:r>
      <w:r w:rsidR="215EBBA7">
        <w:t>Exposure Draft Rules</w:t>
      </w:r>
      <w:r>
        <w:t xml:space="preserve"> incorporate the list of agencies that can receive information under section 127(3) of the </w:t>
      </w:r>
      <w:r w:rsidR="0C72B5E4">
        <w:t xml:space="preserve">current </w:t>
      </w:r>
      <w:r>
        <w:t xml:space="preserve">AML/CTF Act, with minor amendments, into the Rules, noting that this list </w:t>
      </w:r>
      <w:r w:rsidR="0C72B5E4">
        <w:t>will be</w:t>
      </w:r>
      <w:r>
        <w:t xml:space="preserve"> removed </w:t>
      </w:r>
      <w:r w:rsidR="0C72B5E4">
        <w:t xml:space="preserve">from the </w:t>
      </w:r>
      <w:r w:rsidR="21397202">
        <w:t>Amended AML/CTF Act</w:t>
      </w:r>
      <w:r>
        <w:t>.</w:t>
      </w:r>
      <w:r w:rsidR="112330D1">
        <w:t xml:space="preserve"> </w:t>
      </w:r>
    </w:p>
    <w:p w14:paraId="69A5B004" w14:textId="78EBA58F" w:rsidR="004A6CA3" w:rsidRDefault="73AED455" w:rsidP="004A6CA3">
      <w:pPr>
        <w:pStyle w:val="ListParagraph"/>
        <w:numPr>
          <w:ilvl w:val="0"/>
          <w:numId w:val="22"/>
        </w:numPr>
        <w:contextualSpacing w:val="0"/>
      </w:pPr>
      <w:r>
        <w:t xml:space="preserve">Obligations to conduct enhanced customer due diligence will be moved to section 32 of the </w:t>
      </w:r>
      <w:r w:rsidR="21397202">
        <w:t>Amended AML/CTF Act</w:t>
      </w:r>
      <w:r>
        <w:t xml:space="preserve">. Many of the prescriptive requirements in Chapter 15 of the </w:t>
      </w:r>
      <w:r w:rsidR="6349E4EF">
        <w:t>Current Rules</w:t>
      </w:r>
      <w:r>
        <w:t xml:space="preserve"> will be removed, as they will be made redundant by the amended Act. </w:t>
      </w:r>
    </w:p>
    <w:p w14:paraId="145E871C" w14:textId="272A28F1" w:rsidR="00EB5C52" w:rsidRDefault="35A7CF53" w:rsidP="008702B5">
      <w:pPr>
        <w:pStyle w:val="Heading1"/>
      </w:pPr>
      <w:bookmarkStart w:id="51" w:name="_Toc184666457"/>
      <w:bookmarkEnd w:id="16"/>
      <w:r>
        <w:lastRenderedPageBreak/>
        <w:t>Questions</w:t>
      </w:r>
      <w:bookmarkEnd w:id="51"/>
      <w:r>
        <w:t xml:space="preserve"> </w:t>
      </w:r>
    </w:p>
    <w:p w14:paraId="0972081B" w14:textId="77777777" w:rsidR="00A96686" w:rsidRDefault="6733EE2A" w:rsidP="00B34CAA">
      <w:pPr>
        <w:pStyle w:val="Heading2"/>
      </w:pPr>
      <w:bookmarkStart w:id="52" w:name="_Toc184666458"/>
      <w:r>
        <w:t>General</w:t>
      </w:r>
      <w:bookmarkEnd w:id="52"/>
      <w:r>
        <w:t xml:space="preserve"> </w:t>
      </w:r>
    </w:p>
    <w:p w14:paraId="76AD997F" w14:textId="21B032D6" w:rsidR="00C73E48" w:rsidRDefault="75D1F6BD" w:rsidP="000274CD">
      <w:pPr>
        <w:pStyle w:val="ListParagraph"/>
        <w:numPr>
          <w:ilvl w:val="0"/>
          <w:numId w:val="21"/>
        </w:numPr>
        <w:ind w:left="714" w:hanging="357"/>
        <w:contextualSpacing w:val="0"/>
      </w:pPr>
      <w:r>
        <w:t xml:space="preserve">Do any aspects of the </w:t>
      </w:r>
      <w:r w:rsidR="5D27CA50">
        <w:t>Exposure Draft Rules</w:t>
      </w:r>
      <w:r>
        <w:t xml:space="preserve"> create unnecessary friction with existing approaches to risk mitigation in your business or sector? If so, what are they? Are there alternative approaches that could achieve the same regulatory outcomes?</w:t>
      </w:r>
    </w:p>
    <w:p w14:paraId="7F9B0505" w14:textId="4EA16EFE" w:rsidR="00DB63B3" w:rsidRPr="000274CD" w:rsidRDefault="00DB63B3" w:rsidP="000274CD">
      <w:pPr>
        <w:pStyle w:val="ListParagraph"/>
        <w:numPr>
          <w:ilvl w:val="0"/>
          <w:numId w:val="21"/>
        </w:numPr>
        <w:ind w:left="714" w:hanging="357"/>
        <w:contextualSpacing w:val="0"/>
      </w:pPr>
      <w:r w:rsidRPr="000274CD">
        <w:t xml:space="preserve">Are any rules not sufficiently flexible to be scalable to </w:t>
      </w:r>
      <w:r w:rsidRPr="000274CD">
        <w:rPr>
          <w:rFonts w:eastAsia="Calibri" w:cs="Calibri"/>
        </w:rPr>
        <w:t>specific circumstances of small businesses</w:t>
      </w:r>
      <w:r w:rsidR="005937F0" w:rsidRPr="000274CD">
        <w:rPr>
          <w:rFonts w:eastAsia="Calibri" w:cs="Calibri"/>
        </w:rPr>
        <w:t>,</w:t>
      </w:r>
      <w:r w:rsidRPr="000274CD">
        <w:rPr>
          <w:rFonts w:eastAsia="Calibri" w:cs="Calibri"/>
        </w:rPr>
        <w:t xml:space="preserve"> sole traders or sole practitioners? </w:t>
      </w:r>
      <w:r w:rsidRPr="000274CD">
        <w:t>Are there alternative approaches that could achieve the same regulatory outcomes?</w:t>
      </w:r>
    </w:p>
    <w:p w14:paraId="05B6A3D2" w14:textId="3385529E" w:rsidR="005937F0" w:rsidRPr="000274CD" w:rsidRDefault="005937F0" w:rsidP="000274CD">
      <w:pPr>
        <w:pStyle w:val="ListParagraph"/>
        <w:numPr>
          <w:ilvl w:val="0"/>
          <w:numId w:val="21"/>
        </w:numPr>
        <w:ind w:left="714" w:hanging="357"/>
        <w:contextualSpacing w:val="0"/>
      </w:pPr>
      <w:r w:rsidRPr="000274CD">
        <w:t xml:space="preserve">Are any rules not sufficiently flexible to be scalable to </w:t>
      </w:r>
      <w:r w:rsidRPr="000274CD">
        <w:rPr>
          <w:rFonts w:eastAsia="Calibri" w:cs="Calibri"/>
        </w:rPr>
        <w:t xml:space="preserve">specific circumstances of large or multinational businesses? </w:t>
      </w:r>
      <w:r w:rsidRPr="000274CD">
        <w:t>Are there alternative approaches that could achieve the same regulatory outcomes?</w:t>
      </w:r>
    </w:p>
    <w:p w14:paraId="7CE684FC" w14:textId="77777777" w:rsidR="00F13B0D" w:rsidRDefault="771E8F48" w:rsidP="00B34CAA">
      <w:pPr>
        <w:pStyle w:val="Heading2"/>
      </w:pPr>
      <w:bookmarkStart w:id="53" w:name="_Toc184666459"/>
      <w:r>
        <w:t>AML/CTF p</w:t>
      </w:r>
      <w:r w:rsidR="751B37F9">
        <w:t>rograms</w:t>
      </w:r>
      <w:bookmarkEnd w:id="53"/>
    </w:p>
    <w:p w14:paraId="24B452A0" w14:textId="1E5DA5C2" w:rsidR="00DB63B3" w:rsidRDefault="751B37F9" w:rsidP="00DB63B3">
      <w:pPr>
        <w:pStyle w:val="ListParagraph"/>
        <w:numPr>
          <w:ilvl w:val="0"/>
          <w:numId w:val="21"/>
        </w:numPr>
      </w:pPr>
      <w:r>
        <w:t>What is a reasonable period of time for you to document updates made to your ML/TF risk assessment or AML/CTF policies?</w:t>
      </w:r>
    </w:p>
    <w:p w14:paraId="60FD280D" w14:textId="65479EA8" w:rsidR="008567CE" w:rsidRDefault="771E8F48" w:rsidP="00B34CAA">
      <w:pPr>
        <w:pStyle w:val="Heading2"/>
      </w:pPr>
      <w:bookmarkStart w:id="54" w:name="_Toc184666460"/>
      <w:r>
        <w:t>Reporting g</w:t>
      </w:r>
      <w:r w:rsidR="0CF50538">
        <w:t>roups</w:t>
      </w:r>
      <w:bookmarkEnd w:id="54"/>
    </w:p>
    <w:p w14:paraId="6AF66318" w14:textId="77777777" w:rsidR="00AB5F47" w:rsidRDefault="00AB5F47" w:rsidP="00F13B0D">
      <w:pPr>
        <w:pStyle w:val="ListParagraph"/>
        <w:numPr>
          <w:ilvl w:val="0"/>
          <w:numId w:val="21"/>
        </w:numPr>
        <w:contextualSpacing w:val="0"/>
      </w:pPr>
      <w:r>
        <w:t>What are the structures in your industry by which businesses exercise control over one another (e</w:t>
      </w:r>
      <w:r w:rsidR="0027629F">
        <w:t>.</w:t>
      </w:r>
      <w:r>
        <w:t>g. corporate structures, partnerships</w:t>
      </w:r>
      <w:r w:rsidR="00540B07">
        <w:t xml:space="preserve">, joint ventures, franchises, </w:t>
      </w:r>
      <w:r w:rsidR="0027629F">
        <w:t xml:space="preserve">trust arrangements, </w:t>
      </w:r>
      <w:r w:rsidR="00540B07">
        <w:t>decentralised operations and platform-based operations</w:t>
      </w:r>
      <w:r>
        <w:t xml:space="preserve"> etc.)?</w:t>
      </w:r>
    </w:p>
    <w:p w14:paraId="094490E6" w14:textId="77777777" w:rsidR="00AB5F47" w:rsidRDefault="0027629F" w:rsidP="00F13B0D">
      <w:pPr>
        <w:pStyle w:val="ListParagraph"/>
        <w:numPr>
          <w:ilvl w:val="0"/>
          <w:numId w:val="21"/>
        </w:numPr>
        <w:contextualSpacing w:val="0"/>
      </w:pPr>
      <w:r>
        <w:t>Where you or your sector use group structures that do not involve ownership or control, what are these structures? Are there any impediments to sharing customer and compliance information within such groups for AML/CTF purposes?</w:t>
      </w:r>
    </w:p>
    <w:p w14:paraId="267780BA" w14:textId="77777777" w:rsidR="00540B07" w:rsidRDefault="0027629F" w:rsidP="00F13B0D">
      <w:pPr>
        <w:pStyle w:val="ListParagraph"/>
        <w:numPr>
          <w:ilvl w:val="0"/>
          <w:numId w:val="21"/>
        </w:numPr>
        <w:contextualSpacing w:val="0"/>
      </w:pPr>
      <w:r>
        <w:t>Are there obvious</w:t>
      </w:r>
      <w:r w:rsidR="00540B07">
        <w:t xml:space="preserve"> lead </w:t>
      </w:r>
      <w:r>
        <w:t xml:space="preserve">entities </w:t>
      </w:r>
      <w:r w:rsidR="00540B07">
        <w:t>in each of these structures?</w:t>
      </w:r>
      <w:r>
        <w:t xml:space="preserve"> If so, what are their common characteristics?</w:t>
      </w:r>
    </w:p>
    <w:p w14:paraId="519229C0" w14:textId="77777777" w:rsidR="007A212B" w:rsidRDefault="00540B07" w:rsidP="00F13B0D">
      <w:pPr>
        <w:pStyle w:val="ListParagraph"/>
        <w:numPr>
          <w:ilvl w:val="0"/>
          <w:numId w:val="21"/>
        </w:numPr>
        <w:contextualSpacing w:val="0"/>
      </w:pPr>
      <w:r>
        <w:t xml:space="preserve">What is the best way to implement </w:t>
      </w:r>
      <w:r w:rsidR="00AA7B90">
        <w:t>a nomination</w:t>
      </w:r>
      <w:r w:rsidR="007A212B">
        <w:t xml:space="preserve"> model for </w:t>
      </w:r>
      <w:r w:rsidR="00AA7B90">
        <w:t xml:space="preserve">a </w:t>
      </w:r>
      <w:r w:rsidR="007A212B">
        <w:t>lead entity</w:t>
      </w:r>
      <w:r w:rsidR="00B172DD">
        <w:t xml:space="preserve"> </w:t>
      </w:r>
      <w:r w:rsidR="0027629F">
        <w:t>for structures that do not involve ownership or control of one group member over another</w:t>
      </w:r>
      <w:r w:rsidR="007A212B">
        <w:t>?</w:t>
      </w:r>
    </w:p>
    <w:p w14:paraId="6F587DD8" w14:textId="77777777" w:rsidR="007A212B" w:rsidRDefault="610317C0" w:rsidP="00F13B0D">
      <w:pPr>
        <w:pStyle w:val="ListParagraph"/>
        <w:numPr>
          <w:ilvl w:val="0"/>
          <w:numId w:val="21"/>
        </w:numPr>
        <w:contextualSpacing w:val="0"/>
      </w:pPr>
      <w:r>
        <w:t xml:space="preserve">Within </w:t>
      </w:r>
      <w:r w:rsidR="0027629F">
        <w:t>reporting groups</w:t>
      </w:r>
      <w:r>
        <w:t xml:space="preserve">, </w:t>
      </w:r>
      <w:r w:rsidR="00540B07">
        <w:t>what are the circumstances in which a</w:t>
      </w:r>
      <w:r>
        <w:t xml:space="preserve"> </w:t>
      </w:r>
      <w:r w:rsidR="0051528D" w:rsidRPr="0051528D">
        <w:t>reporting entity members of a</w:t>
      </w:r>
      <w:r>
        <w:t xml:space="preserve"> reporting group would want a non-reporting </w:t>
      </w:r>
      <w:r w:rsidR="34508E8A">
        <w:t xml:space="preserve">entity </w:t>
      </w:r>
      <w:r>
        <w:t xml:space="preserve">to discharge </w:t>
      </w:r>
      <w:r w:rsidR="00540B07">
        <w:t>an AML/CTF obligation</w:t>
      </w:r>
      <w:r>
        <w:t xml:space="preserve">? </w:t>
      </w:r>
      <w:r w:rsidR="0027629F">
        <w:t xml:space="preserve">Would this extend to discharging reporting obligations (threshold transaction reports, suspicious matter reports etc.)? </w:t>
      </w:r>
      <w:r w:rsidR="00CB11EB">
        <w:t>What benefits would this provide to you?</w:t>
      </w:r>
    </w:p>
    <w:p w14:paraId="30E0B22B" w14:textId="77777777" w:rsidR="007A212B" w:rsidRDefault="610317C0" w:rsidP="00F13B0D">
      <w:pPr>
        <w:pStyle w:val="ListParagraph"/>
        <w:numPr>
          <w:ilvl w:val="0"/>
          <w:numId w:val="21"/>
        </w:numPr>
        <w:contextualSpacing w:val="0"/>
      </w:pPr>
      <w:r>
        <w:lastRenderedPageBreak/>
        <w:t xml:space="preserve">Are there </w:t>
      </w:r>
      <w:r w:rsidR="0FF08D4A">
        <w:t>circumstances where</w:t>
      </w:r>
      <w:r>
        <w:t xml:space="preserve"> reporting groups</w:t>
      </w:r>
      <w:r w:rsidR="00AA7B90">
        <w:t xml:space="preserve"> formed automatically under law</w:t>
      </w:r>
      <w:r>
        <w:t xml:space="preserve"> would want to combine with other reporting groups and/or reporting entities? Why?</w:t>
      </w:r>
    </w:p>
    <w:p w14:paraId="371FE846" w14:textId="77777777" w:rsidR="00A96686" w:rsidRDefault="771E8F48" w:rsidP="00B34CAA">
      <w:pPr>
        <w:pStyle w:val="Heading2"/>
      </w:pPr>
      <w:bookmarkStart w:id="55" w:name="_Toc184666461"/>
      <w:r>
        <w:t>Customer due d</w:t>
      </w:r>
      <w:r w:rsidR="4E347B7B">
        <w:t>iligence</w:t>
      </w:r>
      <w:bookmarkEnd w:id="55"/>
    </w:p>
    <w:p w14:paraId="5E1E984D" w14:textId="639DC382" w:rsidR="00A96686" w:rsidRDefault="54CBDE1E" w:rsidP="000274CD">
      <w:pPr>
        <w:pStyle w:val="ListParagraph"/>
        <w:numPr>
          <w:ilvl w:val="0"/>
          <w:numId w:val="21"/>
        </w:numPr>
        <w:ind w:left="714" w:hanging="357"/>
        <w:contextualSpacing w:val="0"/>
      </w:pPr>
      <w:r>
        <w:t>A</w:t>
      </w:r>
      <w:r w:rsidR="4E347B7B">
        <w:t>re the</w:t>
      </w:r>
      <w:r>
        <w:t>re</w:t>
      </w:r>
      <w:r w:rsidR="4E347B7B">
        <w:t xml:space="preserve"> practical </w:t>
      </w:r>
      <w:r w:rsidR="5FF624C5">
        <w:t xml:space="preserve">implementation </w:t>
      </w:r>
      <w:r w:rsidR="4E347B7B">
        <w:t>challenges</w:t>
      </w:r>
      <w:r w:rsidR="1F5B927F">
        <w:t xml:space="preserve"> </w:t>
      </w:r>
      <w:r w:rsidR="33430624">
        <w:t>you</w:t>
      </w:r>
      <w:r w:rsidR="1A067F38">
        <w:t xml:space="preserve"> anticipate you may</w:t>
      </w:r>
      <w:r w:rsidR="33430624">
        <w:t xml:space="preserve"> face </w:t>
      </w:r>
      <w:r w:rsidR="4E347B7B">
        <w:t xml:space="preserve">in meeting the </w:t>
      </w:r>
      <w:r w:rsidR="1F5B927F">
        <w:t xml:space="preserve">CDD </w:t>
      </w:r>
      <w:r w:rsidR="4E347B7B">
        <w:t xml:space="preserve">obligations </w:t>
      </w:r>
      <w:r w:rsidR="1F5B927F">
        <w:t>s</w:t>
      </w:r>
      <w:r w:rsidR="33430624">
        <w:t xml:space="preserve">et out </w:t>
      </w:r>
      <w:r w:rsidR="47C74D6F">
        <w:t>in</w:t>
      </w:r>
      <w:r w:rsidR="136F191F">
        <w:t xml:space="preserve"> the </w:t>
      </w:r>
      <w:r w:rsidR="3BF143C2">
        <w:t>Exposure Draft</w:t>
      </w:r>
      <w:r w:rsidR="26BF9F41">
        <w:t xml:space="preserve"> Rules</w:t>
      </w:r>
      <w:r w:rsidR="4E347B7B">
        <w:t>?</w:t>
      </w:r>
      <w:r>
        <w:t xml:space="preserve"> If yes, what are they</w:t>
      </w:r>
      <w:r w:rsidR="046094E2">
        <w:t xml:space="preserve"> and do you have alternate suggestions as to how the same regulatory outcome can be achieved</w:t>
      </w:r>
      <w:r w:rsidR="00947599">
        <w:t>?</w:t>
      </w:r>
    </w:p>
    <w:p w14:paraId="56C597C4" w14:textId="77777777" w:rsidR="00A96686" w:rsidRPr="00F13B0D" w:rsidRDefault="00540B07" w:rsidP="000274CD">
      <w:pPr>
        <w:pStyle w:val="ListParagraph"/>
        <w:numPr>
          <w:ilvl w:val="0"/>
          <w:numId w:val="21"/>
        </w:numPr>
        <w:ind w:left="714" w:hanging="357"/>
        <w:contextualSpacing w:val="0"/>
      </w:pPr>
      <w:r w:rsidRPr="00F13B0D">
        <w:t>Are there any additional circumstances</w:t>
      </w:r>
      <w:r w:rsidR="0062762A" w:rsidRPr="00F13B0D">
        <w:t xml:space="preserve"> (e.g. particular types of transactions that require the urgent provision of a designated service)</w:t>
      </w:r>
      <w:r w:rsidRPr="00F13B0D">
        <w:t xml:space="preserve"> in which your sector may need to delay aspects of </w:t>
      </w:r>
      <w:r w:rsidR="006F3C35" w:rsidRPr="00F13B0D">
        <w:t xml:space="preserve">initial </w:t>
      </w:r>
      <w:r w:rsidRPr="00F13B0D">
        <w:t>CDD to prevent disruption of the ordinary course of business?</w:t>
      </w:r>
    </w:p>
    <w:p w14:paraId="685A1D17" w14:textId="53774F24" w:rsidR="00A96686" w:rsidRPr="00B172DD" w:rsidRDefault="771E8F48" w:rsidP="008702B5">
      <w:pPr>
        <w:pStyle w:val="Heading2"/>
      </w:pPr>
      <w:bookmarkStart w:id="56" w:name="_Toc184666462"/>
      <w:r>
        <w:t>Compliance r</w:t>
      </w:r>
      <w:r w:rsidR="4E347B7B">
        <w:t>eports</w:t>
      </w:r>
      <w:bookmarkEnd w:id="56"/>
    </w:p>
    <w:p w14:paraId="1D6BC912" w14:textId="1E06C7FA" w:rsidR="00A96686" w:rsidRPr="00B172DD" w:rsidRDefault="4E347B7B" w:rsidP="000274CD">
      <w:pPr>
        <w:pStyle w:val="ListParagraph"/>
        <w:numPr>
          <w:ilvl w:val="0"/>
          <w:numId w:val="21"/>
        </w:numPr>
        <w:ind w:left="714" w:hanging="357"/>
        <w:contextualSpacing w:val="0"/>
      </w:pPr>
      <w:r>
        <w:t xml:space="preserve">Does the </w:t>
      </w:r>
      <w:r w:rsidR="4F33C8FC">
        <w:t>12-month</w:t>
      </w:r>
      <w:r>
        <w:t xml:space="preserve"> reporting period of January – December, with a report lodgement period of </w:t>
      </w:r>
      <w:r w:rsidR="33430624">
        <w:t xml:space="preserve">the following </w:t>
      </w:r>
      <w:r>
        <w:t>January – March present significant challenges to your business due to conflicts with other Commonwealth, State or Territory reporting or lodgement requirements?</w:t>
      </w:r>
      <w:r w:rsidR="33430624">
        <w:t xml:space="preserve"> What are these challenges?</w:t>
      </w:r>
      <w:r w:rsidR="3E9F5513">
        <w:t xml:space="preserve"> </w:t>
      </w:r>
    </w:p>
    <w:p w14:paraId="641ADBC9" w14:textId="7FD5D6ED" w:rsidR="00A96686" w:rsidRPr="00B172DD" w:rsidRDefault="3E9F5513" w:rsidP="000274CD">
      <w:pPr>
        <w:pStyle w:val="ListParagraph"/>
        <w:numPr>
          <w:ilvl w:val="0"/>
          <w:numId w:val="21"/>
        </w:numPr>
        <w:ind w:left="714" w:hanging="357"/>
        <w:contextualSpacing w:val="0"/>
      </w:pPr>
      <w:r>
        <w:t xml:space="preserve">Is there a </w:t>
      </w:r>
      <w:r w:rsidR="66D04102">
        <w:t>preferable</w:t>
      </w:r>
      <w:r>
        <w:t xml:space="preserve"> </w:t>
      </w:r>
      <w:r w:rsidR="52B5538E">
        <w:t xml:space="preserve">reporting or lodgement </w:t>
      </w:r>
      <w:r>
        <w:t>period?</w:t>
      </w:r>
    </w:p>
    <w:p w14:paraId="756EA574" w14:textId="77777777" w:rsidR="00315583" w:rsidRDefault="54CBDE1E" w:rsidP="00B34CAA">
      <w:pPr>
        <w:pStyle w:val="Heading2"/>
      </w:pPr>
      <w:bookmarkStart w:id="57" w:name="_Toc184666463"/>
      <w:r>
        <w:t>Value transfer</w:t>
      </w:r>
      <w:bookmarkEnd w:id="57"/>
    </w:p>
    <w:p w14:paraId="30CE4183" w14:textId="77777777" w:rsidR="0062762A" w:rsidRDefault="0062762A" w:rsidP="00F13B0D">
      <w:pPr>
        <w:pStyle w:val="ListParagraph"/>
        <w:numPr>
          <w:ilvl w:val="0"/>
          <w:numId w:val="21"/>
        </w:numPr>
        <w:contextualSpacing w:val="0"/>
      </w:pPr>
      <w:r>
        <w:t>Do the proposed criteria for identifying the ordering institution and beneficiary institution in a value transfer chain describe common scenarios in your industry? What gaps or uncertainty</w:t>
      </w:r>
      <w:r w:rsidR="00045E0D">
        <w:t xml:space="preserve"> would remain that could not be resolved through example scenarios and other guidance?</w:t>
      </w:r>
    </w:p>
    <w:p w14:paraId="73B4077E" w14:textId="77777777" w:rsidR="00D07F90" w:rsidRDefault="00045E0D" w:rsidP="00F13B0D">
      <w:pPr>
        <w:pStyle w:val="ListParagraph"/>
        <w:numPr>
          <w:ilvl w:val="0"/>
          <w:numId w:val="21"/>
        </w:numPr>
        <w:contextualSpacing w:val="0"/>
      </w:pPr>
      <w:r>
        <w:t>Do the proposed requirements for the collection, verification and passing on of travel rule information create any friction other international travel rule obligations you may be required to comply with?</w:t>
      </w:r>
    </w:p>
    <w:p w14:paraId="5C9062DC" w14:textId="77777777" w:rsidR="0062488A" w:rsidRDefault="512D262B" w:rsidP="00F13B0D">
      <w:pPr>
        <w:pStyle w:val="ListParagraph"/>
        <w:numPr>
          <w:ilvl w:val="0"/>
          <w:numId w:val="21"/>
        </w:numPr>
        <w:contextualSpacing w:val="0"/>
      </w:pPr>
      <w:r>
        <w:t xml:space="preserve">Can you identify any challenges you may perceive in </w:t>
      </w:r>
      <w:r w:rsidR="00045E0D">
        <w:t>establishing whether you are dealing with another virtual asset service provider or financial institution, and whether they are regulated,</w:t>
      </w:r>
      <w:r>
        <w:t xml:space="preserve"> in relation to transfer of value involving virtual assets? </w:t>
      </w:r>
    </w:p>
    <w:p w14:paraId="2A2D75F4" w14:textId="77777777" w:rsidR="00076B8D" w:rsidRDefault="771E8F48" w:rsidP="00B34CAA">
      <w:pPr>
        <w:pStyle w:val="Heading2"/>
      </w:pPr>
      <w:bookmarkStart w:id="58" w:name="_Toc184666464"/>
      <w:r>
        <w:t>Keep open n</w:t>
      </w:r>
      <w:r w:rsidR="69BE5E55">
        <w:t>otices</w:t>
      </w:r>
      <w:bookmarkEnd w:id="58"/>
    </w:p>
    <w:p w14:paraId="2D12D7ED" w14:textId="77777777" w:rsidR="00076B8D" w:rsidRDefault="00076B8D" w:rsidP="00F13B0D">
      <w:pPr>
        <w:pStyle w:val="ListParagraph"/>
        <w:numPr>
          <w:ilvl w:val="0"/>
          <w:numId w:val="21"/>
        </w:numPr>
        <w:contextualSpacing w:val="0"/>
      </w:pPr>
      <w:r>
        <w:t xml:space="preserve">Is the information required to be provided in a </w:t>
      </w:r>
      <w:r w:rsidR="002F5E45">
        <w:t>keep open n</w:t>
      </w:r>
      <w:r>
        <w:t>otice sufficient for you to determine if the customer to whom the notice applies, is a customer of yours?</w:t>
      </w:r>
    </w:p>
    <w:p w14:paraId="46F2611C" w14:textId="77777777" w:rsidR="004A493D" w:rsidRPr="004A493D" w:rsidRDefault="002F5E45" w:rsidP="004A493D">
      <w:pPr>
        <w:pStyle w:val="ListParagraph"/>
        <w:numPr>
          <w:ilvl w:val="0"/>
          <w:numId w:val="21"/>
        </w:numPr>
        <w:contextualSpacing w:val="0"/>
      </w:pPr>
      <w:r>
        <w:t>Are the explanations in the keep open notice and the keep open – extension n</w:t>
      </w:r>
      <w:r w:rsidR="00076B8D">
        <w:t>oti</w:t>
      </w:r>
      <w:r>
        <w:t xml:space="preserve">ces easily understood by you? </w:t>
      </w:r>
    </w:p>
    <w:sectPr w:rsidR="004A493D" w:rsidRPr="004A493D" w:rsidSect="00320AD6">
      <w:headerReference w:type="even" r:id="rId19"/>
      <w:headerReference w:type="default" r:id="rId20"/>
      <w:footerReference w:type="even" r:id="rId21"/>
      <w:footerReference w:type="default" r:id="rId22"/>
      <w:headerReference w:type="first" r:id="rId23"/>
      <w:footerReference w:type="first" r:id="rId24"/>
      <w:pgSz w:w="11906" w:h="16838"/>
      <w:pgMar w:top="1134" w:right="1440" w:bottom="1134" w:left="1440" w:header="709" w:footer="4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849C65" w16cex:dateUtc="2024-11-11T23:35:03.554Z"/>
  <w16cex:commentExtensible w16cex:durableId="0A8ED1A4" w16cex:dateUtc="2024-11-12T01:06:26.346Z"/>
  <w16cex:commentExtensible w16cex:durableId="7691DC93" w16cex:dateUtc="2024-11-12T01:48:45.568Z"/>
  <w16cex:commentExtensible w16cex:durableId="7EF7A14F" w16cex:dateUtc="2024-11-13T00:24:20.328Z"/>
  <w16cex:commentExtensible w16cex:durableId="39177141" w16cex:dateUtc="2024-11-14T06:54:24.52Z"/>
  <w16cex:commentExtensible w16cex:durableId="5C45FC03" w16cex:dateUtc="2024-11-18T04:52:30.643Z"/>
  <w16cex:commentExtensible w16cex:durableId="6F837A9F" w16cex:dateUtc="2024-11-18T04:53:08.7Z"/>
  <w16cex:commentExtensible w16cex:durableId="63013BDA" w16cex:dateUtc="2024-11-26T04:35:42.951Z"/>
  <w16cex:commentExtensible w16cex:durableId="7DEC86B2" w16cex:dateUtc="2024-12-05T10:20:59.257Z"/>
  <w16cex:commentExtensible w16cex:durableId="62B30952" w16cex:dateUtc="2024-12-05T10:40:16.37Z"/>
  <w16cex:commentExtensible w16cex:durableId="349135DD" w16cex:dateUtc="2024-12-05T11:07:12.975Z"/>
  <w16cex:commentExtensible w16cex:durableId="62926864" w16cex:dateUtc="2024-12-05T11:09:17.111Z"/>
  <w16cex:commentExtensible w16cex:durableId="32419935" w16cex:dateUtc="2024-12-05T11:20:48.647Z">
    <w16cex:extLst>
      <w16:ext w16:uri="{CE6994B0-6A32-4C9F-8C6B-6E91EDA988CE}">
        <cr:reactions xmlns:cr="http://schemas.microsoft.com/office/comments/2020/reactions">
          <cr:reaction reactionType="1">
            <cr:reactionInfo dateUtc="2024-12-06T05:16:32.225Z">
              <cr:user userId="S::khubbard@hq.austrac.gov.au::c3a22851-7762-4cb3-9b3e-6b14b9450ce9" userProvider="AD" userName="Kirstyn Hubbard"/>
            </cr:reactionInfo>
          </cr:reaction>
        </cr:reactions>
      </w16:ext>
    </w16cex:extLst>
  </w16cex:commentExtensible>
  <w16cex:commentExtensible w16cex:durableId="3B8A951D" w16cex:dateUtc="2024-12-05T23:52:31.863Z"/>
  <w16cex:commentExtensible w16cex:durableId="043DFE51" w16cex:dateUtc="2024-12-05T23:52:41.85Z"/>
  <w16cex:commentExtensible w16cex:durableId="0794C94D" w16cex:dateUtc="2024-12-05T23:57:59.268Z">
    <w16cex:extLst>
      <w16:ext w16:uri="{CE6994B0-6A32-4C9F-8C6B-6E91EDA988CE}">
        <cr:reactions xmlns:cr="http://schemas.microsoft.com/office/comments/2020/reactions">
          <cr:reaction reactionType="1">
            <cr:reactionInfo dateUtc="2024-12-06T00:18:45.057Z">
              <cr:user userId="S::hdixon@hq.austrac.gov.au::2c9c930e-f330-43fe-8032-a8db9f35be5c" userProvider="AD" userName="Hugh Dixon"/>
            </cr:reactionInfo>
          </cr:reaction>
        </cr:reactions>
      </w16:ext>
    </w16cex:extLst>
  </w16cex:commentExtensible>
  <w16cex:commentExtensible w16cex:durableId="11ED24A6" w16cex:dateUtc="2024-12-08T05:03:23.826Z"/>
  <w16cex:commentExtensible w16cex:durableId="38FD8944" w16cex:dateUtc="2024-12-08T05:04:04.554Z"/>
  <w16cex:commentExtensible w16cex:durableId="0B7C5DDB" w16cex:dateUtc="2024-12-08T05:14:53.246Z"/>
  <w16cex:commentExtensible w16cex:durableId="6E49B967" w16cex:dateUtc="2024-12-08T05:15:24.534Z"/>
  <w16cex:commentExtensible w16cex:durableId="29D646CB" w16cex:dateUtc="2024-12-08T05:21:39.668Z"/>
  <w16cex:commentExtensible w16cex:durableId="36644E0B" w16cex:dateUtc="2024-12-08T05:30:26.448Z"/>
  <w16cex:commentExtensible w16cex:durableId="5F0F830F" w16cex:dateUtc="2024-12-08T09:30:31.263Z"/>
  <w16cex:commentExtensible w16cex:durableId="37780A72" w16cex:dateUtc="2024-12-08T09:31:17.618Z"/>
  <w16cex:commentExtensible w16cex:durableId="7F2B4CDB" w16cex:dateUtc="2024-12-08T09:32:20.582Z"/>
  <w16cex:commentExtensible w16cex:durableId="6E810E23" w16cex:dateUtc="2024-12-08T09:33:24.528Z"/>
  <w16cex:commentExtensible w16cex:durableId="4D23C23B" w16cex:dateUtc="2024-12-08T09:38:34.821Z"/>
  <w16cex:commentExtensible w16cex:durableId="705B4A38" w16cex:dateUtc="2024-12-08T09:39:16.008Z"/>
  <w16cex:commentExtensible w16cex:durableId="195B88DD" w16cex:dateUtc="2024-12-08T23:19:56.143Z"/>
  <w16cex:commentExtensible w16cex:durableId="43F9D2D6" w16cex:dateUtc="2024-12-09T00:11:05.228Z"/>
  <w16cex:commentExtensible w16cex:durableId="27C30695" w16cex:dateUtc="2024-12-09T00:32:50.444Z"/>
  <w16cex:commentExtensible w16cex:durableId="536C32A3" w16cex:dateUtc="2024-12-09T00:42:43.972Z"/>
  <w16cex:commentExtensible w16cex:durableId="7D5A66AD" w16cex:dateUtc="2024-12-09T01:44:36.164Z">
    <w16cex:extLst>
      <w16:ext w16:uri="{CE6994B0-6A32-4C9F-8C6B-6E91EDA988CE}">
        <cr:reactions xmlns:cr="http://schemas.microsoft.com/office/comments/2020/reactions">
          <cr:reaction reactionType="1">
            <cr:reactionInfo dateUtc="2024-12-09T01:48:00.882Z">
              <cr:user userId="S::jhilton@hq.austrac.gov.au::00a0e849-bd9a-469c-9bf5-b42839a79b55" userProvider="AD" userName="Jessie Hilton"/>
            </cr:reactionInfo>
          </cr:reaction>
        </cr:reactions>
      </w16:ext>
    </w16cex:extLst>
  </w16cex:commentExtensible>
  <w16cex:commentExtensible w16cex:durableId="182AE508" w16cex:dateUtc="2024-12-09T01:45:26.602Z"/>
  <w16cex:commentExtensible w16cex:durableId="324AD5C0" w16cex:dateUtc="2024-12-09T01:53:40.214Z"/>
</w16cex:commentsExtensible>
</file>

<file path=word/commentsIds.xml><?xml version="1.0" encoding="utf-8"?>
<w16cid:commentsIds xmlns:mc="http://schemas.openxmlformats.org/markup-compatibility/2006" xmlns:w16cid="http://schemas.microsoft.com/office/word/2016/wordml/cid" mc:Ignorable="w16cid">
  <w16cid:commentId w16cid:paraId="51BBC4D5" w16cid:durableId="51BBC4D5"/>
  <w16cid:commentId w16cid:paraId="20A295A3" w16cid:durableId="20A295A3"/>
  <w16cid:commentId w16cid:paraId="3984D617" w16cid:durableId="3984D617"/>
  <w16cid:commentId w16cid:paraId="5A6A69BC" w16cid:durableId="5A6A69BC"/>
  <w16cid:commentId w16cid:paraId="69692862" w16cid:durableId="69692862"/>
  <w16cid:commentId w16cid:paraId="30F643AC" w16cid:durableId="30F643AC"/>
  <w16cid:commentId w16cid:paraId="307030CE" w16cid:durableId="307030CE"/>
  <w16cid:commentId w16cid:paraId="6A268715" w16cid:durableId="6A268715"/>
  <w16cid:commentId w16cid:paraId="67212261" w16cid:durableId="67212261"/>
  <w16cid:commentId w16cid:paraId="3C9829C6" w16cid:durableId="3C9829C6"/>
  <w16cid:commentId w16cid:paraId="17E99F2E" w16cid:durableId="2A849C65"/>
  <w16cid:commentId w16cid:paraId="04B4F1BE" w16cid:durableId="09710A60"/>
  <w16cid:commentId w16cid:paraId="7F361805" w16cid:durableId="0A8ED1A4"/>
  <w16cid:commentId w16cid:paraId="4D54FCF6" w16cid:durableId="23978BD5"/>
  <w16cid:commentId w16cid:paraId="204762FA" w16cid:durableId="7691DC93"/>
  <w16cid:commentId w16cid:paraId="2949058F" w16cid:durableId="7EF7A14F"/>
  <w16cid:commentId w16cid:paraId="6488504A" w16cid:durableId="39177141"/>
  <w16cid:commentId w16cid:paraId="4A244988" w16cid:durableId="5C45FC03"/>
  <w16cid:commentId w16cid:paraId="09AD01B8" w16cid:durableId="6F837A9F"/>
  <w16cid:commentId w16cid:paraId="0CC6AE8E" w16cid:durableId="63013BDA"/>
  <w16cid:commentId w16cid:paraId="30539012" w16cid:durableId="2D466601"/>
  <w16cid:commentId w16cid:paraId="10CABFE9" w16cid:durableId="307EFDD4"/>
  <w16cid:commentId w16cid:paraId="4D30F80E" w16cid:durableId="0BE25E38"/>
  <w16cid:commentId w16cid:paraId="196755AE" w16cid:durableId="7DEC86B2"/>
  <w16cid:commentId w16cid:paraId="6DEADDB8" w16cid:durableId="62B30952"/>
  <w16cid:commentId w16cid:paraId="2C0A4B72" w16cid:durableId="349135DD"/>
  <w16cid:commentId w16cid:paraId="7D12C78E" w16cid:durableId="62926864"/>
  <w16cid:commentId w16cid:paraId="34EB16A0" w16cid:durableId="32419935"/>
  <w16cid:commentId w16cid:paraId="7E5385B8" w16cid:durableId="3B8A951D"/>
  <w16cid:commentId w16cid:paraId="5B991303" w16cid:durableId="043DFE51"/>
  <w16cid:commentId w16cid:paraId="3501545E" w16cid:durableId="0794C94D"/>
  <w16cid:commentId w16cid:paraId="64B95824" w16cid:durableId="11ED24A6"/>
  <w16cid:commentId w16cid:paraId="0845FBD3" w16cid:durableId="38FD8944"/>
  <w16cid:commentId w16cid:paraId="6097090F" w16cid:durableId="0B7C5DDB"/>
  <w16cid:commentId w16cid:paraId="736250C1" w16cid:durableId="6E49B967"/>
  <w16cid:commentId w16cid:paraId="34CD2FEC" w16cid:durableId="29D646CB"/>
  <w16cid:commentId w16cid:paraId="3F8201FF" w16cid:durableId="36644E0B"/>
  <w16cid:commentId w16cid:paraId="094E4FC5" w16cid:durableId="5F0F830F"/>
  <w16cid:commentId w16cid:paraId="6FAC4A3D" w16cid:durableId="37780A72"/>
  <w16cid:commentId w16cid:paraId="136C74F6" w16cid:durableId="7F2B4CDB"/>
  <w16cid:commentId w16cid:paraId="284E704E" w16cid:durableId="6E810E23"/>
  <w16cid:commentId w16cid:paraId="5D651BD4" w16cid:durableId="4D23C23B"/>
  <w16cid:commentId w16cid:paraId="1F1382BE" w16cid:durableId="705B4A38"/>
  <w16cid:commentId w16cid:paraId="38FC8BF0" w16cid:durableId="195B88DD"/>
  <w16cid:commentId w16cid:paraId="1265BB67" w16cid:durableId="43F9D2D6"/>
  <w16cid:commentId w16cid:paraId="784E6AB5" w16cid:durableId="27C30695"/>
  <w16cid:commentId w16cid:paraId="4572E817" w16cid:durableId="536C32A3"/>
  <w16cid:commentId w16cid:paraId="36C38405" w16cid:durableId="7D5A66AD"/>
  <w16cid:commentId w16cid:paraId="28F8C205" w16cid:durableId="182AE508"/>
  <w16cid:commentId w16cid:paraId="03D889E1" w16cid:durableId="324AD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51765" w14:textId="77777777" w:rsidR="00A26533" w:rsidRDefault="00A26533" w:rsidP="00F33762">
      <w:pPr>
        <w:spacing w:before="0" w:after="0" w:line="240" w:lineRule="auto"/>
      </w:pPr>
      <w:r>
        <w:separator/>
      </w:r>
    </w:p>
  </w:endnote>
  <w:endnote w:type="continuationSeparator" w:id="0">
    <w:p w14:paraId="3BE1C1AA" w14:textId="77777777" w:rsidR="00A26533" w:rsidRDefault="00A26533" w:rsidP="00F33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3662" w14:textId="77777777" w:rsidR="001E153C" w:rsidRDefault="001E153C">
    <w:pPr>
      <w:pStyle w:val="Footer"/>
    </w:pPr>
    <w:r>
      <w:rPr>
        <w:noProof/>
        <w:lang w:eastAsia="en-AU"/>
      </w:rPr>
      <mc:AlternateContent>
        <mc:Choice Requires="wps">
          <w:drawing>
            <wp:anchor distT="0" distB="0" distL="0" distR="0" simplePos="0" relativeHeight="251663872" behindDoc="0" locked="0" layoutInCell="1" allowOverlap="1" wp14:anchorId="6B592769" wp14:editId="5649EA31">
              <wp:simplePos x="635" y="635"/>
              <wp:positionH relativeFrom="page">
                <wp:align>center</wp:align>
              </wp:positionH>
              <wp:positionV relativeFrom="page">
                <wp:align>bottom</wp:align>
              </wp:positionV>
              <wp:extent cx="457200" cy="428625"/>
              <wp:effectExtent l="0" t="0" r="0" b="0"/>
              <wp:wrapNone/>
              <wp:docPr id="108051318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54C80ACF" w14:textId="77777777" w:rsidR="001E153C" w:rsidRPr="009E0F0D" w:rsidRDefault="001E153C" w:rsidP="009E0F0D">
                          <w:pPr>
                            <w:spacing w:after="0"/>
                            <w:rPr>
                              <w:rFonts w:eastAsia="Calibri" w:cs="Calibri"/>
                              <w:noProof/>
                              <w:color w:val="FF0000"/>
                              <w:sz w:val="20"/>
                              <w:szCs w:val="20"/>
                            </w:rPr>
                          </w:pPr>
                          <w:r w:rsidRPr="009E0F0D">
                            <w:rPr>
                              <w:rFonts w:eastAsia="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92769" id="_x0000_t202" coordsize="21600,21600" o:spt="202" path="m,l,21600r21600,l21600,xe">
              <v:stroke joinstyle="miter"/>
              <v:path gradientshapeok="t" o:connecttype="rect"/>
            </v:shapetype>
            <v:shape id="Text Box 5" o:spid="_x0000_s1030" type="#_x0000_t202" alt="OFFICIAL" style="position:absolute;margin-left:0;margin-top:0;width:36pt;height:33.7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" filled="f" stroked="f">
              <v:textbox style="mso-fit-shape-to-text:t" inset="0,0,0,15pt">
                <w:txbxContent>
                  <w:p w14:paraId="54C80ACF" w14:textId="77777777" w:rsidR="00D0798A" w:rsidRPr="009E0F0D" w:rsidRDefault="00D0798A" w:rsidP="009E0F0D">
                    <w:pPr>
                      <w:spacing w:after="0"/>
                      <w:rPr>
                        <w:rFonts w:eastAsia="Calibri" w:cs="Calibri"/>
                        <w:noProof/>
                        <w:color w:val="FF0000"/>
                        <w:sz w:val="20"/>
                        <w:szCs w:val="20"/>
                      </w:rPr>
                    </w:pPr>
                    <w:r w:rsidRPr="009E0F0D">
                      <w:rPr>
                        <w:rFonts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5C9B" w14:textId="5BB4F91C" w:rsidR="001E153C" w:rsidRDefault="001E153C" w:rsidP="00FD081A">
    <w:pPr>
      <w:pStyle w:val="Footer"/>
      <w:rPr>
        <w:noProof/>
        <w:sz w:val="20"/>
        <w:szCs w:val="20"/>
      </w:rPr>
    </w:pPr>
    <w:r>
      <w:rPr>
        <w:noProof/>
        <w:lang w:eastAsia="en-AU"/>
      </w:rPr>
      <w:drawing>
        <wp:anchor distT="0" distB="0" distL="114300" distR="114300" simplePos="0" relativeHeight="251656704" behindDoc="1" locked="0" layoutInCell="1" allowOverlap="1" wp14:anchorId="6CAA4E29" wp14:editId="5C857E78">
          <wp:simplePos x="0" y="0"/>
          <wp:positionH relativeFrom="column">
            <wp:posOffset>5715000</wp:posOffset>
          </wp:positionH>
          <wp:positionV relativeFrom="paragraph">
            <wp:posOffset>-687070</wp:posOffset>
          </wp:positionV>
          <wp:extent cx="922655" cy="18275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Bottom.png"/>
                  <pic:cNvPicPr/>
                </pic:nvPicPr>
                <pic:blipFill>
                  <a:blip r:embed="rId1">
                    <a:extLst>
                      <a:ext uri="{28A0092B-C50C-407E-A947-70E740481C1C}">
                        <a14:useLocalDpi xmlns:a14="http://schemas.microsoft.com/office/drawing/2010/main" val="0"/>
                      </a:ext>
                    </a:extLst>
                  </a:blip>
                  <a:stretch>
                    <a:fillRect/>
                  </a:stretch>
                </pic:blipFill>
                <pic:spPr>
                  <a:xfrm>
                    <a:off x="0" y="0"/>
                    <a:ext cx="922655" cy="182753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noProof/>
        <w:sz w:val="20"/>
        <w:szCs w:val="20"/>
      </w:rPr>
      <w:t>Consultation Paper</w:t>
    </w:r>
    <w:r w:rsidRPr="00253ADF">
      <w:rPr>
        <w:sz w:val="20"/>
        <w:szCs w:val="20"/>
      </w:rPr>
      <w:tab/>
    </w:r>
    <w:r w:rsidRPr="00253ADF">
      <w:rPr>
        <w:sz w:val="20"/>
        <w:szCs w:val="20"/>
      </w:rPr>
      <w:tab/>
      <w:t xml:space="preserve">Page </w:t>
    </w:r>
    <w:r w:rsidRPr="605207D1">
      <w:rPr>
        <w:noProof/>
        <w:sz w:val="20"/>
        <w:szCs w:val="20"/>
      </w:rPr>
      <w:fldChar w:fldCharType="begin"/>
    </w:r>
    <w:r w:rsidRPr="00253ADF">
      <w:rPr>
        <w:sz w:val="20"/>
        <w:szCs w:val="20"/>
      </w:rPr>
      <w:instrText xml:space="preserve"> PAGE  \* Arabic  \* MERGEFORMAT </w:instrText>
    </w:r>
    <w:r w:rsidRPr="605207D1">
      <w:rPr>
        <w:sz w:val="20"/>
        <w:szCs w:val="20"/>
      </w:rPr>
      <w:fldChar w:fldCharType="separate"/>
    </w:r>
    <w:r w:rsidR="00A62E1C">
      <w:rPr>
        <w:noProof/>
        <w:sz w:val="20"/>
        <w:szCs w:val="20"/>
      </w:rPr>
      <w:t>1</w:t>
    </w:r>
    <w:r w:rsidRPr="605207D1">
      <w:rPr>
        <w:noProof/>
        <w:sz w:val="20"/>
        <w:szCs w:val="20"/>
      </w:rPr>
      <w:fldChar w:fldCharType="end"/>
    </w:r>
    <w:r w:rsidRPr="00253ADF">
      <w:rPr>
        <w:sz w:val="20"/>
        <w:szCs w:val="20"/>
      </w:rPr>
      <w:t xml:space="preserve"> of </w:t>
    </w:r>
    <w:r w:rsidRPr="00253ADF">
      <w:rPr>
        <w:noProof/>
        <w:sz w:val="20"/>
        <w:szCs w:val="20"/>
      </w:rPr>
      <w:fldChar w:fldCharType="begin"/>
    </w:r>
    <w:r w:rsidRPr="00253ADF">
      <w:rPr>
        <w:noProof/>
        <w:sz w:val="20"/>
        <w:szCs w:val="20"/>
      </w:rPr>
      <w:instrText xml:space="preserve"> NUMPAGES  \* Arabic  \* MERGEFORMAT </w:instrText>
    </w:r>
    <w:r w:rsidRPr="00253ADF">
      <w:rPr>
        <w:noProof/>
        <w:sz w:val="20"/>
        <w:szCs w:val="20"/>
      </w:rPr>
      <w:fldChar w:fldCharType="separate"/>
    </w:r>
    <w:r w:rsidR="00A62E1C">
      <w:rPr>
        <w:noProof/>
        <w:sz w:val="20"/>
        <w:szCs w:val="20"/>
      </w:rPr>
      <w:t>29</w:t>
    </w:r>
    <w:r w:rsidRPr="00253ADF">
      <w:rPr>
        <w:noProof/>
        <w:sz w:val="20"/>
        <w:szCs w:val="20"/>
      </w:rPr>
      <w:fldChar w:fldCharType="end"/>
    </w:r>
  </w:p>
  <w:p w14:paraId="713996EC" w14:textId="77777777" w:rsidR="001E153C" w:rsidRDefault="00A62E1C" w:rsidP="001A45C0">
    <w:pPr>
      <w:pStyle w:val="Classification"/>
    </w:pPr>
    <w:sdt>
      <w:sdtPr>
        <w:alias w:val="Security Classification"/>
        <w:tag w:val="SecurityClassification"/>
        <w:id w:val="1117416880"/>
        <w:text/>
      </w:sdtPr>
      <w:sdtEndPr/>
      <w:sdtContent>
        <w:r w:rsidR="001E153C">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CBD4" w14:textId="77777777" w:rsidR="001E153C" w:rsidRDefault="00A62E1C" w:rsidP="001A45C0">
    <w:pPr>
      <w:pStyle w:val="Classification"/>
    </w:pPr>
    <w:sdt>
      <w:sdtPr>
        <w:alias w:val="Security Classification"/>
        <w:tag w:val="SecurityClassification"/>
        <w:id w:val="-1341304930"/>
        <w:text/>
      </w:sdtPr>
      <w:sdtEndPr/>
      <w:sdtContent>
        <w:r w:rsidR="001E153C">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0E22" w14:textId="77777777" w:rsidR="00A26533" w:rsidRDefault="00A26533" w:rsidP="00F33762">
      <w:pPr>
        <w:spacing w:before="0" w:after="0" w:line="240" w:lineRule="auto"/>
      </w:pPr>
      <w:r>
        <w:separator/>
      </w:r>
    </w:p>
  </w:footnote>
  <w:footnote w:type="continuationSeparator" w:id="0">
    <w:p w14:paraId="64E1C7CA" w14:textId="77777777" w:rsidR="00A26533" w:rsidRDefault="00A26533" w:rsidP="00F33762">
      <w:pPr>
        <w:spacing w:before="0" w:after="0" w:line="240" w:lineRule="auto"/>
      </w:pPr>
      <w:r>
        <w:continuationSeparator/>
      </w:r>
    </w:p>
  </w:footnote>
  <w:footnote w:id="1">
    <w:p w14:paraId="494D09F0" w14:textId="77777777" w:rsidR="001E153C" w:rsidRDefault="001E153C">
      <w:pPr>
        <w:pStyle w:val="FootnoteText"/>
      </w:pPr>
      <w:r>
        <w:rPr>
          <w:rStyle w:val="FootnoteReference"/>
        </w:rPr>
        <w:footnoteRef/>
      </w:r>
      <w:r>
        <w:t xml:space="preserve"> Russell Smith and Amelia Hickman, </w:t>
      </w:r>
      <w:r w:rsidRPr="000C2827">
        <w:t>‘Estimating the costs of serious and organised crime in Australia</w:t>
      </w:r>
      <w:r>
        <w:t>, 2020-2021</w:t>
      </w:r>
      <w:r w:rsidRPr="000C2827">
        <w:t>’</w:t>
      </w:r>
      <w:r w:rsidRPr="001B2BC6">
        <w:rPr>
          <w:i/>
        </w:rPr>
        <w:t xml:space="preserve">, </w:t>
      </w:r>
      <w:r w:rsidRPr="000C2827">
        <w:rPr>
          <w:i/>
        </w:rPr>
        <w:t>Australian Institute of Criminology</w:t>
      </w:r>
      <w:r>
        <w:t xml:space="preserve"> (Report, 4 April 2022) </w:t>
      </w:r>
      <w:hyperlink r:id="rId1" w:history="1">
        <w:r w:rsidRPr="00B50620">
          <w:rPr>
            <w:rStyle w:val="Hyperlink"/>
          </w:rPr>
          <w:t>https://www.aic.gov.au/publications/sr/sr38</w:t>
        </w:r>
      </w:hyperlink>
      <w:r>
        <w:t>.</w:t>
      </w:r>
    </w:p>
  </w:footnote>
  <w:footnote w:id="2">
    <w:p w14:paraId="2B8324A4" w14:textId="77777777" w:rsidR="001E153C" w:rsidRPr="001451EE" w:rsidRDefault="001E153C" w:rsidP="00CA7B85">
      <w:pPr>
        <w:pStyle w:val="FootnoteText"/>
      </w:pPr>
      <w:r>
        <w:rPr>
          <w:rStyle w:val="FootnoteReference"/>
        </w:rPr>
        <w:footnoteRef/>
      </w:r>
      <w:r>
        <w:t xml:space="preserve"> Anthony Morgan, ‘</w:t>
      </w:r>
      <w:r w:rsidRPr="001451EE">
        <w:t>Money laundering and the harm from organised crime: Results from a data linkage study</w:t>
      </w:r>
      <w:r>
        <w:t xml:space="preserve">’, </w:t>
      </w:r>
      <w:r w:rsidRPr="000C2827">
        <w:rPr>
          <w:i/>
        </w:rPr>
        <w:t>Australian Institute of Criminology</w:t>
      </w:r>
      <w:r>
        <w:rPr>
          <w:i/>
        </w:rPr>
        <w:t xml:space="preserve"> </w:t>
      </w:r>
      <w:r>
        <w:t>(Report, 9 September 2024)</w:t>
      </w:r>
      <w:r>
        <w:br/>
      </w:r>
      <w:hyperlink r:id="rId2" w:history="1">
        <w:r>
          <w:rPr>
            <w:rStyle w:val="Hyperlink"/>
          </w:rPr>
          <w:t>https://www.aic.gov.au/publications/special/special-18</w:t>
        </w:r>
      </w:hyperlink>
    </w:p>
  </w:footnote>
  <w:footnote w:id="3">
    <w:p w14:paraId="612162FF" w14:textId="77777777" w:rsidR="001E153C" w:rsidRDefault="001E153C" w:rsidP="008D54A1">
      <w:pPr>
        <w:pStyle w:val="FootnoteText"/>
      </w:pPr>
      <w:r>
        <w:rPr>
          <w:rStyle w:val="FootnoteReference"/>
        </w:rPr>
        <w:footnoteRef/>
      </w:r>
      <w:r>
        <w:t xml:space="preserve"> </w:t>
      </w:r>
      <w:hyperlink r:id="rId3" w:history="1">
        <w:r>
          <w:rPr>
            <w:rStyle w:val="Hyperlink"/>
          </w:rPr>
          <w:t>https://www.austrac.gov.au/sites/default/files/2019-07/report-on-the-statutory-review-of-the-anti-money-laundering.pdf</w:t>
        </w:r>
      </w:hyperlink>
    </w:p>
  </w:footnote>
  <w:footnote w:id="4">
    <w:p w14:paraId="544AA92C" w14:textId="63343E7D" w:rsidR="001E153C" w:rsidRDefault="001E153C">
      <w:pPr>
        <w:pStyle w:val="FootnoteText"/>
      </w:pPr>
      <w:r>
        <w:rPr>
          <w:rStyle w:val="FootnoteReference"/>
        </w:rPr>
        <w:footnoteRef/>
      </w:r>
      <w:r>
        <w:t xml:space="preserve"> Section 26F(1)(c) of the Amended AML/CTF Act.</w:t>
      </w:r>
    </w:p>
  </w:footnote>
  <w:footnote w:id="5">
    <w:p w14:paraId="145392D9" w14:textId="57B46E10" w:rsidR="001E153C" w:rsidRDefault="001E153C" w:rsidP="004831D4">
      <w:pPr>
        <w:pStyle w:val="FootnoteText"/>
      </w:pPr>
      <w:r w:rsidRPr="24363412">
        <w:rPr>
          <w:rStyle w:val="FootnoteReference"/>
        </w:rPr>
        <w:footnoteRef/>
      </w:r>
      <w:r>
        <w:t xml:space="preserve"> Section 26D of the Amended AML/CTF Act.</w:t>
      </w:r>
    </w:p>
  </w:footnote>
  <w:footnote w:id="6">
    <w:p w14:paraId="3A39BA97" w14:textId="62D3D62D" w:rsidR="001E153C" w:rsidRDefault="001E153C" w:rsidP="004831D4">
      <w:pPr>
        <w:pStyle w:val="FootnoteText"/>
      </w:pPr>
      <w:r w:rsidRPr="24363412">
        <w:rPr>
          <w:rStyle w:val="FootnoteReference"/>
        </w:rPr>
        <w:footnoteRef/>
      </w:r>
      <w:r>
        <w:t xml:space="preserve"> Paragraph 26F(1)(a) of the Amended AML/CTF Act.</w:t>
      </w:r>
    </w:p>
  </w:footnote>
  <w:footnote w:id="7">
    <w:p w14:paraId="00323A5A" w14:textId="54EF231C" w:rsidR="001E153C" w:rsidRDefault="001E153C" w:rsidP="004831D4">
      <w:pPr>
        <w:pStyle w:val="FootnoteText"/>
      </w:pPr>
      <w:r w:rsidRPr="24363412">
        <w:rPr>
          <w:rStyle w:val="FootnoteReference"/>
        </w:rPr>
        <w:footnoteRef/>
      </w:r>
      <w:r>
        <w:t xml:space="preserve"> Paragraph 26F(1)(b)</w:t>
      </w:r>
      <w:r w:rsidRPr="004831D4">
        <w:t xml:space="preserve"> </w:t>
      </w:r>
      <w:r>
        <w:t>of the Amended AML/CTF Act.</w:t>
      </w:r>
    </w:p>
  </w:footnote>
  <w:footnote w:id="8">
    <w:p w14:paraId="0FB20061" w14:textId="0CEB8095" w:rsidR="001E153C" w:rsidRDefault="001E153C">
      <w:pPr>
        <w:pStyle w:val="FootnoteText"/>
      </w:pPr>
      <w:r>
        <w:rPr>
          <w:rStyle w:val="FootnoteReference"/>
        </w:rPr>
        <w:footnoteRef/>
      </w:r>
      <w:r>
        <w:t xml:space="preserve"> Paragraph 26F(3)(b) of the Amended AML/CTF Act.</w:t>
      </w:r>
    </w:p>
  </w:footnote>
  <w:footnote w:id="9">
    <w:p w14:paraId="3F0730DA" w14:textId="042CFE74" w:rsidR="001E153C" w:rsidRDefault="001E153C">
      <w:pPr>
        <w:pStyle w:val="FootnoteText"/>
      </w:pPr>
      <w:r>
        <w:rPr>
          <w:rStyle w:val="FootnoteReference"/>
        </w:rPr>
        <w:footnoteRef/>
      </w:r>
      <w:r>
        <w:t xml:space="preserve"> Paragraphs 26F(4)(d) and (e) of the Amended AML/CTF Act.</w:t>
      </w:r>
    </w:p>
  </w:footnote>
  <w:footnote w:id="10">
    <w:p w14:paraId="7B346221" w14:textId="77777777" w:rsidR="001E153C" w:rsidRDefault="001E153C" w:rsidP="001E153C">
      <w:pPr>
        <w:pStyle w:val="FootnoteText"/>
      </w:pPr>
      <w:r>
        <w:rPr>
          <w:rStyle w:val="FootnoteReference"/>
        </w:rPr>
        <w:footnoteRef/>
      </w:r>
      <w:r>
        <w:t xml:space="preserve"> Subsection 26F(7) of the Amended AML/CTF Act.</w:t>
      </w:r>
    </w:p>
  </w:footnote>
  <w:footnote w:id="11">
    <w:p w14:paraId="51B823D5" w14:textId="7EF5D789" w:rsidR="001E153C" w:rsidRDefault="001E153C" w:rsidP="008702B5">
      <w:pPr>
        <w:pStyle w:val="FootnoteText"/>
      </w:pPr>
      <w:r w:rsidRPr="24363412">
        <w:rPr>
          <w:rStyle w:val="FootnoteReference"/>
        </w:rPr>
        <w:footnoteRef/>
      </w:r>
      <w:r>
        <w:t xml:space="preserve"> Paragraph 26F(1)(c) of the Amended AML/CTF Act.</w:t>
      </w:r>
    </w:p>
  </w:footnote>
  <w:footnote w:id="12">
    <w:p w14:paraId="44CDB238" w14:textId="596F9605" w:rsidR="001E153C" w:rsidRDefault="001E153C" w:rsidP="008702B5">
      <w:pPr>
        <w:pStyle w:val="FootnoteText"/>
      </w:pPr>
      <w:r w:rsidRPr="24363412">
        <w:rPr>
          <w:rStyle w:val="FootnoteReference"/>
        </w:rPr>
        <w:footnoteRef/>
      </w:r>
      <w:r>
        <w:t xml:space="preserve"> Section 10 of the Exposure Draft Rules.</w:t>
      </w:r>
    </w:p>
  </w:footnote>
  <w:footnote w:id="13">
    <w:p w14:paraId="401B9984" w14:textId="297D6E19" w:rsidR="001E153C" w:rsidRDefault="001E153C" w:rsidP="008702B5">
      <w:pPr>
        <w:pStyle w:val="FootnoteText"/>
      </w:pPr>
      <w:r w:rsidRPr="24363412">
        <w:rPr>
          <w:rStyle w:val="FootnoteReference"/>
        </w:rPr>
        <w:footnoteRef/>
      </w:r>
      <w:r>
        <w:t xml:space="preserve"> Section 11 of the Exposure Draft Rules.</w:t>
      </w:r>
    </w:p>
  </w:footnote>
  <w:footnote w:id="14">
    <w:p w14:paraId="538B2D36" w14:textId="7CF4DE06" w:rsidR="001E153C" w:rsidRDefault="001E153C" w:rsidP="008702B5">
      <w:pPr>
        <w:pStyle w:val="FootnoteText"/>
      </w:pPr>
      <w:r w:rsidRPr="24363412">
        <w:rPr>
          <w:rStyle w:val="FootnoteReference"/>
        </w:rPr>
        <w:footnoteRef/>
      </w:r>
      <w:r>
        <w:t xml:space="preserve"> Section 12 of the Exposure Draft Rules.</w:t>
      </w:r>
    </w:p>
  </w:footnote>
  <w:footnote w:id="15">
    <w:p w14:paraId="33D4E73B" w14:textId="0E74BC0D" w:rsidR="001E153C" w:rsidRDefault="001E153C" w:rsidP="008702B5">
      <w:pPr>
        <w:pStyle w:val="FootnoteText"/>
      </w:pPr>
      <w:r w:rsidRPr="24363412">
        <w:rPr>
          <w:rStyle w:val="FootnoteReference"/>
        </w:rPr>
        <w:footnoteRef/>
      </w:r>
      <w:r>
        <w:t xml:space="preserve"> Section 17 of the Exposure Draft Rules.</w:t>
      </w:r>
    </w:p>
  </w:footnote>
  <w:footnote w:id="16">
    <w:p w14:paraId="6981DF8E" w14:textId="4D2A4E5B" w:rsidR="001E153C" w:rsidRDefault="001E153C" w:rsidP="008702B5">
      <w:pPr>
        <w:pStyle w:val="FootnoteText"/>
      </w:pPr>
      <w:r w:rsidRPr="24363412">
        <w:rPr>
          <w:rStyle w:val="FootnoteReference"/>
        </w:rPr>
        <w:footnoteRef/>
      </w:r>
      <w:r>
        <w:t xml:space="preserve"> Section 18 of the Exposure Draft Rules.</w:t>
      </w:r>
    </w:p>
  </w:footnote>
  <w:footnote w:id="17">
    <w:p w14:paraId="672A2B14" w14:textId="1BDB2430" w:rsidR="001E153C" w:rsidRDefault="001E153C">
      <w:pPr>
        <w:pStyle w:val="FootnoteText"/>
      </w:pPr>
      <w:r>
        <w:rPr>
          <w:rStyle w:val="FootnoteReference"/>
        </w:rPr>
        <w:footnoteRef/>
      </w:r>
      <w:r>
        <w:t xml:space="preserve"> Section 13 of the Exposure Draft Rules.</w:t>
      </w:r>
    </w:p>
  </w:footnote>
  <w:footnote w:id="18">
    <w:p w14:paraId="6448A9F0" w14:textId="52FCC4E7" w:rsidR="001E153C" w:rsidRDefault="001E153C">
      <w:pPr>
        <w:pStyle w:val="FootnoteText"/>
      </w:pPr>
      <w:r>
        <w:rPr>
          <w:rStyle w:val="FootnoteReference"/>
        </w:rPr>
        <w:footnoteRef/>
      </w:r>
      <w:r>
        <w:t xml:space="preserve"> Section 14 of the Exposure Draft Rules.</w:t>
      </w:r>
    </w:p>
  </w:footnote>
  <w:footnote w:id="19">
    <w:p w14:paraId="0D0B9A39" w14:textId="0DD3967D" w:rsidR="001E153C" w:rsidRDefault="001E153C">
      <w:pPr>
        <w:pStyle w:val="FootnoteText"/>
      </w:pPr>
      <w:r>
        <w:rPr>
          <w:rStyle w:val="FootnoteReference"/>
        </w:rPr>
        <w:footnoteRef/>
      </w:r>
      <w:r>
        <w:t xml:space="preserve"> Sections 15 and 16 of the Exposure Draft Rules.</w:t>
      </w:r>
    </w:p>
  </w:footnote>
  <w:footnote w:id="20">
    <w:p w14:paraId="65DFEB28" w14:textId="11E3CE12" w:rsidR="001E153C" w:rsidRDefault="001E153C">
      <w:pPr>
        <w:pStyle w:val="FootnoteText"/>
      </w:pPr>
      <w:r>
        <w:rPr>
          <w:rStyle w:val="FootnoteReference"/>
        </w:rPr>
        <w:footnoteRef/>
      </w:r>
      <w:r>
        <w:t xml:space="preserve"> Sections 20, 21 and 22 of the Exposure Draft Rules.</w:t>
      </w:r>
    </w:p>
  </w:footnote>
  <w:footnote w:id="21">
    <w:p w14:paraId="2B7122F4" w14:textId="5B4A70EA" w:rsidR="001E153C" w:rsidRDefault="001E153C">
      <w:pPr>
        <w:pStyle w:val="FootnoteText"/>
      </w:pPr>
      <w:r>
        <w:rPr>
          <w:rStyle w:val="FootnoteReference"/>
        </w:rPr>
        <w:footnoteRef/>
      </w:r>
      <w:r>
        <w:t xml:space="preserve"> Paragraph 26F(4)(b) of the Amended AML/CTF Act.</w:t>
      </w:r>
    </w:p>
  </w:footnote>
  <w:footnote w:id="22">
    <w:p w14:paraId="03BD9872" w14:textId="77777777" w:rsidR="001E153C" w:rsidRDefault="001E153C" w:rsidP="00C700C4">
      <w:pPr>
        <w:pStyle w:val="FootnoteText"/>
      </w:pPr>
      <w:r>
        <w:rPr>
          <w:rStyle w:val="FootnoteReference"/>
        </w:rPr>
        <w:footnoteRef/>
      </w:r>
      <w:r>
        <w:t xml:space="preserve"> Subsection 26J(3) of the Amended AML/CTF Act.</w:t>
      </w:r>
    </w:p>
  </w:footnote>
  <w:footnote w:id="23">
    <w:p w14:paraId="50919BB3" w14:textId="10E8C3C5" w:rsidR="001E153C" w:rsidRDefault="001E153C">
      <w:pPr>
        <w:pStyle w:val="FootnoteText"/>
      </w:pPr>
      <w:r>
        <w:rPr>
          <w:rStyle w:val="FootnoteReference"/>
        </w:rPr>
        <w:footnoteRef/>
      </w:r>
      <w:r>
        <w:t xml:space="preserve"> Section 10A(1) of the Amended AML/CTF Act.</w:t>
      </w:r>
    </w:p>
  </w:footnote>
  <w:footnote w:id="24">
    <w:p w14:paraId="7224AF5E" w14:textId="343D354F" w:rsidR="001E153C" w:rsidRDefault="001E153C">
      <w:pPr>
        <w:pStyle w:val="FootnoteText"/>
      </w:pPr>
      <w:r>
        <w:rPr>
          <w:rStyle w:val="FootnoteReference"/>
        </w:rPr>
        <w:footnoteRef/>
      </w:r>
      <w:r>
        <w:t xml:space="preserve"> Section 8 of the Exposure Draft Rules.</w:t>
      </w:r>
    </w:p>
  </w:footnote>
  <w:footnote w:id="25">
    <w:p w14:paraId="0B570646" w14:textId="7420945C" w:rsidR="001E153C" w:rsidRDefault="001E153C">
      <w:pPr>
        <w:pStyle w:val="FootnoteText"/>
      </w:pPr>
      <w:r>
        <w:rPr>
          <w:rStyle w:val="FootnoteReference"/>
        </w:rPr>
        <w:footnoteRef/>
      </w:r>
      <w:r>
        <w:t xml:space="preserve"> Section 68 of the Exposure Draft Rules.</w:t>
      </w:r>
    </w:p>
  </w:footnote>
  <w:footnote w:id="26">
    <w:p w14:paraId="2C42E271" w14:textId="47C56343" w:rsidR="001E153C" w:rsidRDefault="001E153C">
      <w:pPr>
        <w:pStyle w:val="FootnoteText"/>
      </w:pPr>
      <w:r>
        <w:rPr>
          <w:rStyle w:val="FootnoteReference"/>
        </w:rPr>
        <w:footnoteRef/>
      </w:r>
      <w:r>
        <w:t xml:space="preserve"> Division 1 of Part 5 of the Exposure Draft Rules.</w:t>
      </w:r>
    </w:p>
  </w:footnote>
  <w:footnote w:id="27">
    <w:p w14:paraId="7EC0E2C7" w14:textId="0346FCD3" w:rsidR="001E153C" w:rsidRDefault="001E153C">
      <w:pPr>
        <w:pStyle w:val="FootnoteText"/>
      </w:pPr>
      <w:r>
        <w:rPr>
          <w:rStyle w:val="FootnoteReference"/>
        </w:rPr>
        <w:footnoteRef/>
      </w:r>
      <w:r>
        <w:t xml:space="preserve"> Division 2 of Part 5 of the Exposure Draft Rules.</w:t>
      </w:r>
    </w:p>
  </w:footnote>
  <w:footnote w:id="28">
    <w:p w14:paraId="6CDEC5CE" w14:textId="41D2B4CB" w:rsidR="001E153C" w:rsidRDefault="001E153C">
      <w:pPr>
        <w:pStyle w:val="FootnoteText"/>
      </w:pPr>
      <w:r>
        <w:rPr>
          <w:rStyle w:val="FootnoteReference"/>
        </w:rPr>
        <w:footnoteRef/>
      </w:r>
      <w:r>
        <w:t xml:space="preserve"> Section 38 of the Exposure Draft Rules.</w:t>
      </w:r>
    </w:p>
  </w:footnote>
  <w:footnote w:id="29">
    <w:p w14:paraId="7493805B" w14:textId="4F054ACB" w:rsidR="001E153C" w:rsidRDefault="001E153C">
      <w:pPr>
        <w:pStyle w:val="FootnoteText"/>
      </w:pPr>
      <w:r>
        <w:rPr>
          <w:rStyle w:val="FootnoteReference"/>
        </w:rPr>
        <w:footnoteRef/>
      </w:r>
      <w:r>
        <w:t xml:space="preserve"> Division 5 of Part 5 of the Exposure Draft Rules.</w:t>
      </w:r>
    </w:p>
  </w:footnote>
  <w:footnote w:id="30">
    <w:p w14:paraId="2F9F4E5B" w14:textId="77777777" w:rsidR="001E153C" w:rsidRDefault="001E153C" w:rsidP="001E153C">
      <w:pPr>
        <w:pStyle w:val="FootnoteText"/>
      </w:pPr>
      <w:r>
        <w:rPr>
          <w:rStyle w:val="FootnoteReference"/>
        </w:rPr>
        <w:footnoteRef/>
      </w:r>
      <w:r>
        <w:t xml:space="preserve"> Division 6 of Part 5 of the Exposure Draft Rules.</w:t>
      </w:r>
    </w:p>
  </w:footnote>
  <w:footnote w:id="31">
    <w:p w14:paraId="4BC1FDC0" w14:textId="2B6B69ED" w:rsidR="001E153C" w:rsidRDefault="001E153C">
      <w:pPr>
        <w:pStyle w:val="FootnoteText"/>
      </w:pPr>
      <w:r>
        <w:rPr>
          <w:rStyle w:val="FootnoteReference"/>
        </w:rPr>
        <w:footnoteRef/>
      </w:r>
      <w:r>
        <w:t xml:space="preserve"> Division 1 of Part 5 of the Exposure Draft Rules.</w:t>
      </w:r>
    </w:p>
  </w:footnote>
  <w:footnote w:id="32">
    <w:p w14:paraId="16165620" w14:textId="66ABE23A" w:rsidR="001E153C" w:rsidRDefault="001E153C">
      <w:pPr>
        <w:pStyle w:val="FootnoteText"/>
      </w:pPr>
      <w:r>
        <w:rPr>
          <w:rStyle w:val="FootnoteReference"/>
        </w:rPr>
        <w:footnoteRef/>
      </w:r>
      <w:r>
        <w:t xml:space="preserve"> Section 25 of the Exposure Draft Rules.</w:t>
      </w:r>
    </w:p>
  </w:footnote>
  <w:footnote w:id="33">
    <w:p w14:paraId="52A846E0" w14:textId="04574C66" w:rsidR="001E153C" w:rsidRDefault="001E153C">
      <w:pPr>
        <w:pStyle w:val="FootnoteText"/>
      </w:pPr>
      <w:r>
        <w:rPr>
          <w:rStyle w:val="FootnoteReference"/>
        </w:rPr>
        <w:footnoteRef/>
      </w:r>
      <w:r>
        <w:t xml:space="preserve"> Section 26 of the Exposure Draft Rules.</w:t>
      </w:r>
    </w:p>
  </w:footnote>
  <w:footnote w:id="34">
    <w:p w14:paraId="64E50F28" w14:textId="2850C461" w:rsidR="001E153C" w:rsidRPr="006528AE" w:rsidRDefault="001E153C">
      <w:pPr>
        <w:pStyle w:val="FootnoteText"/>
      </w:pPr>
      <w:r w:rsidRPr="006528AE">
        <w:rPr>
          <w:rStyle w:val="FootnoteReference"/>
        </w:rPr>
        <w:footnoteRef/>
      </w:r>
      <w:r w:rsidRPr="006528AE">
        <w:t xml:space="preserve"> Subsection 27(2) of the Exposure Draft Rules.</w:t>
      </w:r>
    </w:p>
  </w:footnote>
  <w:footnote w:id="35">
    <w:p w14:paraId="3B6103FB" w14:textId="07237F57" w:rsidR="001E153C" w:rsidRDefault="001E153C">
      <w:pPr>
        <w:pStyle w:val="FootnoteText"/>
      </w:pPr>
      <w:r w:rsidRPr="006528AE">
        <w:rPr>
          <w:rStyle w:val="FootnoteReference"/>
        </w:rPr>
        <w:footnoteRef/>
      </w:r>
      <w:r w:rsidRPr="006528AE">
        <w:t xml:space="preserve"> Section 29 of the Exposure Draft Rules </w:t>
      </w:r>
    </w:p>
  </w:footnote>
  <w:footnote w:id="36">
    <w:p w14:paraId="4F76940C" w14:textId="700B1281" w:rsidR="001E153C" w:rsidRDefault="001E153C">
      <w:pPr>
        <w:pStyle w:val="FootnoteText"/>
      </w:pPr>
      <w:r>
        <w:rPr>
          <w:rStyle w:val="FootnoteReference"/>
        </w:rPr>
        <w:footnoteRef/>
      </w:r>
      <w:r>
        <w:t xml:space="preserve"> Section 30 of the Exposure Draft Rules.</w:t>
      </w:r>
    </w:p>
  </w:footnote>
  <w:footnote w:id="37">
    <w:p w14:paraId="227907D5" w14:textId="4DAC47CD" w:rsidR="001E153C" w:rsidRDefault="001E153C">
      <w:pPr>
        <w:pStyle w:val="FootnoteText"/>
      </w:pPr>
      <w:r>
        <w:rPr>
          <w:rStyle w:val="FootnoteReference"/>
        </w:rPr>
        <w:footnoteRef/>
      </w:r>
      <w:r>
        <w:t xml:space="preserve"> Section 31 of the Exposure Draft Rules.</w:t>
      </w:r>
    </w:p>
  </w:footnote>
  <w:footnote w:id="38">
    <w:p w14:paraId="352CCFF1" w14:textId="498172AA" w:rsidR="001E153C" w:rsidRDefault="001E153C">
      <w:pPr>
        <w:pStyle w:val="FootnoteText"/>
      </w:pPr>
      <w:r>
        <w:rPr>
          <w:rStyle w:val="FootnoteReference"/>
        </w:rPr>
        <w:footnoteRef/>
      </w:r>
      <w:r>
        <w:t xml:space="preserve"> Section 32 of the Exposure Draft Rules.</w:t>
      </w:r>
    </w:p>
  </w:footnote>
  <w:footnote w:id="39">
    <w:p w14:paraId="19935D90" w14:textId="41FF6734" w:rsidR="001E153C" w:rsidRDefault="001E153C">
      <w:pPr>
        <w:pStyle w:val="FootnoteText"/>
      </w:pPr>
      <w:r>
        <w:rPr>
          <w:rStyle w:val="FootnoteReference"/>
        </w:rPr>
        <w:footnoteRef/>
      </w:r>
      <w:r>
        <w:t xml:space="preserve"> Section 33 of the Exposure Draft Rules.</w:t>
      </w:r>
    </w:p>
  </w:footnote>
  <w:footnote w:id="40">
    <w:p w14:paraId="3F03635C" w14:textId="1FACA7EB" w:rsidR="001E153C" w:rsidRDefault="001E153C">
      <w:pPr>
        <w:pStyle w:val="FootnoteText"/>
      </w:pPr>
      <w:r>
        <w:rPr>
          <w:rStyle w:val="FootnoteReference"/>
        </w:rPr>
        <w:footnoteRef/>
      </w:r>
      <w:r>
        <w:t xml:space="preserve"> Section 31 of the Amended AML/CTF Act.</w:t>
      </w:r>
    </w:p>
  </w:footnote>
  <w:footnote w:id="41">
    <w:p w14:paraId="2C958603" w14:textId="610DAAFF" w:rsidR="001E153C" w:rsidRDefault="001E153C">
      <w:pPr>
        <w:pStyle w:val="FootnoteText"/>
      </w:pPr>
      <w:r>
        <w:rPr>
          <w:rStyle w:val="FootnoteReference"/>
        </w:rPr>
        <w:footnoteRef/>
      </w:r>
      <w:r>
        <w:t xml:space="preserve"> Section 40 of the Exposure Draft Rules.</w:t>
      </w:r>
    </w:p>
  </w:footnote>
  <w:footnote w:id="42">
    <w:p w14:paraId="5EF627A3" w14:textId="621ECDAD" w:rsidR="001E153C" w:rsidRDefault="001E153C">
      <w:pPr>
        <w:pStyle w:val="FootnoteText"/>
      </w:pPr>
      <w:r>
        <w:rPr>
          <w:rStyle w:val="FootnoteReference"/>
        </w:rPr>
        <w:footnoteRef/>
      </w:r>
      <w:r>
        <w:t xml:space="preserve"> Division 6 of Part 5 of the Exposure Draft Rules.</w:t>
      </w:r>
    </w:p>
  </w:footnote>
  <w:footnote w:id="43">
    <w:p w14:paraId="5A58D005" w14:textId="30174076" w:rsidR="001E153C" w:rsidRDefault="001E153C">
      <w:pPr>
        <w:pStyle w:val="FootnoteText"/>
      </w:pPr>
      <w:r>
        <w:rPr>
          <w:rStyle w:val="FootnoteReference"/>
        </w:rPr>
        <w:footnoteRef/>
      </w:r>
      <w:r>
        <w:t xml:space="preserve"> Section 35 of the Exposure Draft Rules.</w:t>
      </w:r>
    </w:p>
  </w:footnote>
  <w:footnote w:id="44">
    <w:p w14:paraId="134F632E" w14:textId="77D8E3F9" w:rsidR="001E153C" w:rsidRDefault="001E153C">
      <w:pPr>
        <w:pStyle w:val="FootnoteText"/>
      </w:pPr>
      <w:r>
        <w:rPr>
          <w:rStyle w:val="FootnoteReference"/>
        </w:rPr>
        <w:footnoteRef/>
      </w:r>
      <w:r>
        <w:t xml:space="preserve"> Section 3</w:t>
      </w:r>
      <w:r w:rsidR="00E6399B">
        <w:t>6</w:t>
      </w:r>
      <w:r>
        <w:t xml:space="preserve"> of the Exposure Draft Rules.</w:t>
      </w:r>
    </w:p>
  </w:footnote>
  <w:footnote w:id="45">
    <w:p w14:paraId="2F36DDCB" w14:textId="7DA7C78C" w:rsidR="001E153C" w:rsidRDefault="001E153C">
      <w:pPr>
        <w:pStyle w:val="FootnoteText"/>
      </w:pPr>
      <w:r>
        <w:rPr>
          <w:rStyle w:val="FootnoteReference"/>
        </w:rPr>
        <w:footnoteRef/>
      </w:r>
      <w:r>
        <w:t xml:space="preserve"> Section 37 of the Exposure Draft Rules.</w:t>
      </w:r>
    </w:p>
  </w:footnote>
  <w:footnote w:id="46">
    <w:p w14:paraId="4E8706D9" w14:textId="7A4A6053" w:rsidR="001E153C" w:rsidRDefault="001E153C" w:rsidP="0060564A">
      <w:pPr>
        <w:pStyle w:val="FootnoteText"/>
      </w:pPr>
      <w:r>
        <w:rPr>
          <w:rStyle w:val="FootnoteReference"/>
        </w:rPr>
        <w:footnoteRef/>
      </w:r>
      <w:r>
        <w:t xml:space="preserve"> Section 38 of the Exposure Draft Rules.</w:t>
      </w:r>
    </w:p>
  </w:footnote>
  <w:footnote w:id="47">
    <w:p w14:paraId="28BE045B" w14:textId="190C29AE" w:rsidR="001E153C" w:rsidRDefault="001E153C">
      <w:pPr>
        <w:pStyle w:val="FootnoteText"/>
      </w:pPr>
      <w:r>
        <w:rPr>
          <w:rStyle w:val="FootnoteReference"/>
        </w:rPr>
        <w:footnoteRef/>
      </w:r>
      <w:r>
        <w:t xml:space="preserve"> Section 54 of the Exposure Draft Rules.</w:t>
      </w:r>
    </w:p>
  </w:footnote>
  <w:footnote w:id="48">
    <w:p w14:paraId="7B13B141" w14:textId="07143BCC" w:rsidR="001E153C" w:rsidRDefault="001E153C">
      <w:pPr>
        <w:pStyle w:val="FootnoteText"/>
      </w:pPr>
      <w:r>
        <w:rPr>
          <w:rStyle w:val="FootnoteReference"/>
        </w:rPr>
        <w:footnoteRef/>
      </w:r>
      <w:r>
        <w:t xml:space="preserve"> Section 55 of the Exposure Draft Rules.</w:t>
      </w:r>
    </w:p>
  </w:footnote>
  <w:footnote w:id="49">
    <w:p w14:paraId="2BC7E803" w14:textId="44FDE339" w:rsidR="001E153C" w:rsidRDefault="001E153C">
      <w:pPr>
        <w:pStyle w:val="FootnoteText"/>
      </w:pPr>
      <w:r>
        <w:rPr>
          <w:rStyle w:val="FootnoteReference"/>
        </w:rPr>
        <w:footnoteRef/>
      </w:r>
      <w:r>
        <w:t xml:space="preserve"> Section 5 of the Exposure Draft Rules.</w:t>
      </w:r>
    </w:p>
  </w:footnote>
  <w:footnote w:id="50">
    <w:p w14:paraId="1688F905" w14:textId="2820CD5B" w:rsidR="001E153C" w:rsidRDefault="001E153C">
      <w:pPr>
        <w:pStyle w:val="FootnoteText"/>
      </w:pPr>
      <w:r>
        <w:rPr>
          <w:rStyle w:val="FootnoteReference"/>
        </w:rPr>
        <w:footnoteRef/>
      </w:r>
      <w:r>
        <w:t xml:space="preserve"> Section 5 of the Exposure Draft Rules.</w:t>
      </w:r>
    </w:p>
  </w:footnote>
  <w:footnote w:id="51">
    <w:p w14:paraId="4D27FEC3" w14:textId="1DC193D5" w:rsidR="001E153C" w:rsidRDefault="001E153C">
      <w:pPr>
        <w:pStyle w:val="FootnoteText"/>
      </w:pPr>
      <w:r>
        <w:rPr>
          <w:rStyle w:val="FootnoteReference"/>
        </w:rPr>
        <w:footnoteRef/>
      </w:r>
      <w:r>
        <w:t xml:space="preserve"> Section 5 of the Exposure Draft Rules.</w:t>
      </w:r>
    </w:p>
  </w:footnote>
  <w:footnote w:id="52">
    <w:p w14:paraId="5ED64EDF" w14:textId="2728E46F" w:rsidR="001E153C" w:rsidRDefault="001E153C">
      <w:pPr>
        <w:pStyle w:val="FootnoteText"/>
      </w:pPr>
      <w:r>
        <w:rPr>
          <w:rStyle w:val="FootnoteReference"/>
        </w:rPr>
        <w:footnoteRef/>
      </w:r>
      <w:r>
        <w:t xml:space="preserve"> Section 5 of the Exposure Draft Rules.</w:t>
      </w:r>
    </w:p>
  </w:footnote>
  <w:footnote w:id="53">
    <w:p w14:paraId="7FA20B11" w14:textId="034D897E" w:rsidR="001E153C" w:rsidRDefault="001E153C">
      <w:pPr>
        <w:pStyle w:val="FootnoteText"/>
      </w:pPr>
      <w:r>
        <w:rPr>
          <w:rStyle w:val="FootnoteReference"/>
        </w:rPr>
        <w:footnoteRef/>
      </w:r>
      <w:r>
        <w:t xml:space="preserve"> Section 5 of the Exposure Draft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1EF2" w14:textId="77777777" w:rsidR="001E153C" w:rsidRDefault="001E153C">
    <w:pPr>
      <w:pStyle w:val="Header"/>
    </w:pPr>
    <w:r>
      <w:rPr>
        <w:noProof/>
        <w:lang w:eastAsia="en-AU"/>
      </w:rPr>
      <mc:AlternateContent>
        <mc:Choice Requires="wps">
          <w:drawing>
            <wp:anchor distT="0" distB="0" distL="0" distR="0" simplePos="0" relativeHeight="251660800" behindDoc="0" locked="0" layoutInCell="1" allowOverlap="1" wp14:anchorId="4535E95D" wp14:editId="40467DE9">
              <wp:simplePos x="635" y="635"/>
              <wp:positionH relativeFrom="page">
                <wp:align>center</wp:align>
              </wp:positionH>
              <wp:positionV relativeFrom="page">
                <wp:align>top</wp:align>
              </wp:positionV>
              <wp:extent cx="457200" cy="428625"/>
              <wp:effectExtent l="0" t="0" r="0" b="9525"/>
              <wp:wrapNone/>
              <wp:docPr id="1693763775"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331EBBE5" w14:textId="77777777" w:rsidR="001E153C" w:rsidRPr="009E0F0D" w:rsidRDefault="001E153C" w:rsidP="009E0F0D">
                          <w:pPr>
                            <w:spacing w:after="0"/>
                            <w:rPr>
                              <w:rFonts w:eastAsia="Calibri" w:cs="Calibri"/>
                              <w:noProof/>
                              <w:color w:val="FF0000"/>
                              <w:sz w:val="20"/>
                              <w:szCs w:val="20"/>
                            </w:rPr>
                          </w:pPr>
                          <w:r w:rsidRPr="009E0F0D">
                            <w:rPr>
                              <w:rFonts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5E95D" id="_x0000_t202" coordsize="21600,21600" o:spt="202" path="m,l,21600r21600,l21600,xe">
              <v:stroke joinstyle="miter"/>
              <v:path gradientshapeok="t" o:connecttype="rect"/>
            </v:shapetype>
            <v:shape id="_x0000_s1029" type="#_x0000_t202" alt="OFFICIAL" style="position:absolute;margin-left:0;margin-top:0;width:36pt;height:33.7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" filled="f" stroked="f">
              <v:textbox style="mso-fit-shape-to-text:t" inset="0,15pt,0,0">
                <w:txbxContent>
                  <w:p w14:paraId="331EBBE5" w14:textId="77777777" w:rsidR="00D0798A" w:rsidRPr="009E0F0D" w:rsidRDefault="00D0798A" w:rsidP="009E0F0D">
                    <w:pPr>
                      <w:spacing w:after="0"/>
                      <w:rPr>
                        <w:rFonts w:eastAsia="Calibri" w:cs="Calibri"/>
                        <w:noProof/>
                        <w:color w:val="FF0000"/>
                        <w:sz w:val="20"/>
                        <w:szCs w:val="20"/>
                      </w:rPr>
                    </w:pPr>
                    <w:r w:rsidRPr="009E0F0D">
                      <w:rPr>
                        <w:rFonts w:eastAsia="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8A20" w14:textId="77777777" w:rsidR="001E153C" w:rsidRPr="00320AD6" w:rsidRDefault="001E153C" w:rsidP="605207D1">
    <w:pPr>
      <w:pStyle w:val="Classification"/>
      <w:rPr>
        <w:rStyle w:val="Style2"/>
        <w:b/>
        <w:bCs/>
      </w:rPr>
    </w:pPr>
    <w:r>
      <w:rPr>
        <w:rStyle w:val="Style2"/>
        <w:b/>
        <w:bCs/>
      </w:rPr>
      <w:t>Official</w:t>
    </w:r>
  </w:p>
  <w:p w14:paraId="3F80BC73" w14:textId="77777777" w:rsidR="001E153C" w:rsidRDefault="001E153C" w:rsidP="00320AD6">
    <w:pPr>
      <w:pStyle w:val="Classificatio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F79E" w14:textId="77777777" w:rsidR="001E153C" w:rsidRDefault="001E153C">
    <w:pPr>
      <w:pStyle w:val="Header"/>
    </w:pPr>
    <w:r>
      <w:rPr>
        <w:noProof/>
        <w:lang w:eastAsia="en-AU"/>
      </w:rPr>
      <mc:AlternateContent>
        <mc:Choice Requires="wps">
          <w:drawing>
            <wp:anchor distT="0" distB="0" distL="0" distR="0" simplePos="0" relativeHeight="251659776" behindDoc="0" locked="0" layoutInCell="1" allowOverlap="1" wp14:anchorId="085199F0" wp14:editId="3D8B4595">
              <wp:simplePos x="635" y="635"/>
              <wp:positionH relativeFrom="page">
                <wp:align>center</wp:align>
              </wp:positionH>
              <wp:positionV relativeFrom="page">
                <wp:align>top</wp:align>
              </wp:positionV>
              <wp:extent cx="457200" cy="428625"/>
              <wp:effectExtent l="0" t="0" r="0" b="9525"/>
              <wp:wrapNone/>
              <wp:docPr id="296041324" name="Text Box 1" descr="OFFICIAL">
                <a:extLst xmlns:a="http://schemas.openxmlformats.org/drawingml/2006/main">
                  <a:ext uri="{5AE41FA2-C0FF-4470-9BD4-5FADCA87CBE2}">
                    <aclsh:classification xmlns:aclsh="http://schemas.microsoft.com/office/drawing/2020/classificationShape"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34C38036" w14:textId="77777777" w:rsidR="001E153C" w:rsidRPr="00B82295" w:rsidRDefault="001E153C" w:rsidP="009E0F0D">
                          <w:pPr>
                            <w:spacing w:after="0"/>
                            <w:rPr>
                              <w:rFonts w:eastAsia="Calibri" w:cs="Calibri"/>
                              <w:noProof/>
                              <w:color w:val="FF0000"/>
                              <w:sz w:val="28"/>
                              <w:szCs w:val="28"/>
                            </w:rPr>
                          </w:pPr>
                          <w:r w:rsidRPr="00B82295">
                            <w:rPr>
                              <w:rFonts w:eastAsia="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5199F0" id="_x0000_t202" coordsize="21600,21600" o:spt="202" path="m,l,21600r21600,l21600,xe">
              <v:stroke joinstyle="miter"/>
              <v:path gradientshapeok="t" o:connecttype="rect"/>
            </v:shapetype>
            <v:shape id="_x0000_s1031" type="#_x0000_t202" alt="OFFICIAL" style="position:absolute;margin-left:0;margin-top:0;width:36pt;height:33.7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" filled="f" stroked="f">
              <v:textbox style="mso-fit-shape-to-text:t" inset="0,15pt,0,0">
                <w:txbxContent>
                  <w:p w14:paraId="34C38036" w14:textId="77777777" w:rsidR="00D0798A" w:rsidRPr="00B82295" w:rsidRDefault="00D0798A" w:rsidP="009E0F0D">
                    <w:pPr>
                      <w:spacing w:after="0"/>
                      <w:rPr>
                        <w:rFonts w:eastAsia="Calibri" w:cs="Calibri"/>
                        <w:noProof/>
                        <w:color w:val="FF0000"/>
                        <w:sz w:val="28"/>
                        <w:szCs w:val="28"/>
                      </w:rPr>
                    </w:pPr>
                    <w:r w:rsidRPr="00B82295">
                      <w:rPr>
                        <w:rFonts w:eastAsia="Calibri" w:cs="Calibri"/>
                        <w:noProof/>
                        <w:color w:val="FF0000"/>
                        <w:sz w:val="28"/>
                        <w:szCs w:val="28"/>
                      </w:rPr>
                      <w:t>OFFICIAL</w:t>
                    </w:r>
                  </w:p>
                </w:txbxContent>
              </v:textbox>
              <w10:wrap anchorx="page" anchory="page"/>
            </v:shape>
          </w:pict>
        </mc:Fallback>
      </mc:AlternateContent>
    </w:r>
    <w:r>
      <w:rPr>
        <w:noProof/>
        <w:lang w:eastAsia="en-AU"/>
      </w:rPr>
      <w:drawing>
        <wp:anchor distT="0" distB="0" distL="114300" distR="114300" simplePos="0" relativeHeight="251657728" behindDoc="1" locked="0" layoutInCell="1" allowOverlap="1" wp14:anchorId="22F94437" wp14:editId="4FBAB8B6">
          <wp:simplePos x="0" y="0"/>
          <wp:positionH relativeFrom="column">
            <wp:posOffset>-914400</wp:posOffset>
          </wp:positionH>
          <wp:positionV relativeFrom="paragraph">
            <wp:posOffset>-450215</wp:posOffset>
          </wp:positionV>
          <wp:extent cx="7595870" cy="10744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AUSTRAC_rebrand_Letterhead3.jpg"/>
                  <pic:cNvPicPr/>
                </pic:nvPicPr>
                <pic:blipFill>
                  <a:blip r:embed="rId1">
                    <a:extLst>
                      <a:ext uri="{28A0092B-C50C-407E-A947-70E740481C1C}">
                        <a14:useLocalDpi xmlns:a14="http://schemas.microsoft.com/office/drawing/2010/main" val="0"/>
                      </a:ext>
                    </a:extLst>
                  </a:blip>
                  <a:stretch>
                    <a:fillRect/>
                  </a:stretch>
                </pic:blipFill>
                <pic:spPr>
                  <a:xfrm>
                    <a:off x="0" y="0"/>
                    <a:ext cx="7595870" cy="10744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YUNNDxHT" int2:invalidationBookmarkName="" int2:hashCode="X55YArurxx+Sdf" int2:id="6ijgCh2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3E"/>
    <w:multiLevelType w:val="hybridMultilevel"/>
    <w:tmpl w:val="484C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293BB"/>
    <w:multiLevelType w:val="hybridMultilevel"/>
    <w:tmpl w:val="97983F9E"/>
    <w:lvl w:ilvl="0" w:tplc="EB0E33E8">
      <w:start w:val="1"/>
      <w:numFmt w:val="bullet"/>
      <w:lvlText w:val=""/>
      <w:lvlJc w:val="left"/>
      <w:pPr>
        <w:ind w:left="720" w:hanging="360"/>
      </w:pPr>
      <w:rPr>
        <w:rFonts w:ascii="Symbol" w:hAnsi="Symbol" w:hint="default"/>
      </w:rPr>
    </w:lvl>
    <w:lvl w:ilvl="1" w:tplc="AB64C6FA">
      <w:start w:val="1"/>
      <w:numFmt w:val="bullet"/>
      <w:lvlText w:val="o"/>
      <w:lvlJc w:val="left"/>
      <w:pPr>
        <w:ind w:left="1440" w:hanging="360"/>
      </w:pPr>
      <w:rPr>
        <w:rFonts w:ascii="Courier New" w:hAnsi="Courier New" w:hint="default"/>
      </w:rPr>
    </w:lvl>
    <w:lvl w:ilvl="2" w:tplc="D7A8CE60">
      <w:start w:val="1"/>
      <w:numFmt w:val="bullet"/>
      <w:lvlText w:val=""/>
      <w:lvlJc w:val="left"/>
      <w:pPr>
        <w:ind w:left="2160" w:hanging="360"/>
      </w:pPr>
      <w:rPr>
        <w:rFonts w:ascii="Wingdings" w:hAnsi="Wingdings" w:hint="default"/>
      </w:rPr>
    </w:lvl>
    <w:lvl w:ilvl="3" w:tplc="C8BC923E">
      <w:start w:val="1"/>
      <w:numFmt w:val="bullet"/>
      <w:lvlText w:val=""/>
      <w:lvlJc w:val="left"/>
      <w:pPr>
        <w:ind w:left="2880" w:hanging="360"/>
      </w:pPr>
      <w:rPr>
        <w:rFonts w:ascii="Symbol" w:hAnsi="Symbol" w:hint="default"/>
      </w:rPr>
    </w:lvl>
    <w:lvl w:ilvl="4" w:tplc="B866D204">
      <w:start w:val="1"/>
      <w:numFmt w:val="bullet"/>
      <w:lvlText w:val="o"/>
      <w:lvlJc w:val="left"/>
      <w:pPr>
        <w:ind w:left="3600" w:hanging="360"/>
      </w:pPr>
      <w:rPr>
        <w:rFonts w:ascii="Courier New" w:hAnsi="Courier New" w:hint="default"/>
      </w:rPr>
    </w:lvl>
    <w:lvl w:ilvl="5" w:tplc="65B0A8AE">
      <w:start w:val="1"/>
      <w:numFmt w:val="bullet"/>
      <w:lvlText w:val=""/>
      <w:lvlJc w:val="left"/>
      <w:pPr>
        <w:ind w:left="4320" w:hanging="360"/>
      </w:pPr>
      <w:rPr>
        <w:rFonts w:ascii="Wingdings" w:hAnsi="Wingdings" w:hint="default"/>
      </w:rPr>
    </w:lvl>
    <w:lvl w:ilvl="6" w:tplc="A5148F00">
      <w:start w:val="1"/>
      <w:numFmt w:val="bullet"/>
      <w:lvlText w:val=""/>
      <w:lvlJc w:val="left"/>
      <w:pPr>
        <w:ind w:left="5040" w:hanging="360"/>
      </w:pPr>
      <w:rPr>
        <w:rFonts w:ascii="Symbol" w:hAnsi="Symbol" w:hint="default"/>
      </w:rPr>
    </w:lvl>
    <w:lvl w:ilvl="7" w:tplc="9386F21A">
      <w:start w:val="1"/>
      <w:numFmt w:val="bullet"/>
      <w:lvlText w:val="o"/>
      <w:lvlJc w:val="left"/>
      <w:pPr>
        <w:ind w:left="5760" w:hanging="360"/>
      </w:pPr>
      <w:rPr>
        <w:rFonts w:ascii="Courier New" w:hAnsi="Courier New" w:hint="default"/>
      </w:rPr>
    </w:lvl>
    <w:lvl w:ilvl="8" w:tplc="84B6D0B4">
      <w:start w:val="1"/>
      <w:numFmt w:val="bullet"/>
      <w:lvlText w:val=""/>
      <w:lvlJc w:val="left"/>
      <w:pPr>
        <w:ind w:left="6480" w:hanging="360"/>
      </w:pPr>
      <w:rPr>
        <w:rFonts w:ascii="Wingdings" w:hAnsi="Wingdings" w:hint="default"/>
      </w:rPr>
    </w:lvl>
  </w:abstractNum>
  <w:abstractNum w:abstractNumId="2" w15:restartNumberingAfterBreak="0">
    <w:nsid w:val="07F44EB0"/>
    <w:multiLevelType w:val="hybridMultilevel"/>
    <w:tmpl w:val="265AC8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F20F1"/>
    <w:multiLevelType w:val="hybridMultilevel"/>
    <w:tmpl w:val="E1483D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CD867F"/>
    <w:multiLevelType w:val="hybridMultilevel"/>
    <w:tmpl w:val="D3EA4F50"/>
    <w:lvl w:ilvl="0" w:tplc="265E471C">
      <w:start w:val="1"/>
      <w:numFmt w:val="bullet"/>
      <w:lvlText w:val="·"/>
      <w:lvlJc w:val="left"/>
      <w:pPr>
        <w:ind w:left="720" w:hanging="360"/>
      </w:pPr>
      <w:rPr>
        <w:rFonts w:ascii="Symbol" w:hAnsi="Symbol" w:hint="default"/>
      </w:rPr>
    </w:lvl>
    <w:lvl w:ilvl="1" w:tplc="931ABF4E">
      <w:start w:val="1"/>
      <w:numFmt w:val="bullet"/>
      <w:lvlText w:val="o"/>
      <w:lvlJc w:val="left"/>
      <w:pPr>
        <w:ind w:left="1440" w:hanging="360"/>
      </w:pPr>
      <w:rPr>
        <w:rFonts w:ascii="Courier New" w:hAnsi="Courier New" w:hint="default"/>
      </w:rPr>
    </w:lvl>
    <w:lvl w:ilvl="2" w:tplc="87C4E4F8">
      <w:start w:val="1"/>
      <w:numFmt w:val="bullet"/>
      <w:lvlText w:val=""/>
      <w:lvlJc w:val="left"/>
      <w:pPr>
        <w:ind w:left="2160" w:hanging="360"/>
      </w:pPr>
      <w:rPr>
        <w:rFonts w:ascii="Wingdings" w:hAnsi="Wingdings" w:hint="default"/>
      </w:rPr>
    </w:lvl>
    <w:lvl w:ilvl="3" w:tplc="A3A0A726">
      <w:start w:val="1"/>
      <w:numFmt w:val="bullet"/>
      <w:lvlText w:val=""/>
      <w:lvlJc w:val="left"/>
      <w:pPr>
        <w:ind w:left="2880" w:hanging="360"/>
      </w:pPr>
      <w:rPr>
        <w:rFonts w:ascii="Symbol" w:hAnsi="Symbol" w:hint="default"/>
      </w:rPr>
    </w:lvl>
    <w:lvl w:ilvl="4" w:tplc="008E81B8">
      <w:start w:val="1"/>
      <w:numFmt w:val="bullet"/>
      <w:lvlText w:val="o"/>
      <w:lvlJc w:val="left"/>
      <w:pPr>
        <w:ind w:left="3600" w:hanging="360"/>
      </w:pPr>
      <w:rPr>
        <w:rFonts w:ascii="Courier New" w:hAnsi="Courier New" w:hint="default"/>
      </w:rPr>
    </w:lvl>
    <w:lvl w:ilvl="5" w:tplc="E3887722">
      <w:start w:val="1"/>
      <w:numFmt w:val="bullet"/>
      <w:lvlText w:val=""/>
      <w:lvlJc w:val="left"/>
      <w:pPr>
        <w:ind w:left="4320" w:hanging="360"/>
      </w:pPr>
      <w:rPr>
        <w:rFonts w:ascii="Wingdings" w:hAnsi="Wingdings" w:hint="default"/>
      </w:rPr>
    </w:lvl>
    <w:lvl w:ilvl="6" w:tplc="BCCC81D2">
      <w:start w:val="1"/>
      <w:numFmt w:val="bullet"/>
      <w:lvlText w:val=""/>
      <w:lvlJc w:val="left"/>
      <w:pPr>
        <w:ind w:left="5040" w:hanging="360"/>
      </w:pPr>
      <w:rPr>
        <w:rFonts w:ascii="Symbol" w:hAnsi="Symbol" w:hint="default"/>
      </w:rPr>
    </w:lvl>
    <w:lvl w:ilvl="7" w:tplc="D0E2EDDE">
      <w:start w:val="1"/>
      <w:numFmt w:val="bullet"/>
      <w:lvlText w:val="o"/>
      <w:lvlJc w:val="left"/>
      <w:pPr>
        <w:ind w:left="5760" w:hanging="360"/>
      </w:pPr>
      <w:rPr>
        <w:rFonts w:ascii="Courier New" w:hAnsi="Courier New" w:hint="default"/>
      </w:rPr>
    </w:lvl>
    <w:lvl w:ilvl="8" w:tplc="DEBA000E">
      <w:start w:val="1"/>
      <w:numFmt w:val="bullet"/>
      <w:lvlText w:val=""/>
      <w:lvlJc w:val="left"/>
      <w:pPr>
        <w:ind w:left="6480" w:hanging="360"/>
      </w:pPr>
      <w:rPr>
        <w:rFonts w:ascii="Wingdings" w:hAnsi="Wingdings" w:hint="default"/>
      </w:rPr>
    </w:lvl>
  </w:abstractNum>
  <w:abstractNum w:abstractNumId="5" w15:restartNumberingAfterBreak="0">
    <w:nsid w:val="11C27A52"/>
    <w:multiLevelType w:val="multilevel"/>
    <w:tmpl w:val="5AB8B158"/>
    <w:styleLink w:val="Headings"/>
    <w:lvl w:ilvl="0">
      <w:start w:val="1"/>
      <w:numFmt w:val="decimal"/>
      <w:pStyle w:val="Heading1"/>
      <w:lvlText w:val="%1."/>
      <w:lvlJc w:val="left"/>
      <w:pPr>
        <w:ind w:left="1134" w:hanging="1134"/>
      </w:p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pStyle w:val="Heading5"/>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14E9C"/>
    <w:multiLevelType w:val="hybridMultilevel"/>
    <w:tmpl w:val="7BEC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874AF"/>
    <w:multiLevelType w:val="multilevel"/>
    <w:tmpl w:val="5AB8B158"/>
    <w:numStyleLink w:val="Headings"/>
  </w:abstractNum>
  <w:abstractNum w:abstractNumId="8" w15:restartNumberingAfterBreak="0">
    <w:nsid w:val="16328428"/>
    <w:multiLevelType w:val="hybridMultilevel"/>
    <w:tmpl w:val="EA78B64E"/>
    <w:lvl w:ilvl="0" w:tplc="45EAB434">
      <w:start w:val="1"/>
      <w:numFmt w:val="bullet"/>
      <w:lvlText w:val=""/>
      <w:lvlJc w:val="left"/>
      <w:pPr>
        <w:ind w:left="720" w:hanging="360"/>
      </w:pPr>
      <w:rPr>
        <w:rFonts w:ascii="Symbol" w:hAnsi="Symbol" w:hint="default"/>
      </w:rPr>
    </w:lvl>
    <w:lvl w:ilvl="1" w:tplc="9C90AC7E">
      <w:start w:val="1"/>
      <w:numFmt w:val="bullet"/>
      <w:lvlText w:val="o"/>
      <w:lvlJc w:val="left"/>
      <w:pPr>
        <w:ind w:left="1440" w:hanging="360"/>
      </w:pPr>
      <w:rPr>
        <w:rFonts w:ascii="Courier New" w:hAnsi="Courier New" w:hint="default"/>
      </w:rPr>
    </w:lvl>
    <w:lvl w:ilvl="2" w:tplc="D8466D78">
      <w:start w:val="1"/>
      <w:numFmt w:val="bullet"/>
      <w:lvlText w:val=""/>
      <w:lvlJc w:val="left"/>
      <w:pPr>
        <w:ind w:left="2160" w:hanging="360"/>
      </w:pPr>
      <w:rPr>
        <w:rFonts w:ascii="Wingdings" w:hAnsi="Wingdings" w:hint="default"/>
      </w:rPr>
    </w:lvl>
    <w:lvl w:ilvl="3" w:tplc="2DB27DC2">
      <w:start w:val="1"/>
      <w:numFmt w:val="bullet"/>
      <w:lvlText w:val=""/>
      <w:lvlJc w:val="left"/>
      <w:pPr>
        <w:ind w:left="2880" w:hanging="360"/>
      </w:pPr>
      <w:rPr>
        <w:rFonts w:ascii="Symbol" w:hAnsi="Symbol" w:hint="default"/>
      </w:rPr>
    </w:lvl>
    <w:lvl w:ilvl="4" w:tplc="1682D486">
      <w:start w:val="1"/>
      <w:numFmt w:val="bullet"/>
      <w:lvlText w:val="o"/>
      <w:lvlJc w:val="left"/>
      <w:pPr>
        <w:ind w:left="3600" w:hanging="360"/>
      </w:pPr>
      <w:rPr>
        <w:rFonts w:ascii="Courier New" w:hAnsi="Courier New" w:hint="default"/>
      </w:rPr>
    </w:lvl>
    <w:lvl w:ilvl="5" w:tplc="B99C21C4">
      <w:start w:val="1"/>
      <w:numFmt w:val="bullet"/>
      <w:lvlText w:val=""/>
      <w:lvlJc w:val="left"/>
      <w:pPr>
        <w:ind w:left="4320" w:hanging="360"/>
      </w:pPr>
      <w:rPr>
        <w:rFonts w:ascii="Wingdings" w:hAnsi="Wingdings" w:hint="default"/>
      </w:rPr>
    </w:lvl>
    <w:lvl w:ilvl="6" w:tplc="D8C216B0">
      <w:start w:val="1"/>
      <w:numFmt w:val="bullet"/>
      <w:lvlText w:val=""/>
      <w:lvlJc w:val="left"/>
      <w:pPr>
        <w:ind w:left="5040" w:hanging="360"/>
      </w:pPr>
      <w:rPr>
        <w:rFonts w:ascii="Symbol" w:hAnsi="Symbol" w:hint="default"/>
      </w:rPr>
    </w:lvl>
    <w:lvl w:ilvl="7" w:tplc="D914582E">
      <w:start w:val="1"/>
      <w:numFmt w:val="bullet"/>
      <w:lvlText w:val="o"/>
      <w:lvlJc w:val="left"/>
      <w:pPr>
        <w:ind w:left="5760" w:hanging="360"/>
      </w:pPr>
      <w:rPr>
        <w:rFonts w:ascii="Courier New" w:hAnsi="Courier New" w:hint="default"/>
      </w:rPr>
    </w:lvl>
    <w:lvl w:ilvl="8" w:tplc="7212AD54">
      <w:start w:val="1"/>
      <w:numFmt w:val="bullet"/>
      <w:lvlText w:val=""/>
      <w:lvlJc w:val="left"/>
      <w:pPr>
        <w:ind w:left="6480" w:hanging="360"/>
      </w:pPr>
      <w:rPr>
        <w:rFonts w:ascii="Wingdings" w:hAnsi="Wingdings" w:hint="default"/>
      </w:rPr>
    </w:lvl>
  </w:abstractNum>
  <w:abstractNum w:abstractNumId="9" w15:restartNumberingAfterBreak="0">
    <w:nsid w:val="1C19D741"/>
    <w:multiLevelType w:val="hybridMultilevel"/>
    <w:tmpl w:val="2D44F7FA"/>
    <w:lvl w:ilvl="0" w:tplc="D958B070">
      <w:start w:val="1"/>
      <w:numFmt w:val="bullet"/>
      <w:lvlText w:val=""/>
      <w:lvlJc w:val="left"/>
      <w:pPr>
        <w:ind w:left="720" w:hanging="360"/>
      </w:pPr>
      <w:rPr>
        <w:rFonts w:ascii="Symbol" w:hAnsi="Symbol" w:hint="default"/>
      </w:rPr>
    </w:lvl>
    <w:lvl w:ilvl="1" w:tplc="5FC8D3CA">
      <w:start w:val="1"/>
      <w:numFmt w:val="bullet"/>
      <w:lvlText w:val="o"/>
      <w:lvlJc w:val="left"/>
      <w:pPr>
        <w:ind w:left="1440" w:hanging="360"/>
      </w:pPr>
      <w:rPr>
        <w:rFonts w:ascii="Courier New" w:hAnsi="Courier New" w:hint="default"/>
      </w:rPr>
    </w:lvl>
    <w:lvl w:ilvl="2" w:tplc="847293CA">
      <w:start w:val="1"/>
      <w:numFmt w:val="bullet"/>
      <w:lvlText w:val=""/>
      <w:lvlJc w:val="left"/>
      <w:pPr>
        <w:ind w:left="2160" w:hanging="360"/>
      </w:pPr>
      <w:rPr>
        <w:rFonts w:ascii="Wingdings" w:hAnsi="Wingdings" w:hint="default"/>
      </w:rPr>
    </w:lvl>
    <w:lvl w:ilvl="3" w:tplc="1916DFD2">
      <w:start w:val="1"/>
      <w:numFmt w:val="bullet"/>
      <w:lvlText w:val=""/>
      <w:lvlJc w:val="left"/>
      <w:pPr>
        <w:ind w:left="2880" w:hanging="360"/>
      </w:pPr>
      <w:rPr>
        <w:rFonts w:ascii="Symbol" w:hAnsi="Symbol" w:hint="default"/>
      </w:rPr>
    </w:lvl>
    <w:lvl w:ilvl="4" w:tplc="FDC28FE6">
      <w:start w:val="1"/>
      <w:numFmt w:val="bullet"/>
      <w:lvlText w:val="o"/>
      <w:lvlJc w:val="left"/>
      <w:pPr>
        <w:ind w:left="3600" w:hanging="360"/>
      </w:pPr>
      <w:rPr>
        <w:rFonts w:ascii="Courier New" w:hAnsi="Courier New" w:hint="default"/>
      </w:rPr>
    </w:lvl>
    <w:lvl w:ilvl="5" w:tplc="D188C394">
      <w:start w:val="1"/>
      <w:numFmt w:val="bullet"/>
      <w:lvlText w:val=""/>
      <w:lvlJc w:val="left"/>
      <w:pPr>
        <w:ind w:left="4320" w:hanging="360"/>
      </w:pPr>
      <w:rPr>
        <w:rFonts w:ascii="Wingdings" w:hAnsi="Wingdings" w:hint="default"/>
      </w:rPr>
    </w:lvl>
    <w:lvl w:ilvl="6" w:tplc="90940838">
      <w:start w:val="1"/>
      <w:numFmt w:val="bullet"/>
      <w:lvlText w:val=""/>
      <w:lvlJc w:val="left"/>
      <w:pPr>
        <w:ind w:left="5040" w:hanging="360"/>
      </w:pPr>
      <w:rPr>
        <w:rFonts w:ascii="Symbol" w:hAnsi="Symbol" w:hint="default"/>
      </w:rPr>
    </w:lvl>
    <w:lvl w:ilvl="7" w:tplc="9B0C807C">
      <w:start w:val="1"/>
      <w:numFmt w:val="bullet"/>
      <w:lvlText w:val="o"/>
      <w:lvlJc w:val="left"/>
      <w:pPr>
        <w:ind w:left="5760" w:hanging="360"/>
      </w:pPr>
      <w:rPr>
        <w:rFonts w:ascii="Courier New" w:hAnsi="Courier New" w:hint="default"/>
      </w:rPr>
    </w:lvl>
    <w:lvl w:ilvl="8" w:tplc="7CB0D0A6">
      <w:start w:val="1"/>
      <w:numFmt w:val="bullet"/>
      <w:lvlText w:val=""/>
      <w:lvlJc w:val="left"/>
      <w:pPr>
        <w:ind w:left="6480" w:hanging="360"/>
      </w:pPr>
      <w:rPr>
        <w:rFonts w:ascii="Wingdings" w:hAnsi="Wingdings" w:hint="default"/>
      </w:rPr>
    </w:lvl>
  </w:abstractNum>
  <w:abstractNum w:abstractNumId="10" w15:restartNumberingAfterBreak="0">
    <w:nsid w:val="24C9460A"/>
    <w:multiLevelType w:val="hybridMultilevel"/>
    <w:tmpl w:val="0A8AB7C0"/>
    <w:lvl w:ilvl="0" w:tplc="EDC4144C">
      <w:start w:val="1"/>
      <w:numFmt w:val="bullet"/>
      <w:lvlText w:val="-"/>
      <w:lvlJc w:val="left"/>
      <w:pPr>
        <w:ind w:left="720" w:hanging="360"/>
      </w:pPr>
      <w:rPr>
        <w:rFonts w:ascii="Aptos" w:hAnsi="Aptos" w:hint="default"/>
      </w:rPr>
    </w:lvl>
    <w:lvl w:ilvl="1" w:tplc="F628149C">
      <w:start w:val="1"/>
      <w:numFmt w:val="bullet"/>
      <w:lvlText w:val="o"/>
      <w:lvlJc w:val="left"/>
      <w:pPr>
        <w:ind w:left="1440" w:hanging="360"/>
      </w:pPr>
      <w:rPr>
        <w:rFonts w:ascii="Courier New" w:hAnsi="Courier New" w:hint="default"/>
      </w:rPr>
    </w:lvl>
    <w:lvl w:ilvl="2" w:tplc="2B4A3C00">
      <w:start w:val="1"/>
      <w:numFmt w:val="bullet"/>
      <w:lvlText w:val=""/>
      <w:lvlJc w:val="left"/>
      <w:pPr>
        <w:ind w:left="2160" w:hanging="360"/>
      </w:pPr>
      <w:rPr>
        <w:rFonts w:ascii="Wingdings" w:hAnsi="Wingdings" w:hint="default"/>
      </w:rPr>
    </w:lvl>
    <w:lvl w:ilvl="3" w:tplc="5E8CA4C2">
      <w:start w:val="1"/>
      <w:numFmt w:val="bullet"/>
      <w:lvlText w:val=""/>
      <w:lvlJc w:val="left"/>
      <w:pPr>
        <w:ind w:left="2880" w:hanging="360"/>
      </w:pPr>
      <w:rPr>
        <w:rFonts w:ascii="Symbol" w:hAnsi="Symbol" w:hint="default"/>
      </w:rPr>
    </w:lvl>
    <w:lvl w:ilvl="4" w:tplc="48C29E10">
      <w:start w:val="1"/>
      <w:numFmt w:val="bullet"/>
      <w:lvlText w:val="o"/>
      <w:lvlJc w:val="left"/>
      <w:pPr>
        <w:ind w:left="3600" w:hanging="360"/>
      </w:pPr>
      <w:rPr>
        <w:rFonts w:ascii="Courier New" w:hAnsi="Courier New" w:hint="default"/>
      </w:rPr>
    </w:lvl>
    <w:lvl w:ilvl="5" w:tplc="3A1C8BD6">
      <w:start w:val="1"/>
      <w:numFmt w:val="bullet"/>
      <w:lvlText w:val=""/>
      <w:lvlJc w:val="left"/>
      <w:pPr>
        <w:ind w:left="4320" w:hanging="360"/>
      </w:pPr>
      <w:rPr>
        <w:rFonts w:ascii="Wingdings" w:hAnsi="Wingdings" w:hint="default"/>
      </w:rPr>
    </w:lvl>
    <w:lvl w:ilvl="6" w:tplc="0A9EA628">
      <w:start w:val="1"/>
      <w:numFmt w:val="bullet"/>
      <w:lvlText w:val=""/>
      <w:lvlJc w:val="left"/>
      <w:pPr>
        <w:ind w:left="5040" w:hanging="360"/>
      </w:pPr>
      <w:rPr>
        <w:rFonts w:ascii="Symbol" w:hAnsi="Symbol" w:hint="default"/>
      </w:rPr>
    </w:lvl>
    <w:lvl w:ilvl="7" w:tplc="EBA25F8C">
      <w:start w:val="1"/>
      <w:numFmt w:val="bullet"/>
      <w:lvlText w:val="o"/>
      <w:lvlJc w:val="left"/>
      <w:pPr>
        <w:ind w:left="5760" w:hanging="360"/>
      </w:pPr>
      <w:rPr>
        <w:rFonts w:ascii="Courier New" w:hAnsi="Courier New" w:hint="default"/>
      </w:rPr>
    </w:lvl>
    <w:lvl w:ilvl="8" w:tplc="DC46E5C8">
      <w:start w:val="1"/>
      <w:numFmt w:val="bullet"/>
      <w:lvlText w:val=""/>
      <w:lvlJc w:val="left"/>
      <w:pPr>
        <w:ind w:left="6480" w:hanging="360"/>
      </w:pPr>
      <w:rPr>
        <w:rFonts w:ascii="Wingdings" w:hAnsi="Wingdings" w:hint="default"/>
      </w:rPr>
    </w:lvl>
  </w:abstractNum>
  <w:abstractNum w:abstractNumId="11" w15:restartNumberingAfterBreak="0">
    <w:nsid w:val="258C36E4"/>
    <w:multiLevelType w:val="hybridMultilevel"/>
    <w:tmpl w:val="1476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0CA22"/>
    <w:multiLevelType w:val="hybridMultilevel"/>
    <w:tmpl w:val="50C8640E"/>
    <w:lvl w:ilvl="0" w:tplc="EE82AEDC">
      <w:start w:val="1"/>
      <w:numFmt w:val="bullet"/>
      <w:lvlText w:val=""/>
      <w:lvlJc w:val="left"/>
      <w:pPr>
        <w:ind w:left="720" w:hanging="360"/>
      </w:pPr>
      <w:rPr>
        <w:rFonts w:ascii="Symbol" w:hAnsi="Symbol" w:hint="default"/>
      </w:rPr>
    </w:lvl>
    <w:lvl w:ilvl="1" w:tplc="E026CE78">
      <w:start w:val="1"/>
      <w:numFmt w:val="bullet"/>
      <w:lvlText w:val="o"/>
      <w:lvlJc w:val="left"/>
      <w:pPr>
        <w:ind w:left="1440" w:hanging="360"/>
      </w:pPr>
      <w:rPr>
        <w:rFonts w:ascii="Courier New" w:hAnsi="Courier New" w:hint="default"/>
      </w:rPr>
    </w:lvl>
    <w:lvl w:ilvl="2" w:tplc="5246CB94">
      <w:start w:val="1"/>
      <w:numFmt w:val="bullet"/>
      <w:lvlText w:val=""/>
      <w:lvlJc w:val="left"/>
      <w:pPr>
        <w:ind w:left="2160" w:hanging="360"/>
      </w:pPr>
      <w:rPr>
        <w:rFonts w:ascii="Wingdings" w:hAnsi="Wingdings" w:hint="default"/>
      </w:rPr>
    </w:lvl>
    <w:lvl w:ilvl="3" w:tplc="700630B2">
      <w:start w:val="1"/>
      <w:numFmt w:val="bullet"/>
      <w:lvlText w:val=""/>
      <w:lvlJc w:val="left"/>
      <w:pPr>
        <w:ind w:left="2880" w:hanging="360"/>
      </w:pPr>
      <w:rPr>
        <w:rFonts w:ascii="Symbol" w:hAnsi="Symbol" w:hint="default"/>
      </w:rPr>
    </w:lvl>
    <w:lvl w:ilvl="4" w:tplc="867CCE08">
      <w:start w:val="1"/>
      <w:numFmt w:val="bullet"/>
      <w:lvlText w:val="o"/>
      <w:lvlJc w:val="left"/>
      <w:pPr>
        <w:ind w:left="3600" w:hanging="360"/>
      </w:pPr>
      <w:rPr>
        <w:rFonts w:ascii="Courier New" w:hAnsi="Courier New" w:hint="default"/>
      </w:rPr>
    </w:lvl>
    <w:lvl w:ilvl="5" w:tplc="BAD89AA2">
      <w:start w:val="1"/>
      <w:numFmt w:val="bullet"/>
      <w:lvlText w:val=""/>
      <w:lvlJc w:val="left"/>
      <w:pPr>
        <w:ind w:left="4320" w:hanging="360"/>
      </w:pPr>
      <w:rPr>
        <w:rFonts w:ascii="Wingdings" w:hAnsi="Wingdings" w:hint="default"/>
      </w:rPr>
    </w:lvl>
    <w:lvl w:ilvl="6" w:tplc="BBAE7B78">
      <w:start w:val="1"/>
      <w:numFmt w:val="bullet"/>
      <w:lvlText w:val=""/>
      <w:lvlJc w:val="left"/>
      <w:pPr>
        <w:ind w:left="5040" w:hanging="360"/>
      </w:pPr>
      <w:rPr>
        <w:rFonts w:ascii="Symbol" w:hAnsi="Symbol" w:hint="default"/>
      </w:rPr>
    </w:lvl>
    <w:lvl w:ilvl="7" w:tplc="0EE27A38">
      <w:start w:val="1"/>
      <w:numFmt w:val="bullet"/>
      <w:lvlText w:val="o"/>
      <w:lvlJc w:val="left"/>
      <w:pPr>
        <w:ind w:left="5760" w:hanging="360"/>
      </w:pPr>
      <w:rPr>
        <w:rFonts w:ascii="Courier New" w:hAnsi="Courier New" w:hint="default"/>
      </w:rPr>
    </w:lvl>
    <w:lvl w:ilvl="8" w:tplc="378204F4">
      <w:start w:val="1"/>
      <w:numFmt w:val="bullet"/>
      <w:lvlText w:val=""/>
      <w:lvlJc w:val="left"/>
      <w:pPr>
        <w:ind w:left="6480" w:hanging="360"/>
      </w:pPr>
      <w:rPr>
        <w:rFonts w:ascii="Wingdings" w:hAnsi="Wingdings" w:hint="default"/>
      </w:rPr>
    </w:lvl>
  </w:abstractNum>
  <w:abstractNum w:abstractNumId="13" w15:restartNumberingAfterBreak="0">
    <w:nsid w:val="27F064F1"/>
    <w:multiLevelType w:val="hybridMultilevel"/>
    <w:tmpl w:val="81088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3EDDD"/>
    <w:multiLevelType w:val="hybridMultilevel"/>
    <w:tmpl w:val="5BB477D4"/>
    <w:lvl w:ilvl="0" w:tplc="8D207A16">
      <w:start w:val="1"/>
      <w:numFmt w:val="bullet"/>
      <w:lvlText w:val=""/>
      <w:lvlJc w:val="left"/>
      <w:pPr>
        <w:ind w:left="1080" w:hanging="360"/>
      </w:pPr>
      <w:rPr>
        <w:rFonts w:ascii="Symbol" w:hAnsi="Symbol" w:hint="default"/>
      </w:rPr>
    </w:lvl>
    <w:lvl w:ilvl="1" w:tplc="062AE254">
      <w:start w:val="1"/>
      <w:numFmt w:val="bullet"/>
      <w:lvlText w:val="o"/>
      <w:lvlJc w:val="left"/>
      <w:pPr>
        <w:ind w:left="1800" w:hanging="360"/>
      </w:pPr>
      <w:rPr>
        <w:rFonts w:ascii="Courier New" w:hAnsi="Courier New" w:hint="default"/>
      </w:rPr>
    </w:lvl>
    <w:lvl w:ilvl="2" w:tplc="41B2C662">
      <w:start w:val="1"/>
      <w:numFmt w:val="bullet"/>
      <w:lvlText w:val=""/>
      <w:lvlJc w:val="left"/>
      <w:pPr>
        <w:ind w:left="2520" w:hanging="360"/>
      </w:pPr>
      <w:rPr>
        <w:rFonts w:ascii="Wingdings" w:hAnsi="Wingdings" w:hint="default"/>
      </w:rPr>
    </w:lvl>
    <w:lvl w:ilvl="3" w:tplc="13D673C4">
      <w:start w:val="1"/>
      <w:numFmt w:val="bullet"/>
      <w:lvlText w:val=""/>
      <w:lvlJc w:val="left"/>
      <w:pPr>
        <w:ind w:left="3240" w:hanging="360"/>
      </w:pPr>
      <w:rPr>
        <w:rFonts w:ascii="Symbol" w:hAnsi="Symbol" w:hint="default"/>
      </w:rPr>
    </w:lvl>
    <w:lvl w:ilvl="4" w:tplc="A864810C">
      <w:start w:val="1"/>
      <w:numFmt w:val="bullet"/>
      <w:lvlText w:val="o"/>
      <w:lvlJc w:val="left"/>
      <w:pPr>
        <w:ind w:left="3960" w:hanging="360"/>
      </w:pPr>
      <w:rPr>
        <w:rFonts w:ascii="Courier New" w:hAnsi="Courier New" w:hint="default"/>
      </w:rPr>
    </w:lvl>
    <w:lvl w:ilvl="5" w:tplc="26E0A77A">
      <w:start w:val="1"/>
      <w:numFmt w:val="bullet"/>
      <w:lvlText w:val=""/>
      <w:lvlJc w:val="left"/>
      <w:pPr>
        <w:ind w:left="4680" w:hanging="360"/>
      </w:pPr>
      <w:rPr>
        <w:rFonts w:ascii="Wingdings" w:hAnsi="Wingdings" w:hint="default"/>
      </w:rPr>
    </w:lvl>
    <w:lvl w:ilvl="6" w:tplc="76E012F8">
      <w:start w:val="1"/>
      <w:numFmt w:val="bullet"/>
      <w:lvlText w:val=""/>
      <w:lvlJc w:val="left"/>
      <w:pPr>
        <w:ind w:left="5400" w:hanging="360"/>
      </w:pPr>
      <w:rPr>
        <w:rFonts w:ascii="Symbol" w:hAnsi="Symbol" w:hint="default"/>
      </w:rPr>
    </w:lvl>
    <w:lvl w:ilvl="7" w:tplc="111A8E9A">
      <w:start w:val="1"/>
      <w:numFmt w:val="bullet"/>
      <w:lvlText w:val="o"/>
      <w:lvlJc w:val="left"/>
      <w:pPr>
        <w:ind w:left="6120" w:hanging="360"/>
      </w:pPr>
      <w:rPr>
        <w:rFonts w:ascii="Courier New" w:hAnsi="Courier New" w:hint="default"/>
      </w:rPr>
    </w:lvl>
    <w:lvl w:ilvl="8" w:tplc="3C829306">
      <w:start w:val="1"/>
      <w:numFmt w:val="bullet"/>
      <w:lvlText w:val=""/>
      <w:lvlJc w:val="left"/>
      <w:pPr>
        <w:ind w:left="6840" w:hanging="360"/>
      </w:pPr>
      <w:rPr>
        <w:rFonts w:ascii="Wingdings" w:hAnsi="Wingdings" w:hint="default"/>
      </w:rPr>
    </w:lvl>
  </w:abstractNum>
  <w:abstractNum w:abstractNumId="15" w15:restartNumberingAfterBreak="0">
    <w:nsid w:val="2BE443F7"/>
    <w:multiLevelType w:val="hybridMultilevel"/>
    <w:tmpl w:val="F33CF890"/>
    <w:lvl w:ilvl="0" w:tplc="44084F6C">
      <w:start w:val="1"/>
      <w:numFmt w:val="bullet"/>
      <w:lvlText w:val=""/>
      <w:lvlJc w:val="left"/>
      <w:pPr>
        <w:ind w:left="720" w:hanging="360"/>
      </w:pPr>
      <w:rPr>
        <w:rFonts w:ascii="Symbol" w:hAnsi="Symbol" w:hint="default"/>
      </w:rPr>
    </w:lvl>
    <w:lvl w:ilvl="1" w:tplc="71E61A92">
      <w:start w:val="1"/>
      <w:numFmt w:val="bullet"/>
      <w:lvlText w:val="o"/>
      <w:lvlJc w:val="left"/>
      <w:pPr>
        <w:ind w:left="1440" w:hanging="360"/>
      </w:pPr>
      <w:rPr>
        <w:rFonts w:ascii="Courier New" w:hAnsi="Courier New" w:hint="default"/>
      </w:rPr>
    </w:lvl>
    <w:lvl w:ilvl="2" w:tplc="C4325A8E">
      <w:start w:val="1"/>
      <w:numFmt w:val="bullet"/>
      <w:lvlText w:val=""/>
      <w:lvlJc w:val="left"/>
      <w:pPr>
        <w:ind w:left="2160" w:hanging="360"/>
      </w:pPr>
      <w:rPr>
        <w:rFonts w:ascii="Wingdings" w:hAnsi="Wingdings" w:hint="default"/>
      </w:rPr>
    </w:lvl>
    <w:lvl w:ilvl="3" w:tplc="8578D6E6">
      <w:start w:val="1"/>
      <w:numFmt w:val="bullet"/>
      <w:lvlText w:val=""/>
      <w:lvlJc w:val="left"/>
      <w:pPr>
        <w:ind w:left="2880" w:hanging="360"/>
      </w:pPr>
      <w:rPr>
        <w:rFonts w:ascii="Symbol" w:hAnsi="Symbol" w:hint="default"/>
      </w:rPr>
    </w:lvl>
    <w:lvl w:ilvl="4" w:tplc="B1DA7B7C">
      <w:start w:val="1"/>
      <w:numFmt w:val="bullet"/>
      <w:lvlText w:val="o"/>
      <w:lvlJc w:val="left"/>
      <w:pPr>
        <w:ind w:left="3600" w:hanging="360"/>
      </w:pPr>
      <w:rPr>
        <w:rFonts w:ascii="Courier New" w:hAnsi="Courier New" w:hint="default"/>
      </w:rPr>
    </w:lvl>
    <w:lvl w:ilvl="5" w:tplc="D4F0902A">
      <w:start w:val="1"/>
      <w:numFmt w:val="bullet"/>
      <w:lvlText w:val=""/>
      <w:lvlJc w:val="left"/>
      <w:pPr>
        <w:ind w:left="4320" w:hanging="360"/>
      </w:pPr>
      <w:rPr>
        <w:rFonts w:ascii="Wingdings" w:hAnsi="Wingdings" w:hint="default"/>
      </w:rPr>
    </w:lvl>
    <w:lvl w:ilvl="6" w:tplc="0FA6D428">
      <w:start w:val="1"/>
      <w:numFmt w:val="bullet"/>
      <w:lvlText w:val=""/>
      <w:lvlJc w:val="left"/>
      <w:pPr>
        <w:ind w:left="5040" w:hanging="360"/>
      </w:pPr>
      <w:rPr>
        <w:rFonts w:ascii="Symbol" w:hAnsi="Symbol" w:hint="default"/>
      </w:rPr>
    </w:lvl>
    <w:lvl w:ilvl="7" w:tplc="A7887F7C">
      <w:start w:val="1"/>
      <w:numFmt w:val="bullet"/>
      <w:lvlText w:val="o"/>
      <w:lvlJc w:val="left"/>
      <w:pPr>
        <w:ind w:left="5760" w:hanging="360"/>
      </w:pPr>
      <w:rPr>
        <w:rFonts w:ascii="Courier New" w:hAnsi="Courier New" w:hint="default"/>
      </w:rPr>
    </w:lvl>
    <w:lvl w:ilvl="8" w:tplc="56AEB6B6">
      <w:start w:val="1"/>
      <w:numFmt w:val="bullet"/>
      <w:lvlText w:val=""/>
      <w:lvlJc w:val="left"/>
      <w:pPr>
        <w:ind w:left="6480" w:hanging="360"/>
      </w:pPr>
      <w:rPr>
        <w:rFonts w:ascii="Wingdings" w:hAnsi="Wingdings" w:hint="default"/>
      </w:rPr>
    </w:lvl>
  </w:abstractNum>
  <w:abstractNum w:abstractNumId="16" w15:restartNumberingAfterBreak="0">
    <w:nsid w:val="32F17C91"/>
    <w:multiLevelType w:val="hybridMultilevel"/>
    <w:tmpl w:val="4968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CD6AA"/>
    <w:multiLevelType w:val="hybridMultilevel"/>
    <w:tmpl w:val="48CADCEA"/>
    <w:lvl w:ilvl="0" w:tplc="B5C4B6BC">
      <w:start w:val="1"/>
      <w:numFmt w:val="bullet"/>
      <w:lvlText w:val=""/>
      <w:lvlJc w:val="left"/>
      <w:pPr>
        <w:ind w:left="720" w:hanging="360"/>
      </w:pPr>
      <w:rPr>
        <w:rFonts w:ascii="Symbol" w:hAnsi="Symbol" w:hint="default"/>
      </w:rPr>
    </w:lvl>
    <w:lvl w:ilvl="1" w:tplc="EBA8213E">
      <w:start w:val="1"/>
      <w:numFmt w:val="bullet"/>
      <w:lvlText w:val="o"/>
      <w:lvlJc w:val="left"/>
      <w:pPr>
        <w:ind w:left="1440" w:hanging="360"/>
      </w:pPr>
      <w:rPr>
        <w:rFonts w:ascii="Courier New" w:hAnsi="Courier New" w:hint="default"/>
      </w:rPr>
    </w:lvl>
    <w:lvl w:ilvl="2" w:tplc="C352CC20">
      <w:start w:val="1"/>
      <w:numFmt w:val="bullet"/>
      <w:lvlText w:val=""/>
      <w:lvlJc w:val="left"/>
      <w:pPr>
        <w:ind w:left="2160" w:hanging="360"/>
      </w:pPr>
      <w:rPr>
        <w:rFonts w:ascii="Wingdings" w:hAnsi="Wingdings" w:hint="default"/>
      </w:rPr>
    </w:lvl>
    <w:lvl w:ilvl="3" w:tplc="9A1A7944">
      <w:start w:val="1"/>
      <w:numFmt w:val="bullet"/>
      <w:lvlText w:val=""/>
      <w:lvlJc w:val="left"/>
      <w:pPr>
        <w:ind w:left="2880" w:hanging="360"/>
      </w:pPr>
      <w:rPr>
        <w:rFonts w:ascii="Symbol" w:hAnsi="Symbol" w:hint="default"/>
      </w:rPr>
    </w:lvl>
    <w:lvl w:ilvl="4" w:tplc="C2EC527A">
      <w:start w:val="1"/>
      <w:numFmt w:val="bullet"/>
      <w:lvlText w:val="o"/>
      <w:lvlJc w:val="left"/>
      <w:pPr>
        <w:ind w:left="3600" w:hanging="360"/>
      </w:pPr>
      <w:rPr>
        <w:rFonts w:ascii="Courier New" w:hAnsi="Courier New" w:hint="default"/>
      </w:rPr>
    </w:lvl>
    <w:lvl w:ilvl="5" w:tplc="679C36D0">
      <w:start w:val="1"/>
      <w:numFmt w:val="bullet"/>
      <w:lvlText w:val=""/>
      <w:lvlJc w:val="left"/>
      <w:pPr>
        <w:ind w:left="4320" w:hanging="360"/>
      </w:pPr>
      <w:rPr>
        <w:rFonts w:ascii="Wingdings" w:hAnsi="Wingdings" w:hint="default"/>
      </w:rPr>
    </w:lvl>
    <w:lvl w:ilvl="6" w:tplc="38EC1F0C">
      <w:start w:val="1"/>
      <w:numFmt w:val="bullet"/>
      <w:lvlText w:val=""/>
      <w:lvlJc w:val="left"/>
      <w:pPr>
        <w:ind w:left="5040" w:hanging="360"/>
      </w:pPr>
      <w:rPr>
        <w:rFonts w:ascii="Symbol" w:hAnsi="Symbol" w:hint="default"/>
      </w:rPr>
    </w:lvl>
    <w:lvl w:ilvl="7" w:tplc="89D2C3FE">
      <w:start w:val="1"/>
      <w:numFmt w:val="bullet"/>
      <w:lvlText w:val="o"/>
      <w:lvlJc w:val="left"/>
      <w:pPr>
        <w:ind w:left="5760" w:hanging="360"/>
      </w:pPr>
      <w:rPr>
        <w:rFonts w:ascii="Courier New" w:hAnsi="Courier New" w:hint="default"/>
      </w:rPr>
    </w:lvl>
    <w:lvl w:ilvl="8" w:tplc="8438CE2A">
      <w:start w:val="1"/>
      <w:numFmt w:val="bullet"/>
      <w:lvlText w:val=""/>
      <w:lvlJc w:val="left"/>
      <w:pPr>
        <w:ind w:left="6480" w:hanging="360"/>
      </w:pPr>
      <w:rPr>
        <w:rFonts w:ascii="Wingdings" w:hAnsi="Wingdings" w:hint="default"/>
      </w:rPr>
    </w:lvl>
  </w:abstractNum>
  <w:abstractNum w:abstractNumId="18" w15:restartNumberingAfterBreak="0">
    <w:nsid w:val="398C6AE6"/>
    <w:multiLevelType w:val="hybridMultilevel"/>
    <w:tmpl w:val="69EAA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BA1004"/>
    <w:multiLevelType w:val="hybridMultilevel"/>
    <w:tmpl w:val="4300D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B06B39"/>
    <w:multiLevelType w:val="hybridMultilevel"/>
    <w:tmpl w:val="9646A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C0E20"/>
    <w:multiLevelType w:val="hybridMultilevel"/>
    <w:tmpl w:val="27AA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220DCA"/>
    <w:multiLevelType w:val="multilevel"/>
    <w:tmpl w:val="1902D5BA"/>
    <w:lvl w:ilvl="0">
      <w:start w:val="1"/>
      <w:numFmt w:val="decimal"/>
      <w:lvlText w:val="%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703DD1"/>
    <w:multiLevelType w:val="hybridMultilevel"/>
    <w:tmpl w:val="F48EA5A4"/>
    <w:lvl w:ilvl="0" w:tplc="1EFC1CB4">
      <w:start w:val="1"/>
      <w:numFmt w:val="bullet"/>
      <w:lvlText w:val="·"/>
      <w:lvlJc w:val="left"/>
      <w:pPr>
        <w:ind w:left="720" w:hanging="360"/>
      </w:pPr>
      <w:rPr>
        <w:rFonts w:ascii="Symbol" w:hAnsi="Symbol" w:hint="default"/>
      </w:rPr>
    </w:lvl>
    <w:lvl w:ilvl="1" w:tplc="69B84EF0">
      <w:start w:val="1"/>
      <w:numFmt w:val="bullet"/>
      <w:lvlText w:val="o"/>
      <w:lvlJc w:val="left"/>
      <w:pPr>
        <w:ind w:left="1440" w:hanging="360"/>
      </w:pPr>
      <w:rPr>
        <w:rFonts w:ascii="Courier New" w:hAnsi="Courier New" w:hint="default"/>
      </w:rPr>
    </w:lvl>
    <w:lvl w:ilvl="2" w:tplc="DB004DDE">
      <w:start w:val="1"/>
      <w:numFmt w:val="bullet"/>
      <w:lvlText w:val=""/>
      <w:lvlJc w:val="left"/>
      <w:pPr>
        <w:ind w:left="2160" w:hanging="360"/>
      </w:pPr>
      <w:rPr>
        <w:rFonts w:ascii="Wingdings" w:hAnsi="Wingdings" w:hint="default"/>
      </w:rPr>
    </w:lvl>
    <w:lvl w:ilvl="3" w:tplc="D6760264">
      <w:start w:val="1"/>
      <w:numFmt w:val="bullet"/>
      <w:lvlText w:val=""/>
      <w:lvlJc w:val="left"/>
      <w:pPr>
        <w:ind w:left="2880" w:hanging="360"/>
      </w:pPr>
      <w:rPr>
        <w:rFonts w:ascii="Symbol" w:hAnsi="Symbol" w:hint="default"/>
      </w:rPr>
    </w:lvl>
    <w:lvl w:ilvl="4" w:tplc="13F89724">
      <w:start w:val="1"/>
      <w:numFmt w:val="bullet"/>
      <w:lvlText w:val="o"/>
      <w:lvlJc w:val="left"/>
      <w:pPr>
        <w:ind w:left="3600" w:hanging="360"/>
      </w:pPr>
      <w:rPr>
        <w:rFonts w:ascii="Courier New" w:hAnsi="Courier New" w:hint="default"/>
      </w:rPr>
    </w:lvl>
    <w:lvl w:ilvl="5" w:tplc="C6E490AC">
      <w:start w:val="1"/>
      <w:numFmt w:val="bullet"/>
      <w:lvlText w:val=""/>
      <w:lvlJc w:val="left"/>
      <w:pPr>
        <w:ind w:left="4320" w:hanging="360"/>
      </w:pPr>
      <w:rPr>
        <w:rFonts w:ascii="Wingdings" w:hAnsi="Wingdings" w:hint="default"/>
      </w:rPr>
    </w:lvl>
    <w:lvl w:ilvl="6" w:tplc="BAF85268">
      <w:start w:val="1"/>
      <w:numFmt w:val="bullet"/>
      <w:lvlText w:val=""/>
      <w:lvlJc w:val="left"/>
      <w:pPr>
        <w:ind w:left="5040" w:hanging="360"/>
      </w:pPr>
      <w:rPr>
        <w:rFonts w:ascii="Symbol" w:hAnsi="Symbol" w:hint="default"/>
      </w:rPr>
    </w:lvl>
    <w:lvl w:ilvl="7" w:tplc="B18CEFBC">
      <w:start w:val="1"/>
      <w:numFmt w:val="bullet"/>
      <w:lvlText w:val="o"/>
      <w:lvlJc w:val="left"/>
      <w:pPr>
        <w:ind w:left="5760" w:hanging="360"/>
      </w:pPr>
      <w:rPr>
        <w:rFonts w:ascii="Courier New" w:hAnsi="Courier New" w:hint="default"/>
      </w:rPr>
    </w:lvl>
    <w:lvl w:ilvl="8" w:tplc="AC9C69F2">
      <w:start w:val="1"/>
      <w:numFmt w:val="bullet"/>
      <w:lvlText w:val=""/>
      <w:lvlJc w:val="left"/>
      <w:pPr>
        <w:ind w:left="6480" w:hanging="360"/>
      </w:pPr>
      <w:rPr>
        <w:rFonts w:ascii="Wingdings" w:hAnsi="Wingdings" w:hint="default"/>
      </w:rPr>
    </w:lvl>
  </w:abstractNum>
  <w:abstractNum w:abstractNumId="24" w15:restartNumberingAfterBreak="0">
    <w:nsid w:val="4F727F56"/>
    <w:multiLevelType w:val="hybridMultilevel"/>
    <w:tmpl w:val="4E64DD30"/>
    <w:lvl w:ilvl="0" w:tplc="2996E4B8">
      <w:start w:val="1"/>
      <w:numFmt w:val="bullet"/>
      <w:lvlText w:val=""/>
      <w:lvlJc w:val="left"/>
      <w:pPr>
        <w:ind w:left="720" w:hanging="360"/>
      </w:pPr>
      <w:rPr>
        <w:rFonts w:ascii="Symbol" w:hAnsi="Symbol" w:hint="default"/>
      </w:rPr>
    </w:lvl>
    <w:lvl w:ilvl="1" w:tplc="075A57C6">
      <w:start w:val="1"/>
      <w:numFmt w:val="bullet"/>
      <w:lvlText w:val="o"/>
      <w:lvlJc w:val="left"/>
      <w:pPr>
        <w:ind w:left="1440" w:hanging="360"/>
      </w:pPr>
      <w:rPr>
        <w:rFonts w:ascii="Courier New" w:hAnsi="Courier New" w:hint="default"/>
      </w:rPr>
    </w:lvl>
    <w:lvl w:ilvl="2" w:tplc="AAE47AE6">
      <w:start w:val="1"/>
      <w:numFmt w:val="bullet"/>
      <w:lvlText w:val=""/>
      <w:lvlJc w:val="left"/>
      <w:pPr>
        <w:ind w:left="2160" w:hanging="360"/>
      </w:pPr>
      <w:rPr>
        <w:rFonts w:ascii="Wingdings" w:hAnsi="Wingdings" w:hint="default"/>
      </w:rPr>
    </w:lvl>
    <w:lvl w:ilvl="3" w:tplc="5922FB1C">
      <w:start w:val="1"/>
      <w:numFmt w:val="bullet"/>
      <w:lvlText w:val=""/>
      <w:lvlJc w:val="left"/>
      <w:pPr>
        <w:ind w:left="2880" w:hanging="360"/>
      </w:pPr>
      <w:rPr>
        <w:rFonts w:ascii="Symbol" w:hAnsi="Symbol" w:hint="default"/>
      </w:rPr>
    </w:lvl>
    <w:lvl w:ilvl="4" w:tplc="190A1976">
      <w:start w:val="1"/>
      <w:numFmt w:val="bullet"/>
      <w:lvlText w:val="o"/>
      <w:lvlJc w:val="left"/>
      <w:pPr>
        <w:ind w:left="3600" w:hanging="360"/>
      </w:pPr>
      <w:rPr>
        <w:rFonts w:ascii="Courier New" w:hAnsi="Courier New" w:hint="default"/>
      </w:rPr>
    </w:lvl>
    <w:lvl w:ilvl="5" w:tplc="2E88A004">
      <w:start w:val="1"/>
      <w:numFmt w:val="bullet"/>
      <w:lvlText w:val=""/>
      <w:lvlJc w:val="left"/>
      <w:pPr>
        <w:ind w:left="4320" w:hanging="360"/>
      </w:pPr>
      <w:rPr>
        <w:rFonts w:ascii="Wingdings" w:hAnsi="Wingdings" w:hint="default"/>
      </w:rPr>
    </w:lvl>
    <w:lvl w:ilvl="6" w:tplc="59D26230">
      <w:start w:val="1"/>
      <w:numFmt w:val="bullet"/>
      <w:lvlText w:val=""/>
      <w:lvlJc w:val="left"/>
      <w:pPr>
        <w:ind w:left="5040" w:hanging="360"/>
      </w:pPr>
      <w:rPr>
        <w:rFonts w:ascii="Symbol" w:hAnsi="Symbol" w:hint="default"/>
      </w:rPr>
    </w:lvl>
    <w:lvl w:ilvl="7" w:tplc="6A689CA2">
      <w:start w:val="1"/>
      <w:numFmt w:val="bullet"/>
      <w:lvlText w:val="o"/>
      <w:lvlJc w:val="left"/>
      <w:pPr>
        <w:ind w:left="5760" w:hanging="360"/>
      </w:pPr>
      <w:rPr>
        <w:rFonts w:ascii="Courier New" w:hAnsi="Courier New" w:hint="default"/>
      </w:rPr>
    </w:lvl>
    <w:lvl w:ilvl="8" w:tplc="96BE6F1E">
      <w:start w:val="1"/>
      <w:numFmt w:val="bullet"/>
      <w:lvlText w:val=""/>
      <w:lvlJc w:val="left"/>
      <w:pPr>
        <w:ind w:left="6480" w:hanging="360"/>
      </w:pPr>
      <w:rPr>
        <w:rFonts w:ascii="Wingdings" w:hAnsi="Wingdings" w:hint="default"/>
      </w:rPr>
    </w:lvl>
  </w:abstractNum>
  <w:abstractNum w:abstractNumId="25" w15:restartNumberingAfterBreak="0">
    <w:nsid w:val="4FA304C5"/>
    <w:multiLevelType w:val="hybridMultilevel"/>
    <w:tmpl w:val="6CF0B570"/>
    <w:lvl w:ilvl="0" w:tplc="0AC0B2F6">
      <w:start w:val="1"/>
      <w:numFmt w:val="bullet"/>
      <w:lvlText w:val=""/>
      <w:lvlJc w:val="left"/>
      <w:pPr>
        <w:ind w:left="720" w:hanging="360"/>
      </w:pPr>
      <w:rPr>
        <w:rFonts w:ascii="Symbol" w:hAnsi="Symbol" w:hint="default"/>
      </w:rPr>
    </w:lvl>
    <w:lvl w:ilvl="1" w:tplc="0756D906">
      <w:start w:val="1"/>
      <w:numFmt w:val="bullet"/>
      <w:lvlText w:val="o"/>
      <w:lvlJc w:val="left"/>
      <w:pPr>
        <w:ind w:left="1440" w:hanging="360"/>
      </w:pPr>
      <w:rPr>
        <w:rFonts w:ascii="Courier New" w:hAnsi="Courier New" w:hint="default"/>
      </w:rPr>
    </w:lvl>
    <w:lvl w:ilvl="2" w:tplc="6F404810">
      <w:start w:val="1"/>
      <w:numFmt w:val="bullet"/>
      <w:lvlText w:val=""/>
      <w:lvlJc w:val="left"/>
      <w:pPr>
        <w:ind w:left="2160" w:hanging="360"/>
      </w:pPr>
      <w:rPr>
        <w:rFonts w:ascii="Wingdings" w:hAnsi="Wingdings" w:hint="default"/>
      </w:rPr>
    </w:lvl>
    <w:lvl w:ilvl="3" w:tplc="12440CE4">
      <w:start w:val="1"/>
      <w:numFmt w:val="bullet"/>
      <w:lvlText w:val=""/>
      <w:lvlJc w:val="left"/>
      <w:pPr>
        <w:ind w:left="2880" w:hanging="360"/>
      </w:pPr>
      <w:rPr>
        <w:rFonts w:ascii="Symbol" w:hAnsi="Symbol" w:hint="default"/>
      </w:rPr>
    </w:lvl>
    <w:lvl w:ilvl="4" w:tplc="D7B27540">
      <w:start w:val="1"/>
      <w:numFmt w:val="bullet"/>
      <w:lvlText w:val="o"/>
      <w:lvlJc w:val="left"/>
      <w:pPr>
        <w:ind w:left="3600" w:hanging="360"/>
      </w:pPr>
      <w:rPr>
        <w:rFonts w:ascii="Courier New" w:hAnsi="Courier New" w:hint="default"/>
      </w:rPr>
    </w:lvl>
    <w:lvl w:ilvl="5" w:tplc="8AF43F3C">
      <w:start w:val="1"/>
      <w:numFmt w:val="bullet"/>
      <w:lvlText w:val=""/>
      <w:lvlJc w:val="left"/>
      <w:pPr>
        <w:ind w:left="4320" w:hanging="360"/>
      </w:pPr>
      <w:rPr>
        <w:rFonts w:ascii="Wingdings" w:hAnsi="Wingdings" w:hint="default"/>
      </w:rPr>
    </w:lvl>
    <w:lvl w:ilvl="6" w:tplc="59C09CC8">
      <w:start w:val="1"/>
      <w:numFmt w:val="bullet"/>
      <w:lvlText w:val=""/>
      <w:lvlJc w:val="left"/>
      <w:pPr>
        <w:ind w:left="5040" w:hanging="360"/>
      </w:pPr>
      <w:rPr>
        <w:rFonts w:ascii="Symbol" w:hAnsi="Symbol" w:hint="default"/>
      </w:rPr>
    </w:lvl>
    <w:lvl w:ilvl="7" w:tplc="2C4A9244">
      <w:start w:val="1"/>
      <w:numFmt w:val="bullet"/>
      <w:lvlText w:val="o"/>
      <w:lvlJc w:val="left"/>
      <w:pPr>
        <w:ind w:left="5760" w:hanging="360"/>
      </w:pPr>
      <w:rPr>
        <w:rFonts w:ascii="Courier New" w:hAnsi="Courier New" w:hint="default"/>
      </w:rPr>
    </w:lvl>
    <w:lvl w:ilvl="8" w:tplc="A89623C2">
      <w:start w:val="1"/>
      <w:numFmt w:val="bullet"/>
      <w:lvlText w:val=""/>
      <w:lvlJc w:val="left"/>
      <w:pPr>
        <w:ind w:left="6480" w:hanging="360"/>
      </w:pPr>
      <w:rPr>
        <w:rFonts w:ascii="Wingdings" w:hAnsi="Wingdings" w:hint="default"/>
      </w:rPr>
    </w:lvl>
  </w:abstractNum>
  <w:abstractNum w:abstractNumId="26" w15:restartNumberingAfterBreak="0">
    <w:nsid w:val="5380CADA"/>
    <w:multiLevelType w:val="hybridMultilevel"/>
    <w:tmpl w:val="F140E5A0"/>
    <w:lvl w:ilvl="0" w:tplc="E8F46DF8">
      <w:start w:val="1"/>
      <w:numFmt w:val="lowerLetter"/>
      <w:lvlText w:val="(%1)"/>
      <w:lvlJc w:val="left"/>
      <w:pPr>
        <w:ind w:left="720" w:hanging="360"/>
      </w:pPr>
    </w:lvl>
    <w:lvl w:ilvl="1" w:tplc="596AD0B2">
      <w:start w:val="1"/>
      <w:numFmt w:val="lowerLetter"/>
      <w:lvlText w:val="%2."/>
      <w:lvlJc w:val="left"/>
      <w:pPr>
        <w:ind w:left="1440" w:hanging="360"/>
      </w:pPr>
    </w:lvl>
    <w:lvl w:ilvl="2" w:tplc="E7CACABA">
      <w:start w:val="1"/>
      <w:numFmt w:val="lowerRoman"/>
      <w:lvlText w:val="%3."/>
      <w:lvlJc w:val="right"/>
      <w:pPr>
        <w:ind w:left="2160" w:hanging="180"/>
      </w:pPr>
    </w:lvl>
    <w:lvl w:ilvl="3" w:tplc="BE8CB558">
      <w:start w:val="1"/>
      <w:numFmt w:val="decimal"/>
      <w:lvlText w:val="%4."/>
      <w:lvlJc w:val="left"/>
      <w:pPr>
        <w:ind w:left="2880" w:hanging="360"/>
      </w:pPr>
    </w:lvl>
    <w:lvl w:ilvl="4" w:tplc="9D3A48AC">
      <w:start w:val="1"/>
      <w:numFmt w:val="lowerLetter"/>
      <w:lvlText w:val="%5."/>
      <w:lvlJc w:val="left"/>
      <w:pPr>
        <w:ind w:left="3600" w:hanging="360"/>
      </w:pPr>
    </w:lvl>
    <w:lvl w:ilvl="5" w:tplc="44B68B86">
      <w:start w:val="1"/>
      <w:numFmt w:val="lowerRoman"/>
      <w:lvlText w:val="%6."/>
      <w:lvlJc w:val="right"/>
      <w:pPr>
        <w:ind w:left="4320" w:hanging="180"/>
      </w:pPr>
    </w:lvl>
    <w:lvl w:ilvl="6" w:tplc="048E2808">
      <w:start w:val="1"/>
      <w:numFmt w:val="decimal"/>
      <w:lvlText w:val="%7."/>
      <w:lvlJc w:val="left"/>
      <w:pPr>
        <w:ind w:left="5040" w:hanging="360"/>
      </w:pPr>
    </w:lvl>
    <w:lvl w:ilvl="7" w:tplc="3C003DBE">
      <w:start w:val="1"/>
      <w:numFmt w:val="lowerLetter"/>
      <w:lvlText w:val="%8."/>
      <w:lvlJc w:val="left"/>
      <w:pPr>
        <w:ind w:left="5760" w:hanging="360"/>
      </w:pPr>
    </w:lvl>
    <w:lvl w:ilvl="8" w:tplc="00F062B8">
      <w:start w:val="1"/>
      <w:numFmt w:val="lowerRoman"/>
      <w:lvlText w:val="%9."/>
      <w:lvlJc w:val="right"/>
      <w:pPr>
        <w:ind w:left="6480" w:hanging="180"/>
      </w:pPr>
    </w:lvl>
  </w:abstractNum>
  <w:abstractNum w:abstractNumId="27" w15:restartNumberingAfterBreak="0">
    <w:nsid w:val="556350BB"/>
    <w:multiLevelType w:val="multilevel"/>
    <w:tmpl w:val="EEEC841A"/>
    <w:lvl w:ilvl="0">
      <w:start w:val="1"/>
      <w:numFmt w:val="decimal"/>
      <w:lvlText w:val="%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A015B"/>
    <w:multiLevelType w:val="hybridMultilevel"/>
    <w:tmpl w:val="BABC6B1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9" w15:restartNumberingAfterBreak="0">
    <w:nsid w:val="5CF659BC"/>
    <w:multiLevelType w:val="hybridMultilevel"/>
    <w:tmpl w:val="83BE6DAA"/>
    <w:lvl w:ilvl="0" w:tplc="A2FAE2D8">
      <w:start w:val="1"/>
      <w:numFmt w:val="bullet"/>
      <w:lvlText w:val=""/>
      <w:lvlJc w:val="left"/>
      <w:pPr>
        <w:ind w:left="720" w:hanging="360"/>
      </w:pPr>
      <w:rPr>
        <w:rFonts w:ascii="Symbol" w:hAnsi="Symbol" w:hint="default"/>
      </w:rPr>
    </w:lvl>
    <w:lvl w:ilvl="1" w:tplc="09CACA10">
      <w:start w:val="1"/>
      <w:numFmt w:val="bullet"/>
      <w:lvlText w:val="o"/>
      <w:lvlJc w:val="left"/>
      <w:pPr>
        <w:ind w:left="1440" w:hanging="360"/>
      </w:pPr>
      <w:rPr>
        <w:rFonts w:ascii="Courier New" w:hAnsi="Courier New" w:hint="default"/>
      </w:rPr>
    </w:lvl>
    <w:lvl w:ilvl="2" w:tplc="6B5411BE">
      <w:start w:val="1"/>
      <w:numFmt w:val="bullet"/>
      <w:lvlText w:val=""/>
      <w:lvlJc w:val="left"/>
      <w:pPr>
        <w:ind w:left="2160" w:hanging="360"/>
      </w:pPr>
      <w:rPr>
        <w:rFonts w:ascii="Wingdings" w:hAnsi="Wingdings" w:hint="default"/>
      </w:rPr>
    </w:lvl>
    <w:lvl w:ilvl="3" w:tplc="0C28A94C">
      <w:start w:val="1"/>
      <w:numFmt w:val="bullet"/>
      <w:lvlText w:val=""/>
      <w:lvlJc w:val="left"/>
      <w:pPr>
        <w:ind w:left="2880" w:hanging="360"/>
      </w:pPr>
      <w:rPr>
        <w:rFonts w:ascii="Symbol" w:hAnsi="Symbol" w:hint="default"/>
      </w:rPr>
    </w:lvl>
    <w:lvl w:ilvl="4" w:tplc="5FA84352">
      <w:start w:val="1"/>
      <w:numFmt w:val="bullet"/>
      <w:lvlText w:val="o"/>
      <w:lvlJc w:val="left"/>
      <w:pPr>
        <w:ind w:left="3600" w:hanging="360"/>
      </w:pPr>
      <w:rPr>
        <w:rFonts w:ascii="Courier New" w:hAnsi="Courier New" w:hint="default"/>
      </w:rPr>
    </w:lvl>
    <w:lvl w:ilvl="5" w:tplc="24CE5DB6">
      <w:start w:val="1"/>
      <w:numFmt w:val="bullet"/>
      <w:lvlText w:val=""/>
      <w:lvlJc w:val="left"/>
      <w:pPr>
        <w:ind w:left="4320" w:hanging="360"/>
      </w:pPr>
      <w:rPr>
        <w:rFonts w:ascii="Wingdings" w:hAnsi="Wingdings" w:hint="default"/>
      </w:rPr>
    </w:lvl>
    <w:lvl w:ilvl="6" w:tplc="A13A9976">
      <w:start w:val="1"/>
      <w:numFmt w:val="bullet"/>
      <w:lvlText w:val=""/>
      <w:lvlJc w:val="left"/>
      <w:pPr>
        <w:ind w:left="5040" w:hanging="360"/>
      </w:pPr>
      <w:rPr>
        <w:rFonts w:ascii="Symbol" w:hAnsi="Symbol" w:hint="default"/>
      </w:rPr>
    </w:lvl>
    <w:lvl w:ilvl="7" w:tplc="D9425EB6">
      <w:start w:val="1"/>
      <w:numFmt w:val="bullet"/>
      <w:lvlText w:val="o"/>
      <w:lvlJc w:val="left"/>
      <w:pPr>
        <w:ind w:left="5760" w:hanging="360"/>
      </w:pPr>
      <w:rPr>
        <w:rFonts w:ascii="Courier New" w:hAnsi="Courier New" w:hint="default"/>
      </w:rPr>
    </w:lvl>
    <w:lvl w:ilvl="8" w:tplc="DCA66642">
      <w:start w:val="1"/>
      <w:numFmt w:val="bullet"/>
      <w:lvlText w:val=""/>
      <w:lvlJc w:val="left"/>
      <w:pPr>
        <w:ind w:left="6480" w:hanging="360"/>
      </w:pPr>
      <w:rPr>
        <w:rFonts w:ascii="Wingdings" w:hAnsi="Wingdings" w:hint="default"/>
      </w:rPr>
    </w:lvl>
  </w:abstractNum>
  <w:abstractNum w:abstractNumId="30" w15:restartNumberingAfterBreak="0">
    <w:nsid w:val="5D722B1E"/>
    <w:multiLevelType w:val="hybridMultilevel"/>
    <w:tmpl w:val="A4F287D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15:restartNumberingAfterBreak="0">
    <w:nsid w:val="5F27157B"/>
    <w:multiLevelType w:val="hybridMultilevel"/>
    <w:tmpl w:val="AE0800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140AA09"/>
    <w:multiLevelType w:val="hybridMultilevel"/>
    <w:tmpl w:val="F544C200"/>
    <w:lvl w:ilvl="0" w:tplc="0756C3C2">
      <w:start w:val="1"/>
      <w:numFmt w:val="bullet"/>
      <w:lvlText w:val=""/>
      <w:lvlJc w:val="left"/>
      <w:pPr>
        <w:ind w:left="720" w:hanging="360"/>
      </w:pPr>
      <w:rPr>
        <w:rFonts w:ascii="Symbol" w:hAnsi="Symbol" w:hint="default"/>
      </w:rPr>
    </w:lvl>
    <w:lvl w:ilvl="1" w:tplc="67E07650">
      <w:start w:val="1"/>
      <w:numFmt w:val="bullet"/>
      <w:lvlText w:val="o"/>
      <w:lvlJc w:val="left"/>
      <w:pPr>
        <w:ind w:left="1440" w:hanging="360"/>
      </w:pPr>
      <w:rPr>
        <w:rFonts w:ascii="Courier New" w:hAnsi="Courier New" w:hint="default"/>
      </w:rPr>
    </w:lvl>
    <w:lvl w:ilvl="2" w:tplc="5C0CBA18">
      <w:start w:val="1"/>
      <w:numFmt w:val="bullet"/>
      <w:lvlText w:val=""/>
      <w:lvlJc w:val="left"/>
      <w:pPr>
        <w:ind w:left="2160" w:hanging="360"/>
      </w:pPr>
      <w:rPr>
        <w:rFonts w:ascii="Wingdings" w:hAnsi="Wingdings" w:hint="default"/>
      </w:rPr>
    </w:lvl>
    <w:lvl w:ilvl="3" w:tplc="C06CA9C8">
      <w:start w:val="1"/>
      <w:numFmt w:val="bullet"/>
      <w:lvlText w:val=""/>
      <w:lvlJc w:val="left"/>
      <w:pPr>
        <w:ind w:left="2880" w:hanging="360"/>
      </w:pPr>
      <w:rPr>
        <w:rFonts w:ascii="Symbol" w:hAnsi="Symbol" w:hint="default"/>
      </w:rPr>
    </w:lvl>
    <w:lvl w:ilvl="4" w:tplc="FD8471EA">
      <w:start w:val="1"/>
      <w:numFmt w:val="bullet"/>
      <w:lvlText w:val="o"/>
      <w:lvlJc w:val="left"/>
      <w:pPr>
        <w:ind w:left="3600" w:hanging="360"/>
      </w:pPr>
      <w:rPr>
        <w:rFonts w:ascii="Courier New" w:hAnsi="Courier New" w:hint="default"/>
      </w:rPr>
    </w:lvl>
    <w:lvl w:ilvl="5" w:tplc="AF70D278">
      <w:start w:val="1"/>
      <w:numFmt w:val="bullet"/>
      <w:lvlText w:val=""/>
      <w:lvlJc w:val="left"/>
      <w:pPr>
        <w:ind w:left="4320" w:hanging="360"/>
      </w:pPr>
      <w:rPr>
        <w:rFonts w:ascii="Wingdings" w:hAnsi="Wingdings" w:hint="default"/>
      </w:rPr>
    </w:lvl>
    <w:lvl w:ilvl="6" w:tplc="DD50F146">
      <w:start w:val="1"/>
      <w:numFmt w:val="bullet"/>
      <w:lvlText w:val=""/>
      <w:lvlJc w:val="left"/>
      <w:pPr>
        <w:ind w:left="5040" w:hanging="360"/>
      </w:pPr>
      <w:rPr>
        <w:rFonts w:ascii="Symbol" w:hAnsi="Symbol" w:hint="default"/>
      </w:rPr>
    </w:lvl>
    <w:lvl w:ilvl="7" w:tplc="AD3A0322">
      <w:start w:val="1"/>
      <w:numFmt w:val="bullet"/>
      <w:lvlText w:val="o"/>
      <w:lvlJc w:val="left"/>
      <w:pPr>
        <w:ind w:left="5760" w:hanging="360"/>
      </w:pPr>
      <w:rPr>
        <w:rFonts w:ascii="Courier New" w:hAnsi="Courier New" w:hint="default"/>
      </w:rPr>
    </w:lvl>
    <w:lvl w:ilvl="8" w:tplc="A56ED64A">
      <w:start w:val="1"/>
      <w:numFmt w:val="bullet"/>
      <w:lvlText w:val=""/>
      <w:lvlJc w:val="left"/>
      <w:pPr>
        <w:ind w:left="6480" w:hanging="360"/>
      </w:pPr>
      <w:rPr>
        <w:rFonts w:ascii="Wingdings" w:hAnsi="Wingdings" w:hint="default"/>
      </w:rPr>
    </w:lvl>
  </w:abstractNum>
  <w:abstractNum w:abstractNumId="33" w15:restartNumberingAfterBreak="0">
    <w:nsid w:val="740A83FB"/>
    <w:multiLevelType w:val="hybridMultilevel"/>
    <w:tmpl w:val="9E7A3E32"/>
    <w:lvl w:ilvl="0" w:tplc="55BA2CFA">
      <w:start w:val="1"/>
      <w:numFmt w:val="bullet"/>
      <w:lvlText w:val=""/>
      <w:lvlJc w:val="left"/>
      <w:pPr>
        <w:ind w:left="720" w:hanging="360"/>
      </w:pPr>
      <w:rPr>
        <w:rFonts w:ascii="Symbol" w:hAnsi="Symbol" w:hint="default"/>
      </w:rPr>
    </w:lvl>
    <w:lvl w:ilvl="1" w:tplc="E3CE13B4">
      <w:start w:val="1"/>
      <w:numFmt w:val="bullet"/>
      <w:lvlText w:val="o"/>
      <w:lvlJc w:val="left"/>
      <w:pPr>
        <w:ind w:left="1440" w:hanging="360"/>
      </w:pPr>
      <w:rPr>
        <w:rFonts w:ascii="Courier New" w:hAnsi="Courier New" w:hint="default"/>
      </w:rPr>
    </w:lvl>
    <w:lvl w:ilvl="2" w:tplc="4EA69C9E">
      <w:start w:val="1"/>
      <w:numFmt w:val="bullet"/>
      <w:lvlText w:val=""/>
      <w:lvlJc w:val="left"/>
      <w:pPr>
        <w:ind w:left="2160" w:hanging="360"/>
      </w:pPr>
      <w:rPr>
        <w:rFonts w:ascii="Wingdings" w:hAnsi="Wingdings" w:hint="default"/>
      </w:rPr>
    </w:lvl>
    <w:lvl w:ilvl="3" w:tplc="083EAE04">
      <w:start w:val="1"/>
      <w:numFmt w:val="bullet"/>
      <w:lvlText w:val=""/>
      <w:lvlJc w:val="left"/>
      <w:pPr>
        <w:ind w:left="2880" w:hanging="360"/>
      </w:pPr>
      <w:rPr>
        <w:rFonts w:ascii="Symbol" w:hAnsi="Symbol" w:hint="default"/>
      </w:rPr>
    </w:lvl>
    <w:lvl w:ilvl="4" w:tplc="55AAAF2E">
      <w:start w:val="1"/>
      <w:numFmt w:val="bullet"/>
      <w:lvlText w:val="o"/>
      <w:lvlJc w:val="left"/>
      <w:pPr>
        <w:ind w:left="3600" w:hanging="360"/>
      </w:pPr>
      <w:rPr>
        <w:rFonts w:ascii="Courier New" w:hAnsi="Courier New" w:hint="default"/>
      </w:rPr>
    </w:lvl>
    <w:lvl w:ilvl="5" w:tplc="269EF906">
      <w:start w:val="1"/>
      <w:numFmt w:val="bullet"/>
      <w:lvlText w:val=""/>
      <w:lvlJc w:val="left"/>
      <w:pPr>
        <w:ind w:left="4320" w:hanging="360"/>
      </w:pPr>
      <w:rPr>
        <w:rFonts w:ascii="Wingdings" w:hAnsi="Wingdings" w:hint="default"/>
      </w:rPr>
    </w:lvl>
    <w:lvl w:ilvl="6" w:tplc="12CC7F42">
      <w:start w:val="1"/>
      <w:numFmt w:val="bullet"/>
      <w:lvlText w:val=""/>
      <w:lvlJc w:val="left"/>
      <w:pPr>
        <w:ind w:left="5040" w:hanging="360"/>
      </w:pPr>
      <w:rPr>
        <w:rFonts w:ascii="Symbol" w:hAnsi="Symbol" w:hint="default"/>
      </w:rPr>
    </w:lvl>
    <w:lvl w:ilvl="7" w:tplc="673A7E56">
      <w:start w:val="1"/>
      <w:numFmt w:val="bullet"/>
      <w:lvlText w:val="o"/>
      <w:lvlJc w:val="left"/>
      <w:pPr>
        <w:ind w:left="5760" w:hanging="360"/>
      </w:pPr>
      <w:rPr>
        <w:rFonts w:ascii="Courier New" w:hAnsi="Courier New" w:hint="default"/>
      </w:rPr>
    </w:lvl>
    <w:lvl w:ilvl="8" w:tplc="05ACF008">
      <w:start w:val="1"/>
      <w:numFmt w:val="bullet"/>
      <w:lvlText w:val=""/>
      <w:lvlJc w:val="left"/>
      <w:pPr>
        <w:ind w:left="6480" w:hanging="360"/>
      </w:pPr>
      <w:rPr>
        <w:rFonts w:ascii="Wingdings" w:hAnsi="Wingdings" w:hint="default"/>
      </w:rPr>
    </w:lvl>
  </w:abstractNum>
  <w:abstractNum w:abstractNumId="34" w15:restartNumberingAfterBreak="0">
    <w:nsid w:val="74EF4685"/>
    <w:multiLevelType w:val="hybridMultilevel"/>
    <w:tmpl w:val="28AEE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9"/>
  </w:num>
  <w:num w:numId="4">
    <w:abstractNumId w:val="32"/>
  </w:num>
  <w:num w:numId="5">
    <w:abstractNumId w:val="12"/>
  </w:num>
  <w:num w:numId="6">
    <w:abstractNumId w:val="24"/>
  </w:num>
  <w:num w:numId="7">
    <w:abstractNumId w:val="14"/>
  </w:num>
  <w:num w:numId="8">
    <w:abstractNumId w:val="8"/>
  </w:num>
  <w:num w:numId="9">
    <w:abstractNumId w:val="15"/>
  </w:num>
  <w:num w:numId="10">
    <w:abstractNumId w:val="27"/>
  </w:num>
  <w:num w:numId="11">
    <w:abstractNumId w:val="17"/>
  </w:num>
  <w:num w:numId="12">
    <w:abstractNumId w:val="33"/>
  </w:num>
  <w:num w:numId="13">
    <w:abstractNumId w:val="10"/>
  </w:num>
  <w:num w:numId="14">
    <w:abstractNumId w:val="26"/>
  </w:num>
  <w:num w:numId="15">
    <w:abstractNumId w:val="1"/>
  </w:num>
  <w:num w:numId="16">
    <w:abstractNumId w:val="22"/>
  </w:num>
  <w:num w:numId="17">
    <w:abstractNumId w:val="23"/>
  </w:num>
  <w:num w:numId="18">
    <w:abstractNumId w:val="4"/>
  </w:num>
  <w:num w:numId="19">
    <w:abstractNumId w:val="5"/>
  </w:num>
  <w:num w:numId="20">
    <w:abstractNumId w:val="7"/>
    <w:lvlOverride w:ilvl="1">
      <w:lvl w:ilvl="1">
        <w:start w:val="1"/>
        <w:numFmt w:val="decimal"/>
        <w:lvlText w:val="%1.%2."/>
        <w:lvlJc w:val="left"/>
        <w:pPr>
          <w:ind w:left="1134" w:hanging="1134"/>
        </w:pPr>
        <w:rPr>
          <w:rFonts w:ascii="Calibri" w:hAnsi="Calibri" w:hint="default"/>
        </w:rPr>
      </w:lvl>
    </w:lvlOverride>
  </w:num>
  <w:num w:numId="21">
    <w:abstractNumId w:val="19"/>
  </w:num>
  <w:num w:numId="22">
    <w:abstractNumId w:val="31"/>
  </w:num>
  <w:num w:numId="23">
    <w:abstractNumId w:val="0"/>
  </w:num>
  <w:num w:numId="24">
    <w:abstractNumId w:val="16"/>
  </w:num>
  <w:num w:numId="25">
    <w:abstractNumId w:val="13"/>
  </w:num>
  <w:num w:numId="26">
    <w:abstractNumId w:val="34"/>
  </w:num>
  <w:num w:numId="27">
    <w:abstractNumId w:val="18"/>
  </w:num>
  <w:num w:numId="28">
    <w:abstractNumId w:val="6"/>
  </w:num>
  <w:num w:numId="29">
    <w:abstractNumId w:val="2"/>
  </w:num>
  <w:num w:numId="30">
    <w:abstractNumId w:val="20"/>
  </w:num>
  <w:num w:numId="31">
    <w:abstractNumId w:val="3"/>
  </w:num>
  <w:num w:numId="32">
    <w:abstractNumId w:val="21"/>
  </w:num>
  <w:num w:numId="33">
    <w:abstractNumId w:val="28"/>
  </w:num>
  <w:num w:numId="34">
    <w:abstractNumId w:val="30"/>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47"/>
    <w:rsid w:val="0000099A"/>
    <w:rsid w:val="00005BA8"/>
    <w:rsid w:val="000061CB"/>
    <w:rsid w:val="00015B70"/>
    <w:rsid w:val="0001631B"/>
    <w:rsid w:val="00020D6D"/>
    <w:rsid w:val="00021F8D"/>
    <w:rsid w:val="000237B6"/>
    <w:rsid w:val="000274CD"/>
    <w:rsid w:val="00036334"/>
    <w:rsid w:val="00041FB8"/>
    <w:rsid w:val="00045E0D"/>
    <w:rsid w:val="00054C15"/>
    <w:rsid w:val="0005515D"/>
    <w:rsid w:val="00062489"/>
    <w:rsid w:val="00063E82"/>
    <w:rsid w:val="00070E10"/>
    <w:rsid w:val="00071EAD"/>
    <w:rsid w:val="00072AF5"/>
    <w:rsid w:val="00076B8D"/>
    <w:rsid w:val="00081216"/>
    <w:rsid w:val="00081813"/>
    <w:rsid w:val="000A0F42"/>
    <w:rsid w:val="000C7C62"/>
    <w:rsid w:val="000D0047"/>
    <w:rsid w:val="000D1815"/>
    <w:rsid w:val="000D3490"/>
    <w:rsid w:val="000D3E18"/>
    <w:rsid w:val="000E29E2"/>
    <w:rsid w:val="000E6782"/>
    <w:rsid w:val="000E7EEC"/>
    <w:rsid w:val="000F1C80"/>
    <w:rsid w:val="000F5C7A"/>
    <w:rsid w:val="00102738"/>
    <w:rsid w:val="00103CEB"/>
    <w:rsid w:val="00105B50"/>
    <w:rsid w:val="00106213"/>
    <w:rsid w:val="001104E5"/>
    <w:rsid w:val="0011168B"/>
    <w:rsid w:val="001117A1"/>
    <w:rsid w:val="001158A6"/>
    <w:rsid w:val="00115F09"/>
    <w:rsid w:val="00116FF5"/>
    <w:rsid w:val="0012266C"/>
    <w:rsid w:val="00125A97"/>
    <w:rsid w:val="001311CB"/>
    <w:rsid w:val="001336EC"/>
    <w:rsid w:val="001451EE"/>
    <w:rsid w:val="00146AB3"/>
    <w:rsid w:val="00151617"/>
    <w:rsid w:val="001569B8"/>
    <w:rsid w:val="0015724A"/>
    <w:rsid w:val="00157D83"/>
    <w:rsid w:val="00160283"/>
    <w:rsid w:val="00166136"/>
    <w:rsid w:val="001666BB"/>
    <w:rsid w:val="0016761F"/>
    <w:rsid w:val="0016791F"/>
    <w:rsid w:val="00173819"/>
    <w:rsid w:val="00175F33"/>
    <w:rsid w:val="001838F9"/>
    <w:rsid w:val="00185CE7"/>
    <w:rsid w:val="00187402"/>
    <w:rsid w:val="001916B2"/>
    <w:rsid w:val="00194783"/>
    <w:rsid w:val="00195BC7"/>
    <w:rsid w:val="001A3ADE"/>
    <w:rsid w:val="001A45C0"/>
    <w:rsid w:val="001A7762"/>
    <w:rsid w:val="001B0579"/>
    <w:rsid w:val="001B107B"/>
    <w:rsid w:val="001B461A"/>
    <w:rsid w:val="001C027B"/>
    <w:rsid w:val="001C4155"/>
    <w:rsid w:val="001D2D73"/>
    <w:rsid w:val="001D40BD"/>
    <w:rsid w:val="001E021E"/>
    <w:rsid w:val="001E153C"/>
    <w:rsid w:val="001E1569"/>
    <w:rsid w:val="001F3ABC"/>
    <w:rsid w:val="001F52EE"/>
    <w:rsid w:val="001F5C0A"/>
    <w:rsid w:val="00206995"/>
    <w:rsid w:val="0021003D"/>
    <w:rsid w:val="00217743"/>
    <w:rsid w:val="00226836"/>
    <w:rsid w:val="00227FC8"/>
    <w:rsid w:val="002301A4"/>
    <w:rsid w:val="00231515"/>
    <w:rsid w:val="00240C24"/>
    <w:rsid w:val="00246020"/>
    <w:rsid w:val="00247BBA"/>
    <w:rsid w:val="0024E40B"/>
    <w:rsid w:val="00253ADF"/>
    <w:rsid w:val="002547B2"/>
    <w:rsid w:val="00256086"/>
    <w:rsid w:val="0025B42C"/>
    <w:rsid w:val="00265857"/>
    <w:rsid w:val="00266E06"/>
    <w:rsid w:val="00274086"/>
    <w:rsid w:val="00275F85"/>
    <w:rsid w:val="0027629F"/>
    <w:rsid w:val="00282585"/>
    <w:rsid w:val="0028601C"/>
    <w:rsid w:val="00297D4E"/>
    <w:rsid w:val="002A1D58"/>
    <w:rsid w:val="002A43E3"/>
    <w:rsid w:val="002C3E20"/>
    <w:rsid w:val="002C6860"/>
    <w:rsid w:val="002D0EA2"/>
    <w:rsid w:val="002D2A1D"/>
    <w:rsid w:val="002D6085"/>
    <w:rsid w:val="002D79B3"/>
    <w:rsid w:val="002E065C"/>
    <w:rsid w:val="002E333F"/>
    <w:rsid w:val="002E3ED4"/>
    <w:rsid w:val="002E43D9"/>
    <w:rsid w:val="002E58DB"/>
    <w:rsid w:val="002E6847"/>
    <w:rsid w:val="002F0D03"/>
    <w:rsid w:val="002F5E45"/>
    <w:rsid w:val="002F6702"/>
    <w:rsid w:val="002F718F"/>
    <w:rsid w:val="00303ECB"/>
    <w:rsid w:val="00311B45"/>
    <w:rsid w:val="00315583"/>
    <w:rsid w:val="00320AD6"/>
    <w:rsid w:val="00337935"/>
    <w:rsid w:val="00341A2E"/>
    <w:rsid w:val="00342ADF"/>
    <w:rsid w:val="0034327F"/>
    <w:rsid w:val="00343466"/>
    <w:rsid w:val="00344125"/>
    <w:rsid w:val="00370C7F"/>
    <w:rsid w:val="0037494F"/>
    <w:rsid w:val="003820A8"/>
    <w:rsid w:val="003A0AF0"/>
    <w:rsid w:val="003A3784"/>
    <w:rsid w:val="003B39A9"/>
    <w:rsid w:val="003B442A"/>
    <w:rsid w:val="003B45F4"/>
    <w:rsid w:val="003B54FF"/>
    <w:rsid w:val="003B6032"/>
    <w:rsid w:val="003C0718"/>
    <w:rsid w:val="003C2A32"/>
    <w:rsid w:val="003C52F4"/>
    <w:rsid w:val="003C5E3F"/>
    <w:rsid w:val="003D4853"/>
    <w:rsid w:val="003D6A2B"/>
    <w:rsid w:val="003E52CD"/>
    <w:rsid w:val="003F198A"/>
    <w:rsid w:val="003F36C2"/>
    <w:rsid w:val="0040215E"/>
    <w:rsid w:val="004064FA"/>
    <w:rsid w:val="004102FE"/>
    <w:rsid w:val="004130FC"/>
    <w:rsid w:val="004170E5"/>
    <w:rsid w:val="00417618"/>
    <w:rsid w:val="0041FE02"/>
    <w:rsid w:val="0042761A"/>
    <w:rsid w:val="00437367"/>
    <w:rsid w:val="00441946"/>
    <w:rsid w:val="00452290"/>
    <w:rsid w:val="00455671"/>
    <w:rsid w:val="004561ED"/>
    <w:rsid w:val="00456BDD"/>
    <w:rsid w:val="0045789D"/>
    <w:rsid w:val="0045BAD7"/>
    <w:rsid w:val="0046186F"/>
    <w:rsid w:val="004626EB"/>
    <w:rsid w:val="004628DC"/>
    <w:rsid w:val="0047664F"/>
    <w:rsid w:val="004831D4"/>
    <w:rsid w:val="004938AF"/>
    <w:rsid w:val="004A27F0"/>
    <w:rsid w:val="004A345B"/>
    <w:rsid w:val="004A493D"/>
    <w:rsid w:val="004A5305"/>
    <w:rsid w:val="004A6CA3"/>
    <w:rsid w:val="004B4184"/>
    <w:rsid w:val="004B733D"/>
    <w:rsid w:val="004C70FD"/>
    <w:rsid w:val="004D495B"/>
    <w:rsid w:val="004D4C75"/>
    <w:rsid w:val="004D4D87"/>
    <w:rsid w:val="004E0F01"/>
    <w:rsid w:val="004E1745"/>
    <w:rsid w:val="004F1CAA"/>
    <w:rsid w:val="004F5C8E"/>
    <w:rsid w:val="0051107A"/>
    <w:rsid w:val="0051528D"/>
    <w:rsid w:val="005157B3"/>
    <w:rsid w:val="00520C4B"/>
    <w:rsid w:val="005211E1"/>
    <w:rsid w:val="00522372"/>
    <w:rsid w:val="00526C9B"/>
    <w:rsid w:val="00534FBF"/>
    <w:rsid w:val="00535040"/>
    <w:rsid w:val="00540172"/>
    <w:rsid w:val="00540B07"/>
    <w:rsid w:val="0054302B"/>
    <w:rsid w:val="00557832"/>
    <w:rsid w:val="00571BC3"/>
    <w:rsid w:val="00572EFD"/>
    <w:rsid w:val="005778E8"/>
    <w:rsid w:val="00580422"/>
    <w:rsid w:val="00587111"/>
    <w:rsid w:val="00590405"/>
    <w:rsid w:val="005918EF"/>
    <w:rsid w:val="005924BB"/>
    <w:rsid w:val="00592778"/>
    <w:rsid w:val="005937F0"/>
    <w:rsid w:val="005952DA"/>
    <w:rsid w:val="005A02D3"/>
    <w:rsid w:val="005A120E"/>
    <w:rsid w:val="005A368A"/>
    <w:rsid w:val="005B42A9"/>
    <w:rsid w:val="005B53C1"/>
    <w:rsid w:val="005B6048"/>
    <w:rsid w:val="005B645B"/>
    <w:rsid w:val="005C0059"/>
    <w:rsid w:val="005C19AF"/>
    <w:rsid w:val="005D1796"/>
    <w:rsid w:val="005D4310"/>
    <w:rsid w:val="005D4AD7"/>
    <w:rsid w:val="005D6210"/>
    <w:rsid w:val="005D733B"/>
    <w:rsid w:val="005E7D9E"/>
    <w:rsid w:val="005F085C"/>
    <w:rsid w:val="005F2760"/>
    <w:rsid w:val="005F6D06"/>
    <w:rsid w:val="006003EE"/>
    <w:rsid w:val="00601025"/>
    <w:rsid w:val="0060564A"/>
    <w:rsid w:val="00605DFE"/>
    <w:rsid w:val="00611786"/>
    <w:rsid w:val="00611E51"/>
    <w:rsid w:val="0061258E"/>
    <w:rsid w:val="00613B7C"/>
    <w:rsid w:val="00613DC2"/>
    <w:rsid w:val="006242C8"/>
    <w:rsid w:val="0062488A"/>
    <w:rsid w:val="0062762A"/>
    <w:rsid w:val="00627821"/>
    <w:rsid w:val="006303F8"/>
    <w:rsid w:val="006308DE"/>
    <w:rsid w:val="00630BA3"/>
    <w:rsid w:val="006324FF"/>
    <w:rsid w:val="0063654D"/>
    <w:rsid w:val="00644048"/>
    <w:rsid w:val="006502D4"/>
    <w:rsid w:val="006528AE"/>
    <w:rsid w:val="006708C6"/>
    <w:rsid w:val="0067204E"/>
    <w:rsid w:val="00681A46"/>
    <w:rsid w:val="00684A4D"/>
    <w:rsid w:val="006A0A32"/>
    <w:rsid w:val="006A19C1"/>
    <w:rsid w:val="006A1CB0"/>
    <w:rsid w:val="006A5E3D"/>
    <w:rsid w:val="006B4AC3"/>
    <w:rsid w:val="006C6C72"/>
    <w:rsid w:val="006D348D"/>
    <w:rsid w:val="006E2749"/>
    <w:rsid w:val="006F0987"/>
    <w:rsid w:val="006F1FC1"/>
    <w:rsid w:val="006F3C35"/>
    <w:rsid w:val="006F71A3"/>
    <w:rsid w:val="006F7B27"/>
    <w:rsid w:val="007045B1"/>
    <w:rsid w:val="007103D1"/>
    <w:rsid w:val="00715A2B"/>
    <w:rsid w:val="00720B6D"/>
    <w:rsid w:val="00722787"/>
    <w:rsid w:val="00733797"/>
    <w:rsid w:val="007343CE"/>
    <w:rsid w:val="00741683"/>
    <w:rsid w:val="00747252"/>
    <w:rsid w:val="00750D71"/>
    <w:rsid w:val="00764FF0"/>
    <w:rsid w:val="007700EA"/>
    <w:rsid w:val="00777F40"/>
    <w:rsid w:val="00782A6F"/>
    <w:rsid w:val="00787716"/>
    <w:rsid w:val="0078787F"/>
    <w:rsid w:val="00792F66"/>
    <w:rsid w:val="007A212B"/>
    <w:rsid w:val="007A4CA4"/>
    <w:rsid w:val="007A5EDF"/>
    <w:rsid w:val="007E28C6"/>
    <w:rsid w:val="007E4EFC"/>
    <w:rsid w:val="007E5879"/>
    <w:rsid w:val="007E642B"/>
    <w:rsid w:val="007E65EC"/>
    <w:rsid w:val="007E725D"/>
    <w:rsid w:val="007E7576"/>
    <w:rsid w:val="007F1230"/>
    <w:rsid w:val="007F6599"/>
    <w:rsid w:val="0080124F"/>
    <w:rsid w:val="008030D8"/>
    <w:rsid w:val="00804E0B"/>
    <w:rsid w:val="00810ECD"/>
    <w:rsid w:val="00814012"/>
    <w:rsid w:val="008144D4"/>
    <w:rsid w:val="00821CE3"/>
    <w:rsid w:val="00825F46"/>
    <w:rsid w:val="00840BDB"/>
    <w:rsid w:val="0085065D"/>
    <w:rsid w:val="0085124F"/>
    <w:rsid w:val="008530BC"/>
    <w:rsid w:val="0085609C"/>
    <w:rsid w:val="008567CE"/>
    <w:rsid w:val="0086135D"/>
    <w:rsid w:val="00861610"/>
    <w:rsid w:val="00866183"/>
    <w:rsid w:val="00866854"/>
    <w:rsid w:val="008668FB"/>
    <w:rsid w:val="008702B5"/>
    <w:rsid w:val="00870F91"/>
    <w:rsid w:val="00881980"/>
    <w:rsid w:val="00883A05"/>
    <w:rsid w:val="0089033D"/>
    <w:rsid w:val="00893A82"/>
    <w:rsid w:val="0089627F"/>
    <w:rsid w:val="008A7272"/>
    <w:rsid w:val="008B0619"/>
    <w:rsid w:val="008B25B4"/>
    <w:rsid w:val="008C5668"/>
    <w:rsid w:val="008C5690"/>
    <w:rsid w:val="008C6D3B"/>
    <w:rsid w:val="008C7795"/>
    <w:rsid w:val="008D54A1"/>
    <w:rsid w:val="008F1D79"/>
    <w:rsid w:val="008F360E"/>
    <w:rsid w:val="008F408D"/>
    <w:rsid w:val="008F70F8"/>
    <w:rsid w:val="008F7209"/>
    <w:rsid w:val="00904AB0"/>
    <w:rsid w:val="00905B71"/>
    <w:rsid w:val="00907F02"/>
    <w:rsid w:val="00911129"/>
    <w:rsid w:val="009122B7"/>
    <w:rsid w:val="009127C9"/>
    <w:rsid w:val="00914F67"/>
    <w:rsid w:val="00925153"/>
    <w:rsid w:val="00925392"/>
    <w:rsid w:val="00933799"/>
    <w:rsid w:val="009361F7"/>
    <w:rsid w:val="0093643A"/>
    <w:rsid w:val="00936C6E"/>
    <w:rsid w:val="009407A9"/>
    <w:rsid w:val="0094267C"/>
    <w:rsid w:val="00943E36"/>
    <w:rsid w:val="00945531"/>
    <w:rsid w:val="00947599"/>
    <w:rsid w:val="00953132"/>
    <w:rsid w:val="009546E3"/>
    <w:rsid w:val="00956893"/>
    <w:rsid w:val="00961A6C"/>
    <w:rsid w:val="00966FE1"/>
    <w:rsid w:val="00975716"/>
    <w:rsid w:val="0097660A"/>
    <w:rsid w:val="00997C6A"/>
    <w:rsid w:val="009A36DB"/>
    <w:rsid w:val="009A3C65"/>
    <w:rsid w:val="009A4AC4"/>
    <w:rsid w:val="009B3FC6"/>
    <w:rsid w:val="009B51EE"/>
    <w:rsid w:val="009C1D25"/>
    <w:rsid w:val="009C1DAA"/>
    <w:rsid w:val="009C4B29"/>
    <w:rsid w:val="009D0F52"/>
    <w:rsid w:val="009D4360"/>
    <w:rsid w:val="009D70DA"/>
    <w:rsid w:val="009E0F0D"/>
    <w:rsid w:val="009E3D6D"/>
    <w:rsid w:val="009F256C"/>
    <w:rsid w:val="009F25F8"/>
    <w:rsid w:val="009F2A9C"/>
    <w:rsid w:val="009F2F60"/>
    <w:rsid w:val="009F38E1"/>
    <w:rsid w:val="009F390C"/>
    <w:rsid w:val="00A049A3"/>
    <w:rsid w:val="00A04A3B"/>
    <w:rsid w:val="00A101F4"/>
    <w:rsid w:val="00A111E5"/>
    <w:rsid w:val="00A1522C"/>
    <w:rsid w:val="00A204EC"/>
    <w:rsid w:val="00A24ADF"/>
    <w:rsid w:val="00A26533"/>
    <w:rsid w:val="00A26E08"/>
    <w:rsid w:val="00A320CA"/>
    <w:rsid w:val="00A426E3"/>
    <w:rsid w:val="00A434B3"/>
    <w:rsid w:val="00A439D2"/>
    <w:rsid w:val="00A4710B"/>
    <w:rsid w:val="00A47BE0"/>
    <w:rsid w:val="00A55DC7"/>
    <w:rsid w:val="00A56198"/>
    <w:rsid w:val="00A62E1C"/>
    <w:rsid w:val="00A71821"/>
    <w:rsid w:val="00A74C67"/>
    <w:rsid w:val="00A75606"/>
    <w:rsid w:val="00A76608"/>
    <w:rsid w:val="00A8066E"/>
    <w:rsid w:val="00A87044"/>
    <w:rsid w:val="00A96686"/>
    <w:rsid w:val="00AA2006"/>
    <w:rsid w:val="00AA2F96"/>
    <w:rsid w:val="00AA47C5"/>
    <w:rsid w:val="00AA7B90"/>
    <w:rsid w:val="00AA8482"/>
    <w:rsid w:val="00AAB4F4"/>
    <w:rsid w:val="00AB0FF5"/>
    <w:rsid w:val="00AB5F47"/>
    <w:rsid w:val="00AB600A"/>
    <w:rsid w:val="00AD0D1B"/>
    <w:rsid w:val="00AD265D"/>
    <w:rsid w:val="00AE4732"/>
    <w:rsid w:val="00AE60B5"/>
    <w:rsid w:val="00AF09B7"/>
    <w:rsid w:val="00AF38C0"/>
    <w:rsid w:val="00AF6523"/>
    <w:rsid w:val="00B00E69"/>
    <w:rsid w:val="00B05A0C"/>
    <w:rsid w:val="00B076F6"/>
    <w:rsid w:val="00B10006"/>
    <w:rsid w:val="00B10AC4"/>
    <w:rsid w:val="00B13088"/>
    <w:rsid w:val="00B172DD"/>
    <w:rsid w:val="00B22F37"/>
    <w:rsid w:val="00B26644"/>
    <w:rsid w:val="00B27506"/>
    <w:rsid w:val="00B32148"/>
    <w:rsid w:val="00B34CAA"/>
    <w:rsid w:val="00B43372"/>
    <w:rsid w:val="00B53998"/>
    <w:rsid w:val="00B67A7F"/>
    <w:rsid w:val="00B7035E"/>
    <w:rsid w:val="00B74731"/>
    <w:rsid w:val="00B77A1F"/>
    <w:rsid w:val="00B78D02"/>
    <w:rsid w:val="00B82295"/>
    <w:rsid w:val="00B951A4"/>
    <w:rsid w:val="00B95752"/>
    <w:rsid w:val="00BA4151"/>
    <w:rsid w:val="00BA527F"/>
    <w:rsid w:val="00BB5685"/>
    <w:rsid w:val="00BB75F6"/>
    <w:rsid w:val="00BC5E2F"/>
    <w:rsid w:val="00BD1AEE"/>
    <w:rsid w:val="00BD3C0E"/>
    <w:rsid w:val="00BD48AD"/>
    <w:rsid w:val="00BD7F68"/>
    <w:rsid w:val="00BE29EC"/>
    <w:rsid w:val="00BE79EA"/>
    <w:rsid w:val="00BF0001"/>
    <w:rsid w:val="00BF012E"/>
    <w:rsid w:val="00BF223C"/>
    <w:rsid w:val="00C01A08"/>
    <w:rsid w:val="00C061E5"/>
    <w:rsid w:val="00C14D59"/>
    <w:rsid w:val="00C42A91"/>
    <w:rsid w:val="00C46681"/>
    <w:rsid w:val="00C50AFB"/>
    <w:rsid w:val="00C700C4"/>
    <w:rsid w:val="00C7341E"/>
    <w:rsid w:val="00C73E48"/>
    <w:rsid w:val="00C77949"/>
    <w:rsid w:val="00C817B1"/>
    <w:rsid w:val="00C81B01"/>
    <w:rsid w:val="00C83E38"/>
    <w:rsid w:val="00C94B1B"/>
    <w:rsid w:val="00C9590F"/>
    <w:rsid w:val="00C971BA"/>
    <w:rsid w:val="00C971E1"/>
    <w:rsid w:val="00CA046B"/>
    <w:rsid w:val="00CA0AD1"/>
    <w:rsid w:val="00CA1DDB"/>
    <w:rsid w:val="00CA1FC8"/>
    <w:rsid w:val="00CA7B85"/>
    <w:rsid w:val="00CB11EB"/>
    <w:rsid w:val="00CB1DA2"/>
    <w:rsid w:val="00CC15A5"/>
    <w:rsid w:val="00CC5922"/>
    <w:rsid w:val="00CC7DCB"/>
    <w:rsid w:val="00CC7F1D"/>
    <w:rsid w:val="00CCE21F"/>
    <w:rsid w:val="00CD42F9"/>
    <w:rsid w:val="00CD6955"/>
    <w:rsid w:val="00CD7B08"/>
    <w:rsid w:val="00CDB840"/>
    <w:rsid w:val="00CE1156"/>
    <w:rsid w:val="00CE52D4"/>
    <w:rsid w:val="00CE5312"/>
    <w:rsid w:val="00CE56FC"/>
    <w:rsid w:val="00CF6763"/>
    <w:rsid w:val="00CF727C"/>
    <w:rsid w:val="00D01884"/>
    <w:rsid w:val="00D025A1"/>
    <w:rsid w:val="00D0798A"/>
    <w:rsid w:val="00D07F90"/>
    <w:rsid w:val="00D17B1D"/>
    <w:rsid w:val="00D21401"/>
    <w:rsid w:val="00D27A50"/>
    <w:rsid w:val="00D4358E"/>
    <w:rsid w:val="00D501BF"/>
    <w:rsid w:val="00D557F4"/>
    <w:rsid w:val="00D56921"/>
    <w:rsid w:val="00D60118"/>
    <w:rsid w:val="00D61B53"/>
    <w:rsid w:val="00D63DA4"/>
    <w:rsid w:val="00D66CEC"/>
    <w:rsid w:val="00D70174"/>
    <w:rsid w:val="00D733CC"/>
    <w:rsid w:val="00D76E8A"/>
    <w:rsid w:val="00D847C5"/>
    <w:rsid w:val="00D854FA"/>
    <w:rsid w:val="00D865C8"/>
    <w:rsid w:val="00D90658"/>
    <w:rsid w:val="00D90AB1"/>
    <w:rsid w:val="00D9254C"/>
    <w:rsid w:val="00D92A83"/>
    <w:rsid w:val="00D946C9"/>
    <w:rsid w:val="00DA01B0"/>
    <w:rsid w:val="00DA350D"/>
    <w:rsid w:val="00DA75AB"/>
    <w:rsid w:val="00DB284F"/>
    <w:rsid w:val="00DB3ACF"/>
    <w:rsid w:val="00DB4605"/>
    <w:rsid w:val="00DB63B3"/>
    <w:rsid w:val="00DC0D51"/>
    <w:rsid w:val="00DC38CA"/>
    <w:rsid w:val="00DC4E1B"/>
    <w:rsid w:val="00DC7C38"/>
    <w:rsid w:val="00DC7E6B"/>
    <w:rsid w:val="00DD0F52"/>
    <w:rsid w:val="00DD4C8F"/>
    <w:rsid w:val="00DD52B9"/>
    <w:rsid w:val="00DE08C5"/>
    <w:rsid w:val="00DE1DD8"/>
    <w:rsid w:val="00DE2004"/>
    <w:rsid w:val="00DE7AE6"/>
    <w:rsid w:val="00DE7C03"/>
    <w:rsid w:val="00DF4C20"/>
    <w:rsid w:val="00DF5D0E"/>
    <w:rsid w:val="00DF6628"/>
    <w:rsid w:val="00E01CA8"/>
    <w:rsid w:val="00E07DF8"/>
    <w:rsid w:val="00E142B2"/>
    <w:rsid w:val="00E1527C"/>
    <w:rsid w:val="00E15D2E"/>
    <w:rsid w:val="00E17537"/>
    <w:rsid w:val="00E2543E"/>
    <w:rsid w:val="00E2717D"/>
    <w:rsid w:val="00E333C7"/>
    <w:rsid w:val="00E37402"/>
    <w:rsid w:val="00E37D68"/>
    <w:rsid w:val="00E40A26"/>
    <w:rsid w:val="00E41E6B"/>
    <w:rsid w:val="00E42B30"/>
    <w:rsid w:val="00E5010D"/>
    <w:rsid w:val="00E5346D"/>
    <w:rsid w:val="00E55F50"/>
    <w:rsid w:val="00E6166A"/>
    <w:rsid w:val="00E635F4"/>
    <w:rsid w:val="00E63647"/>
    <w:rsid w:val="00E6399B"/>
    <w:rsid w:val="00E63E8E"/>
    <w:rsid w:val="00E665CE"/>
    <w:rsid w:val="00E6767C"/>
    <w:rsid w:val="00E705A8"/>
    <w:rsid w:val="00E77A5D"/>
    <w:rsid w:val="00E84BC8"/>
    <w:rsid w:val="00E93D95"/>
    <w:rsid w:val="00EA3136"/>
    <w:rsid w:val="00EA6E00"/>
    <w:rsid w:val="00EB1856"/>
    <w:rsid w:val="00EB5C52"/>
    <w:rsid w:val="00EB6A07"/>
    <w:rsid w:val="00EB7407"/>
    <w:rsid w:val="00EC4712"/>
    <w:rsid w:val="00ED0D1D"/>
    <w:rsid w:val="00ED2F31"/>
    <w:rsid w:val="00EE3F57"/>
    <w:rsid w:val="00EE7DE8"/>
    <w:rsid w:val="00EF6C8C"/>
    <w:rsid w:val="00F0362C"/>
    <w:rsid w:val="00F05DE5"/>
    <w:rsid w:val="00F0FCFE"/>
    <w:rsid w:val="00F11DDB"/>
    <w:rsid w:val="00F13B0D"/>
    <w:rsid w:val="00F13C0C"/>
    <w:rsid w:val="00F14A77"/>
    <w:rsid w:val="00F15EC8"/>
    <w:rsid w:val="00F2275A"/>
    <w:rsid w:val="00F26AED"/>
    <w:rsid w:val="00F27088"/>
    <w:rsid w:val="00F321DC"/>
    <w:rsid w:val="00F33762"/>
    <w:rsid w:val="00F33EA4"/>
    <w:rsid w:val="00F42616"/>
    <w:rsid w:val="00F4277E"/>
    <w:rsid w:val="00F514C6"/>
    <w:rsid w:val="00F56EB6"/>
    <w:rsid w:val="00F5FAC3"/>
    <w:rsid w:val="00F6016A"/>
    <w:rsid w:val="00F604AD"/>
    <w:rsid w:val="00F6404D"/>
    <w:rsid w:val="00F659D6"/>
    <w:rsid w:val="00F7655F"/>
    <w:rsid w:val="00F96633"/>
    <w:rsid w:val="00F97175"/>
    <w:rsid w:val="00FA32FF"/>
    <w:rsid w:val="00FA39E4"/>
    <w:rsid w:val="00FB0C6C"/>
    <w:rsid w:val="00FC3013"/>
    <w:rsid w:val="00FC6619"/>
    <w:rsid w:val="00FD081A"/>
    <w:rsid w:val="00FD0C2A"/>
    <w:rsid w:val="00FD4D22"/>
    <w:rsid w:val="00FE00E2"/>
    <w:rsid w:val="00FE1478"/>
    <w:rsid w:val="00FE7CCB"/>
    <w:rsid w:val="00FF210F"/>
    <w:rsid w:val="00FF472E"/>
    <w:rsid w:val="00FF668E"/>
    <w:rsid w:val="01048E63"/>
    <w:rsid w:val="013410D5"/>
    <w:rsid w:val="013C5D5D"/>
    <w:rsid w:val="0147BAF1"/>
    <w:rsid w:val="01527DEA"/>
    <w:rsid w:val="015787AD"/>
    <w:rsid w:val="0158F706"/>
    <w:rsid w:val="015DC1BD"/>
    <w:rsid w:val="0174E219"/>
    <w:rsid w:val="017C99CB"/>
    <w:rsid w:val="0184E4C2"/>
    <w:rsid w:val="01A66DB9"/>
    <w:rsid w:val="01A706A1"/>
    <w:rsid w:val="01A8D96A"/>
    <w:rsid w:val="01AAAF26"/>
    <w:rsid w:val="01B4646C"/>
    <w:rsid w:val="01B7AFBC"/>
    <w:rsid w:val="01C10097"/>
    <w:rsid w:val="01C1D21E"/>
    <w:rsid w:val="01C323C5"/>
    <w:rsid w:val="01DF1AA3"/>
    <w:rsid w:val="01E08B41"/>
    <w:rsid w:val="01F8337F"/>
    <w:rsid w:val="01FEA526"/>
    <w:rsid w:val="020293DC"/>
    <w:rsid w:val="020C138B"/>
    <w:rsid w:val="020D2A87"/>
    <w:rsid w:val="020FED17"/>
    <w:rsid w:val="021103A1"/>
    <w:rsid w:val="02187738"/>
    <w:rsid w:val="02218345"/>
    <w:rsid w:val="024A7593"/>
    <w:rsid w:val="024E02CB"/>
    <w:rsid w:val="025FA513"/>
    <w:rsid w:val="0262D14D"/>
    <w:rsid w:val="02678C6A"/>
    <w:rsid w:val="02792DD0"/>
    <w:rsid w:val="027CE877"/>
    <w:rsid w:val="0280BD92"/>
    <w:rsid w:val="0286B6A5"/>
    <w:rsid w:val="02907DCB"/>
    <w:rsid w:val="0293FE19"/>
    <w:rsid w:val="0296EA10"/>
    <w:rsid w:val="0299AA99"/>
    <w:rsid w:val="02A71539"/>
    <w:rsid w:val="02B02BD4"/>
    <w:rsid w:val="02B6730B"/>
    <w:rsid w:val="02BB530A"/>
    <w:rsid w:val="02C3074B"/>
    <w:rsid w:val="02C9E4D6"/>
    <w:rsid w:val="02CC051E"/>
    <w:rsid w:val="02D037B8"/>
    <w:rsid w:val="02D3F452"/>
    <w:rsid w:val="02E39F56"/>
    <w:rsid w:val="02EB0948"/>
    <w:rsid w:val="02F03EDC"/>
    <w:rsid w:val="02F46E80"/>
    <w:rsid w:val="02FB7CD5"/>
    <w:rsid w:val="02FEB2B3"/>
    <w:rsid w:val="03074445"/>
    <w:rsid w:val="03231244"/>
    <w:rsid w:val="032432CE"/>
    <w:rsid w:val="03280A1A"/>
    <w:rsid w:val="032A19D0"/>
    <w:rsid w:val="0331E51D"/>
    <w:rsid w:val="0336524A"/>
    <w:rsid w:val="033D1990"/>
    <w:rsid w:val="034780C4"/>
    <w:rsid w:val="0351DBED"/>
    <w:rsid w:val="0352FA04"/>
    <w:rsid w:val="03754FDA"/>
    <w:rsid w:val="0387DE1D"/>
    <w:rsid w:val="03964C6F"/>
    <w:rsid w:val="039BE272"/>
    <w:rsid w:val="03AE05EC"/>
    <w:rsid w:val="03B2EA58"/>
    <w:rsid w:val="03B5CFB1"/>
    <w:rsid w:val="03BAB601"/>
    <w:rsid w:val="03C0464D"/>
    <w:rsid w:val="03D59657"/>
    <w:rsid w:val="03E4914F"/>
    <w:rsid w:val="03E78D32"/>
    <w:rsid w:val="03F9708F"/>
    <w:rsid w:val="041FAB93"/>
    <w:rsid w:val="04222899"/>
    <w:rsid w:val="0429AF96"/>
    <w:rsid w:val="042C5B27"/>
    <w:rsid w:val="04395A0A"/>
    <w:rsid w:val="0451760D"/>
    <w:rsid w:val="04570770"/>
    <w:rsid w:val="045A50F6"/>
    <w:rsid w:val="046094E2"/>
    <w:rsid w:val="046285FC"/>
    <w:rsid w:val="046448E0"/>
    <w:rsid w:val="046CA5F0"/>
    <w:rsid w:val="047AC87C"/>
    <w:rsid w:val="047C49CB"/>
    <w:rsid w:val="0482AA61"/>
    <w:rsid w:val="0487D171"/>
    <w:rsid w:val="04A819A9"/>
    <w:rsid w:val="04AC9026"/>
    <w:rsid w:val="04B2EC73"/>
    <w:rsid w:val="04C11091"/>
    <w:rsid w:val="04C2D9B1"/>
    <w:rsid w:val="04C998B1"/>
    <w:rsid w:val="04D7B011"/>
    <w:rsid w:val="04D9EC50"/>
    <w:rsid w:val="04DC3A24"/>
    <w:rsid w:val="04EC28B5"/>
    <w:rsid w:val="04FFC220"/>
    <w:rsid w:val="0505A573"/>
    <w:rsid w:val="052A77BE"/>
    <w:rsid w:val="052BD4BC"/>
    <w:rsid w:val="053AE9B3"/>
    <w:rsid w:val="0557A8FB"/>
    <w:rsid w:val="05803394"/>
    <w:rsid w:val="05871F30"/>
    <w:rsid w:val="058E9AA5"/>
    <w:rsid w:val="05A898A1"/>
    <w:rsid w:val="05A8E3FE"/>
    <w:rsid w:val="05AFF48B"/>
    <w:rsid w:val="05B20C0B"/>
    <w:rsid w:val="05B9A9DA"/>
    <w:rsid w:val="05D2CEDC"/>
    <w:rsid w:val="05DD8DF8"/>
    <w:rsid w:val="05E54CD9"/>
    <w:rsid w:val="05F3384C"/>
    <w:rsid w:val="05FBD55A"/>
    <w:rsid w:val="060AB116"/>
    <w:rsid w:val="061273B7"/>
    <w:rsid w:val="06475595"/>
    <w:rsid w:val="06584F9A"/>
    <w:rsid w:val="0658B7E8"/>
    <w:rsid w:val="06680966"/>
    <w:rsid w:val="0668D759"/>
    <w:rsid w:val="06759617"/>
    <w:rsid w:val="067C9D3C"/>
    <w:rsid w:val="067D1158"/>
    <w:rsid w:val="068D2F08"/>
    <w:rsid w:val="06913D82"/>
    <w:rsid w:val="069DA61E"/>
    <w:rsid w:val="06A0A2A7"/>
    <w:rsid w:val="06A604ED"/>
    <w:rsid w:val="06B60161"/>
    <w:rsid w:val="06B90714"/>
    <w:rsid w:val="06CFF499"/>
    <w:rsid w:val="06DD1332"/>
    <w:rsid w:val="06FB1434"/>
    <w:rsid w:val="06FC3251"/>
    <w:rsid w:val="06FC35FE"/>
    <w:rsid w:val="0706C342"/>
    <w:rsid w:val="070C0A9C"/>
    <w:rsid w:val="0736D140"/>
    <w:rsid w:val="075B47CA"/>
    <w:rsid w:val="077A8789"/>
    <w:rsid w:val="078823C2"/>
    <w:rsid w:val="078E77FF"/>
    <w:rsid w:val="07953C2C"/>
    <w:rsid w:val="0795EF7A"/>
    <w:rsid w:val="07975785"/>
    <w:rsid w:val="07AC20A7"/>
    <w:rsid w:val="07B468F2"/>
    <w:rsid w:val="07BF4673"/>
    <w:rsid w:val="07C101FB"/>
    <w:rsid w:val="07E39A59"/>
    <w:rsid w:val="07E54D4E"/>
    <w:rsid w:val="07E69A0F"/>
    <w:rsid w:val="07E90B16"/>
    <w:rsid w:val="08071B17"/>
    <w:rsid w:val="081D3BDC"/>
    <w:rsid w:val="081F5223"/>
    <w:rsid w:val="08273E87"/>
    <w:rsid w:val="082D8824"/>
    <w:rsid w:val="083E876E"/>
    <w:rsid w:val="083FB5D0"/>
    <w:rsid w:val="0842D310"/>
    <w:rsid w:val="084AB3F4"/>
    <w:rsid w:val="085FAEF3"/>
    <w:rsid w:val="086076B9"/>
    <w:rsid w:val="086854A4"/>
    <w:rsid w:val="086A5BFD"/>
    <w:rsid w:val="0888DD21"/>
    <w:rsid w:val="088ADA32"/>
    <w:rsid w:val="088D86D9"/>
    <w:rsid w:val="08B010E8"/>
    <w:rsid w:val="08B0F543"/>
    <w:rsid w:val="08CC29F8"/>
    <w:rsid w:val="08DC65D1"/>
    <w:rsid w:val="08E162C5"/>
    <w:rsid w:val="08EB5019"/>
    <w:rsid w:val="08F9CDFB"/>
    <w:rsid w:val="090AEF95"/>
    <w:rsid w:val="090AFD53"/>
    <w:rsid w:val="093D3FF1"/>
    <w:rsid w:val="094537F4"/>
    <w:rsid w:val="0945560F"/>
    <w:rsid w:val="095D3740"/>
    <w:rsid w:val="096287F2"/>
    <w:rsid w:val="096610A2"/>
    <w:rsid w:val="096988B8"/>
    <w:rsid w:val="096CBF55"/>
    <w:rsid w:val="097FFC90"/>
    <w:rsid w:val="09861520"/>
    <w:rsid w:val="098E63C5"/>
    <w:rsid w:val="09930FF2"/>
    <w:rsid w:val="09970084"/>
    <w:rsid w:val="09A9F354"/>
    <w:rsid w:val="09C81A67"/>
    <w:rsid w:val="09C89CE7"/>
    <w:rsid w:val="09D896A4"/>
    <w:rsid w:val="09DA559A"/>
    <w:rsid w:val="09E2D08D"/>
    <w:rsid w:val="09ED2FAB"/>
    <w:rsid w:val="09EF39DF"/>
    <w:rsid w:val="09F6C52A"/>
    <w:rsid w:val="09F6CFA9"/>
    <w:rsid w:val="09FE7A00"/>
    <w:rsid w:val="09FFB913"/>
    <w:rsid w:val="0A038121"/>
    <w:rsid w:val="0A0DC28B"/>
    <w:rsid w:val="0A174749"/>
    <w:rsid w:val="0A3025BE"/>
    <w:rsid w:val="0A36FA3F"/>
    <w:rsid w:val="0A3F536E"/>
    <w:rsid w:val="0A48EDE6"/>
    <w:rsid w:val="0A4DE505"/>
    <w:rsid w:val="0A51C7A7"/>
    <w:rsid w:val="0A655AB2"/>
    <w:rsid w:val="0A670B52"/>
    <w:rsid w:val="0AB015C7"/>
    <w:rsid w:val="0AC01CBD"/>
    <w:rsid w:val="0ACA47DB"/>
    <w:rsid w:val="0AD59C82"/>
    <w:rsid w:val="0AD7EE91"/>
    <w:rsid w:val="0ADD0205"/>
    <w:rsid w:val="0AE42E01"/>
    <w:rsid w:val="0B08405C"/>
    <w:rsid w:val="0B0932E0"/>
    <w:rsid w:val="0B133F46"/>
    <w:rsid w:val="0B19B143"/>
    <w:rsid w:val="0B2E2498"/>
    <w:rsid w:val="0B38E0BB"/>
    <w:rsid w:val="0B577BC6"/>
    <w:rsid w:val="0B5DD78A"/>
    <w:rsid w:val="0B7778E8"/>
    <w:rsid w:val="0B886BEE"/>
    <w:rsid w:val="0B929010"/>
    <w:rsid w:val="0B942015"/>
    <w:rsid w:val="0B9AE7F8"/>
    <w:rsid w:val="0BAD6551"/>
    <w:rsid w:val="0BCA2039"/>
    <w:rsid w:val="0BCC4348"/>
    <w:rsid w:val="0BD55F1C"/>
    <w:rsid w:val="0BDAE87F"/>
    <w:rsid w:val="0BDDA93D"/>
    <w:rsid w:val="0C1D905A"/>
    <w:rsid w:val="0C27BE04"/>
    <w:rsid w:val="0C3A1223"/>
    <w:rsid w:val="0C477BE7"/>
    <w:rsid w:val="0C4A9291"/>
    <w:rsid w:val="0C631011"/>
    <w:rsid w:val="0C63D38A"/>
    <w:rsid w:val="0C719C5F"/>
    <w:rsid w:val="0C72B5E4"/>
    <w:rsid w:val="0C83A2ED"/>
    <w:rsid w:val="0C8B2AE8"/>
    <w:rsid w:val="0C9242BA"/>
    <w:rsid w:val="0CADD94C"/>
    <w:rsid w:val="0CB0FBCE"/>
    <w:rsid w:val="0CC32E70"/>
    <w:rsid w:val="0CD9F86E"/>
    <w:rsid w:val="0CD9FC31"/>
    <w:rsid w:val="0CDAD583"/>
    <w:rsid w:val="0CE01C06"/>
    <w:rsid w:val="0CE46F6B"/>
    <w:rsid w:val="0CF17091"/>
    <w:rsid w:val="0CF50538"/>
    <w:rsid w:val="0CF8ADE1"/>
    <w:rsid w:val="0D0556BD"/>
    <w:rsid w:val="0D0A96C1"/>
    <w:rsid w:val="0D133D8E"/>
    <w:rsid w:val="0D165F03"/>
    <w:rsid w:val="0D2812DC"/>
    <w:rsid w:val="0D31F282"/>
    <w:rsid w:val="0D3426A5"/>
    <w:rsid w:val="0D389D17"/>
    <w:rsid w:val="0D4585DB"/>
    <w:rsid w:val="0D54459A"/>
    <w:rsid w:val="0D54F655"/>
    <w:rsid w:val="0D5AE276"/>
    <w:rsid w:val="0D5EBC4C"/>
    <w:rsid w:val="0D612EF6"/>
    <w:rsid w:val="0D750A54"/>
    <w:rsid w:val="0D82CBB8"/>
    <w:rsid w:val="0D96ACD6"/>
    <w:rsid w:val="0D974D12"/>
    <w:rsid w:val="0D99B61F"/>
    <w:rsid w:val="0DA596DD"/>
    <w:rsid w:val="0DAEFF7B"/>
    <w:rsid w:val="0DAFE146"/>
    <w:rsid w:val="0DC28073"/>
    <w:rsid w:val="0DCEEBB3"/>
    <w:rsid w:val="0DD93AEB"/>
    <w:rsid w:val="0DE020D8"/>
    <w:rsid w:val="0DE14143"/>
    <w:rsid w:val="0DE23136"/>
    <w:rsid w:val="0DE3DF63"/>
    <w:rsid w:val="0DF4F1C2"/>
    <w:rsid w:val="0E002D98"/>
    <w:rsid w:val="0E104E9B"/>
    <w:rsid w:val="0E15BCDA"/>
    <w:rsid w:val="0E262849"/>
    <w:rsid w:val="0E3E7E25"/>
    <w:rsid w:val="0E46F706"/>
    <w:rsid w:val="0E49EFEF"/>
    <w:rsid w:val="0E7819F5"/>
    <w:rsid w:val="0E8B0F3B"/>
    <w:rsid w:val="0E91B62F"/>
    <w:rsid w:val="0EA66BE9"/>
    <w:rsid w:val="0EA98B88"/>
    <w:rsid w:val="0EBA663F"/>
    <w:rsid w:val="0EBA95C0"/>
    <w:rsid w:val="0EBD50FD"/>
    <w:rsid w:val="0ED1673C"/>
    <w:rsid w:val="0EDB8B7D"/>
    <w:rsid w:val="0EDC0B4A"/>
    <w:rsid w:val="0EDC7F87"/>
    <w:rsid w:val="0EDF81CC"/>
    <w:rsid w:val="0EF04D04"/>
    <w:rsid w:val="0EF21985"/>
    <w:rsid w:val="0EFD6150"/>
    <w:rsid w:val="0F0A58C7"/>
    <w:rsid w:val="0F2F5751"/>
    <w:rsid w:val="0F303187"/>
    <w:rsid w:val="0F34452B"/>
    <w:rsid w:val="0F425D0F"/>
    <w:rsid w:val="0F446B32"/>
    <w:rsid w:val="0F44DB13"/>
    <w:rsid w:val="0F632765"/>
    <w:rsid w:val="0F775454"/>
    <w:rsid w:val="0F8C02D6"/>
    <w:rsid w:val="0F8FB458"/>
    <w:rsid w:val="0F950CB4"/>
    <w:rsid w:val="0FAA1366"/>
    <w:rsid w:val="0FABFEF9"/>
    <w:rsid w:val="0FAC7BE8"/>
    <w:rsid w:val="0FADED26"/>
    <w:rsid w:val="0FB0BBAF"/>
    <w:rsid w:val="0FBFA3DF"/>
    <w:rsid w:val="0FD48A0E"/>
    <w:rsid w:val="0FDCFD50"/>
    <w:rsid w:val="0FF08D4A"/>
    <w:rsid w:val="0FF7E197"/>
    <w:rsid w:val="0FFECCAE"/>
    <w:rsid w:val="0FFF7EA6"/>
    <w:rsid w:val="1004B00B"/>
    <w:rsid w:val="10163088"/>
    <w:rsid w:val="101B2A30"/>
    <w:rsid w:val="102CD0B1"/>
    <w:rsid w:val="1036696B"/>
    <w:rsid w:val="1037BB22"/>
    <w:rsid w:val="103B63D4"/>
    <w:rsid w:val="1040136E"/>
    <w:rsid w:val="10456C2C"/>
    <w:rsid w:val="105512F5"/>
    <w:rsid w:val="106B1937"/>
    <w:rsid w:val="107344BD"/>
    <w:rsid w:val="108BC75E"/>
    <w:rsid w:val="108FCBB2"/>
    <w:rsid w:val="10AE1672"/>
    <w:rsid w:val="10B6D522"/>
    <w:rsid w:val="10D97E75"/>
    <w:rsid w:val="10F32FB0"/>
    <w:rsid w:val="10F6AE55"/>
    <w:rsid w:val="1105FBB2"/>
    <w:rsid w:val="110A2784"/>
    <w:rsid w:val="110DD491"/>
    <w:rsid w:val="1110B403"/>
    <w:rsid w:val="11217C55"/>
    <w:rsid w:val="112330D1"/>
    <w:rsid w:val="112A1ACD"/>
    <w:rsid w:val="112C13CA"/>
    <w:rsid w:val="11389813"/>
    <w:rsid w:val="113B93E6"/>
    <w:rsid w:val="11685DB4"/>
    <w:rsid w:val="119E8B52"/>
    <w:rsid w:val="11AF7A1F"/>
    <w:rsid w:val="11C96FD5"/>
    <w:rsid w:val="11D4EC72"/>
    <w:rsid w:val="11E455CD"/>
    <w:rsid w:val="1207CEEF"/>
    <w:rsid w:val="1219B02A"/>
    <w:rsid w:val="1220C421"/>
    <w:rsid w:val="1224E9DE"/>
    <w:rsid w:val="122BD511"/>
    <w:rsid w:val="1231B0E5"/>
    <w:rsid w:val="123207F1"/>
    <w:rsid w:val="12332FA7"/>
    <w:rsid w:val="12411A39"/>
    <w:rsid w:val="1243E6BB"/>
    <w:rsid w:val="1256FD08"/>
    <w:rsid w:val="126B465F"/>
    <w:rsid w:val="1286CD5B"/>
    <w:rsid w:val="1288BFFE"/>
    <w:rsid w:val="128F7677"/>
    <w:rsid w:val="129CBEAB"/>
    <w:rsid w:val="12B6A56D"/>
    <w:rsid w:val="12D1D8EF"/>
    <w:rsid w:val="12E70059"/>
    <w:rsid w:val="12E9F192"/>
    <w:rsid w:val="12EE21EB"/>
    <w:rsid w:val="1302841A"/>
    <w:rsid w:val="130BAE40"/>
    <w:rsid w:val="131595F7"/>
    <w:rsid w:val="131BFACD"/>
    <w:rsid w:val="133EFA36"/>
    <w:rsid w:val="1353E4EB"/>
    <w:rsid w:val="13576007"/>
    <w:rsid w:val="1366DD8F"/>
    <w:rsid w:val="136D2805"/>
    <w:rsid w:val="136F191F"/>
    <w:rsid w:val="137320E7"/>
    <w:rsid w:val="13740813"/>
    <w:rsid w:val="13CD745E"/>
    <w:rsid w:val="13CF3EF6"/>
    <w:rsid w:val="13D3C6BB"/>
    <w:rsid w:val="13D81475"/>
    <w:rsid w:val="13EB4E78"/>
    <w:rsid w:val="141F86C7"/>
    <w:rsid w:val="14229822"/>
    <w:rsid w:val="14302999"/>
    <w:rsid w:val="144AEABE"/>
    <w:rsid w:val="144C2B72"/>
    <w:rsid w:val="14538B44"/>
    <w:rsid w:val="145A4F54"/>
    <w:rsid w:val="145A8739"/>
    <w:rsid w:val="147C6F15"/>
    <w:rsid w:val="148377C6"/>
    <w:rsid w:val="149C38AE"/>
    <w:rsid w:val="14B4B0A0"/>
    <w:rsid w:val="14BA88C3"/>
    <w:rsid w:val="14BD40B4"/>
    <w:rsid w:val="14CDEE22"/>
    <w:rsid w:val="14D0BCA8"/>
    <w:rsid w:val="14F0B473"/>
    <w:rsid w:val="14F10238"/>
    <w:rsid w:val="14F2F6FD"/>
    <w:rsid w:val="14FF3959"/>
    <w:rsid w:val="15036B76"/>
    <w:rsid w:val="1503D608"/>
    <w:rsid w:val="15185C97"/>
    <w:rsid w:val="151C42B8"/>
    <w:rsid w:val="151F6401"/>
    <w:rsid w:val="15256931"/>
    <w:rsid w:val="1526BFF6"/>
    <w:rsid w:val="15358E9E"/>
    <w:rsid w:val="15362016"/>
    <w:rsid w:val="15382739"/>
    <w:rsid w:val="153BB399"/>
    <w:rsid w:val="1551095E"/>
    <w:rsid w:val="155217B2"/>
    <w:rsid w:val="15540141"/>
    <w:rsid w:val="155F37A3"/>
    <w:rsid w:val="15620E63"/>
    <w:rsid w:val="157143BA"/>
    <w:rsid w:val="15723238"/>
    <w:rsid w:val="157D5961"/>
    <w:rsid w:val="158730BC"/>
    <w:rsid w:val="1596DA76"/>
    <w:rsid w:val="159ED346"/>
    <w:rsid w:val="15B3B4A8"/>
    <w:rsid w:val="15B64D6F"/>
    <w:rsid w:val="15B7086F"/>
    <w:rsid w:val="15CE64BA"/>
    <w:rsid w:val="15CF8DFA"/>
    <w:rsid w:val="15D8A08C"/>
    <w:rsid w:val="15F160CE"/>
    <w:rsid w:val="15F61A82"/>
    <w:rsid w:val="15FB8138"/>
    <w:rsid w:val="15FECD4D"/>
    <w:rsid w:val="15FECF44"/>
    <w:rsid w:val="15FFD8C6"/>
    <w:rsid w:val="160CAD8F"/>
    <w:rsid w:val="16135095"/>
    <w:rsid w:val="1637DFC2"/>
    <w:rsid w:val="1641E731"/>
    <w:rsid w:val="164A79F8"/>
    <w:rsid w:val="16703744"/>
    <w:rsid w:val="168AFB6A"/>
    <w:rsid w:val="169389D1"/>
    <w:rsid w:val="1696BC09"/>
    <w:rsid w:val="169D2E5F"/>
    <w:rsid w:val="16A36C27"/>
    <w:rsid w:val="16A8F3F3"/>
    <w:rsid w:val="16ACFB21"/>
    <w:rsid w:val="16B21B5F"/>
    <w:rsid w:val="16D8E146"/>
    <w:rsid w:val="16DFD5F1"/>
    <w:rsid w:val="16F0052E"/>
    <w:rsid w:val="16F10D80"/>
    <w:rsid w:val="16F35F57"/>
    <w:rsid w:val="1702D243"/>
    <w:rsid w:val="171ED922"/>
    <w:rsid w:val="172A1B35"/>
    <w:rsid w:val="173696B4"/>
    <w:rsid w:val="17428B7D"/>
    <w:rsid w:val="17472A1C"/>
    <w:rsid w:val="1748934D"/>
    <w:rsid w:val="17554242"/>
    <w:rsid w:val="17575CCB"/>
    <w:rsid w:val="175BC6D7"/>
    <w:rsid w:val="176A05B4"/>
    <w:rsid w:val="17702673"/>
    <w:rsid w:val="1775BA64"/>
    <w:rsid w:val="17958C21"/>
    <w:rsid w:val="1795D502"/>
    <w:rsid w:val="17987B10"/>
    <w:rsid w:val="179DDA8C"/>
    <w:rsid w:val="17A1A17E"/>
    <w:rsid w:val="17A2501D"/>
    <w:rsid w:val="17A56D3A"/>
    <w:rsid w:val="17ABFE09"/>
    <w:rsid w:val="17AEE029"/>
    <w:rsid w:val="17B9224C"/>
    <w:rsid w:val="17BC7EAE"/>
    <w:rsid w:val="17D0E346"/>
    <w:rsid w:val="17D9E3DD"/>
    <w:rsid w:val="17DB5272"/>
    <w:rsid w:val="17FF0D62"/>
    <w:rsid w:val="1800879D"/>
    <w:rsid w:val="1802ACB7"/>
    <w:rsid w:val="18146F24"/>
    <w:rsid w:val="181FA5C8"/>
    <w:rsid w:val="1828C81D"/>
    <w:rsid w:val="182A30C9"/>
    <w:rsid w:val="182D0D07"/>
    <w:rsid w:val="18319591"/>
    <w:rsid w:val="184E1425"/>
    <w:rsid w:val="1853A9D7"/>
    <w:rsid w:val="1856ADB1"/>
    <w:rsid w:val="18896C0A"/>
    <w:rsid w:val="188D2A08"/>
    <w:rsid w:val="188E31E1"/>
    <w:rsid w:val="1891982C"/>
    <w:rsid w:val="18A129A9"/>
    <w:rsid w:val="18B5ABF4"/>
    <w:rsid w:val="18B6EE08"/>
    <w:rsid w:val="18BAA013"/>
    <w:rsid w:val="18BFD07B"/>
    <w:rsid w:val="18C2401D"/>
    <w:rsid w:val="18DDC76D"/>
    <w:rsid w:val="18DFA600"/>
    <w:rsid w:val="18E35F6F"/>
    <w:rsid w:val="18E7182A"/>
    <w:rsid w:val="18F6E7A9"/>
    <w:rsid w:val="18F9F2F9"/>
    <w:rsid w:val="1901C0CE"/>
    <w:rsid w:val="1902F636"/>
    <w:rsid w:val="190676CF"/>
    <w:rsid w:val="190795AE"/>
    <w:rsid w:val="190AC641"/>
    <w:rsid w:val="190EDF2E"/>
    <w:rsid w:val="190FE3CA"/>
    <w:rsid w:val="19111168"/>
    <w:rsid w:val="19125EC1"/>
    <w:rsid w:val="1912AC6B"/>
    <w:rsid w:val="1916C544"/>
    <w:rsid w:val="191AED48"/>
    <w:rsid w:val="191F3554"/>
    <w:rsid w:val="1926B221"/>
    <w:rsid w:val="19284F75"/>
    <w:rsid w:val="1944610E"/>
    <w:rsid w:val="194BC1BC"/>
    <w:rsid w:val="195642C0"/>
    <w:rsid w:val="195A27F1"/>
    <w:rsid w:val="1964326A"/>
    <w:rsid w:val="1972622F"/>
    <w:rsid w:val="1972D2F9"/>
    <w:rsid w:val="1976D5E9"/>
    <w:rsid w:val="198501EC"/>
    <w:rsid w:val="198C3D33"/>
    <w:rsid w:val="199B8D63"/>
    <w:rsid w:val="199FBDD5"/>
    <w:rsid w:val="19A43D5E"/>
    <w:rsid w:val="19B1CCB6"/>
    <w:rsid w:val="19B59952"/>
    <w:rsid w:val="19C0200F"/>
    <w:rsid w:val="19C26B80"/>
    <w:rsid w:val="19C62518"/>
    <w:rsid w:val="19D5BB26"/>
    <w:rsid w:val="1A01C44B"/>
    <w:rsid w:val="1A067F38"/>
    <w:rsid w:val="1A0E32E7"/>
    <w:rsid w:val="1A109C3F"/>
    <w:rsid w:val="1A14ACE9"/>
    <w:rsid w:val="1A172998"/>
    <w:rsid w:val="1A2F58DD"/>
    <w:rsid w:val="1A361B46"/>
    <w:rsid w:val="1A3629EB"/>
    <w:rsid w:val="1A3FED6E"/>
    <w:rsid w:val="1A50B5CE"/>
    <w:rsid w:val="1A65E5DB"/>
    <w:rsid w:val="1A72C9D1"/>
    <w:rsid w:val="1A9C3F02"/>
    <w:rsid w:val="1AA5CA14"/>
    <w:rsid w:val="1AA5CA6E"/>
    <w:rsid w:val="1AB07D37"/>
    <w:rsid w:val="1ACFB17C"/>
    <w:rsid w:val="1AD426E9"/>
    <w:rsid w:val="1AE1E6B1"/>
    <w:rsid w:val="1AE8E7F8"/>
    <w:rsid w:val="1AE9B272"/>
    <w:rsid w:val="1AEC4BDA"/>
    <w:rsid w:val="1B0C1E67"/>
    <w:rsid w:val="1B1B8232"/>
    <w:rsid w:val="1B25B181"/>
    <w:rsid w:val="1B317DD6"/>
    <w:rsid w:val="1B3E8DA9"/>
    <w:rsid w:val="1B6A1E97"/>
    <w:rsid w:val="1B6D3134"/>
    <w:rsid w:val="1B8A562B"/>
    <w:rsid w:val="1B9229B2"/>
    <w:rsid w:val="1B9792C5"/>
    <w:rsid w:val="1BA358F8"/>
    <w:rsid w:val="1BAE2C0E"/>
    <w:rsid w:val="1BBDF8C6"/>
    <w:rsid w:val="1BC15AA0"/>
    <w:rsid w:val="1BC3B8F7"/>
    <w:rsid w:val="1BD2E258"/>
    <w:rsid w:val="1BDA338D"/>
    <w:rsid w:val="1BE114F8"/>
    <w:rsid w:val="1BE210AB"/>
    <w:rsid w:val="1BF15560"/>
    <w:rsid w:val="1C109BB7"/>
    <w:rsid w:val="1C13CAA6"/>
    <w:rsid w:val="1C18936E"/>
    <w:rsid w:val="1C1BCD4D"/>
    <w:rsid w:val="1C200BD8"/>
    <w:rsid w:val="1C32C171"/>
    <w:rsid w:val="1C4841B5"/>
    <w:rsid w:val="1C52C0CC"/>
    <w:rsid w:val="1C574F3E"/>
    <w:rsid w:val="1C5866ED"/>
    <w:rsid w:val="1C660110"/>
    <w:rsid w:val="1C73AF9E"/>
    <w:rsid w:val="1C7980C3"/>
    <w:rsid w:val="1C90FC5A"/>
    <w:rsid w:val="1C915C16"/>
    <w:rsid w:val="1C98F351"/>
    <w:rsid w:val="1CAC4209"/>
    <w:rsid w:val="1CAD757C"/>
    <w:rsid w:val="1CB61635"/>
    <w:rsid w:val="1CB7E887"/>
    <w:rsid w:val="1CBBB000"/>
    <w:rsid w:val="1CD053D7"/>
    <w:rsid w:val="1CDB42D2"/>
    <w:rsid w:val="1CE6B91B"/>
    <w:rsid w:val="1CE94C5E"/>
    <w:rsid w:val="1CE961D0"/>
    <w:rsid w:val="1CFB26AC"/>
    <w:rsid w:val="1CFEF0E4"/>
    <w:rsid w:val="1D02B3F8"/>
    <w:rsid w:val="1D181E9C"/>
    <w:rsid w:val="1D20D5D5"/>
    <w:rsid w:val="1D244D6E"/>
    <w:rsid w:val="1D263BE0"/>
    <w:rsid w:val="1D26FDF6"/>
    <w:rsid w:val="1D37E209"/>
    <w:rsid w:val="1D43069C"/>
    <w:rsid w:val="1D4E345D"/>
    <w:rsid w:val="1D51DC18"/>
    <w:rsid w:val="1D836F3F"/>
    <w:rsid w:val="1D8ACFC6"/>
    <w:rsid w:val="1D968881"/>
    <w:rsid w:val="1DA3CC34"/>
    <w:rsid w:val="1DAF6BBF"/>
    <w:rsid w:val="1DAF9144"/>
    <w:rsid w:val="1DC82FF0"/>
    <w:rsid w:val="1DCD815B"/>
    <w:rsid w:val="1DD73AB5"/>
    <w:rsid w:val="1DDBDA81"/>
    <w:rsid w:val="1DED97E0"/>
    <w:rsid w:val="1DF15E51"/>
    <w:rsid w:val="1DFD1D2F"/>
    <w:rsid w:val="1E052FF1"/>
    <w:rsid w:val="1E08A363"/>
    <w:rsid w:val="1E1EEAB1"/>
    <w:rsid w:val="1E29B36B"/>
    <w:rsid w:val="1E2A2E2B"/>
    <w:rsid w:val="1E2E557B"/>
    <w:rsid w:val="1E2EF484"/>
    <w:rsid w:val="1E312B88"/>
    <w:rsid w:val="1E33D251"/>
    <w:rsid w:val="1E41F073"/>
    <w:rsid w:val="1E5798D8"/>
    <w:rsid w:val="1E88E7DF"/>
    <w:rsid w:val="1E8A69CC"/>
    <w:rsid w:val="1E8B011B"/>
    <w:rsid w:val="1E981079"/>
    <w:rsid w:val="1E9F0A14"/>
    <w:rsid w:val="1EA8E4BB"/>
    <w:rsid w:val="1EABA6EF"/>
    <w:rsid w:val="1EB18CF9"/>
    <w:rsid w:val="1EB26AAA"/>
    <w:rsid w:val="1EBC9435"/>
    <w:rsid w:val="1EC134DF"/>
    <w:rsid w:val="1EC43CB0"/>
    <w:rsid w:val="1EC87EE3"/>
    <w:rsid w:val="1ED5CE5E"/>
    <w:rsid w:val="1ED81D62"/>
    <w:rsid w:val="1EDA2FB2"/>
    <w:rsid w:val="1EE7F703"/>
    <w:rsid w:val="1EE96CA9"/>
    <w:rsid w:val="1F190823"/>
    <w:rsid w:val="1F215851"/>
    <w:rsid w:val="1F21C074"/>
    <w:rsid w:val="1F2A87DC"/>
    <w:rsid w:val="1F3D80C9"/>
    <w:rsid w:val="1F5695BB"/>
    <w:rsid w:val="1F5B927F"/>
    <w:rsid w:val="1F661E0C"/>
    <w:rsid w:val="1F7548D9"/>
    <w:rsid w:val="1F76B6C7"/>
    <w:rsid w:val="1F9A799A"/>
    <w:rsid w:val="1FAC55D7"/>
    <w:rsid w:val="1FD1D8C2"/>
    <w:rsid w:val="1FD29EAC"/>
    <w:rsid w:val="1FED0A4D"/>
    <w:rsid w:val="1FF14F5F"/>
    <w:rsid w:val="1FF40A70"/>
    <w:rsid w:val="2000FB45"/>
    <w:rsid w:val="200215C4"/>
    <w:rsid w:val="20079121"/>
    <w:rsid w:val="201B1F64"/>
    <w:rsid w:val="201B565B"/>
    <w:rsid w:val="2044A590"/>
    <w:rsid w:val="204845D8"/>
    <w:rsid w:val="204A6BF3"/>
    <w:rsid w:val="205D674A"/>
    <w:rsid w:val="205D8ED6"/>
    <w:rsid w:val="206763FA"/>
    <w:rsid w:val="2073EC6F"/>
    <w:rsid w:val="2077B52F"/>
    <w:rsid w:val="207C05D9"/>
    <w:rsid w:val="2087B250"/>
    <w:rsid w:val="20960D97"/>
    <w:rsid w:val="2099130C"/>
    <w:rsid w:val="20A0017D"/>
    <w:rsid w:val="20A2D694"/>
    <w:rsid w:val="20AA343A"/>
    <w:rsid w:val="20BB06AB"/>
    <w:rsid w:val="20C301F1"/>
    <w:rsid w:val="20C63782"/>
    <w:rsid w:val="20E25EB3"/>
    <w:rsid w:val="20E32E24"/>
    <w:rsid w:val="20E38074"/>
    <w:rsid w:val="2100DFD8"/>
    <w:rsid w:val="2107C302"/>
    <w:rsid w:val="211D8348"/>
    <w:rsid w:val="2130DCE3"/>
    <w:rsid w:val="21392439"/>
    <w:rsid w:val="21397202"/>
    <w:rsid w:val="213A17EB"/>
    <w:rsid w:val="2142822F"/>
    <w:rsid w:val="214A5BDE"/>
    <w:rsid w:val="21528B2F"/>
    <w:rsid w:val="2155356B"/>
    <w:rsid w:val="21553DA1"/>
    <w:rsid w:val="215EBBA7"/>
    <w:rsid w:val="21857012"/>
    <w:rsid w:val="218CD35D"/>
    <w:rsid w:val="219F967A"/>
    <w:rsid w:val="21A23620"/>
    <w:rsid w:val="21AC71AC"/>
    <w:rsid w:val="21B082A4"/>
    <w:rsid w:val="21B8DC65"/>
    <w:rsid w:val="21BCB06E"/>
    <w:rsid w:val="21C742FC"/>
    <w:rsid w:val="21EC1A16"/>
    <w:rsid w:val="21F7642E"/>
    <w:rsid w:val="2208912E"/>
    <w:rsid w:val="2226258A"/>
    <w:rsid w:val="2234B66A"/>
    <w:rsid w:val="2235D89B"/>
    <w:rsid w:val="223BCFDF"/>
    <w:rsid w:val="223BF7E3"/>
    <w:rsid w:val="22428DF9"/>
    <w:rsid w:val="2244821B"/>
    <w:rsid w:val="2254947F"/>
    <w:rsid w:val="22606AEC"/>
    <w:rsid w:val="226565F3"/>
    <w:rsid w:val="226E6DBB"/>
    <w:rsid w:val="2277DAEB"/>
    <w:rsid w:val="227DF235"/>
    <w:rsid w:val="22874FA0"/>
    <w:rsid w:val="22940A49"/>
    <w:rsid w:val="22993521"/>
    <w:rsid w:val="22A0D815"/>
    <w:rsid w:val="22B858AE"/>
    <w:rsid w:val="22C1FA8E"/>
    <w:rsid w:val="22C4DEB7"/>
    <w:rsid w:val="22C9AC7A"/>
    <w:rsid w:val="22CE5FF4"/>
    <w:rsid w:val="232B7781"/>
    <w:rsid w:val="232D4D39"/>
    <w:rsid w:val="232D6D3B"/>
    <w:rsid w:val="2348C4DC"/>
    <w:rsid w:val="23498898"/>
    <w:rsid w:val="23605A83"/>
    <w:rsid w:val="23621AF9"/>
    <w:rsid w:val="236F3ABF"/>
    <w:rsid w:val="23721E0C"/>
    <w:rsid w:val="2372B842"/>
    <w:rsid w:val="23765AC5"/>
    <w:rsid w:val="237C7AA5"/>
    <w:rsid w:val="237FF021"/>
    <w:rsid w:val="2389716B"/>
    <w:rsid w:val="2399C876"/>
    <w:rsid w:val="23A2BCBE"/>
    <w:rsid w:val="23B51B18"/>
    <w:rsid w:val="23C168C2"/>
    <w:rsid w:val="23C97E92"/>
    <w:rsid w:val="23CC77CB"/>
    <w:rsid w:val="23D3AE9A"/>
    <w:rsid w:val="23DB6E1C"/>
    <w:rsid w:val="2402991B"/>
    <w:rsid w:val="2409F165"/>
    <w:rsid w:val="240FE67A"/>
    <w:rsid w:val="241BC56A"/>
    <w:rsid w:val="2427DA74"/>
    <w:rsid w:val="242807BE"/>
    <w:rsid w:val="243255DF"/>
    <w:rsid w:val="24363412"/>
    <w:rsid w:val="243F1606"/>
    <w:rsid w:val="24530030"/>
    <w:rsid w:val="246EFBE0"/>
    <w:rsid w:val="2485C6FB"/>
    <w:rsid w:val="24885F76"/>
    <w:rsid w:val="2489D803"/>
    <w:rsid w:val="248C15CD"/>
    <w:rsid w:val="248CED83"/>
    <w:rsid w:val="24A04BD5"/>
    <w:rsid w:val="24CAD4C3"/>
    <w:rsid w:val="24D2117A"/>
    <w:rsid w:val="24D5788F"/>
    <w:rsid w:val="24E9775C"/>
    <w:rsid w:val="24EB3FE2"/>
    <w:rsid w:val="24F00EAA"/>
    <w:rsid w:val="24F4B9C5"/>
    <w:rsid w:val="2508E039"/>
    <w:rsid w:val="250A74BC"/>
    <w:rsid w:val="250C23C1"/>
    <w:rsid w:val="252BF5AD"/>
    <w:rsid w:val="2537D718"/>
    <w:rsid w:val="255689B8"/>
    <w:rsid w:val="255C7753"/>
    <w:rsid w:val="255DA802"/>
    <w:rsid w:val="256004E3"/>
    <w:rsid w:val="25783F8D"/>
    <w:rsid w:val="25802091"/>
    <w:rsid w:val="25870E02"/>
    <w:rsid w:val="2587FB01"/>
    <w:rsid w:val="2589D7F9"/>
    <w:rsid w:val="25AB3F29"/>
    <w:rsid w:val="25C828EE"/>
    <w:rsid w:val="25CE55B2"/>
    <w:rsid w:val="25D19B8A"/>
    <w:rsid w:val="25D447E0"/>
    <w:rsid w:val="25D641DC"/>
    <w:rsid w:val="25D9887E"/>
    <w:rsid w:val="25E5ACCA"/>
    <w:rsid w:val="25E6AD10"/>
    <w:rsid w:val="25FC52EB"/>
    <w:rsid w:val="26040E2E"/>
    <w:rsid w:val="261F2997"/>
    <w:rsid w:val="263C00F5"/>
    <w:rsid w:val="26417F5C"/>
    <w:rsid w:val="264534BD"/>
    <w:rsid w:val="2648D6E5"/>
    <w:rsid w:val="2651C006"/>
    <w:rsid w:val="265BE576"/>
    <w:rsid w:val="26686D80"/>
    <w:rsid w:val="266A1739"/>
    <w:rsid w:val="26853070"/>
    <w:rsid w:val="26864DC2"/>
    <w:rsid w:val="268BA5A6"/>
    <w:rsid w:val="26924AE1"/>
    <w:rsid w:val="2694D9EF"/>
    <w:rsid w:val="2697925A"/>
    <w:rsid w:val="269D0B2C"/>
    <w:rsid w:val="269D2C43"/>
    <w:rsid w:val="26AFE4F3"/>
    <w:rsid w:val="26BF9F41"/>
    <w:rsid w:val="26C8BE2F"/>
    <w:rsid w:val="26D81AAB"/>
    <w:rsid w:val="26D8812A"/>
    <w:rsid w:val="26EAA333"/>
    <w:rsid w:val="26F051AD"/>
    <w:rsid w:val="26F15827"/>
    <w:rsid w:val="26F2E2D7"/>
    <w:rsid w:val="26F2FD6D"/>
    <w:rsid w:val="26F6E9C2"/>
    <w:rsid w:val="270B6CA9"/>
    <w:rsid w:val="2724FE41"/>
    <w:rsid w:val="27369934"/>
    <w:rsid w:val="2738A359"/>
    <w:rsid w:val="273D336E"/>
    <w:rsid w:val="27476148"/>
    <w:rsid w:val="275EA169"/>
    <w:rsid w:val="27748CDD"/>
    <w:rsid w:val="27760C07"/>
    <w:rsid w:val="277F5EF1"/>
    <w:rsid w:val="279D993F"/>
    <w:rsid w:val="27A08ACE"/>
    <w:rsid w:val="27A3440E"/>
    <w:rsid w:val="27A5B7EF"/>
    <w:rsid w:val="27AB5B1C"/>
    <w:rsid w:val="27EE9A30"/>
    <w:rsid w:val="27F2A96E"/>
    <w:rsid w:val="27F92DD2"/>
    <w:rsid w:val="2802809E"/>
    <w:rsid w:val="280D607E"/>
    <w:rsid w:val="281607CB"/>
    <w:rsid w:val="282A2DC1"/>
    <w:rsid w:val="282FA5E4"/>
    <w:rsid w:val="285C3275"/>
    <w:rsid w:val="287D6819"/>
    <w:rsid w:val="2881610E"/>
    <w:rsid w:val="288D9F1D"/>
    <w:rsid w:val="2893ED05"/>
    <w:rsid w:val="28A70510"/>
    <w:rsid w:val="28ADE2DE"/>
    <w:rsid w:val="28CAE149"/>
    <w:rsid w:val="28CE10A3"/>
    <w:rsid w:val="28E5B602"/>
    <w:rsid w:val="2900CA83"/>
    <w:rsid w:val="29041529"/>
    <w:rsid w:val="2906FE0D"/>
    <w:rsid w:val="29294DB2"/>
    <w:rsid w:val="2938B452"/>
    <w:rsid w:val="2953B417"/>
    <w:rsid w:val="295559BE"/>
    <w:rsid w:val="295A228A"/>
    <w:rsid w:val="296D5DC3"/>
    <w:rsid w:val="29860CFC"/>
    <w:rsid w:val="2999CBE9"/>
    <w:rsid w:val="299FFE88"/>
    <w:rsid w:val="29D33A9D"/>
    <w:rsid w:val="29D51B89"/>
    <w:rsid w:val="29D99669"/>
    <w:rsid w:val="29DE8F8D"/>
    <w:rsid w:val="29EE0055"/>
    <w:rsid w:val="29F95BA4"/>
    <w:rsid w:val="2A09DC9D"/>
    <w:rsid w:val="2A102B8A"/>
    <w:rsid w:val="2A12E971"/>
    <w:rsid w:val="2A179CC1"/>
    <w:rsid w:val="2A428E5E"/>
    <w:rsid w:val="2A430A41"/>
    <w:rsid w:val="2A55D6A4"/>
    <w:rsid w:val="2A58BB81"/>
    <w:rsid w:val="2A5B6510"/>
    <w:rsid w:val="2A6419B7"/>
    <w:rsid w:val="2A78EECE"/>
    <w:rsid w:val="2A8D1564"/>
    <w:rsid w:val="2A996EC0"/>
    <w:rsid w:val="2A9EF5EC"/>
    <w:rsid w:val="2AA098CB"/>
    <w:rsid w:val="2AA33552"/>
    <w:rsid w:val="2AA96C59"/>
    <w:rsid w:val="2ABC0BC3"/>
    <w:rsid w:val="2ABC0CEE"/>
    <w:rsid w:val="2AC375E4"/>
    <w:rsid w:val="2AE1344B"/>
    <w:rsid w:val="2AE56C6C"/>
    <w:rsid w:val="2AE9C09A"/>
    <w:rsid w:val="2AED58C2"/>
    <w:rsid w:val="2AF1C21F"/>
    <w:rsid w:val="2AF4AA3B"/>
    <w:rsid w:val="2B065165"/>
    <w:rsid w:val="2B09C129"/>
    <w:rsid w:val="2B0BC5CA"/>
    <w:rsid w:val="2B0FDAF1"/>
    <w:rsid w:val="2B128409"/>
    <w:rsid w:val="2B262193"/>
    <w:rsid w:val="2B2658AF"/>
    <w:rsid w:val="2B2A5FC8"/>
    <w:rsid w:val="2B404F09"/>
    <w:rsid w:val="2B4E4F7C"/>
    <w:rsid w:val="2B63AFA0"/>
    <w:rsid w:val="2B6E748E"/>
    <w:rsid w:val="2B7D78FA"/>
    <w:rsid w:val="2B7E0BE1"/>
    <w:rsid w:val="2B836C42"/>
    <w:rsid w:val="2B9092D4"/>
    <w:rsid w:val="2B91235A"/>
    <w:rsid w:val="2BACCD38"/>
    <w:rsid w:val="2BBD1F56"/>
    <w:rsid w:val="2BD2014D"/>
    <w:rsid w:val="2BDB9EA8"/>
    <w:rsid w:val="2BE49AFC"/>
    <w:rsid w:val="2BEB04BD"/>
    <w:rsid w:val="2C0732C7"/>
    <w:rsid w:val="2C09DD20"/>
    <w:rsid w:val="2C2AFB25"/>
    <w:rsid w:val="2C3E1013"/>
    <w:rsid w:val="2C41C733"/>
    <w:rsid w:val="2C42501C"/>
    <w:rsid w:val="2C512297"/>
    <w:rsid w:val="2C6D8C10"/>
    <w:rsid w:val="2C6DED9E"/>
    <w:rsid w:val="2C6E97A0"/>
    <w:rsid w:val="2C7DE5F0"/>
    <w:rsid w:val="2C83B889"/>
    <w:rsid w:val="2CA3A029"/>
    <w:rsid w:val="2CAABE27"/>
    <w:rsid w:val="2CACFC25"/>
    <w:rsid w:val="2CB1296E"/>
    <w:rsid w:val="2CBB12E4"/>
    <w:rsid w:val="2CBD8A1A"/>
    <w:rsid w:val="2CC93E4E"/>
    <w:rsid w:val="2CCE8339"/>
    <w:rsid w:val="2CE013BA"/>
    <w:rsid w:val="2D1D1B9D"/>
    <w:rsid w:val="2D2B9AFB"/>
    <w:rsid w:val="2D6C89B1"/>
    <w:rsid w:val="2D73FF1E"/>
    <w:rsid w:val="2D86501B"/>
    <w:rsid w:val="2D90BA77"/>
    <w:rsid w:val="2DAC8484"/>
    <w:rsid w:val="2DC1C40E"/>
    <w:rsid w:val="2DC253D8"/>
    <w:rsid w:val="2DC54B2D"/>
    <w:rsid w:val="2DD04ED8"/>
    <w:rsid w:val="2DD3A33E"/>
    <w:rsid w:val="2DE7352A"/>
    <w:rsid w:val="2DE8F2E5"/>
    <w:rsid w:val="2DE9CE5B"/>
    <w:rsid w:val="2DF4E575"/>
    <w:rsid w:val="2DF88985"/>
    <w:rsid w:val="2E117786"/>
    <w:rsid w:val="2E148B76"/>
    <w:rsid w:val="2E175F1A"/>
    <w:rsid w:val="2E2A7FEE"/>
    <w:rsid w:val="2E2E2E55"/>
    <w:rsid w:val="2E30E352"/>
    <w:rsid w:val="2E5438B9"/>
    <w:rsid w:val="2E566EE6"/>
    <w:rsid w:val="2E6A739C"/>
    <w:rsid w:val="2E6BEA7D"/>
    <w:rsid w:val="2E73283B"/>
    <w:rsid w:val="2E764D06"/>
    <w:rsid w:val="2E7C830A"/>
    <w:rsid w:val="2E864050"/>
    <w:rsid w:val="2E8E6118"/>
    <w:rsid w:val="2E8E7063"/>
    <w:rsid w:val="2E8FD0C3"/>
    <w:rsid w:val="2E9D9073"/>
    <w:rsid w:val="2EA3DBD6"/>
    <w:rsid w:val="2EAED907"/>
    <w:rsid w:val="2EC18BEC"/>
    <w:rsid w:val="2F0386A1"/>
    <w:rsid w:val="2F2630FA"/>
    <w:rsid w:val="2F39FDE2"/>
    <w:rsid w:val="2F3BDABA"/>
    <w:rsid w:val="2F53F928"/>
    <w:rsid w:val="2F5F21E0"/>
    <w:rsid w:val="2F6A11AE"/>
    <w:rsid w:val="2F6C22CD"/>
    <w:rsid w:val="2F7497E8"/>
    <w:rsid w:val="2F765FD4"/>
    <w:rsid w:val="2F79FCC1"/>
    <w:rsid w:val="2F7D650A"/>
    <w:rsid w:val="2F84F3F0"/>
    <w:rsid w:val="2F8B77AF"/>
    <w:rsid w:val="2F9C2F6A"/>
    <w:rsid w:val="2F9D9DF8"/>
    <w:rsid w:val="2FA0ACFA"/>
    <w:rsid w:val="2FA77755"/>
    <w:rsid w:val="2FC5A8EB"/>
    <w:rsid w:val="2FE7C3B9"/>
    <w:rsid w:val="3000079D"/>
    <w:rsid w:val="30000E64"/>
    <w:rsid w:val="300535C5"/>
    <w:rsid w:val="301B19C5"/>
    <w:rsid w:val="3024FC7C"/>
    <w:rsid w:val="3028BAE6"/>
    <w:rsid w:val="303F0D55"/>
    <w:rsid w:val="3042DF6A"/>
    <w:rsid w:val="304F4322"/>
    <w:rsid w:val="306EFB71"/>
    <w:rsid w:val="30731C36"/>
    <w:rsid w:val="30751FC8"/>
    <w:rsid w:val="3088B032"/>
    <w:rsid w:val="308B32B6"/>
    <w:rsid w:val="30970A65"/>
    <w:rsid w:val="309A7D5C"/>
    <w:rsid w:val="30BE7CD9"/>
    <w:rsid w:val="30DAD590"/>
    <w:rsid w:val="30DC83B8"/>
    <w:rsid w:val="30EDDA46"/>
    <w:rsid w:val="30FC41E6"/>
    <w:rsid w:val="311D2D4B"/>
    <w:rsid w:val="311E07E4"/>
    <w:rsid w:val="31236046"/>
    <w:rsid w:val="312994CD"/>
    <w:rsid w:val="3142343E"/>
    <w:rsid w:val="31466903"/>
    <w:rsid w:val="3150C9EA"/>
    <w:rsid w:val="31524CB0"/>
    <w:rsid w:val="3157FE8F"/>
    <w:rsid w:val="316EF2C2"/>
    <w:rsid w:val="3172D553"/>
    <w:rsid w:val="3173FE04"/>
    <w:rsid w:val="3181F23A"/>
    <w:rsid w:val="3186A600"/>
    <w:rsid w:val="31888198"/>
    <w:rsid w:val="319F60A7"/>
    <w:rsid w:val="319FBCCE"/>
    <w:rsid w:val="31A2F684"/>
    <w:rsid w:val="31B5A59F"/>
    <w:rsid w:val="31CDC476"/>
    <w:rsid w:val="31E7BE54"/>
    <w:rsid w:val="321D3587"/>
    <w:rsid w:val="324A356D"/>
    <w:rsid w:val="324BE2CD"/>
    <w:rsid w:val="325140C9"/>
    <w:rsid w:val="3264639B"/>
    <w:rsid w:val="326C88A4"/>
    <w:rsid w:val="327892F8"/>
    <w:rsid w:val="327A95FD"/>
    <w:rsid w:val="32937F3B"/>
    <w:rsid w:val="329C8EB9"/>
    <w:rsid w:val="329CF220"/>
    <w:rsid w:val="32B03D85"/>
    <w:rsid w:val="32C1B33A"/>
    <w:rsid w:val="32C84FDA"/>
    <w:rsid w:val="32CC834B"/>
    <w:rsid w:val="32EA44DA"/>
    <w:rsid w:val="33073582"/>
    <w:rsid w:val="3307690B"/>
    <w:rsid w:val="332B38EF"/>
    <w:rsid w:val="332E6E8F"/>
    <w:rsid w:val="332E8AE1"/>
    <w:rsid w:val="3331D55A"/>
    <w:rsid w:val="33355353"/>
    <w:rsid w:val="33430624"/>
    <w:rsid w:val="334AAD10"/>
    <w:rsid w:val="334BC9D1"/>
    <w:rsid w:val="3355AD14"/>
    <w:rsid w:val="3362B647"/>
    <w:rsid w:val="3368A353"/>
    <w:rsid w:val="33767A5A"/>
    <w:rsid w:val="338AC6CD"/>
    <w:rsid w:val="339873EE"/>
    <w:rsid w:val="339A8866"/>
    <w:rsid w:val="33A7EA68"/>
    <w:rsid w:val="33AD4790"/>
    <w:rsid w:val="33B4D808"/>
    <w:rsid w:val="33B5D1DB"/>
    <w:rsid w:val="33B9FBBB"/>
    <w:rsid w:val="33C03C6A"/>
    <w:rsid w:val="33C15E62"/>
    <w:rsid w:val="33C562B5"/>
    <w:rsid w:val="33CAA723"/>
    <w:rsid w:val="33D0E293"/>
    <w:rsid w:val="33D7CFA4"/>
    <w:rsid w:val="34053E6E"/>
    <w:rsid w:val="3413DB2B"/>
    <w:rsid w:val="341B8284"/>
    <w:rsid w:val="342AC8A7"/>
    <w:rsid w:val="3445748C"/>
    <w:rsid w:val="344ECA4B"/>
    <w:rsid w:val="34508E8A"/>
    <w:rsid w:val="346443FF"/>
    <w:rsid w:val="34758818"/>
    <w:rsid w:val="3475D143"/>
    <w:rsid w:val="34813AB1"/>
    <w:rsid w:val="34B1657A"/>
    <w:rsid w:val="34B3B744"/>
    <w:rsid w:val="34B9EE5D"/>
    <w:rsid w:val="34C02377"/>
    <w:rsid w:val="34C7E98C"/>
    <w:rsid w:val="34D1C72B"/>
    <w:rsid w:val="34D40733"/>
    <w:rsid w:val="34D7F9B3"/>
    <w:rsid w:val="34E472E1"/>
    <w:rsid w:val="35000FD3"/>
    <w:rsid w:val="3507E37F"/>
    <w:rsid w:val="350BAA39"/>
    <w:rsid w:val="350D355B"/>
    <w:rsid w:val="35103096"/>
    <w:rsid w:val="3513DECB"/>
    <w:rsid w:val="35157C57"/>
    <w:rsid w:val="3517DCD6"/>
    <w:rsid w:val="351CC143"/>
    <w:rsid w:val="3543F956"/>
    <w:rsid w:val="3545AA34"/>
    <w:rsid w:val="355D83DE"/>
    <w:rsid w:val="35603E28"/>
    <w:rsid w:val="358CC6A3"/>
    <w:rsid w:val="358F4FC9"/>
    <w:rsid w:val="359A834C"/>
    <w:rsid w:val="35A22F33"/>
    <w:rsid w:val="35A7CF53"/>
    <w:rsid w:val="35B1E47C"/>
    <w:rsid w:val="35C2B53A"/>
    <w:rsid w:val="35C81510"/>
    <w:rsid w:val="35DBA75F"/>
    <w:rsid w:val="35E3E153"/>
    <w:rsid w:val="35E8FCD5"/>
    <w:rsid w:val="35ED1178"/>
    <w:rsid w:val="35F7696E"/>
    <w:rsid w:val="3602B2B5"/>
    <w:rsid w:val="3604DDFA"/>
    <w:rsid w:val="3613F344"/>
    <w:rsid w:val="36153BCA"/>
    <w:rsid w:val="361E4C1C"/>
    <w:rsid w:val="362D2739"/>
    <w:rsid w:val="36462B83"/>
    <w:rsid w:val="3649A615"/>
    <w:rsid w:val="3655F921"/>
    <w:rsid w:val="365A6EFA"/>
    <w:rsid w:val="366666B7"/>
    <w:rsid w:val="36679D91"/>
    <w:rsid w:val="366870B0"/>
    <w:rsid w:val="366D4A55"/>
    <w:rsid w:val="366F0E9D"/>
    <w:rsid w:val="367659AC"/>
    <w:rsid w:val="368B8104"/>
    <w:rsid w:val="3692145C"/>
    <w:rsid w:val="369AABAD"/>
    <w:rsid w:val="36A02FA0"/>
    <w:rsid w:val="36A921DA"/>
    <w:rsid w:val="36AED295"/>
    <w:rsid w:val="36AFFD9D"/>
    <w:rsid w:val="36BCCDAB"/>
    <w:rsid w:val="36CC3C52"/>
    <w:rsid w:val="36DE196B"/>
    <w:rsid w:val="36DFA14C"/>
    <w:rsid w:val="36E2898B"/>
    <w:rsid w:val="36E311E4"/>
    <w:rsid w:val="36F22C3A"/>
    <w:rsid w:val="36FA9E5C"/>
    <w:rsid w:val="3710AF69"/>
    <w:rsid w:val="3713236A"/>
    <w:rsid w:val="37470E0B"/>
    <w:rsid w:val="37650602"/>
    <w:rsid w:val="37668371"/>
    <w:rsid w:val="376B482F"/>
    <w:rsid w:val="3772BF2A"/>
    <w:rsid w:val="3772DBEF"/>
    <w:rsid w:val="37866402"/>
    <w:rsid w:val="3790B120"/>
    <w:rsid w:val="37917BB9"/>
    <w:rsid w:val="37B9D722"/>
    <w:rsid w:val="37C59812"/>
    <w:rsid w:val="37CC6C6A"/>
    <w:rsid w:val="37DECA22"/>
    <w:rsid w:val="37F2E5FB"/>
    <w:rsid w:val="37F5FCD7"/>
    <w:rsid w:val="380808BF"/>
    <w:rsid w:val="38394522"/>
    <w:rsid w:val="383F1299"/>
    <w:rsid w:val="3854A9D3"/>
    <w:rsid w:val="38653919"/>
    <w:rsid w:val="3875A0A8"/>
    <w:rsid w:val="3888B1AF"/>
    <w:rsid w:val="38927159"/>
    <w:rsid w:val="389814BA"/>
    <w:rsid w:val="38A77D29"/>
    <w:rsid w:val="38A77F9E"/>
    <w:rsid w:val="38B08D50"/>
    <w:rsid w:val="38B5754B"/>
    <w:rsid w:val="38B9F798"/>
    <w:rsid w:val="38D0B8B5"/>
    <w:rsid w:val="38D1212C"/>
    <w:rsid w:val="38E401F9"/>
    <w:rsid w:val="38F089F6"/>
    <w:rsid w:val="38F64489"/>
    <w:rsid w:val="38FC4D82"/>
    <w:rsid w:val="390980FC"/>
    <w:rsid w:val="390D8808"/>
    <w:rsid w:val="39118B50"/>
    <w:rsid w:val="392E4AAD"/>
    <w:rsid w:val="393B73DC"/>
    <w:rsid w:val="39411F55"/>
    <w:rsid w:val="39468676"/>
    <w:rsid w:val="395EA424"/>
    <w:rsid w:val="39726EB0"/>
    <w:rsid w:val="397577FA"/>
    <w:rsid w:val="39824C98"/>
    <w:rsid w:val="398A8BB6"/>
    <w:rsid w:val="3991F387"/>
    <w:rsid w:val="39AA6C73"/>
    <w:rsid w:val="39E1AE98"/>
    <w:rsid w:val="39F64751"/>
    <w:rsid w:val="3A082D79"/>
    <w:rsid w:val="3A3733AA"/>
    <w:rsid w:val="3A407FED"/>
    <w:rsid w:val="3A4ADF27"/>
    <w:rsid w:val="3A6104FE"/>
    <w:rsid w:val="3A6B20F4"/>
    <w:rsid w:val="3A7D6FAD"/>
    <w:rsid w:val="3A7DD586"/>
    <w:rsid w:val="3A8DE2B0"/>
    <w:rsid w:val="3A91C152"/>
    <w:rsid w:val="3A922569"/>
    <w:rsid w:val="3A9CED77"/>
    <w:rsid w:val="3AA0DEAE"/>
    <w:rsid w:val="3AAE245C"/>
    <w:rsid w:val="3AB29340"/>
    <w:rsid w:val="3AB4B8C2"/>
    <w:rsid w:val="3AC2B230"/>
    <w:rsid w:val="3AC4C756"/>
    <w:rsid w:val="3ADA692F"/>
    <w:rsid w:val="3AE3018A"/>
    <w:rsid w:val="3AE69AAE"/>
    <w:rsid w:val="3AFE3C50"/>
    <w:rsid w:val="3B00A05A"/>
    <w:rsid w:val="3B1B3187"/>
    <w:rsid w:val="3B20C8ED"/>
    <w:rsid w:val="3B237866"/>
    <w:rsid w:val="3B26BF92"/>
    <w:rsid w:val="3B39C5D5"/>
    <w:rsid w:val="3B4434A8"/>
    <w:rsid w:val="3B5909DA"/>
    <w:rsid w:val="3B701EB2"/>
    <w:rsid w:val="3B84636B"/>
    <w:rsid w:val="3B84FA6D"/>
    <w:rsid w:val="3B86A5FF"/>
    <w:rsid w:val="3B8BD487"/>
    <w:rsid w:val="3BB4EF58"/>
    <w:rsid w:val="3BC9AF9F"/>
    <w:rsid w:val="3BCC794B"/>
    <w:rsid w:val="3BCCA31C"/>
    <w:rsid w:val="3BD341B7"/>
    <w:rsid w:val="3BD345B0"/>
    <w:rsid w:val="3BE88188"/>
    <w:rsid w:val="3BF07014"/>
    <w:rsid w:val="3BF143C2"/>
    <w:rsid w:val="3C049454"/>
    <w:rsid w:val="3C0A4F51"/>
    <w:rsid w:val="3C0AB696"/>
    <w:rsid w:val="3C126EF1"/>
    <w:rsid w:val="3C1CA5B8"/>
    <w:rsid w:val="3C1F635E"/>
    <w:rsid w:val="3C1FB55D"/>
    <w:rsid w:val="3C22815B"/>
    <w:rsid w:val="3C232974"/>
    <w:rsid w:val="3C26FACB"/>
    <w:rsid w:val="3C323560"/>
    <w:rsid w:val="3C462CA2"/>
    <w:rsid w:val="3C5067D8"/>
    <w:rsid w:val="3C659D59"/>
    <w:rsid w:val="3C7CDFDE"/>
    <w:rsid w:val="3C988061"/>
    <w:rsid w:val="3C9E8A1A"/>
    <w:rsid w:val="3CAB9203"/>
    <w:rsid w:val="3CAF272C"/>
    <w:rsid w:val="3CC52168"/>
    <w:rsid w:val="3CCC6E4B"/>
    <w:rsid w:val="3CD1ED84"/>
    <w:rsid w:val="3CD2A6CC"/>
    <w:rsid w:val="3CEFD417"/>
    <w:rsid w:val="3D12B13C"/>
    <w:rsid w:val="3D370055"/>
    <w:rsid w:val="3D3DC130"/>
    <w:rsid w:val="3D3EA34C"/>
    <w:rsid w:val="3D3FEBE9"/>
    <w:rsid w:val="3D4A71EF"/>
    <w:rsid w:val="3D533A81"/>
    <w:rsid w:val="3D6042E1"/>
    <w:rsid w:val="3D637745"/>
    <w:rsid w:val="3D75DEE0"/>
    <w:rsid w:val="3D78228C"/>
    <w:rsid w:val="3D9787B8"/>
    <w:rsid w:val="3D9DEEBE"/>
    <w:rsid w:val="3DA47F77"/>
    <w:rsid w:val="3DABF63D"/>
    <w:rsid w:val="3DB4687B"/>
    <w:rsid w:val="3DC06781"/>
    <w:rsid w:val="3DC296CA"/>
    <w:rsid w:val="3DCA274A"/>
    <w:rsid w:val="3DCA4EA0"/>
    <w:rsid w:val="3DCCD2BC"/>
    <w:rsid w:val="3DD638CE"/>
    <w:rsid w:val="3DDA0D9A"/>
    <w:rsid w:val="3DE5EEE5"/>
    <w:rsid w:val="3DF5A533"/>
    <w:rsid w:val="3DFDCD41"/>
    <w:rsid w:val="3E0AB1E7"/>
    <w:rsid w:val="3E122238"/>
    <w:rsid w:val="3E199ED3"/>
    <w:rsid w:val="3E1F8538"/>
    <w:rsid w:val="3E2200B3"/>
    <w:rsid w:val="3E226FD3"/>
    <w:rsid w:val="3E354168"/>
    <w:rsid w:val="3E355B38"/>
    <w:rsid w:val="3E3A1742"/>
    <w:rsid w:val="3E3ACC7E"/>
    <w:rsid w:val="3E3F649C"/>
    <w:rsid w:val="3E4B8625"/>
    <w:rsid w:val="3E71F37E"/>
    <w:rsid w:val="3E7F9B63"/>
    <w:rsid w:val="3E9872D4"/>
    <w:rsid w:val="3E9BCA01"/>
    <w:rsid w:val="3E9C5733"/>
    <w:rsid w:val="3E9F5513"/>
    <w:rsid w:val="3EA38E19"/>
    <w:rsid w:val="3EC63C10"/>
    <w:rsid w:val="3EC7691A"/>
    <w:rsid w:val="3ED8C1CC"/>
    <w:rsid w:val="3EDDF851"/>
    <w:rsid w:val="3EE66F3F"/>
    <w:rsid w:val="3EEA52E8"/>
    <w:rsid w:val="3F06A14D"/>
    <w:rsid w:val="3F151C5E"/>
    <w:rsid w:val="3F2BA972"/>
    <w:rsid w:val="3F2F54CF"/>
    <w:rsid w:val="3F34BD7E"/>
    <w:rsid w:val="3F394500"/>
    <w:rsid w:val="3F510A01"/>
    <w:rsid w:val="3F5D3588"/>
    <w:rsid w:val="3F62CE75"/>
    <w:rsid w:val="3F63617C"/>
    <w:rsid w:val="3F670999"/>
    <w:rsid w:val="3F69B735"/>
    <w:rsid w:val="3F6ED19F"/>
    <w:rsid w:val="3F78213C"/>
    <w:rsid w:val="3F7C0059"/>
    <w:rsid w:val="3F91AE79"/>
    <w:rsid w:val="3F943054"/>
    <w:rsid w:val="3F95DEC2"/>
    <w:rsid w:val="3F96DA4F"/>
    <w:rsid w:val="3FA039D0"/>
    <w:rsid w:val="3FB0F309"/>
    <w:rsid w:val="3FB163AB"/>
    <w:rsid w:val="3FB74651"/>
    <w:rsid w:val="3FC25C76"/>
    <w:rsid w:val="3FC5CA21"/>
    <w:rsid w:val="3FCFC965"/>
    <w:rsid w:val="3FDD24CA"/>
    <w:rsid w:val="3FE1F2AC"/>
    <w:rsid w:val="4002ED55"/>
    <w:rsid w:val="401F0AEB"/>
    <w:rsid w:val="402AAD7E"/>
    <w:rsid w:val="402DE555"/>
    <w:rsid w:val="404AEA05"/>
    <w:rsid w:val="40507ABA"/>
    <w:rsid w:val="40593E13"/>
    <w:rsid w:val="408A556D"/>
    <w:rsid w:val="408B88BA"/>
    <w:rsid w:val="4090FD19"/>
    <w:rsid w:val="40B62133"/>
    <w:rsid w:val="40BFD804"/>
    <w:rsid w:val="40D03C43"/>
    <w:rsid w:val="40D8AF8C"/>
    <w:rsid w:val="40EAD7A5"/>
    <w:rsid w:val="40FB2A7C"/>
    <w:rsid w:val="4111DBB9"/>
    <w:rsid w:val="41276530"/>
    <w:rsid w:val="412AA072"/>
    <w:rsid w:val="4144DC14"/>
    <w:rsid w:val="41535B2C"/>
    <w:rsid w:val="41538D18"/>
    <w:rsid w:val="415A1109"/>
    <w:rsid w:val="4172E0D8"/>
    <w:rsid w:val="4178A306"/>
    <w:rsid w:val="417C181F"/>
    <w:rsid w:val="417D4867"/>
    <w:rsid w:val="41984683"/>
    <w:rsid w:val="41C5A0D0"/>
    <w:rsid w:val="41C8829D"/>
    <w:rsid w:val="41DCA87C"/>
    <w:rsid w:val="41F093BB"/>
    <w:rsid w:val="41F7C54C"/>
    <w:rsid w:val="41FA8417"/>
    <w:rsid w:val="423425FA"/>
    <w:rsid w:val="423BC220"/>
    <w:rsid w:val="4252DCD7"/>
    <w:rsid w:val="4257187D"/>
    <w:rsid w:val="425B645A"/>
    <w:rsid w:val="425B9AD9"/>
    <w:rsid w:val="4276A44A"/>
    <w:rsid w:val="427E5ABF"/>
    <w:rsid w:val="42926000"/>
    <w:rsid w:val="42A373DD"/>
    <w:rsid w:val="42A5E167"/>
    <w:rsid w:val="42A7A8BC"/>
    <w:rsid w:val="42B9B5AF"/>
    <w:rsid w:val="42C7B631"/>
    <w:rsid w:val="42D1DAA6"/>
    <w:rsid w:val="42E1B992"/>
    <w:rsid w:val="42EBB0CD"/>
    <w:rsid w:val="42EE3679"/>
    <w:rsid w:val="42F01B4A"/>
    <w:rsid w:val="42F34A39"/>
    <w:rsid w:val="4310D12C"/>
    <w:rsid w:val="4328FCFF"/>
    <w:rsid w:val="433A3483"/>
    <w:rsid w:val="435972BA"/>
    <w:rsid w:val="435EF156"/>
    <w:rsid w:val="4366743B"/>
    <w:rsid w:val="436C84F0"/>
    <w:rsid w:val="4387048A"/>
    <w:rsid w:val="438DF1AC"/>
    <w:rsid w:val="439909A6"/>
    <w:rsid w:val="439A616E"/>
    <w:rsid w:val="43BA8E5B"/>
    <w:rsid w:val="43DCC819"/>
    <w:rsid w:val="43F07D13"/>
    <w:rsid w:val="4411892D"/>
    <w:rsid w:val="4422C410"/>
    <w:rsid w:val="442B557A"/>
    <w:rsid w:val="44487A0A"/>
    <w:rsid w:val="4459283B"/>
    <w:rsid w:val="447181EC"/>
    <w:rsid w:val="4472FA54"/>
    <w:rsid w:val="449F6156"/>
    <w:rsid w:val="44A333FF"/>
    <w:rsid w:val="44A3CADB"/>
    <w:rsid w:val="44AF91D1"/>
    <w:rsid w:val="44C27E2C"/>
    <w:rsid w:val="44C842D4"/>
    <w:rsid w:val="44D1BE42"/>
    <w:rsid w:val="44F3B1C4"/>
    <w:rsid w:val="44FA4BC1"/>
    <w:rsid w:val="45057F04"/>
    <w:rsid w:val="45083C5E"/>
    <w:rsid w:val="450C9CEC"/>
    <w:rsid w:val="4518EFE3"/>
    <w:rsid w:val="4519DA0A"/>
    <w:rsid w:val="451A9C5E"/>
    <w:rsid w:val="45271327"/>
    <w:rsid w:val="452EBEC2"/>
    <w:rsid w:val="453947B8"/>
    <w:rsid w:val="453D57A5"/>
    <w:rsid w:val="4542DE91"/>
    <w:rsid w:val="454B2C46"/>
    <w:rsid w:val="4552BA20"/>
    <w:rsid w:val="45539127"/>
    <w:rsid w:val="455554B2"/>
    <w:rsid w:val="4566A01D"/>
    <w:rsid w:val="4567097E"/>
    <w:rsid w:val="456B50D8"/>
    <w:rsid w:val="456E49D9"/>
    <w:rsid w:val="4572A86C"/>
    <w:rsid w:val="457F8AF6"/>
    <w:rsid w:val="458398F9"/>
    <w:rsid w:val="45B5FD17"/>
    <w:rsid w:val="45C956F4"/>
    <w:rsid w:val="45F3B7F4"/>
    <w:rsid w:val="45F8A764"/>
    <w:rsid w:val="4603557E"/>
    <w:rsid w:val="4603A0D2"/>
    <w:rsid w:val="460755F6"/>
    <w:rsid w:val="46222DE4"/>
    <w:rsid w:val="46301BFC"/>
    <w:rsid w:val="4632F09C"/>
    <w:rsid w:val="46347F82"/>
    <w:rsid w:val="4636E936"/>
    <w:rsid w:val="463FDE1B"/>
    <w:rsid w:val="464E8514"/>
    <w:rsid w:val="465CB0BF"/>
    <w:rsid w:val="466749EE"/>
    <w:rsid w:val="466C9111"/>
    <w:rsid w:val="466D0A89"/>
    <w:rsid w:val="46735BE0"/>
    <w:rsid w:val="467D108B"/>
    <w:rsid w:val="469AF295"/>
    <w:rsid w:val="46B9D9F3"/>
    <w:rsid w:val="46C49608"/>
    <w:rsid w:val="46C8FE3D"/>
    <w:rsid w:val="46D274B6"/>
    <w:rsid w:val="46E5A197"/>
    <w:rsid w:val="471476BC"/>
    <w:rsid w:val="4716F977"/>
    <w:rsid w:val="47192EFF"/>
    <w:rsid w:val="471BFA99"/>
    <w:rsid w:val="47523E35"/>
    <w:rsid w:val="476202B4"/>
    <w:rsid w:val="47699873"/>
    <w:rsid w:val="47758076"/>
    <w:rsid w:val="4779906C"/>
    <w:rsid w:val="477C9931"/>
    <w:rsid w:val="4794CC19"/>
    <w:rsid w:val="47A71B46"/>
    <w:rsid w:val="47AF2D78"/>
    <w:rsid w:val="47C74D6F"/>
    <w:rsid w:val="47E404D8"/>
    <w:rsid w:val="47ED19B7"/>
    <w:rsid w:val="47F50552"/>
    <w:rsid w:val="4806F536"/>
    <w:rsid w:val="480BF812"/>
    <w:rsid w:val="480C00B5"/>
    <w:rsid w:val="481104C1"/>
    <w:rsid w:val="48138992"/>
    <w:rsid w:val="4819345D"/>
    <w:rsid w:val="481DD1BC"/>
    <w:rsid w:val="48285186"/>
    <w:rsid w:val="482A140C"/>
    <w:rsid w:val="482E6571"/>
    <w:rsid w:val="486D9E4A"/>
    <w:rsid w:val="4881B5C3"/>
    <w:rsid w:val="4888C9C1"/>
    <w:rsid w:val="488AB227"/>
    <w:rsid w:val="489A5208"/>
    <w:rsid w:val="489C4BE4"/>
    <w:rsid w:val="48A15011"/>
    <w:rsid w:val="48A1A087"/>
    <w:rsid w:val="48AA3DA4"/>
    <w:rsid w:val="48D608FD"/>
    <w:rsid w:val="48DDD9A9"/>
    <w:rsid w:val="48E854C1"/>
    <w:rsid w:val="48EB0B0C"/>
    <w:rsid w:val="490984B9"/>
    <w:rsid w:val="490CAC54"/>
    <w:rsid w:val="490E18C1"/>
    <w:rsid w:val="49217CF2"/>
    <w:rsid w:val="492FE234"/>
    <w:rsid w:val="493435B6"/>
    <w:rsid w:val="496CC53D"/>
    <w:rsid w:val="497674F5"/>
    <w:rsid w:val="498D1A96"/>
    <w:rsid w:val="4991A5DB"/>
    <w:rsid w:val="49935674"/>
    <w:rsid w:val="49979A66"/>
    <w:rsid w:val="49A82041"/>
    <w:rsid w:val="49C43B53"/>
    <w:rsid w:val="49C4E30D"/>
    <w:rsid w:val="49C780D4"/>
    <w:rsid w:val="49CB6193"/>
    <w:rsid w:val="49DF2C99"/>
    <w:rsid w:val="4A0F9285"/>
    <w:rsid w:val="4A14C935"/>
    <w:rsid w:val="4A16F8A2"/>
    <w:rsid w:val="4A17C7B0"/>
    <w:rsid w:val="4A19A867"/>
    <w:rsid w:val="4A1D3D46"/>
    <w:rsid w:val="4A1F3157"/>
    <w:rsid w:val="4A2306FB"/>
    <w:rsid w:val="4A2FF679"/>
    <w:rsid w:val="4A3B88E1"/>
    <w:rsid w:val="4A414208"/>
    <w:rsid w:val="4A4F540B"/>
    <w:rsid w:val="4A6256B8"/>
    <w:rsid w:val="4A69A65C"/>
    <w:rsid w:val="4A6C5358"/>
    <w:rsid w:val="4A6D1805"/>
    <w:rsid w:val="4A8DB4A9"/>
    <w:rsid w:val="4A8E78F9"/>
    <w:rsid w:val="4AA27DD6"/>
    <w:rsid w:val="4AA5377F"/>
    <w:rsid w:val="4AAF6BF9"/>
    <w:rsid w:val="4ABDCB9B"/>
    <w:rsid w:val="4ADD9814"/>
    <w:rsid w:val="4AE172B0"/>
    <w:rsid w:val="4AEAA48B"/>
    <w:rsid w:val="4AF57730"/>
    <w:rsid w:val="4B041A46"/>
    <w:rsid w:val="4B04469B"/>
    <w:rsid w:val="4B048E3D"/>
    <w:rsid w:val="4B172BE7"/>
    <w:rsid w:val="4B18DBE6"/>
    <w:rsid w:val="4B25C2E9"/>
    <w:rsid w:val="4B308FE5"/>
    <w:rsid w:val="4B335985"/>
    <w:rsid w:val="4B33C7DC"/>
    <w:rsid w:val="4B391E5D"/>
    <w:rsid w:val="4B4718F6"/>
    <w:rsid w:val="4B529B7B"/>
    <w:rsid w:val="4B53F0D6"/>
    <w:rsid w:val="4B58DC7F"/>
    <w:rsid w:val="4B5AB6FA"/>
    <w:rsid w:val="4B6991F5"/>
    <w:rsid w:val="4B6AE573"/>
    <w:rsid w:val="4B76F509"/>
    <w:rsid w:val="4B7B3BFB"/>
    <w:rsid w:val="4B882BDC"/>
    <w:rsid w:val="4B90E6BC"/>
    <w:rsid w:val="4B98A1BF"/>
    <w:rsid w:val="4B9D1E82"/>
    <w:rsid w:val="4BACC3FB"/>
    <w:rsid w:val="4BC218E8"/>
    <w:rsid w:val="4BCDB7DB"/>
    <w:rsid w:val="4BD2E5F7"/>
    <w:rsid w:val="4BE1ED8C"/>
    <w:rsid w:val="4C003CA4"/>
    <w:rsid w:val="4C006C49"/>
    <w:rsid w:val="4C16457B"/>
    <w:rsid w:val="4C173C95"/>
    <w:rsid w:val="4C1AFACA"/>
    <w:rsid w:val="4C2BA7CD"/>
    <w:rsid w:val="4C372290"/>
    <w:rsid w:val="4C3DCD7B"/>
    <w:rsid w:val="4C618AE2"/>
    <w:rsid w:val="4C7FD5C0"/>
    <w:rsid w:val="4C860E77"/>
    <w:rsid w:val="4C94617E"/>
    <w:rsid w:val="4CA3CE20"/>
    <w:rsid w:val="4CBD45F6"/>
    <w:rsid w:val="4CBFE1B0"/>
    <w:rsid w:val="4CC0F3EF"/>
    <w:rsid w:val="4CC87CFD"/>
    <w:rsid w:val="4CD5F1DA"/>
    <w:rsid w:val="4CFB77EA"/>
    <w:rsid w:val="4D004B87"/>
    <w:rsid w:val="4D0A2DCE"/>
    <w:rsid w:val="4D0D6210"/>
    <w:rsid w:val="4D1AACAE"/>
    <w:rsid w:val="4D2E8C96"/>
    <w:rsid w:val="4D3E51E5"/>
    <w:rsid w:val="4D490A20"/>
    <w:rsid w:val="4D611EC8"/>
    <w:rsid w:val="4D7C70E7"/>
    <w:rsid w:val="4D87BB08"/>
    <w:rsid w:val="4D8E5BC3"/>
    <w:rsid w:val="4D996F67"/>
    <w:rsid w:val="4DA05BDF"/>
    <w:rsid w:val="4DAC1F64"/>
    <w:rsid w:val="4DB86386"/>
    <w:rsid w:val="4DC8E298"/>
    <w:rsid w:val="4DD661E0"/>
    <w:rsid w:val="4DF9AB20"/>
    <w:rsid w:val="4E00D642"/>
    <w:rsid w:val="4E054F60"/>
    <w:rsid w:val="4E176C45"/>
    <w:rsid w:val="4E17CB7B"/>
    <w:rsid w:val="4E284515"/>
    <w:rsid w:val="4E2C3F91"/>
    <w:rsid w:val="4E347B7B"/>
    <w:rsid w:val="4E3A929D"/>
    <w:rsid w:val="4E405FB1"/>
    <w:rsid w:val="4E44E48B"/>
    <w:rsid w:val="4E4B2589"/>
    <w:rsid w:val="4E704915"/>
    <w:rsid w:val="4E83A52C"/>
    <w:rsid w:val="4E846C27"/>
    <w:rsid w:val="4E914B6F"/>
    <w:rsid w:val="4E983F1E"/>
    <w:rsid w:val="4EA3D922"/>
    <w:rsid w:val="4EAFF5EE"/>
    <w:rsid w:val="4EB36E0C"/>
    <w:rsid w:val="4EC4C4C2"/>
    <w:rsid w:val="4EC525C1"/>
    <w:rsid w:val="4EDDAFA6"/>
    <w:rsid w:val="4F19EA54"/>
    <w:rsid w:val="4F218BAE"/>
    <w:rsid w:val="4F254890"/>
    <w:rsid w:val="4F2764F7"/>
    <w:rsid w:val="4F33C8FC"/>
    <w:rsid w:val="4F39D7EC"/>
    <w:rsid w:val="4F59DB43"/>
    <w:rsid w:val="4F750175"/>
    <w:rsid w:val="4F772704"/>
    <w:rsid w:val="4F784332"/>
    <w:rsid w:val="4F7A9E9B"/>
    <w:rsid w:val="4FA0D5F5"/>
    <w:rsid w:val="4FB24C1F"/>
    <w:rsid w:val="4FB4CA06"/>
    <w:rsid w:val="4FC798E8"/>
    <w:rsid w:val="4FE757D6"/>
    <w:rsid w:val="4FF16A7D"/>
    <w:rsid w:val="4FF8CC0B"/>
    <w:rsid w:val="500BF10C"/>
    <w:rsid w:val="5010339D"/>
    <w:rsid w:val="5033BD76"/>
    <w:rsid w:val="50370251"/>
    <w:rsid w:val="50428825"/>
    <w:rsid w:val="50439490"/>
    <w:rsid w:val="50486B70"/>
    <w:rsid w:val="505331B3"/>
    <w:rsid w:val="5064C89A"/>
    <w:rsid w:val="5079867B"/>
    <w:rsid w:val="508B1246"/>
    <w:rsid w:val="509012A5"/>
    <w:rsid w:val="509031D2"/>
    <w:rsid w:val="50A25D17"/>
    <w:rsid w:val="50A738B3"/>
    <w:rsid w:val="50A9A7FF"/>
    <w:rsid w:val="50B12812"/>
    <w:rsid w:val="50B24B08"/>
    <w:rsid w:val="50CCC065"/>
    <w:rsid w:val="50CE74F5"/>
    <w:rsid w:val="50D1518C"/>
    <w:rsid w:val="50F0AC21"/>
    <w:rsid w:val="50F303A5"/>
    <w:rsid w:val="510BE5B1"/>
    <w:rsid w:val="510C955A"/>
    <w:rsid w:val="510D4324"/>
    <w:rsid w:val="5120076D"/>
    <w:rsid w:val="512AD81B"/>
    <w:rsid w:val="512D262B"/>
    <w:rsid w:val="5137C205"/>
    <w:rsid w:val="51408B18"/>
    <w:rsid w:val="51711E17"/>
    <w:rsid w:val="517343A0"/>
    <w:rsid w:val="5187840B"/>
    <w:rsid w:val="5196F340"/>
    <w:rsid w:val="51AC71D5"/>
    <w:rsid w:val="51B7DDA5"/>
    <w:rsid w:val="51B93FBD"/>
    <w:rsid w:val="51C8D9FE"/>
    <w:rsid w:val="51C950D5"/>
    <w:rsid w:val="51CB9785"/>
    <w:rsid w:val="51EAF744"/>
    <w:rsid w:val="51F92FC6"/>
    <w:rsid w:val="51FBF6DD"/>
    <w:rsid w:val="51FC43C0"/>
    <w:rsid w:val="520CBDED"/>
    <w:rsid w:val="520E1C0A"/>
    <w:rsid w:val="521DF515"/>
    <w:rsid w:val="522A3B99"/>
    <w:rsid w:val="52407820"/>
    <w:rsid w:val="52443F96"/>
    <w:rsid w:val="524E9D31"/>
    <w:rsid w:val="5254938A"/>
    <w:rsid w:val="525B0227"/>
    <w:rsid w:val="52757838"/>
    <w:rsid w:val="527938D3"/>
    <w:rsid w:val="52A7EBF3"/>
    <w:rsid w:val="52B10A22"/>
    <w:rsid w:val="52B5538E"/>
    <w:rsid w:val="52CD6DBB"/>
    <w:rsid w:val="52DE21AF"/>
    <w:rsid w:val="52F0C229"/>
    <w:rsid w:val="52F7C399"/>
    <w:rsid w:val="52FBC9CA"/>
    <w:rsid w:val="5300E8FF"/>
    <w:rsid w:val="53029206"/>
    <w:rsid w:val="5303FE74"/>
    <w:rsid w:val="53058C1E"/>
    <w:rsid w:val="531AD280"/>
    <w:rsid w:val="531CF9B7"/>
    <w:rsid w:val="531E719D"/>
    <w:rsid w:val="534B5810"/>
    <w:rsid w:val="534C26AC"/>
    <w:rsid w:val="534F1F50"/>
    <w:rsid w:val="537636A9"/>
    <w:rsid w:val="5383EF8F"/>
    <w:rsid w:val="53967CAB"/>
    <w:rsid w:val="53B24A12"/>
    <w:rsid w:val="53BACBDC"/>
    <w:rsid w:val="53BEAE17"/>
    <w:rsid w:val="53D0D211"/>
    <w:rsid w:val="53ECAD32"/>
    <w:rsid w:val="53ED1224"/>
    <w:rsid w:val="53EEAA1A"/>
    <w:rsid w:val="53FA21AC"/>
    <w:rsid w:val="53FEA1E8"/>
    <w:rsid w:val="54065351"/>
    <w:rsid w:val="5416B622"/>
    <w:rsid w:val="5430E48C"/>
    <w:rsid w:val="54394FD2"/>
    <w:rsid w:val="544ACC8D"/>
    <w:rsid w:val="546AF97F"/>
    <w:rsid w:val="5470F380"/>
    <w:rsid w:val="5473D60F"/>
    <w:rsid w:val="5478C58B"/>
    <w:rsid w:val="547B6D44"/>
    <w:rsid w:val="5484004A"/>
    <w:rsid w:val="548EF51E"/>
    <w:rsid w:val="5492DDF0"/>
    <w:rsid w:val="54A1711E"/>
    <w:rsid w:val="54B0A7F9"/>
    <w:rsid w:val="54BFA6D6"/>
    <w:rsid w:val="54CBDE1E"/>
    <w:rsid w:val="54D4CC84"/>
    <w:rsid w:val="54E2232A"/>
    <w:rsid w:val="54E7B6B9"/>
    <w:rsid w:val="54EAA103"/>
    <w:rsid w:val="54F5E869"/>
    <w:rsid w:val="5500EFE1"/>
    <w:rsid w:val="550359A9"/>
    <w:rsid w:val="55036410"/>
    <w:rsid w:val="5509EFF5"/>
    <w:rsid w:val="55143E49"/>
    <w:rsid w:val="55160D9E"/>
    <w:rsid w:val="55198DD3"/>
    <w:rsid w:val="55462A88"/>
    <w:rsid w:val="554B0000"/>
    <w:rsid w:val="5551C1D9"/>
    <w:rsid w:val="556806D3"/>
    <w:rsid w:val="55691D86"/>
    <w:rsid w:val="556D42A9"/>
    <w:rsid w:val="55A7A11B"/>
    <w:rsid w:val="55B890A2"/>
    <w:rsid w:val="55D1157A"/>
    <w:rsid w:val="55E6897A"/>
    <w:rsid w:val="55EBA439"/>
    <w:rsid w:val="55F856FA"/>
    <w:rsid w:val="5607D07E"/>
    <w:rsid w:val="5620A4F0"/>
    <w:rsid w:val="5623E613"/>
    <w:rsid w:val="562D6462"/>
    <w:rsid w:val="56319DEC"/>
    <w:rsid w:val="56329166"/>
    <w:rsid w:val="56361385"/>
    <w:rsid w:val="5639EAF8"/>
    <w:rsid w:val="5661D3AB"/>
    <w:rsid w:val="56623C54"/>
    <w:rsid w:val="56647D0F"/>
    <w:rsid w:val="56777B4C"/>
    <w:rsid w:val="568301E5"/>
    <w:rsid w:val="5683F018"/>
    <w:rsid w:val="568CB375"/>
    <w:rsid w:val="569D72AF"/>
    <w:rsid w:val="56AFE735"/>
    <w:rsid w:val="56B7E2CD"/>
    <w:rsid w:val="56BAAB3B"/>
    <w:rsid w:val="56C97984"/>
    <w:rsid w:val="56CA20B2"/>
    <w:rsid w:val="56CC3625"/>
    <w:rsid w:val="56D4FEE9"/>
    <w:rsid w:val="56D6C1C8"/>
    <w:rsid w:val="56E8CD80"/>
    <w:rsid w:val="56EA09B7"/>
    <w:rsid w:val="56ECB3C5"/>
    <w:rsid w:val="56EF112C"/>
    <w:rsid w:val="56F72117"/>
    <w:rsid w:val="57134C6A"/>
    <w:rsid w:val="57234A4A"/>
    <w:rsid w:val="5724D1ED"/>
    <w:rsid w:val="5728040D"/>
    <w:rsid w:val="573B2E4B"/>
    <w:rsid w:val="573F2A24"/>
    <w:rsid w:val="574239AA"/>
    <w:rsid w:val="57523E8E"/>
    <w:rsid w:val="575C1BBE"/>
    <w:rsid w:val="576F7B83"/>
    <w:rsid w:val="578CF47A"/>
    <w:rsid w:val="5796A6C1"/>
    <w:rsid w:val="579B2133"/>
    <w:rsid w:val="579FC612"/>
    <w:rsid w:val="57AA5E0A"/>
    <w:rsid w:val="57B87B30"/>
    <w:rsid w:val="57CB3BF5"/>
    <w:rsid w:val="57D12BC8"/>
    <w:rsid w:val="57D52F1F"/>
    <w:rsid w:val="57D95B15"/>
    <w:rsid w:val="57E57228"/>
    <w:rsid w:val="57E7EE36"/>
    <w:rsid w:val="57EAE505"/>
    <w:rsid w:val="57F2D823"/>
    <w:rsid w:val="5804D106"/>
    <w:rsid w:val="580582DA"/>
    <w:rsid w:val="58295ED9"/>
    <w:rsid w:val="58313109"/>
    <w:rsid w:val="5845836E"/>
    <w:rsid w:val="585D991A"/>
    <w:rsid w:val="5860A870"/>
    <w:rsid w:val="586B30C7"/>
    <w:rsid w:val="586EE522"/>
    <w:rsid w:val="58733E56"/>
    <w:rsid w:val="58835E78"/>
    <w:rsid w:val="5894EB52"/>
    <w:rsid w:val="58AE2053"/>
    <w:rsid w:val="58BF1059"/>
    <w:rsid w:val="58C0637F"/>
    <w:rsid w:val="58C3F308"/>
    <w:rsid w:val="58CB77A3"/>
    <w:rsid w:val="58CF0593"/>
    <w:rsid w:val="58D390C0"/>
    <w:rsid w:val="58DA024E"/>
    <w:rsid w:val="58E88350"/>
    <w:rsid w:val="58ECAD17"/>
    <w:rsid w:val="58EFB75F"/>
    <w:rsid w:val="58FB721B"/>
    <w:rsid w:val="5915EECA"/>
    <w:rsid w:val="591AE494"/>
    <w:rsid w:val="5923C7EA"/>
    <w:rsid w:val="59265C52"/>
    <w:rsid w:val="592FE671"/>
    <w:rsid w:val="59457F92"/>
    <w:rsid w:val="59505916"/>
    <w:rsid w:val="595C847C"/>
    <w:rsid w:val="595F6374"/>
    <w:rsid w:val="59605BA4"/>
    <w:rsid w:val="5969D3E1"/>
    <w:rsid w:val="596A75F5"/>
    <w:rsid w:val="596E8224"/>
    <w:rsid w:val="596F945F"/>
    <w:rsid w:val="596FCF5D"/>
    <w:rsid w:val="5972E3EB"/>
    <w:rsid w:val="5976C438"/>
    <w:rsid w:val="597C9BF2"/>
    <w:rsid w:val="59821589"/>
    <w:rsid w:val="59AAAAA9"/>
    <w:rsid w:val="59B45238"/>
    <w:rsid w:val="59C7A1C8"/>
    <w:rsid w:val="59CD8345"/>
    <w:rsid w:val="59F03788"/>
    <w:rsid w:val="5A030C0C"/>
    <w:rsid w:val="5A106B00"/>
    <w:rsid w:val="5A183583"/>
    <w:rsid w:val="5A19A003"/>
    <w:rsid w:val="5A1A50AB"/>
    <w:rsid w:val="5A1E88CC"/>
    <w:rsid w:val="5A275D81"/>
    <w:rsid w:val="5A350528"/>
    <w:rsid w:val="5A5E87E7"/>
    <w:rsid w:val="5A75277D"/>
    <w:rsid w:val="5A7A924B"/>
    <w:rsid w:val="5A85A0CA"/>
    <w:rsid w:val="5A8F0E8B"/>
    <w:rsid w:val="5AA9289D"/>
    <w:rsid w:val="5AAA0B38"/>
    <w:rsid w:val="5AAD648B"/>
    <w:rsid w:val="5AAF9C6A"/>
    <w:rsid w:val="5AB1076B"/>
    <w:rsid w:val="5ACEF07D"/>
    <w:rsid w:val="5ACF6D14"/>
    <w:rsid w:val="5AD9A11E"/>
    <w:rsid w:val="5AE1116F"/>
    <w:rsid w:val="5AE29DCC"/>
    <w:rsid w:val="5B05D7BE"/>
    <w:rsid w:val="5B2D876D"/>
    <w:rsid w:val="5B30AA09"/>
    <w:rsid w:val="5B4FC9E5"/>
    <w:rsid w:val="5B54270D"/>
    <w:rsid w:val="5B5B2429"/>
    <w:rsid w:val="5B6BF400"/>
    <w:rsid w:val="5B6CA9A7"/>
    <w:rsid w:val="5B7579AF"/>
    <w:rsid w:val="5B9153CF"/>
    <w:rsid w:val="5BA9A62D"/>
    <w:rsid w:val="5BC53FF3"/>
    <w:rsid w:val="5BE3A349"/>
    <w:rsid w:val="5BED6C73"/>
    <w:rsid w:val="5BF7347B"/>
    <w:rsid w:val="5C0082ED"/>
    <w:rsid w:val="5C036C60"/>
    <w:rsid w:val="5C12077A"/>
    <w:rsid w:val="5C1860DC"/>
    <w:rsid w:val="5C247AA5"/>
    <w:rsid w:val="5C39AAD0"/>
    <w:rsid w:val="5C522F74"/>
    <w:rsid w:val="5C5FD6AD"/>
    <w:rsid w:val="5C921919"/>
    <w:rsid w:val="5CA1F514"/>
    <w:rsid w:val="5CA7FC5E"/>
    <w:rsid w:val="5CAA21E9"/>
    <w:rsid w:val="5CB05097"/>
    <w:rsid w:val="5CB37444"/>
    <w:rsid w:val="5CB92407"/>
    <w:rsid w:val="5CBBF6CF"/>
    <w:rsid w:val="5CD859E4"/>
    <w:rsid w:val="5CDD67A3"/>
    <w:rsid w:val="5CEF8185"/>
    <w:rsid w:val="5CF14A17"/>
    <w:rsid w:val="5CF32013"/>
    <w:rsid w:val="5CFBE25D"/>
    <w:rsid w:val="5D02F3DD"/>
    <w:rsid w:val="5D048853"/>
    <w:rsid w:val="5D07F3CE"/>
    <w:rsid w:val="5D18D103"/>
    <w:rsid w:val="5D1923D8"/>
    <w:rsid w:val="5D1C163C"/>
    <w:rsid w:val="5D27CA50"/>
    <w:rsid w:val="5D2C403D"/>
    <w:rsid w:val="5D33453B"/>
    <w:rsid w:val="5D3C699B"/>
    <w:rsid w:val="5D3DC79D"/>
    <w:rsid w:val="5D492C86"/>
    <w:rsid w:val="5D526394"/>
    <w:rsid w:val="5D55C339"/>
    <w:rsid w:val="5D584ACD"/>
    <w:rsid w:val="5D594262"/>
    <w:rsid w:val="5D5BCD3D"/>
    <w:rsid w:val="5D74E017"/>
    <w:rsid w:val="5D7771E4"/>
    <w:rsid w:val="5D7FB7DF"/>
    <w:rsid w:val="5D818013"/>
    <w:rsid w:val="5D88D2CB"/>
    <w:rsid w:val="5D94941A"/>
    <w:rsid w:val="5DA44278"/>
    <w:rsid w:val="5DA67B59"/>
    <w:rsid w:val="5DAE1B18"/>
    <w:rsid w:val="5DB58AC4"/>
    <w:rsid w:val="5DBAB8B3"/>
    <w:rsid w:val="5DC94A2E"/>
    <w:rsid w:val="5DD735D8"/>
    <w:rsid w:val="5DE30BC1"/>
    <w:rsid w:val="5E1D2FEE"/>
    <w:rsid w:val="5E2788A5"/>
    <w:rsid w:val="5E397D35"/>
    <w:rsid w:val="5E4B9D4C"/>
    <w:rsid w:val="5E5EC03F"/>
    <w:rsid w:val="5E665BE1"/>
    <w:rsid w:val="5E7BC970"/>
    <w:rsid w:val="5E998543"/>
    <w:rsid w:val="5E99BE31"/>
    <w:rsid w:val="5EA3C147"/>
    <w:rsid w:val="5EC1E19B"/>
    <w:rsid w:val="5EDC2F71"/>
    <w:rsid w:val="5EF4C0F3"/>
    <w:rsid w:val="5F016742"/>
    <w:rsid w:val="5F1651A6"/>
    <w:rsid w:val="5F1A34B3"/>
    <w:rsid w:val="5F4C0316"/>
    <w:rsid w:val="5F4CED2C"/>
    <w:rsid w:val="5F60C795"/>
    <w:rsid w:val="5F698F28"/>
    <w:rsid w:val="5F703B1C"/>
    <w:rsid w:val="5F7AAAA4"/>
    <w:rsid w:val="5F883094"/>
    <w:rsid w:val="5F8FB062"/>
    <w:rsid w:val="5FA4F41A"/>
    <w:rsid w:val="5FB0C223"/>
    <w:rsid w:val="5FB7041A"/>
    <w:rsid w:val="5FE90061"/>
    <w:rsid w:val="5FE9A459"/>
    <w:rsid w:val="5FF46475"/>
    <w:rsid w:val="5FF624C5"/>
    <w:rsid w:val="5FF72CF0"/>
    <w:rsid w:val="6002B70E"/>
    <w:rsid w:val="600822BB"/>
    <w:rsid w:val="600B4C04"/>
    <w:rsid w:val="60135640"/>
    <w:rsid w:val="6015220F"/>
    <w:rsid w:val="60217A02"/>
    <w:rsid w:val="60218FF4"/>
    <w:rsid w:val="602CFE5D"/>
    <w:rsid w:val="603DEA81"/>
    <w:rsid w:val="604BA0EC"/>
    <w:rsid w:val="605207D1"/>
    <w:rsid w:val="6057E208"/>
    <w:rsid w:val="605B6048"/>
    <w:rsid w:val="6061030C"/>
    <w:rsid w:val="6080B3DF"/>
    <w:rsid w:val="60AB73AA"/>
    <w:rsid w:val="60BF6A1B"/>
    <w:rsid w:val="60D2BB94"/>
    <w:rsid w:val="60DC0DE5"/>
    <w:rsid w:val="60EF3582"/>
    <w:rsid w:val="60F3B8DA"/>
    <w:rsid w:val="60F95A45"/>
    <w:rsid w:val="610317C0"/>
    <w:rsid w:val="6125626D"/>
    <w:rsid w:val="613DF6AE"/>
    <w:rsid w:val="613F1161"/>
    <w:rsid w:val="6159D424"/>
    <w:rsid w:val="616B7A74"/>
    <w:rsid w:val="616DBB1B"/>
    <w:rsid w:val="61705C11"/>
    <w:rsid w:val="61714805"/>
    <w:rsid w:val="617DA218"/>
    <w:rsid w:val="61844A3F"/>
    <w:rsid w:val="6195CB25"/>
    <w:rsid w:val="619BBC8E"/>
    <w:rsid w:val="61AD939B"/>
    <w:rsid w:val="61B2E86D"/>
    <w:rsid w:val="61B3E12E"/>
    <w:rsid w:val="61BBF649"/>
    <w:rsid w:val="61C9F1E7"/>
    <w:rsid w:val="61E6450A"/>
    <w:rsid w:val="61ECB86E"/>
    <w:rsid w:val="61F57F77"/>
    <w:rsid w:val="6205D692"/>
    <w:rsid w:val="620A4AD8"/>
    <w:rsid w:val="620E76B4"/>
    <w:rsid w:val="6216E10A"/>
    <w:rsid w:val="6218F68A"/>
    <w:rsid w:val="621F137A"/>
    <w:rsid w:val="621F4427"/>
    <w:rsid w:val="622289EB"/>
    <w:rsid w:val="623A2570"/>
    <w:rsid w:val="6240C853"/>
    <w:rsid w:val="624F9AFF"/>
    <w:rsid w:val="625E268F"/>
    <w:rsid w:val="626B28D9"/>
    <w:rsid w:val="627488B7"/>
    <w:rsid w:val="6279F257"/>
    <w:rsid w:val="6282626F"/>
    <w:rsid w:val="6299777E"/>
    <w:rsid w:val="629E056F"/>
    <w:rsid w:val="629F258F"/>
    <w:rsid w:val="62CCB45D"/>
    <w:rsid w:val="62D67A86"/>
    <w:rsid w:val="62DAFBB7"/>
    <w:rsid w:val="62E4AF0F"/>
    <w:rsid w:val="62E60DEE"/>
    <w:rsid w:val="62EBB613"/>
    <w:rsid w:val="63054992"/>
    <w:rsid w:val="6310187A"/>
    <w:rsid w:val="632378F4"/>
    <w:rsid w:val="632B3BFC"/>
    <w:rsid w:val="632E5357"/>
    <w:rsid w:val="633E1BC8"/>
    <w:rsid w:val="63489926"/>
    <w:rsid w:val="6349E4EF"/>
    <w:rsid w:val="634FC760"/>
    <w:rsid w:val="6363056C"/>
    <w:rsid w:val="637BC059"/>
    <w:rsid w:val="63933F4E"/>
    <w:rsid w:val="63A0A3B0"/>
    <w:rsid w:val="63A7B0B3"/>
    <w:rsid w:val="63CA9CEF"/>
    <w:rsid w:val="63D4E3A1"/>
    <w:rsid w:val="63E3CA22"/>
    <w:rsid w:val="63E8D3FE"/>
    <w:rsid w:val="63F4F5A9"/>
    <w:rsid w:val="6404F50A"/>
    <w:rsid w:val="640DBEC3"/>
    <w:rsid w:val="6418CC51"/>
    <w:rsid w:val="642CC992"/>
    <w:rsid w:val="6442450A"/>
    <w:rsid w:val="645AF9F5"/>
    <w:rsid w:val="645EEE7A"/>
    <w:rsid w:val="6463FC29"/>
    <w:rsid w:val="646550CA"/>
    <w:rsid w:val="646B2600"/>
    <w:rsid w:val="646BCA7D"/>
    <w:rsid w:val="647AF390"/>
    <w:rsid w:val="64827241"/>
    <w:rsid w:val="648A5EF7"/>
    <w:rsid w:val="6494140D"/>
    <w:rsid w:val="6497833F"/>
    <w:rsid w:val="6498BC8C"/>
    <w:rsid w:val="649CE014"/>
    <w:rsid w:val="64A11656"/>
    <w:rsid w:val="64A14083"/>
    <w:rsid w:val="64A40AD0"/>
    <w:rsid w:val="64B840F2"/>
    <w:rsid w:val="64DC994E"/>
    <w:rsid w:val="64E1393D"/>
    <w:rsid w:val="64E59196"/>
    <w:rsid w:val="64EB4EDF"/>
    <w:rsid w:val="651B0410"/>
    <w:rsid w:val="6530C174"/>
    <w:rsid w:val="654861FE"/>
    <w:rsid w:val="65556DAC"/>
    <w:rsid w:val="65598167"/>
    <w:rsid w:val="65703BC4"/>
    <w:rsid w:val="6579C293"/>
    <w:rsid w:val="657E6183"/>
    <w:rsid w:val="658B774B"/>
    <w:rsid w:val="65964297"/>
    <w:rsid w:val="659A65C4"/>
    <w:rsid w:val="65B1B3B7"/>
    <w:rsid w:val="65BE9118"/>
    <w:rsid w:val="65C19062"/>
    <w:rsid w:val="65CA7863"/>
    <w:rsid w:val="66079ED9"/>
    <w:rsid w:val="660E9B40"/>
    <w:rsid w:val="66105C7B"/>
    <w:rsid w:val="662E31CA"/>
    <w:rsid w:val="663606B4"/>
    <w:rsid w:val="6636D8F3"/>
    <w:rsid w:val="663C74D0"/>
    <w:rsid w:val="666D3EAD"/>
    <w:rsid w:val="6676AD1C"/>
    <w:rsid w:val="667CFB21"/>
    <w:rsid w:val="66AAB053"/>
    <w:rsid w:val="66B5A5EE"/>
    <w:rsid w:val="66C2DA9A"/>
    <w:rsid w:val="66C7CCC1"/>
    <w:rsid w:val="66D04102"/>
    <w:rsid w:val="66E5B12D"/>
    <w:rsid w:val="66E97C67"/>
    <w:rsid w:val="66EB69C1"/>
    <w:rsid w:val="670E3DBE"/>
    <w:rsid w:val="671D1959"/>
    <w:rsid w:val="6733EE2A"/>
    <w:rsid w:val="67353817"/>
    <w:rsid w:val="6736A09C"/>
    <w:rsid w:val="673F5BC3"/>
    <w:rsid w:val="67437D1B"/>
    <w:rsid w:val="674528EB"/>
    <w:rsid w:val="675D1469"/>
    <w:rsid w:val="676B0209"/>
    <w:rsid w:val="676CF6F8"/>
    <w:rsid w:val="676DD9A1"/>
    <w:rsid w:val="676E77BD"/>
    <w:rsid w:val="67A20444"/>
    <w:rsid w:val="67A656C7"/>
    <w:rsid w:val="67BA6D70"/>
    <w:rsid w:val="67C8CA8D"/>
    <w:rsid w:val="67CBA545"/>
    <w:rsid w:val="67D81DED"/>
    <w:rsid w:val="67DBC456"/>
    <w:rsid w:val="67DC626E"/>
    <w:rsid w:val="67FA6CAE"/>
    <w:rsid w:val="67FFB054"/>
    <w:rsid w:val="68084D9A"/>
    <w:rsid w:val="681097B0"/>
    <w:rsid w:val="681638CC"/>
    <w:rsid w:val="681D9BE3"/>
    <w:rsid w:val="683CBB97"/>
    <w:rsid w:val="6850622B"/>
    <w:rsid w:val="68641488"/>
    <w:rsid w:val="6865F77D"/>
    <w:rsid w:val="687CD159"/>
    <w:rsid w:val="68A34F2D"/>
    <w:rsid w:val="68A5DD97"/>
    <w:rsid w:val="68AA5DA9"/>
    <w:rsid w:val="68BEBF40"/>
    <w:rsid w:val="68CAF4B6"/>
    <w:rsid w:val="68D09A73"/>
    <w:rsid w:val="68D8F3D5"/>
    <w:rsid w:val="68DB26C3"/>
    <w:rsid w:val="68E8274C"/>
    <w:rsid w:val="68E890A9"/>
    <w:rsid w:val="68E9C9EF"/>
    <w:rsid w:val="68F9462D"/>
    <w:rsid w:val="68FD57E3"/>
    <w:rsid w:val="6902E25C"/>
    <w:rsid w:val="6914C5F6"/>
    <w:rsid w:val="6918445C"/>
    <w:rsid w:val="693CFA58"/>
    <w:rsid w:val="693FBABA"/>
    <w:rsid w:val="694E2364"/>
    <w:rsid w:val="694E3AA7"/>
    <w:rsid w:val="6958F0DD"/>
    <w:rsid w:val="69685CC7"/>
    <w:rsid w:val="6973D461"/>
    <w:rsid w:val="69AA307E"/>
    <w:rsid w:val="69BE5E55"/>
    <w:rsid w:val="69C50B16"/>
    <w:rsid w:val="69C9B365"/>
    <w:rsid w:val="69D7F911"/>
    <w:rsid w:val="69D8C28D"/>
    <w:rsid w:val="69D8E0B5"/>
    <w:rsid w:val="69ED8C28"/>
    <w:rsid w:val="69F6A6DD"/>
    <w:rsid w:val="69FECF74"/>
    <w:rsid w:val="6A1B2662"/>
    <w:rsid w:val="6A1D2423"/>
    <w:rsid w:val="6A1ECEAC"/>
    <w:rsid w:val="6A252F5B"/>
    <w:rsid w:val="6A2BCFF8"/>
    <w:rsid w:val="6A39EF98"/>
    <w:rsid w:val="6A4682E9"/>
    <w:rsid w:val="6A49FE72"/>
    <w:rsid w:val="6A68B1C1"/>
    <w:rsid w:val="6A6ADA9E"/>
    <w:rsid w:val="6A6E6E18"/>
    <w:rsid w:val="6A729958"/>
    <w:rsid w:val="6A7BF66F"/>
    <w:rsid w:val="6A7F2D6E"/>
    <w:rsid w:val="6A842C16"/>
    <w:rsid w:val="6A8589D6"/>
    <w:rsid w:val="6A92977A"/>
    <w:rsid w:val="6A92E778"/>
    <w:rsid w:val="6A94D3C6"/>
    <w:rsid w:val="6A9D9A29"/>
    <w:rsid w:val="6AA6E805"/>
    <w:rsid w:val="6AB285E6"/>
    <w:rsid w:val="6ABA4BE9"/>
    <w:rsid w:val="6AD062F3"/>
    <w:rsid w:val="6AD56F51"/>
    <w:rsid w:val="6ADD3B55"/>
    <w:rsid w:val="6AFBE975"/>
    <w:rsid w:val="6B06A5D0"/>
    <w:rsid w:val="6B06C2FC"/>
    <w:rsid w:val="6B0E668D"/>
    <w:rsid w:val="6B2D3CF9"/>
    <w:rsid w:val="6B321E5D"/>
    <w:rsid w:val="6B3E1CA5"/>
    <w:rsid w:val="6B4DFF67"/>
    <w:rsid w:val="6B51F6B4"/>
    <w:rsid w:val="6B5371EC"/>
    <w:rsid w:val="6B546587"/>
    <w:rsid w:val="6B58AC80"/>
    <w:rsid w:val="6B5EB1A0"/>
    <w:rsid w:val="6B5F8D1D"/>
    <w:rsid w:val="6B70DBDE"/>
    <w:rsid w:val="6B7FC2D5"/>
    <w:rsid w:val="6BAB0F64"/>
    <w:rsid w:val="6BC1D405"/>
    <w:rsid w:val="6BC2BB5E"/>
    <w:rsid w:val="6BD53A89"/>
    <w:rsid w:val="6BD7B884"/>
    <w:rsid w:val="6BE26DD0"/>
    <w:rsid w:val="6BEB3024"/>
    <w:rsid w:val="6BEC247E"/>
    <w:rsid w:val="6C0CD02C"/>
    <w:rsid w:val="6C104DFD"/>
    <w:rsid w:val="6C187805"/>
    <w:rsid w:val="6C3E8DBD"/>
    <w:rsid w:val="6C481C77"/>
    <w:rsid w:val="6C4CA531"/>
    <w:rsid w:val="6C57950D"/>
    <w:rsid w:val="6C5F1928"/>
    <w:rsid w:val="6C5F2040"/>
    <w:rsid w:val="6C633F72"/>
    <w:rsid w:val="6C656510"/>
    <w:rsid w:val="6C67817C"/>
    <w:rsid w:val="6C731AF5"/>
    <w:rsid w:val="6C75A6B5"/>
    <w:rsid w:val="6C805F06"/>
    <w:rsid w:val="6C84AC59"/>
    <w:rsid w:val="6C87392A"/>
    <w:rsid w:val="6C895442"/>
    <w:rsid w:val="6C98A4A1"/>
    <w:rsid w:val="6CC8D9E1"/>
    <w:rsid w:val="6CDF7C11"/>
    <w:rsid w:val="6CE165EF"/>
    <w:rsid w:val="6CF4BB44"/>
    <w:rsid w:val="6CF4FBF7"/>
    <w:rsid w:val="6D048ACC"/>
    <w:rsid w:val="6D0754FB"/>
    <w:rsid w:val="6D0C96C0"/>
    <w:rsid w:val="6D12D8B8"/>
    <w:rsid w:val="6D19B2A9"/>
    <w:rsid w:val="6D1A9C27"/>
    <w:rsid w:val="6D246B65"/>
    <w:rsid w:val="6D253966"/>
    <w:rsid w:val="6D30F800"/>
    <w:rsid w:val="6D542AA1"/>
    <w:rsid w:val="6D5A0A70"/>
    <w:rsid w:val="6D779D5A"/>
    <w:rsid w:val="6D871F3F"/>
    <w:rsid w:val="6D87AA3C"/>
    <w:rsid w:val="6D8A7704"/>
    <w:rsid w:val="6D953734"/>
    <w:rsid w:val="6D97D056"/>
    <w:rsid w:val="6DA12850"/>
    <w:rsid w:val="6DA1B37C"/>
    <w:rsid w:val="6DA1C90B"/>
    <w:rsid w:val="6DA4E811"/>
    <w:rsid w:val="6DA9F421"/>
    <w:rsid w:val="6DB3D05E"/>
    <w:rsid w:val="6DBC700A"/>
    <w:rsid w:val="6DCFA0BF"/>
    <w:rsid w:val="6DD46C02"/>
    <w:rsid w:val="6DD5B67E"/>
    <w:rsid w:val="6DE2E7C2"/>
    <w:rsid w:val="6DEFF99D"/>
    <w:rsid w:val="6DFB871E"/>
    <w:rsid w:val="6E03C1C3"/>
    <w:rsid w:val="6E09AD7B"/>
    <w:rsid w:val="6E0D5C2B"/>
    <w:rsid w:val="6E0D7A4B"/>
    <w:rsid w:val="6E13ED0B"/>
    <w:rsid w:val="6E15E8E8"/>
    <w:rsid w:val="6E1BF6A9"/>
    <w:rsid w:val="6E1E6818"/>
    <w:rsid w:val="6E22CADF"/>
    <w:rsid w:val="6E2B988F"/>
    <w:rsid w:val="6E35CCE4"/>
    <w:rsid w:val="6E3FB887"/>
    <w:rsid w:val="6E579D02"/>
    <w:rsid w:val="6E6BBA99"/>
    <w:rsid w:val="6E8C65DA"/>
    <w:rsid w:val="6E9AAF26"/>
    <w:rsid w:val="6EB2BA16"/>
    <w:rsid w:val="6ECB254C"/>
    <w:rsid w:val="6ECB64A9"/>
    <w:rsid w:val="6F11BE67"/>
    <w:rsid w:val="6F3D3BCE"/>
    <w:rsid w:val="6F56355B"/>
    <w:rsid w:val="6F57FFE7"/>
    <w:rsid w:val="6F5B455D"/>
    <w:rsid w:val="6F68CAC6"/>
    <w:rsid w:val="6F6C2BB1"/>
    <w:rsid w:val="6F782474"/>
    <w:rsid w:val="6F84D814"/>
    <w:rsid w:val="6FA1B81D"/>
    <w:rsid w:val="6FA4E812"/>
    <w:rsid w:val="6FA4FC68"/>
    <w:rsid w:val="6FA8614A"/>
    <w:rsid w:val="6FAA7E4B"/>
    <w:rsid w:val="6FB58563"/>
    <w:rsid w:val="6FB9D8ED"/>
    <w:rsid w:val="6FD08876"/>
    <w:rsid w:val="6FD46F61"/>
    <w:rsid w:val="6FE4084A"/>
    <w:rsid w:val="6FE8C32A"/>
    <w:rsid w:val="6FF08A82"/>
    <w:rsid w:val="6FF353E8"/>
    <w:rsid w:val="6FFAFCD2"/>
    <w:rsid w:val="70046056"/>
    <w:rsid w:val="70049CBD"/>
    <w:rsid w:val="70182365"/>
    <w:rsid w:val="702FCBB0"/>
    <w:rsid w:val="7040920A"/>
    <w:rsid w:val="70416F56"/>
    <w:rsid w:val="704640C7"/>
    <w:rsid w:val="705470CC"/>
    <w:rsid w:val="7058E903"/>
    <w:rsid w:val="705F38C8"/>
    <w:rsid w:val="70603434"/>
    <w:rsid w:val="70628E08"/>
    <w:rsid w:val="7071791D"/>
    <w:rsid w:val="7071A1F7"/>
    <w:rsid w:val="70795715"/>
    <w:rsid w:val="707A63EB"/>
    <w:rsid w:val="7091623E"/>
    <w:rsid w:val="70997DE4"/>
    <w:rsid w:val="709CBC40"/>
    <w:rsid w:val="70B4FEC6"/>
    <w:rsid w:val="71079C4A"/>
    <w:rsid w:val="711026C1"/>
    <w:rsid w:val="71224727"/>
    <w:rsid w:val="7128EBE5"/>
    <w:rsid w:val="71317884"/>
    <w:rsid w:val="714F0A81"/>
    <w:rsid w:val="715E45F8"/>
    <w:rsid w:val="718F28E7"/>
    <w:rsid w:val="71925140"/>
    <w:rsid w:val="71974D50"/>
    <w:rsid w:val="719D9BDF"/>
    <w:rsid w:val="71AEA969"/>
    <w:rsid w:val="71B593B2"/>
    <w:rsid w:val="71BD76E1"/>
    <w:rsid w:val="71C4D60A"/>
    <w:rsid w:val="71D41FD2"/>
    <w:rsid w:val="71D57883"/>
    <w:rsid w:val="71EB3290"/>
    <w:rsid w:val="71FD7CF3"/>
    <w:rsid w:val="720422F7"/>
    <w:rsid w:val="72067448"/>
    <w:rsid w:val="720AD967"/>
    <w:rsid w:val="721EE63A"/>
    <w:rsid w:val="722758EE"/>
    <w:rsid w:val="72437D4E"/>
    <w:rsid w:val="724C118C"/>
    <w:rsid w:val="726D596F"/>
    <w:rsid w:val="726EC677"/>
    <w:rsid w:val="72711952"/>
    <w:rsid w:val="72742041"/>
    <w:rsid w:val="727D912B"/>
    <w:rsid w:val="7298CEEA"/>
    <w:rsid w:val="72A3D535"/>
    <w:rsid w:val="72B0D4B1"/>
    <w:rsid w:val="72B4C4D9"/>
    <w:rsid w:val="72B910A5"/>
    <w:rsid w:val="72DED803"/>
    <w:rsid w:val="72E58A91"/>
    <w:rsid w:val="72E955C4"/>
    <w:rsid w:val="72F22D39"/>
    <w:rsid w:val="72F26D8D"/>
    <w:rsid w:val="72F81AEA"/>
    <w:rsid w:val="72F8BDC8"/>
    <w:rsid w:val="73212D11"/>
    <w:rsid w:val="732374B8"/>
    <w:rsid w:val="732C16E5"/>
    <w:rsid w:val="732FA141"/>
    <w:rsid w:val="73335D87"/>
    <w:rsid w:val="73354B4E"/>
    <w:rsid w:val="73383D25"/>
    <w:rsid w:val="733E25B7"/>
    <w:rsid w:val="7340AAAE"/>
    <w:rsid w:val="7346065C"/>
    <w:rsid w:val="734B9178"/>
    <w:rsid w:val="735AEF9A"/>
    <w:rsid w:val="735D0BEE"/>
    <w:rsid w:val="736270A1"/>
    <w:rsid w:val="73699207"/>
    <w:rsid w:val="737679F0"/>
    <w:rsid w:val="7385E6F8"/>
    <w:rsid w:val="73900EC0"/>
    <w:rsid w:val="73A1BEDC"/>
    <w:rsid w:val="73AB4D04"/>
    <w:rsid w:val="73AED455"/>
    <w:rsid w:val="73AFC067"/>
    <w:rsid w:val="73D59EAD"/>
    <w:rsid w:val="73D6FC55"/>
    <w:rsid w:val="73DABB8A"/>
    <w:rsid w:val="73DD0946"/>
    <w:rsid w:val="73EB5F83"/>
    <w:rsid w:val="73EDFEE7"/>
    <w:rsid w:val="7401C74C"/>
    <w:rsid w:val="74043672"/>
    <w:rsid w:val="74053384"/>
    <w:rsid w:val="7406964E"/>
    <w:rsid w:val="741F3606"/>
    <w:rsid w:val="7422F2B2"/>
    <w:rsid w:val="744748D7"/>
    <w:rsid w:val="744963DC"/>
    <w:rsid w:val="744BBCEB"/>
    <w:rsid w:val="7458D3BE"/>
    <w:rsid w:val="745DE16B"/>
    <w:rsid w:val="74737E57"/>
    <w:rsid w:val="7480C9AD"/>
    <w:rsid w:val="748ED19D"/>
    <w:rsid w:val="74A1E004"/>
    <w:rsid w:val="74A89304"/>
    <w:rsid w:val="74AEFCFB"/>
    <w:rsid w:val="74B0D9CF"/>
    <w:rsid w:val="74B26B09"/>
    <w:rsid w:val="74B4108E"/>
    <w:rsid w:val="74B5884F"/>
    <w:rsid w:val="74C561D8"/>
    <w:rsid w:val="74C814A2"/>
    <w:rsid w:val="74DEF911"/>
    <w:rsid w:val="74EC3745"/>
    <w:rsid w:val="74F3FD6C"/>
    <w:rsid w:val="74F45EAE"/>
    <w:rsid w:val="74FA0A8E"/>
    <w:rsid w:val="74FA4AB6"/>
    <w:rsid w:val="74FD4E13"/>
    <w:rsid w:val="7510842A"/>
    <w:rsid w:val="751B37F9"/>
    <w:rsid w:val="7521315C"/>
    <w:rsid w:val="752C4872"/>
    <w:rsid w:val="7533ED68"/>
    <w:rsid w:val="75448318"/>
    <w:rsid w:val="75546F79"/>
    <w:rsid w:val="7563F899"/>
    <w:rsid w:val="75679136"/>
    <w:rsid w:val="757310CA"/>
    <w:rsid w:val="757A15EA"/>
    <w:rsid w:val="7588D7CB"/>
    <w:rsid w:val="7591F281"/>
    <w:rsid w:val="75A76CC9"/>
    <w:rsid w:val="75AE41EE"/>
    <w:rsid w:val="75BC80D0"/>
    <w:rsid w:val="75CDDE9C"/>
    <w:rsid w:val="75D1F6BD"/>
    <w:rsid w:val="75E01A95"/>
    <w:rsid w:val="75E16323"/>
    <w:rsid w:val="75E1DDB0"/>
    <w:rsid w:val="75E27CE4"/>
    <w:rsid w:val="75F94B42"/>
    <w:rsid w:val="760C42A2"/>
    <w:rsid w:val="760FCD6A"/>
    <w:rsid w:val="761457FF"/>
    <w:rsid w:val="7634FC5B"/>
    <w:rsid w:val="763BB17D"/>
    <w:rsid w:val="763BDE13"/>
    <w:rsid w:val="7652F2EB"/>
    <w:rsid w:val="765512F3"/>
    <w:rsid w:val="76615B59"/>
    <w:rsid w:val="7668C9F2"/>
    <w:rsid w:val="767CD686"/>
    <w:rsid w:val="767EA37B"/>
    <w:rsid w:val="769299E7"/>
    <w:rsid w:val="76A37F52"/>
    <w:rsid w:val="76B5396E"/>
    <w:rsid w:val="76CBB11F"/>
    <w:rsid w:val="76D2EFB2"/>
    <w:rsid w:val="76DCD322"/>
    <w:rsid w:val="76DFC80E"/>
    <w:rsid w:val="76EC21B2"/>
    <w:rsid w:val="76ED6C3C"/>
    <w:rsid w:val="76ED784B"/>
    <w:rsid w:val="770C982B"/>
    <w:rsid w:val="7718E4B5"/>
    <w:rsid w:val="771E8F48"/>
    <w:rsid w:val="77289CC7"/>
    <w:rsid w:val="772A8B38"/>
    <w:rsid w:val="77307595"/>
    <w:rsid w:val="773B7430"/>
    <w:rsid w:val="77459B71"/>
    <w:rsid w:val="7750C6CD"/>
    <w:rsid w:val="77557726"/>
    <w:rsid w:val="7759BD39"/>
    <w:rsid w:val="77653476"/>
    <w:rsid w:val="779B76D5"/>
    <w:rsid w:val="77A0CDD3"/>
    <w:rsid w:val="77B2451C"/>
    <w:rsid w:val="77BE9B98"/>
    <w:rsid w:val="77C40941"/>
    <w:rsid w:val="77C66A6B"/>
    <w:rsid w:val="77C77419"/>
    <w:rsid w:val="77C9BFB3"/>
    <w:rsid w:val="77CD7C40"/>
    <w:rsid w:val="77CEBF6B"/>
    <w:rsid w:val="77D17CA1"/>
    <w:rsid w:val="77F4F547"/>
    <w:rsid w:val="780223E9"/>
    <w:rsid w:val="78176C5A"/>
    <w:rsid w:val="781E59DD"/>
    <w:rsid w:val="781F4DC0"/>
    <w:rsid w:val="78211D27"/>
    <w:rsid w:val="7822EE80"/>
    <w:rsid w:val="78351FDA"/>
    <w:rsid w:val="783BB314"/>
    <w:rsid w:val="785A7D6E"/>
    <w:rsid w:val="785A8478"/>
    <w:rsid w:val="787D04E9"/>
    <w:rsid w:val="7891C36A"/>
    <w:rsid w:val="789204E2"/>
    <w:rsid w:val="7896AAE9"/>
    <w:rsid w:val="7897917D"/>
    <w:rsid w:val="7898F522"/>
    <w:rsid w:val="789C4ECB"/>
    <w:rsid w:val="78A36228"/>
    <w:rsid w:val="78A97E75"/>
    <w:rsid w:val="78D396FE"/>
    <w:rsid w:val="78E375E6"/>
    <w:rsid w:val="78E7D10F"/>
    <w:rsid w:val="78F4D377"/>
    <w:rsid w:val="78FD53E2"/>
    <w:rsid w:val="78FEFBBC"/>
    <w:rsid w:val="79027CAF"/>
    <w:rsid w:val="790C6B96"/>
    <w:rsid w:val="792860DF"/>
    <w:rsid w:val="792FA874"/>
    <w:rsid w:val="7935E567"/>
    <w:rsid w:val="793A0C84"/>
    <w:rsid w:val="79583D7E"/>
    <w:rsid w:val="79628703"/>
    <w:rsid w:val="7963E50F"/>
    <w:rsid w:val="7964E87C"/>
    <w:rsid w:val="7988D238"/>
    <w:rsid w:val="798913AE"/>
    <w:rsid w:val="79A03BB2"/>
    <w:rsid w:val="79B00C20"/>
    <w:rsid w:val="79C02013"/>
    <w:rsid w:val="79CE2048"/>
    <w:rsid w:val="79D3C055"/>
    <w:rsid w:val="79D6CE94"/>
    <w:rsid w:val="79E39891"/>
    <w:rsid w:val="79EF1350"/>
    <w:rsid w:val="79F44B56"/>
    <w:rsid w:val="7A0B5072"/>
    <w:rsid w:val="7A0DEFF8"/>
    <w:rsid w:val="7A352A0E"/>
    <w:rsid w:val="7A4878B6"/>
    <w:rsid w:val="7A6B304A"/>
    <w:rsid w:val="7A713810"/>
    <w:rsid w:val="7A89D1F1"/>
    <w:rsid w:val="7A8F8042"/>
    <w:rsid w:val="7A9337EE"/>
    <w:rsid w:val="7AAEB92A"/>
    <w:rsid w:val="7AB099AB"/>
    <w:rsid w:val="7ABD5959"/>
    <w:rsid w:val="7AC5B434"/>
    <w:rsid w:val="7AC64DBF"/>
    <w:rsid w:val="7ACAA8BD"/>
    <w:rsid w:val="7AD07BF7"/>
    <w:rsid w:val="7AD254C5"/>
    <w:rsid w:val="7AE31E8E"/>
    <w:rsid w:val="7AEFC38C"/>
    <w:rsid w:val="7B1CB341"/>
    <w:rsid w:val="7B1E39B6"/>
    <w:rsid w:val="7B1FFA6F"/>
    <w:rsid w:val="7B2D9757"/>
    <w:rsid w:val="7B3F4B4D"/>
    <w:rsid w:val="7B4F75CD"/>
    <w:rsid w:val="7B612E6F"/>
    <w:rsid w:val="7B633322"/>
    <w:rsid w:val="7B7419B6"/>
    <w:rsid w:val="7B8CDA98"/>
    <w:rsid w:val="7B9EFD12"/>
    <w:rsid w:val="7BB4BF18"/>
    <w:rsid w:val="7BC8AF15"/>
    <w:rsid w:val="7BD1E82C"/>
    <w:rsid w:val="7BD718A0"/>
    <w:rsid w:val="7BD8D235"/>
    <w:rsid w:val="7BDDB5F4"/>
    <w:rsid w:val="7BF1ACC7"/>
    <w:rsid w:val="7C035EB6"/>
    <w:rsid w:val="7C0603C7"/>
    <w:rsid w:val="7C08518E"/>
    <w:rsid w:val="7C08752D"/>
    <w:rsid w:val="7C0CD303"/>
    <w:rsid w:val="7C1985AA"/>
    <w:rsid w:val="7C259A64"/>
    <w:rsid w:val="7C36EF66"/>
    <w:rsid w:val="7C37522B"/>
    <w:rsid w:val="7C4D33DE"/>
    <w:rsid w:val="7C5490D7"/>
    <w:rsid w:val="7C5712F6"/>
    <w:rsid w:val="7C58BB15"/>
    <w:rsid w:val="7C7FAE0D"/>
    <w:rsid w:val="7C8D601C"/>
    <w:rsid w:val="7C91FDD8"/>
    <w:rsid w:val="7CA0D139"/>
    <w:rsid w:val="7CA0F0A2"/>
    <w:rsid w:val="7CA3DFAE"/>
    <w:rsid w:val="7CAAA16A"/>
    <w:rsid w:val="7CC4D27E"/>
    <w:rsid w:val="7CC6628E"/>
    <w:rsid w:val="7CCF0985"/>
    <w:rsid w:val="7CD06943"/>
    <w:rsid w:val="7CD124C9"/>
    <w:rsid w:val="7CD3D6B8"/>
    <w:rsid w:val="7CDFB86F"/>
    <w:rsid w:val="7CE200BC"/>
    <w:rsid w:val="7CE4EF2F"/>
    <w:rsid w:val="7CFB3D52"/>
    <w:rsid w:val="7D01C787"/>
    <w:rsid w:val="7D125BDF"/>
    <w:rsid w:val="7D1FF4CE"/>
    <w:rsid w:val="7D23FA00"/>
    <w:rsid w:val="7D2E9BDF"/>
    <w:rsid w:val="7D305A0B"/>
    <w:rsid w:val="7D3613FD"/>
    <w:rsid w:val="7D3CDFA0"/>
    <w:rsid w:val="7D411775"/>
    <w:rsid w:val="7D44E5D9"/>
    <w:rsid w:val="7D4BCFFC"/>
    <w:rsid w:val="7D533C46"/>
    <w:rsid w:val="7D6D8C50"/>
    <w:rsid w:val="7D7628A2"/>
    <w:rsid w:val="7D7C5DE9"/>
    <w:rsid w:val="7D93E1A7"/>
    <w:rsid w:val="7D9B4F28"/>
    <w:rsid w:val="7D9F2AF5"/>
    <w:rsid w:val="7DB992A3"/>
    <w:rsid w:val="7DC6957F"/>
    <w:rsid w:val="7DC6A059"/>
    <w:rsid w:val="7DC6DF14"/>
    <w:rsid w:val="7DCC5C38"/>
    <w:rsid w:val="7DCF7232"/>
    <w:rsid w:val="7DD5E383"/>
    <w:rsid w:val="7DD9B9EB"/>
    <w:rsid w:val="7DDF7064"/>
    <w:rsid w:val="7DE4B581"/>
    <w:rsid w:val="7DEB6CA0"/>
    <w:rsid w:val="7DEC3B8D"/>
    <w:rsid w:val="7E12DD67"/>
    <w:rsid w:val="7E1448D0"/>
    <w:rsid w:val="7E157382"/>
    <w:rsid w:val="7E1B771A"/>
    <w:rsid w:val="7E23E20B"/>
    <w:rsid w:val="7E295EC4"/>
    <w:rsid w:val="7E3711C0"/>
    <w:rsid w:val="7E3D9164"/>
    <w:rsid w:val="7E424FFF"/>
    <w:rsid w:val="7E6913FE"/>
    <w:rsid w:val="7E6A46B7"/>
    <w:rsid w:val="7E6E1F5E"/>
    <w:rsid w:val="7E6FE7D1"/>
    <w:rsid w:val="7E70A69C"/>
    <w:rsid w:val="7E71930D"/>
    <w:rsid w:val="7E8D3A4A"/>
    <w:rsid w:val="7E8DF56A"/>
    <w:rsid w:val="7E98C66E"/>
    <w:rsid w:val="7E9EF214"/>
    <w:rsid w:val="7EA4DE9F"/>
    <w:rsid w:val="7ED51349"/>
    <w:rsid w:val="7EDE726D"/>
    <w:rsid w:val="7EEFEFDC"/>
    <w:rsid w:val="7EFC4EFE"/>
    <w:rsid w:val="7F064BB7"/>
    <w:rsid w:val="7F06F8B1"/>
    <w:rsid w:val="7F1141FA"/>
    <w:rsid w:val="7F2254DB"/>
    <w:rsid w:val="7F3A61BC"/>
    <w:rsid w:val="7F47BAFE"/>
    <w:rsid w:val="7F52700C"/>
    <w:rsid w:val="7F612352"/>
    <w:rsid w:val="7F671FB5"/>
    <w:rsid w:val="7F6BD21A"/>
    <w:rsid w:val="7F70B0A3"/>
    <w:rsid w:val="7F75F299"/>
    <w:rsid w:val="7F7ACFC5"/>
    <w:rsid w:val="7F9CA947"/>
    <w:rsid w:val="7F9F3849"/>
    <w:rsid w:val="7FA34581"/>
    <w:rsid w:val="7FAA8824"/>
    <w:rsid w:val="7FACEDDA"/>
    <w:rsid w:val="7FDF5A44"/>
    <w:rsid w:val="7FF524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C44011"/>
  <w15:docId w15:val="{8DA9F31A-DD00-4D2E-AFC3-A5002D32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E2"/>
    <w:pPr>
      <w:spacing w:before="120"/>
    </w:pPr>
    <w:rPr>
      <w:rFonts w:ascii="Calibri" w:hAnsi="Calibri"/>
      <w:sz w:val="24"/>
    </w:rPr>
  </w:style>
  <w:style w:type="paragraph" w:styleId="Heading1">
    <w:name w:val="heading 1"/>
    <w:next w:val="Normal"/>
    <w:link w:val="Heading1Char"/>
    <w:uiPriority w:val="9"/>
    <w:qFormat/>
    <w:rsid w:val="00A439D2"/>
    <w:pPr>
      <w:keepNext/>
      <w:keepLines/>
      <w:pageBreakBefore/>
      <w:numPr>
        <w:numId w:val="20"/>
      </w:numPr>
      <w:pBdr>
        <w:bottom w:val="single" w:sz="2" w:space="1" w:color="244061" w:themeColor="accent1" w:themeShade="80"/>
      </w:pBdr>
      <w:tabs>
        <w:tab w:val="left" w:pos="1134"/>
      </w:tabs>
      <w:spacing w:after="360"/>
      <w:outlineLvl w:val="0"/>
    </w:pPr>
    <w:rPr>
      <w:rFonts w:ascii="Calibri" w:eastAsiaTheme="majorEastAsia" w:hAnsi="Calibri" w:cstheme="majorBidi"/>
      <w:b/>
      <w:bCs/>
      <w:color w:val="00457D"/>
      <w:sz w:val="44"/>
      <w:szCs w:val="28"/>
    </w:rPr>
  </w:style>
  <w:style w:type="paragraph" w:styleId="Heading2">
    <w:name w:val="heading 2"/>
    <w:basedOn w:val="Heading1"/>
    <w:next w:val="Normal"/>
    <w:link w:val="Heading2Char"/>
    <w:autoRedefine/>
    <w:uiPriority w:val="9"/>
    <w:unhideWhenUsed/>
    <w:qFormat/>
    <w:rsid w:val="00B34CAA"/>
    <w:pPr>
      <w:pageBreakBefore w:val="0"/>
      <w:numPr>
        <w:numId w:val="0"/>
      </w:numPr>
      <w:pBdr>
        <w:bottom w:val="none" w:sz="0" w:space="0" w:color="auto"/>
      </w:pBdr>
      <w:spacing w:after="0"/>
      <w:ind w:left="1134" w:hanging="1134"/>
      <w:jc w:val="both"/>
      <w:outlineLvl w:val="1"/>
    </w:pPr>
    <w:rPr>
      <w:bCs w:val="0"/>
      <w:color w:val="516E73"/>
      <w:sz w:val="36"/>
      <w:szCs w:val="40"/>
    </w:rPr>
  </w:style>
  <w:style w:type="paragraph" w:styleId="Heading3">
    <w:name w:val="heading 3"/>
    <w:basedOn w:val="Heading2"/>
    <w:next w:val="Normal"/>
    <w:link w:val="Heading3Char"/>
    <w:uiPriority w:val="9"/>
    <w:unhideWhenUsed/>
    <w:qFormat/>
    <w:rsid w:val="00BD1AEE"/>
    <w:pPr>
      <w:numPr>
        <w:ilvl w:val="2"/>
      </w:numPr>
      <w:ind w:left="1134" w:hanging="1134"/>
      <w:outlineLvl w:val="2"/>
    </w:pPr>
    <w:rPr>
      <w:bCs/>
      <w:color w:val="5EC4B4"/>
      <w:sz w:val="28"/>
    </w:rPr>
  </w:style>
  <w:style w:type="paragraph" w:styleId="Heading4">
    <w:name w:val="heading 4"/>
    <w:basedOn w:val="Heading3"/>
    <w:next w:val="Normal"/>
    <w:link w:val="Heading4Char"/>
    <w:uiPriority w:val="9"/>
    <w:unhideWhenUsed/>
    <w:qFormat/>
    <w:rsid w:val="00DC7E6B"/>
    <w:pPr>
      <w:numPr>
        <w:ilvl w:val="3"/>
      </w:numPr>
      <w:spacing w:before="200"/>
      <w:ind w:left="1134" w:hanging="1134"/>
      <w:outlineLvl w:val="3"/>
    </w:pPr>
    <w:rPr>
      <w:b w:val="0"/>
      <w:bCs w:val="0"/>
      <w:iCs/>
      <w:color w:val="4F81BD" w:themeColor="accent1"/>
      <w:sz w:val="24"/>
    </w:rPr>
  </w:style>
  <w:style w:type="paragraph" w:styleId="Heading5">
    <w:name w:val="heading 5"/>
    <w:basedOn w:val="Normal"/>
    <w:next w:val="Normal"/>
    <w:link w:val="Heading5Char"/>
    <w:uiPriority w:val="9"/>
    <w:unhideWhenUsed/>
    <w:qFormat/>
    <w:rsid w:val="00FD081A"/>
    <w:pPr>
      <w:keepNext/>
      <w:keepLines/>
      <w:numPr>
        <w:ilvl w:val="4"/>
        <w:numId w:val="20"/>
      </w:numPr>
      <w:spacing w:before="200" w:after="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005BA8"/>
    <w:pPr>
      <w:spacing w:after="300" w:line="240" w:lineRule="auto"/>
      <w:contextualSpacing/>
    </w:pPr>
    <w:rPr>
      <w:rFonts w:eastAsiaTheme="majorEastAsia" w:cstheme="majorBidi"/>
      <w:b/>
      <w:color w:val="063257"/>
      <w:spacing w:val="5"/>
      <w:kern w:val="28"/>
      <w:sz w:val="60"/>
      <w:szCs w:val="60"/>
    </w:rPr>
  </w:style>
  <w:style w:type="character" w:customStyle="1" w:styleId="TitleChar">
    <w:name w:val="Title Char"/>
    <w:basedOn w:val="DefaultParagraphFont"/>
    <w:link w:val="Title"/>
    <w:uiPriority w:val="10"/>
    <w:rsid w:val="00005BA8"/>
    <w:rPr>
      <w:rFonts w:ascii="Calibri" w:eastAsiaTheme="majorEastAsia" w:hAnsi="Calibri" w:cstheme="majorBidi"/>
      <w:b/>
      <w:color w:val="063257"/>
      <w:spacing w:val="5"/>
      <w:kern w:val="28"/>
      <w:sz w:val="60"/>
      <w:szCs w:val="60"/>
    </w:rPr>
  </w:style>
  <w:style w:type="character" w:customStyle="1" w:styleId="Heading1Char">
    <w:name w:val="Heading 1 Char"/>
    <w:basedOn w:val="DefaultParagraphFont"/>
    <w:link w:val="Heading1"/>
    <w:uiPriority w:val="9"/>
    <w:rsid w:val="00A439D2"/>
    <w:rPr>
      <w:rFonts w:ascii="Calibri" w:eastAsiaTheme="majorEastAsia" w:hAnsi="Calibri" w:cstheme="majorBidi"/>
      <w:b/>
      <w:bCs/>
      <w:color w:val="00457D"/>
      <w:sz w:val="44"/>
      <w:szCs w:val="28"/>
    </w:rPr>
  </w:style>
  <w:style w:type="character" w:customStyle="1" w:styleId="Heading2Char">
    <w:name w:val="Heading 2 Char"/>
    <w:basedOn w:val="DefaultParagraphFont"/>
    <w:link w:val="Heading2"/>
    <w:uiPriority w:val="9"/>
    <w:rsid w:val="00B34CAA"/>
    <w:rPr>
      <w:rFonts w:ascii="Calibri" w:eastAsiaTheme="majorEastAsia" w:hAnsi="Calibri" w:cstheme="majorBidi"/>
      <w:b/>
      <w:color w:val="516E73"/>
      <w:sz w:val="36"/>
      <w:szCs w:val="40"/>
    </w:rPr>
  </w:style>
  <w:style w:type="numbering" w:customStyle="1" w:styleId="Headings">
    <w:name w:val="Headings"/>
    <w:basedOn w:val="NoList"/>
    <w:uiPriority w:val="99"/>
    <w:rsid w:val="0005515D"/>
    <w:pPr>
      <w:numPr>
        <w:numId w:val="19"/>
      </w:numPr>
    </w:pPr>
  </w:style>
  <w:style w:type="character" w:customStyle="1" w:styleId="Heading3Char">
    <w:name w:val="Heading 3 Char"/>
    <w:basedOn w:val="DefaultParagraphFont"/>
    <w:link w:val="Heading3"/>
    <w:uiPriority w:val="9"/>
    <w:rsid w:val="00BD1AEE"/>
    <w:rPr>
      <w:rFonts w:ascii="Calibri" w:eastAsiaTheme="majorEastAsia" w:hAnsi="Calibri" w:cstheme="majorBidi"/>
      <w:b/>
      <w:bCs/>
      <w:color w:val="5EC4B4"/>
      <w:sz w:val="28"/>
      <w:szCs w:val="40"/>
    </w:rPr>
  </w:style>
  <w:style w:type="character" w:styleId="SubtleEmphasis">
    <w:name w:val="Subtle Emphasis"/>
    <w:basedOn w:val="DefaultParagraphFont"/>
    <w:uiPriority w:val="19"/>
    <w:qFormat/>
    <w:rsid w:val="000E29E2"/>
    <w:rPr>
      <w:rFonts w:ascii="Calibri" w:hAnsi="Calibri"/>
      <w:i/>
      <w:iCs/>
      <w:color w:val="808080" w:themeColor="text1" w:themeTint="7F"/>
    </w:rPr>
  </w:style>
  <w:style w:type="character" w:customStyle="1" w:styleId="Heading4Char">
    <w:name w:val="Heading 4 Char"/>
    <w:basedOn w:val="DefaultParagraphFont"/>
    <w:link w:val="Heading4"/>
    <w:uiPriority w:val="9"/>
    <w:rsid w:val="00DC7E6B"/>
    <w:rPr>
      <w:rFonts w:ascii="Arial" w:eastAsiaTheme="majorEastAsia" w:hAnsi="Arial" w:cstheme="majorBidi"/>
      <w:b/>
      <w:iCs/>
      <w:color w:val="4F81BD" w:themeColor="accent1"/>
      <w:sz w:val="24"/>
      <w:szCs w:val="26"/>
    </w:rPr>
  </w:style>
  <w:style w:type="character" w:customStyle="1" w:styleId="Heading5Char">
    <w:name w:val="Heading 5 Char"/>
    <w:basedOn w:val="DefaultParagraphFont"/>
    <w:link w:val="Heading5"/>
    <w:uiPriority w:val="9"/>
    <w:rsid w:val="00FD081A"/>
    <w:rPr>
      <w:rFonts w:ascii="Calibri" w:eastAsiaTheme="majorEastAsia" w:hAnsi="Calibri" w:cstheme="majorBidi"/>
      <w:b/>
      <w:color w:val="243F60" w:themeColor="accent1" w:themeShade="7F"/>
      <w:sz w:val="24"/>
    </w:rPr>
  </w:style>
  <w:style w:type="paragraph" w:styleId="Subtitle">
    <w:name w:val="Subtitle"/>
    <w:basedOn w:val="Normal"/>
    <w:next w:val="Normal"/>
    <w:link w:val="SubtitleChar"/>
    <w:uiPriority w:val="11"/>
    <w:qFormat/>
    <w:rsid w:val="00DC7E6B"/>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DC7E6B"/>
    <w:rPr>
      <w:rFonts w:ascii="Arial" w:eastAsiaTheme="majorEastAsia" w:hAnsi="Arial" w:cstheme="majorBidi"/>
      <w:i/>
      <w:iCs/>
      <w:color w:val="4F81BD" w:themeColor="accent1"/>
      <w:spacing w:val="15"/>
      <w:sz w:val="24"/>
      <w:szCs w:val="24"/>
    </w:rPr>
  </w:style>
  <w:style w:type="character" w:styleId="Emphasis">
    <w:name w:val="Emphasis"/>
    <w:basedOn w:val="DefaultParagraphFont"/>
    <w:uiPriority w:val="20"/>
    <w:qFormat/>
    <w:rsid w:val="000E29E2"/>
    <w:rPr>
      <w:rFonts w:ascii="Calibri" w:hAnsi="Calibri"/>
      <w:i/>
      <w:iCs/>
    </w:rPr>
  </w:style>
  <w:style w:type="character" w:styleId="IntenseEmphasis">
    <w:name w:val="Intense Emphasis"/>
    <w:basedOn w:val="DefaultParagraphFont"/>
    <w:uiPriority w:val="21"/>
    <w:qFormat/>
    <w:rsid w:val="000E29E2"/>
    <w:rPr>
      <w:rFonts w:ascii="Calibri" w:hAnsi="Calibri"/>
      <w:b/>
      <w:bCs/>
      <w:i/>
      <w:iCs/>
      <w:color w:val="4F81BD" w:themeColor="accent1"/>
    </w:rPr>
  </w:style>
  <w:style w:type="paragraph" w:styleId="BlockText">
    <w:name w:val="Block Text"/>
    <w:basedOn w:val="Normal"/>
    <w:autoRedefine/>
    <w:uiPriority w:val="99"/>
    <w:unhideWhenUsed/>
    <w:rsid w:val="00BD48AD"/>
    <w:pPr>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F2F2F2" w:themeFill="background1" w:themeFillShade="F2"/>
      <w:spacing w:before="240" w:after="240"/>
    </w:pPr>
    <w:rPr>
      <w:rFonts w:eastAsiaTheme="minorEastAsia"/>
      <w:iCs/>
      <w:color w:val="244061" w:themeColor="accent1" w:themeShade="80"/>
    </w:rPr>
  </w:style>
  <w:style w:type="table" w:styleId="TableGrid">
    <w:name w:val="Table Grid"/>
    <w:basedOn w:val="TableNormal"/>
    <w:uiPriority w:val="59"/>
    <w:rsid w:val="00F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3762"/>
    <w:rPr>
      <w:rFonts w:ascii="Arial" w:hAnsi="Arial"/>
    </w:rPr>
  </w:style>
  <w:style w:type="paragraph" w:styleId="Footer">
    <w:name w:val="footer"/>
    <w:basedOn w:val="Normal"/>
    <w:link w:val="FooterChar"/>
    <w:uiPriority w:val="99"/>
    <w:unhideWhenUsed/>
    <w:rsid w:val="00E333C7"/>
    <w:pPr>
      <w:pBdr>
        <w:top w:val="single" w:sz="4" w:space="10" w:color="595959" w:themeColor="text1" w:themeTint="A6"/>
      </w:pBdr>
      <w:tabs>
        <w:tab w:val="center" w:pos="4513"/>
        <w:tab w:val="right" w:pos="9026"/>
      </w:tabs>
      <w:spacing w:before="240" w:line="240" w:lineRule="auto"/>
    </w:pPr>
    <w:rPr>
      <w:sz w:val="18"/>
    </w:rPr>
  </w:style>
  <w:style w:type="character" w:customStyle="1" w:styleId="FooterChar">
    <w:name w:val="Footer Char"/>
    <w:basedOn w:val="DefaultParagraphFont"/>
    <w:link w:val="Footer"/>
    <w:uiPriority w:val="99"/>
    <w:rsid w:val="00E333C7"/>
    <w:rPr>
      <w:rFonts w:ascii="Arial" w:hAnsi="Arial"/>
      <w:sz w:val="18"/>
    </w:rPr>
  </w:style>
  <w:style w:type="paragraph" w:styleId="TOCHeading">
    <w:name w:val="TOC Heading"/>
    <w:basedOn w:val="Heading1"/>
    <w:next w:val="Normal"/>
    <w:uiPriority w:val="39"/>
    <w:unhideWhenUsed/>
    <w:qFormat/>
    <w:rsid w:val="00FD081A"/>
    <w:pPr>
      <w:pageBreakBefore w:val="0"/>
      <w:numPr>
        <w:numId w:val="0"/>
      </w:numPr>
      <w:tabs>
        <w:tab w:val="clear" w:pos="1134"/>
      </w:tabs>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BC5E2F"/>
    <w:pPr>
      <w:tabs>
        <w:tab w:val="right" w:leader="dot" w:pos="9016"/>
      </w:tabs>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basedOn w:val="DefaultParagraphFont"/>
    <w:uiPriority w:val="99"/>
    <w:unhideWhenUsed/>
    <w:rsid w:val="00FD081A"/>
    <w:rPr>
      <w:color w:val="0000FF" w:themeColor="hyperlink"/>
      <w:u w:val="single"/>
    </w:rPr>
  </w:style>
  <w:style w:type="paragraph" w:customStyle="1" w:styleId="Classification">
    <w:name w:val="Classification"/>
    <w:basedOn w:val="Header"/>
    <w:link w:val="ClassificationChar"/>
    <w:autoRedefine/>
    <w:qFormat/>
    <w:rsid w:val="00320AD6"/>
    <w:pPr>
      <w:spacing w:before="60" w:after="60"/>
      <w:jc w:val="center"/>
    </w:pPr>
    <w:rPr>
      <w:rFonts w:cs="Arial"/>
      <w:b/>
      <w:caps/>
      <w:color w:val="FF0000"/>
      <w:sz w:val="28"/>
      <w:szCs w:val="28"/>
    </w:rPr>
  </w:style>
  <w:style w:type="character" w:customStyle="1" w:styleId="ClassificationChar">
    <w:name w:val="Classification Char"/>
    <w:basedOn w:val="HeaderChar"/>
    <w:link w:val="Classification"/>
    <w:rsid w:val="00320AD6"/>
    <w:rPr>
      <w:rFonts w:ascii="Calibri" w:hAnsi="Calibri" w:cs="Arial"/>
      <w:b/>
      <w:caps/>
      <w:color w:val="FF0000"/>
      <w:sz w:val="28"/>
      <w:szCs w:val="28"/>
    </w:rPr>
  </w:style>
  <w:style w:type="paragraph" w:customStyle="1" w:styleId="DLM">
    <w:name w:val="DLM"/>
    <w:link w:val="DLMChar"/>
    <w:rsid w:val="00FD081A"/>
    <w:pPr>
      <w:jc w:val="center"/>
    </w:pPr>
    <w:rPr>
      <w:rFonts w:ascii="Arial" w:hAnsi="Arial" w:cs="Arial"/>
      <w:color w:val="FF0000"/>
      <w:sz w:val="24"/>
      <w:szCs w:val="24"/>
    </w:rPr>
  </w:style>
  <w:style w:type="character" w:customStyle="1" w:styleId="DLMChar">
    <w:name w:val="DLM Char"/>
    <w:basedOn w:val="ClassificationChar"/>
    <w:link w:val="DLM"/>
    <w:rsid w:val="00FD081A"/>
    <w:rPr>
      <w:rFonts w:ascii="Arial" w:hAnsi="Arial" w:cs="Arial"/>
      <w:b/>
      <w:caps w:val="0"/>
      <w:color w:val="FF0000"/>
      <w:sz w:val="24"/>
      <w:szCs w:val="24"/>
    </w:rPr>
  </w:style>
  <w:style w:type="paragraph" w:styleId="ListParagraph">
    <w:name w:val="List Paragraph"/>
    <w:basedOn w:val="Normal"/>
    <w:uiPriority w:val="1"/>
    <w:qFormat/>
    <w:rsid w:val="00A04A3B"/>
    <w:pPr>
      <w:ind w:left="720"/>
      <w:contextualSpacing/>
    </w:pPr>
  </w:style>
  <w:style w:type="table" w:styleId="MediumGrid1-Accent1">
    <w:name w:val="Medium Grid 1 Accent 1"/>
    <w:basedOn w:val="TableNormal"/>
    <w:uiPriority w:val="67"/>
    <w:rsid w:val="001661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austrac">
    <w:name w:val="austrac"/>
    <w:basedOn w:val="TableNormal"/>
    <w:uiPriority w:val="99"/>
    <w:rsid w:val="005D4310"/>
    <w:pPr>
      <w:spacing w:after="0" w:line="240" w:lineRule="auto"/>
    </w:pPr>
    <w:rPr>
      <w:rFonts w:ascii="Arial" w:hAnsi="Arial"/>
      <w:color w:val="000000" w:themeColor="text1"/>
    </w:rPr>
    <w:tblPr>
      <w:tblStyleRowBandSize w:val="1"/>
    </w:tblPr>
    <w:tcPr>
      <w:shd w:val="clear" w:color="auto" w:fill="FFFFFF" w:themeFill="background1"/>
    </w:tcPr>
    <w:tblStylePr w:type="firstRow">
      <w:rPr>
        <w:rFonts w:ascii="Arial" w:hAnsi="Arial"/>
        <w:b/>
        <w:color w:val="FFFFFF" w:themeColor="background1"/>
        <w:sz w:val="22"/>
      </w:rPr>
    </w:tblStylePr>
    <w:tblStylePr w:type="band1Horz">
      <w:rPr>
        <w:color w:val="F2F2F2" w:themeColor="background1" w:themeShade="F2"/>
      </w:rPr>
      <w:tblPr/>
      <w:tcPr>
        <w:shd w:val="clear" w:color="auto" w:fill="F2F2F2" w:themeFill="background1" w:themeFillShade="F2"/>
      </w:tcPr>
    </w:tblStylePr>
    <w:tblStylePr w:type="band2Horz">
      <w:tblPr/>
      <w:tcPr>
        <w:shd w:val="clear" w:color="auto" w:fill="DBE5F1" w:themeFill="accent1" w:themeFillTint="33"/>
      </w:tcPr>
    </w:tblStylePr>
  </w:style>
  <w:style w:type="character" w:customStyle="1" w:styleId="Style2">
    <w:name w:val="Style2"/>
    <w:basedOn w:val="DefaultParagraphFont"/>
    <w:autoRedefine/>
    <w:uiPriority w:val="1"/>
    <w:rsid w:val="00320AD6"/>
    <w:rPr>
      <w:rFonts w:ascii="Calibri" w:hAnsi="Calibri"/>
      <w:b/>
      <w:sz w:val="28"/>
    </w:rPr>
  </w:style>
  <w:style w:type="table" w:customStyle="1" w:styleId="PlainTable11">
    <w:name w:val="Plain Table 11"/>
    <w:basedOn w:val="TableNormal"/>
    <w:uiPriority w:val="41"/>
    <w:rsid w:val="00320A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E29E2"/>
    <w:pPr>
      <w:spacing w:after="0" w:line="240" w:lineRule="auto"/>
    </w:pPr>
    <w:rPr>
      <w:rFonts w:ascii="Calibri" w:hAnsi="Calibri"/>
      <w:sz w:val="24"/>
    </w:rPr>
  </w:style>
  <w:style w:type="character" w:styleId="Strong">
    <w:name w:val="Strong"/>
    <w:basedOn w:val="DefaultParagraphFont"/>
    <w:uiPriority w:val="22"/>
    <w:qFormat/>
    <w:rsid w:val="000E29E2"/>
    <w:rPr>
      <w:rFonts w:ascii="Calibri" w:hAnsi="Calibri"/>
      <w:b/>
      <w:bCs/>
    </w:rPr>
  </w:style>
  <w:style w:type="paragraph" w:styleId="Quote">
    <w:name w:val="Quote"/>
    <w:basedOn w:val="Normal"/>
    <w:next w:val="Normal"/>
    <w:link w:val="QuoteChar"/>
    <w:uiPriority w:val="29"/>
    <w:qFormat/>
    <w:rsid w:val="000E29E2"/>
    <w:rPr>
      <w:i/>
      <w:iCs/>
      <w:color w:val="000000" w:themeColor="text1"/>
    </w:rPr>
  </w:style>
  <w:style w:type="character" w:customStyle="1" w:styleId="QuoteChar">
    <w:name w:val="Quote Char"/>
    <w:basedOn w:val="DefaultParagraphFont"/>
    <w:link w:val="Quote"/>
    <w:uiPriority w:val="29"/>
    <w:rsid w:val="000E29E2"/>
    <w:rPr>
      <w:rFonts w:ascii="Calibri" w:hAnsi="Calibri"/>
      <w:i/>
      <w:iCs/>
      <w:color w:val="000000" w:themeColor="text1"/>
      <w:sz w:val="24"/>
    </w:rPr>
  </w:style>
  <w:style w:type="paragraph" w:styleId="IntenseQuote">
    <w:name w:val="Intense Quote"/>
    <w:basedOn w:val="Normal"/>
    <w:next w:val="Normal"/>
    <w:link w:val="IntenseQuoteChar"/>
    <w:uiPriority w:val="30"/>
    <w:qFormat/>
    <w:rsid w:val="000E29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E29E2"/>
    <w:rPr>
      <w:rFonts w:ascii="Calibri" w:hAnsi="Calibri"/>
      <w:b/>
      <w:bCs/>
      <w:i/>
      <w:iCs/>
      <w:color w:val="4F81BD" w:themeColor="accent1"/>
      <w:sz w:val="24"/>
    </w:rPr>
  </w:style>
  <w:style w:type="character" w:styleId="SubtleReference">
    <w:name w:val="Subtle Reference"/>
    <w:basedOn w:val="DefaultParagraphFont"/>
    <w:uiPriority w:val="31"/>
    <w:rsid w:val="000E29E2"/>
    <w:rPr>
      <w:rFonts w:ascii="Calibri" w:hAnsi="Calibri"/>
      <w:smallCaps/>
      <w:color w:val="C0504D" w:themeColor="accent2"/>
      <w:u w:val="single"/>
    </w:rPr>
  </w:style>
  <w:style w:type="character" w:styleId="BookTitle">
    <w:name w:val="Book Title"/>
    <w:basedOn w:val="DefaultParagraphFont"/>
    <w:uiPriority w:val="33"/>
    <w:qFormat/>
    <w:rsid w:val="000E29E2"/>
    <w:rPr>
      <w:rFonts w:ascii="Calibri" w:hAnsi="Calibri"/>
      <w:b/>
      <w:bCs/>
      <w:smallCaps/>
      <w:spacing w:val="5"/>
    </w:rPr>
  </w:style>
  <w:style w:type="paragraph" w:customStyle="1" w:styleId="Tableheader1">
    <w:name w:val="Table header 1"/>
    <w:basedOn w:val="Normal"/>
    <w:link w:val="Tableheader1Char"/>
    <w:qFormat/>
    <w:rsid w:val="00535040"/>
    <w:pPr>
      <w:spacing w:before="0" w:after="0" w:line="240" w:lineRule="auto"/>
    </w:pPr>
    <w:rPr>
      <w:rFonts w:eastAsia="Times New Roman" w:cs="Arial"/>
      <w:b/>
      <w:color w:val="FFFFFF" w:themeColor="background1"/>
      <w:kern w:val="24"/>
      <w:sz w:val="28"/>
      <w:lang w:val="en-US" w:eastAsia="en-AU"/>
    </w:rPr>
  </w:style>
  <w:style w:type="character" w:customStyle="1" w:styleId="Tableheader1Char">
    <w:name w:val="Table header 1 Char"/>
    <w:basedOn w:val="DefaultParagraphFont"/>
    <w:link w:val="Tableheader1"/>
    <w:rsid w:val="00535040"/>
    <w:rPr>
      <w:rFonts w:ascii="Calibri" w:eastAsia="Times New Roman" w:hAnsi="Calibri" w:cs="Arial"/>
      <w:b/>
      <w:color w:val="FFFFFF" w:themeColor="background1"/>
      <w:kern w:val="24"/>
      <w:sz w:val="28"/>
      <w:lang w:val="en-US" w:eastAsia="en-AU"/>
    </w:rPr>
  </w:style>
  <w:style w:type="character" w:styleId="CommentReference">
    <w:name w:val="annotation reference"/>
    <w:basedOn w:val="DefaultParagraphFont"/>
    <w:uiPriority w:val="99"/>
    <w:semiHidden/>
    <w:unhideWhenUsed/>
    <w:rsid w:val="00FB0C6C"/>
    <w:rPr>
      <w:sz w:val="16"/>
      <w:szCs w:val="16"/>
    </w:rPr>
  </w:style>
  <w:style w:type="paragraph" w:styleId="CommentText">
    <w:name w:val="annotation text"/>
    <w:basedOn w:val="Normal"/>
    <w:link w:val="CommentTextChar"/>
    <w:uiPriority w:val="99"/>
    <w:unhideWhenUsed/>
    <w:rsid w:val="00FB0C6C"/>
    <w:pPr>
      <w:spacing w:line="240" w:lineRule="auto"/>
    </w:pPr>
    <w:rPr>
      <w:sz w:val="20"/>
      <w:szCs w:val="20"/>
    </w:rPr>
  </w:style>
  <w:style w:type="character" w:customStyle="1" w:styleId="CommentTextChar">
    <w:name w:val="Comment Text Char"/>
    <w:basedOn w:val="DefaultParagraphFont"/>
    <w:link w:val="CommentText"/>
    <w:uiPriority w:val="99"/>
    <w:rsid w:val="00FB0C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B0C6C"/>
    <w:rPr>
      <w:b/>
      <w:bCs/>
    </w:rPr>
  </w:style>
  <w:style w:type="character" w:customStyle="1" w:styleId="CommentSubjectChar">
    <w:name w:val="Comment Subject Char"/>
    <w:basedOn w:val="CommentTextChar"/>
    <w:link w:val="CommentSubject"/>
    <w:uiPriority w:val="99"/>
    <w:semiHidden/>
    <w:rsid w:val="00FB0C6C"/>
    <w:rPr>
      <w:rFonts w:ascii="Calibri" w:hAnsi="Calibri"/>
      <w:b/>
      <w:bCs/>
      <w:sz w:val="20"/>
      <w:szCs w:val="20"/>
    </w:rPr>
  </w:style>
  <w:style w:type="table" w:styleId="GridTable4-Accent1">
    <w:name w:val="Grid Table 4 Accent 1"/>
    <w:basedOn w:val="TableNormal"/>
    <w:uiPriority w:val="49"/>
    <w:rsid w:val="00072A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905B7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D2D73"/>
    <w:rPr>
      <w:color w:val="800080" w:themeColor="followedHyperlink"/>
      <w:u w:val="single"/>
    </w:rPr>
  </w:style>
  <w:style w:type="paragraph" w:styleId="FootnoteText">
    <w:name w:val="footnote text"/>
    <w:basedOn w:val="Normal"/>
    <w:link w:val="FootnoteTextChar"/>
    <w:uiPriority w:val="99"/>
    <w:semiHidden/>
    <w:unhideWhenUsed/>
    <w:rsid w:val="00B951A4"/>
    <w:pPr>
      <w:spacing w:before="0" w:after="0" w:line="240" w:lineRule="auto"/>
    </w:pPr>
    <w:rPr>
      <w:rFonts w:eastAsia="Calibri" w:cs="Calibri"/>
      <w:w w:val="105"/>
      <w:kern w:val="40"/>
      <w:sz w:val="20"/>
      <w:szCs w:val="20"/>
    </w:rPr>
  </w:style>
  <w:style w:type="character" w:customStyle="1" w:styleId="FootnoteTextChar">
    <w:name w:val="Footnote Text Char"/>
    <w:basedOn w:val="DefaultParagraphFont"/>
    <w:link w:val="FootnoteText"/>
    <w:uiPriority w:val="99"/>
    <w:semiHidden/>
    <w:rsid w:val="00B951A4"/>
    <w:rPr>
      <w:rFonts w:ascii="Calibri" w:eastAsia="Calibri" w:hAnsi="Calibri" w:cs="Calibri"/>
      <w:w w:val="105"/>
      <w:kern w:val="40"/>
      <w:sz w:val="20"/>
      <w:szCs w:val="20"/>
    </w:rPr>
  </w:style>
  <w:style w:type="character" w:styleId="FootnoteReference">
    <w:name w:val="footnote reference"/>
    <w:basedOn w:val="DefaultParagraphFont"/>
    <w:uiPriority w:val="99"/>
    <w:semiHidden/>
    <w:unhideWhenUsed/>
    <w:rsid w:val="00B951A4"/>
    <w:rPr>
      <w:vertAlign w:val="superscript"/>
    </w:rPr>
  </w:style>
  <w:style w:type="paragraph" w:styleId="Revision">
    <w:name w:val="Revision"/>
    <w:hidden/>
    <w:uiPriority w:val="99"/>
    <w:semiHidden/>
    <w:rsid w:val="004A493D"/>
    <w:pPr>
      <w:spacing w:after="0" w:line="240" w:lineRule="auto"/>
    </w:pPr>
    <w:rPr>
      <w:rFonts w:ascii="Calibri" w:hAnsi="Calibri"/>
      <w:sz w:val="24"/>
    </w:rPr>
  </w:style>
  <w:style w:type="paragraph" w:customStyle="1" w:styleId="paragraph">
    <w:name w:val="paragraph"/>
    <w:basedOn w:val="Normal"/>
    <w:rsid w:val="00F4277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F4277E"/>
  </w:style>
  <w:style w:type="character" w:customStyle="1" w:styleId="eop">
    <w:name w:val="eop"/>
    <w:basedOn w:val="DefaultParagraphFont"/>
    <w:rsid w:val="00F4277E"/>
  </w:style>
  <w:style w:type="paragraph" w:styleId="Caption">
    <w:name w:val="caption"/>
    <w:basedOn w:val="Normal"/>
    <w:next w:val="Normal"/>
    <w:uiPriority w:val="35"/>
    <w:unhideWhenUsed/>
    <w:qFormat/>
    <w:rsid w:val="00E6767C"/>
    <w:pPr>
      <w:spacing w:before="0" w:after="200" w:line="240" w:lineRule="auto"/>
    </w:pPr>
    <w:rPr>
      <w:i/>
      <w:iCs/>
      <w:color w:val="1F497D" w:themeColor="text2"/>
      <w:sz w:val="18"/>
      <w:szCs w:val="18"/>
    </w:rPr>
  </w:style>
  <w:style w:type="paragraph" w:customStyle="1" w:styleId="subsection">
    <w:name w:val="subsection"/>
    <w:basedOn w:val="Normal"/>
    <w:rsid w:val="005D733B"/>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ubsection2">
    <w:name w:val="subsection2"/>
    <w:basedOn w:val="Normal"/>
    <w:rsid w:val="005D733B"/>
    <w:pPr>
      <w:spacing w:before="100" w:beforeAutospacing="1" w:after="100" w:afterAutospacing="1" w:line="240" w:lineRule="auto"/>
    </w:pPr>
    <w:rPr>
      <w:rFonts w:ascii="Times New Roman" w:eastAsia="Times New Roman" w:hAnsi="Times New Roman" w:cs="Times New Roman"/>
      <w:szCs w:val="24"/>
      <w:lang w:eastAsia="en-AU"/>
    </w:rPr>
  </w:style>
  <w:style w:type="paragraph" w:styleId="BodyText">
    <w:name w:val="Body Text"/>
    <w:basedOn w:val="Normal"/>
    <w:link w:val="BodyTextChar"/>
    <w:uiPriority w:val="1"/>
    <w:semiHidden/>
    <w:unhideWhenUsed/>
    <w:qFormat/>
    <w:rsid w:val="00F14A77"/>
    <w:pPr>
      <w:widowControl w:val="0"/>
      <w:autoSpaceDE w:val="0"/>
      <w:autoSpaceDN w:val="0"/>
      <w:spacing w:before="240" w:after="0" w:line="240" w:lineRule="auto"/>
      <w:ind w:left="120" w:hanging="11"/>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semiHidden/>
    <w:rsid w:val="00F14A77"/>
    <w:rPr>
      <w:rFonts w:ascii="Times New Roman" w:eastAsia="Times New Roman" w:hAnsi="Times New Roman" w:cs="Times New Roman"/>
      <w:sz w:val="24"/>
      <w:szCs w:val="24"/>
      <w:lang w:val="en-US"/>
    </w:rPr>
  </w:style>
  <w:style w:type="paragraph" w:styleId="TOC5">
    <w:name w:val="toc 5"/>
    <w:basedOn w:val="Normal"/>
    <w:next w:val="Normal"/>
    <w:autoRedefine/>
    <w:uiPriority w:val="39"/>
    <w:semiHidden/>
    <w:unhideWhenUsed/>
    <w:rsid w:val="00C971E1"/>
    <w:pPr>
      <w:spacing w:after="100"/>
      <w:ind w:left="960"/>
    </w:pPr>
  </w:style>
</w:styles>
</file>

<file path=word/tasks.xml><?xml version="1.0" encoding="utf-8"?>
<t:Tasks xmlns:t="http://schemas.microsoft.com/office/tasks/2019/documenttasks" xmlns:oel="http://schemas.microsoft.com/office/2019/extlst">
  <t:Task id="{D6387528-EA86-49E8-816F-17D507054CBD}">
    <t:Anchor>
      <t:Comment id="957837633"/>
    </t:Anchor>
    <t:History>
      <t:Event id="{8381AB9C-E901-4465-99AB-3E7E353DC6A0}" time="2024-11-14T06:54:24.552Z">
        <t:Attribution userId="S::achai@hq.austrac.gov.au::95649604-f2a3-457c-95dc-8ed1292f80d0" userProvider="AD" userName="Annabelle Chai"/>
        <t:Anchor>
          <t:Comment id="957837633"/>
        </t:Anchor>
        <t:Create/>
      </t:Event>
      <t:Event id="{62B26C5E-EDA1-4E58-B39A-D225D6F2B4FB}" time="2024-11-14T06:54:24.552Z">
        <t:Attribution userId="S::achai@hq.austrac.gov.au::95649604-f2a3-457c-95dc-8ed1292f80d0" userProvider="AD" userName="Annabelle Chai"/>
        <t:Anchor>
          <t:Comment id="957837633"/>
        </t:Anchor>
        <t:Assign userId="S::ahorrocks@hq.austrac.gov.au::49cde941-71c4-4f49-a7eb-485cc3cf00f0" userProvider="AD" userName="Antony Horrocks"/>
      </t:Event>
      <t:Event id="{F43FD03C-675C-429D-ABAA-597597C089F2}" time="2024-11-14T06:54:24.552Z">
        <t:Attribution userId="S::achai@hq.austrac.gov.au::95649604-f2a3-457c-95dc-8ed1292f80d0" userProvider="AD" userName="Annabelle Chai"/>
        <t:Anchor>
          <t:Comment id="957837633"/>
        </t:Anchor>
        <t:SetTitle title="@Antony Horrocks This can be placed under the heading of 'travel rule' or 'virtual assets'. Flagged this for your review as you may be better placed to make the final call."/>
      </t:Event>
    </t:History>
  </t:Task>
  <t:Task id="{BF6DB1CB-6A3C-4A22-8980-EFAA42BF3DA5}">
    <t:Anchor>
      <t:Comment id="2112652978"/>
    </t:Anchor>
    <t:History>
      <t:Event id="{75D662C5-FB40-4805-BAB9-C23F731A7605}" time="2024-12-05T10:20:59.261Z">
        <t:Attribution userId="S::amckenzie@hq.austrac.gov.au::5c4d9861-5449-4d36-a372-5fa5aebaec88" userProvider="AD" userName="Ashlea McKenzie"/>
        <t:Anchor>
          <t:Comment id="2112652978"/>
        </t:Anchor>
        <t:Create/>
      </t:Event>
      <t:Event id="{3B7D2B7A-5ED2-466E-8A24-D667EF246F99}" time="2024-12-05T10:20:59.261Z">
        <t:Attribution userId="S::amckenzie@hq.austrac.gov.au::5c4d9861-5449-4d36-a372-5fa5aebaec88" userProvider="AD" userName="Ashlea McKenzie"/>
        <t:Anchor>
          <t:Comment id="2112652978"/>
        </t:Anchor>
        <t:Assign userId="S::khubbard@hq.austrac.gov.au::c3a22851-7762-4cb3-9b3e-6b14b9450ce9" userProvider="AD" userName="Kirstyn Hubbard"/>
      </t:Event>
      <t:Event id="{CC3A0730-71EA-4D77-89DC-902994CE9C3A}" time="2024-12-05T10:20:59.261Z">
        <t:Attribution userId="S::amckenzie@hq.austrac.gov.au::5c4d9861-5449-4d36-a372-5fa5aebaec88" userProvider="AD" userName="Ashlea McKenzie"/>
        <t:Anchor>
          <t:Comment id="2112652978"/>
        </t:Anchor>
        <t:SetTitle title="@Kirstyn Hubbard Hi Kirstyn, Trevor is preparing a restructured version of the Rules. Can you please be responsible for 1) updating this paper with changed section references, 2) changing the order of this section so the headings continue to align with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9931">
      <w:bodyDiv w:val="1"/>
      <w:marLeft w:val="0"/>
      <w:marRight w:val="0"/>
      <w:marTop w:val="0"/>
      <w:marBottom w:val="0"/>
      <w:divBdr>
        <w:top w:val="none" w:sz="0" w:space="0" w:color="auto"/>
        <w:left w:val="none" w:sz="0" w:space="0" w:color="auto"/>
        <w:bottom w:val="none" w:sz="0" w:space="0" w:color="auto"/>
        <w:right w:val="none" w:sz="0" w:space="0" w:color="auto"/>
      </w:divBdr>
    </w:div>
    <w:div w:id="346374321">
      <w:bodyDiv w:val="1"/>
      <w:marLeft w:val="0"/>
      <w:marRight w:val="0"/>
      <w:marTop w:val="0"/>
      <w:marBottom w:val="0"/>
      <w:divBdr>
        <w:top w:val="none" w:sz="0" w:space="0" w:color="auto"/>
        <w:left w:val="none" w:sz="0" w:space="0" w:color="auto"/>
        <w:bottom w:val="none" w:sz="0" w:space="0" w:color="auto"/>
        <w:right w:val="none" w:sz="0" w:space="0" w:color="auto"/>
      </w:divBdr>
    </w:div>
    <w:div w:id="641815744">
      <w:bodyDiv w:val="1"/>
      <w:marLeft w:val="0"/>
      <w:marRight w:val="0"/>
      <w:marTop w:val="0"/>
      <w:marBottom w:val="0"/>
      <w:divBdr>
        <w:top w:val="none" w:sz="0" w:space="0" w:color="auto"/>
        <w:left w:val="none" w:sz="0" w:space="0" w:color="auto"/>
        <w:bottom w:val="none" w:sz="0" w:space="0" w:color="auto"/>
        <w:right w:val="none" w:sz="0" w:space="0" w:color="auto"/>
      </w:divBdr>
    </w:div>
    <w:div w:id="868295505">
      <w:bodyDiv w:val="1"/>
      <w:marLeft w:val="0"/>
      <w:marRight w:val="0"/>
      <w:marTop w:val="0"/>
      <w:marBottom w:val="0"/>
      <w:divBdr>
        <w:top w:val="none" w:sz="0" w:space="0" w:color="auto"/>
        <w:left w:val="none" w:sz="0" w:space="0" w:color="auto"/>
        <w:bottom w:val="none" w:sz="0" w:space="0" w:color="auto"/>
        <w:right w:val="none" w:sz="0" w:space="0" w:color="auto"/>
      </w:divBdr>
    </w:div>
    <w:div w:id="873225922">
      <w:bodyDiv w:val="1"/>
      <w:marLeft w:val="0"/>
      <w:marRight w:val="0"/>
      <w:marTop w:val="0"/>
      <w:marBottom w:val="0"/>
      <w:divBdr>
        <w:top w:val="none" w:sz="0" w:space="0" w:color="auto"/>
        <w:left w:val="none" w:sz="0" w:space="0" w:color="auto"/>
        <w:bottom w:val="none" w:sz="0" w:space="0" w:color="auto"/>
        <w:right w:val="none" w:sz="0" w:space="0" w:color="auto"/>
      </w:divBdr>
    </w:div>
    <w:div w:id="1148743436">
      <w:bodyDiv w:val="1"/>
      <w:marLeft w:val="0"/>
      <w:marRight w:val="0"/>
      <w:marTop w:val="0"/>
      <w:marBottom w:val="0"/>
      <w:divBdr>
        <w:top w:val="none" w:sz="0" w:space="0" w:color="auto"/>
        <w:left w:val="none" w:sz="0" w:space="0" w:color="auto"/>
        <w:bottom w:val="none" w:sz="0" w:space="0" w:color="auto"/>
        <w:right w:val="none" w:sz="0" w:space="0" w:color="auto"/>
      </w:divBdr>
    </w:div>
    <w:div w:id="1521313156">
      <w:bodyDiv w:val="1"/>
      <w:marLeft w:val="0"/>
      <w:marRight w:val="0"/>
      <w:marTop w:val="0"/>
      <w:marBottom w:val="0"/>
      <w:divBdr>
        <w:top w:val="none" w:sz="0" w:space="0" w:color="auto"/>
        <w:left w:val="none" w:sz="0" w:space="0" w:color="auto"/>
        <w:bottom w:val="none" w:sz="0" w:space="0" w:color="auto"/>
        <w:right w:val="none" w:sz="0" w:space="0" w:color="auto"/>
      </w:divBdr>
    </w:div>
    <w:div w:id="1778016328">
      <w:bodyDiv w:val="1"/>
      <w:marLeft w:val="0"/>
      <w:marRight w:val="0"/>
      <w:marTop w:val="0"/>
      <w:marBottom w:val="0"/>
      <w:divBdr>
        <w:top w:val="none" w:sz="0" w:space="0" w:color="auto"/>
        <w:left w:val="none" w:sz="0" w:space="0" w:color="auto"/>
        <w:bottom w:val="none" w:sz="0" w:space="0" w:color="auto"/>
        <w:right w:val="none" w:sz="0" w:space="0" w:color="auto"/>
      </w:divBdr>
    </w:div>
    <w:div w:id="1892303503">
      <w:bodyDiv w:val="1"/>
      <w:marLeft w:val="0"/>
      <w:marRight w:val="0"/>
      <w:marTop w:val="0"/>
      <w:marBottom w:val="0"/>
      <w:divBdr>
        <w:top w:val="none" w:sz="0" w:space="0" w:color="auto"/>
        <w:left w:val="none" w:sz="0" w:space="0" w:color="auto"/>
        <w:bottom w:val="none" w:sz="0" w:space="0" w:color="auto"/>
        <w:right w:val="none" w:sz="0" w:space="0" w:color="auto"/>
      </w:divBdr>
    </w:div>
    <w:div w:id="1938753354">
      <w:bodyDiv w:val="1"/>
      <w:marLeft w:val="0"/>
      <w:marRight w:val="0"/>
      <w:marTop w:val="0"/>
      <w:marBottom w:val="0"/>
      <w:divBdr>
        <w:top w:val="none" w:sz="0" w:space="0" w:color="auto"/>
        <w:left w:val="none" w:sz="0" w:space="0" w:color="auto"/>
        <w:bottom w:val="none" w:sz="0" w:space="0" w:color="auto"/>
        <w:right w:val="none" w:sz="0" w:space="0" w:color="auto"/>
      </w:divBdr>
    </w:div>
    <w:div w:id="1950576571">
      <w:bodyDiv w:val="1"/>
      <w:marLeft w:val="0"/>
      <w:marRight w:val="0"/>
      <w:marTop w:val="0"/>
      <w:marBottom w:val="0"/>
      <w:divBdr>
        <w:top w:val="none" w:sz="0" w:space="0" w:color="auto"/>
        <w:left w:val="none" w:sz="0" w:space="0" w:color="auto"/>
        <w:bottom w:val="none" w:sz="0" w:space="0" w:color="auto"/>
        <w:right w:val="none" w:sz="0" w:space="0" w:color="auto"/>
      </w:divBdr>
    </w:div>
    <w:div w:id="20248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rac.gov.au/about-us/amlctf-reform/summary-amlctf-obligations-new-regulated-entitie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86a51c4ad2204dcf"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ph.gov.au/Parliamentary_Business/Bills_Legislation/Bills_Search_Results/Result?bId=r7243" TargetMode="External"/><Relationship Id="rId17" Type="http://schemas.openxmlformats.org/officeDocument/2006/relationships/hyperlink" Target="https://www.austrac.gov.au/about-us/amlctf-re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trac.gov.au/business/consultation-industry/have-your-say-new-amlctf-ru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c.gov.au/business/legislation/amlctf-act" TargetMode="External"/><Relationship Id="rId24" Type="http://schemas.openxmlformats.org/officeDocument/2006/relationships/footer" Target="footer3.xml"/><Relationship Id="R0be2f31d515d4d8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legislation.gov.au/F2007L01000/latest/tex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8f4c37999c834c10"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c.gov.au/about-us/amlctf-reform/summary-changes-current-regulated-entities" TargetMode="External"/><Relationship Id="rId22" Type="http://schemas.openxmlformats.org/officeDocument/2006/relationships/footer" Target="footer2.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ustrac.gov.au/sites/default/files/2019-07/report-on-the-statutory-review-of-the-anti-money-laundering.pdf" TargetMode="External"/><Relationship Id="rId2" Type="http://schemas.openxmlformats.org/officeDocument/2006/relationships/hyperlink" Target="https://www.aic.gov.au/publications/special/special-18" TargetMode="External"/><Relationship Id="rId1" Type="http://schemas.openxmlformats.org/officeDocument/2006/relationships/hyperlink" Target="https://www.aic.gov.au/publications/sr/sr3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806A72B19A34C98606AD2B3766F84" ma:contentTypeVersion="6" ma:contentTypeDescription="Create a new document." ma:contentTypeScope="" ma:versionID="2d602d4892a65eb225bf50bd6695378b">
  <xsd:schema xmlns:xsd="http://www.w3.org/2001/XMLSchema" xmlns:xs="http://www.w3.org/2001/XMLSchema" xmlns:p="http://schemas.microsoft.com/office/2006/metadata/properties" xmlns:ns2="9d857a6a-0799-471e-9df8-59bb1c1e9a01" xmlns:ns3="c953c129-e2b8-4869-8c47-6168f1fc38aa" targetNamespace="http://schemas.microsoft.com/office/2006/metadata/properties" ma:root="true" ma:fieldsID="ea1ce30a9b9be58371cb3ce51ef6f5ed" ns2:_="" ns3:_="">
    <xsd:import namespace="9d857a6a-0799-471e-9df8-59bb1c1e9a01"/>
    <xsd:import namespace="c953c129-e2b8-4869-8c47-6168f1fc38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7a6a-0799-471e-9df8-59bb1c1e9a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3c129-e2b8-4869-8c47-6168f1fc38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7C53-0779-40A5-9C53-47C65A11BB9F}">
  <ds:schemaRefs>
    <ds:schemaRef ds:uri="9d857a6a-0799-471e-9df8-59bb1c1e9a0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c953c129-e2b8-4869-8c47-6168f1fc38aa"/>
    <ds:schemaRef ds:uri="http://www.w3.org/XML/1998/namespace"/>
    <ds:schemaRef ds:uri="http://purl.org/dc/dcmitype/"/>
  </ds:schemaRefs>
</ds:datastoreItem>
</file>

<file path=customXml/itemProps2.xml><?xml version="1.0" encoding="utf-8"?>
<ds:datastoreItem xmlns:ds="http://schemas.openxmlformats.org/officeDocument/2006/customXml" ds:itemID="{C47B407D-6C0C-41B0-99CA-C89A3158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7a6a-0799-471e-9df8-59bb1c1e9a01"/>
    <ds:schemaRef ds:uri="c953c129-e2b8-4869-8c47-6168f1fc3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860D9-147B-40CA-876E-BEA9AD23D0BC}">
  <ds:schemaRefs>
    <ds:schemaRef ds:uri="http://schemas.microsoft.com/sharepoint/v3/contenttype/forms"/>
  </ds:schemaRefs>
</ds:datastoreItem>
</file>

<file path=customXml/itemProps4.xml><?xml version="1.0" encoding="utf-8"?>
<ds:datastoreItem xmlns:ds="http://schemas.openxmlformats.org/officeDocument/2006/customXml" ds:itemID="{4D729A49-52A6-415D-A2CE-C08A65E9E068}">
  <ds:schemaRefs>
    <ds:schemaRef ds:uri="http://schemas.openxmlformats.org/officeDocument/2006/bibliography"/>
  </ds:schemaRefs>
</ds:datastoreItem>
</file>

<file path=docMetadata/LabelInfo.xml><?xml version="1.0" encoding="utf-8"?>
<clbl:labelList xmlns:clbl="http://schemas.microsoft.com/office/2020/mipLabelMetadata">
  <clbl:label id="{8c901b19-a965-4f93-88a5-09ffe2881ad0}" enabled="1" method="Privileged" siteId="{eae27589-54c0-418d-9129-fe30d17403ad}" removed="0"/>
</clbl:labelList>
</file>

<file path=docProps/app.xml><?xml version="1.0" encoding="utf-8"?>
<Properties xmlns="http://schemas.openxmlformats.org/officeDocument/2006/extended-properties" xmlns:vt="http://schemas.openxmlformats.org/officeDocument/2006/docPropsVTypes">
  <Template>Normal</Template>
  <TotalTime>324</TotalTime>
  <Pages>30</Pages>
  <Words>8506</Words>
  <Characters>48486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Tamara Jankovic</cp:lastModifiedBy>
  <cp:revision>17</cp:revision>
  <cp:lastPrinted>2024-11-27T07:10:00Z</cp:lastPrinted>
  <dcterms:created xsi:type="dcterms:W3CDTF">2024-12-09T09:00:00Z</dcterms:created>
  <dcterms:modified xsi:type="dcterms:W3CDTF">2024-12-11T02:53:00Z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0x010100162806A72B19A34C98606AD2B3766F84</vt:lpwstr>
  </property>
  <property fmtid="{D5CDD505-2E9C-101B-9397-08002B2CF9AE}" pid="3" name="ClassificationContentMarkingHeaderShapeIds">
    <vt:lpwstr>11a53b6c,64f4c8bf,364c6b7e</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3b582bcc,406752a2,373bf213</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ies>
</file>