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6A3F7" w14:textId="77777777" w:rsidR="00715914" w:rsidRPr="00C86CE6" w:rsidRDefault="00DA186E" w:rsidP="00B05CF4">
      <w:pPr>
        <w:rPr>
          <w:sz w:val="28"/>
        </w:rPr>
      </w:pPr>
      <w:r w:rsidRPr="00C86CE6">
        <w:rPr>
          <w:noProof/>
          <w:lang w:eastAsia="en-AU"/>
        </w:rPr>
        <w:drawing>
          <wp:inline distT="0" distB="0" distL="0" distR="0" wp14:anchorId="1906F5DC" wp14:editId="161783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9"/>
      </w:tblGrid>
      <w:tr w:rsidR="004B21E2" w14:paraId="7124B2D1" w14:textId="77777777" w:rsidTr="004B21E2">
        <w:tc>
          <w:tcPr>
            <w:tcW w:w="5000" w:type="pct"/>
            <w:shd w:val="clear" w:color="auto" w:fill="auto"/>
          </w:tcPr>
          <w:p w14:paraId="3B2BAAAE" w14:textId="77777777" w:rsidR="004B21E2" w:rsidRDefault="004B21E2" w:rsidP="004B21E2">
            <w:pPr>
              <w:jc w:val="center"/>
              <w:rPr>
                <w:b/>
                <w:sz w:val="26"/>
              </w:rPr>
            </w:pPr>
            <w:r>
              <w:rPr>
                <w:b/>
                <w:sz w:val="26"/>
              </w:rPr>
              <w:t>EXPOSURE DRAFT</w:t>
            </w:r>
          </w:p>
          <w:p w14:paraId="5B3A92F5" w14:textId="41107A4C" w:rsidR="004B21E2" w:rsidRPr="004B21E2" w:rsidRDefault="004B21E2" w:rsidP="004B21E2">
            <w:pPr>
              <w:rPr>
                <w:b/>
                <w:sz w:val="20"/>
              </w:rPr>
            </w:pPr>
          </w:p>
        </w:tc>
      </w:tr>
    </w:tbl>
    <w:p w14:paraId="558D3FE1" w14:textId="77777777" w:rsidR="00715914" w:rsidRDefault="00715914" w:rsidP="00715914">
      <w:pPr>
        <w:rPr>
          <w:sz w:val="19"/>
        </w:rPr>
      </w:pPr>
    </w:p>
    <w:p w14:paraId="7F7B46BA" w14:textId="77777777" w:rsidR="004B21E2" w:rsidRPr="00C86CE6" w:rsidRDefault="004B21E2" w:rsidP="00715914">
      <w:pPr>
        <w:rPr>
          <w:sz w:val="19"/>
        </w:rPr>
      </w:pPr>
    </w:p>
    <w:p w14:paraId="26D86C0A" w14:textId="0D52EFE5" w:rsidR="00715914" w:rsidRPr="00C86CE6" w:rsidRDefault="008E18A8" w:rsidP="00715914">
      <w:pPr>
        <w:pStyle w:val="ShortT"/>
      </w:pPr>
      <w:r w:rsidRPr="00C86CE6">
        <w:t>Anti</w:t>
      </w:r>
      <w:r w:rsidR="004A7589">
        <w:noBreakHyphen/>
      </w:r>
      <w:r w:rsidRPr="00C86CE6">
        <w:t>Money Laundering and Counter</w:t>
      </w:r>
      <w:r w:rsidR="004A7589">
        <w:noBreakHyphen/>
      </w:r>
      <w:r w:rsidRPr="00C86CE6">
        <w:t xml:space="preserve">Terrorism Financing </w:t>
      </w:r>
      <w:r w:rsidR="00C86CE6" w:rsidRPr="00C86CE6">
        <w:t>Rules 2</w:t>
      </w:r>
      <w:r w:rsidRPr="00C86CE6">
        <w:t>024</w:t>
      </w:r>
    </w:p>
    <w:p w14:paraId="57B5722E" w14:textId="77777777" w:rsidR="00116FBA" w:rsidRPr="00C86CE6" w:rsidRDefault="00116FBA" w:rsidP="008A04E4">
      <w:pPr>
        <w:pStyle w:val="SignCoverPageStart"/>
        <w:rPr>
          <w:szCs w:val="22"/>
        </w:rPr>
      </w:pPr>
      <w:r w:rsidRPr="00C86CE6">
        <w:rPr>
          <w:szCs w:val="22"/>
        </w:rPr>
        <w:t>I, Brendan Thomas, Chief Executive Officer, Australian Transaction Reports and Analysis Centre, make the following rules.</w:t>
      </w:r>
    </w:p>
    <w:p w14:paraId="66EA318A" w14:textId="3AD8F5CA" w:rsidR="00116FBA" w:rsidRPr="00C86CE6" w:rsidRDefault="00116FBA" w:rsidP="008A04E4">
      <w:pPr>
        <w:keepNext/>
        <w:spacing w:before="300" w:line="240" w:lineRule="atLeast"/>
        <w:ind w:right="397"/>
        <w:jc w:val="both"/>
        <w:rPr>
          <w:szCs w:val="22"/>
        </w:rPr>
      </w:pPr>
      <w:r w:rsidRPr="00C86CE6">
        <w:rPr>
          <w:szCs w:val="22"/>
        </w:rPr>
        <w:t>Dated</w:t>
      </w:r>
      <w:r w:rsidRPr="00C86CE6">
        <w:rPr>
          <w:szCs w:val="22"/>
        </w:rPr>
        <w:tab/>
      </w:r>
      <w:r w:rsidRPr="00C86CE6">
        <w:rPr>
          <w:szCs w:val="22"/>
        </w:rPr>
        <w:tab/>
      </w:r>
      <w:r w:rsidRPr="00C86CE6">
        <w:rPr>
          <w:szCs w:val="22"/>
        </w:rPr>
        <w:tab/>
      </w:r>
      <w:r w:rsidRPr="00C86CE6">
        <w:rPr>
          <w:szCs w:val="22"/>
        </w:rPr>
        <w:tab/>
      </w:r>
      <w:r w:rsidRPr="00C86CE6">
        <w:rPr>
          <w:szCs w:val="22"/>
        </w:rPr>
        <w:fldChar w:fldCharType="begin"/>
      </w:r>
      <w:r w:rsidRPr="00C86CE6">
        <w:rPr>
          <w:szCs w:val="22"/>
        </w:rPr>
        <w:instrText xml:space="preserve"> DOCPROPERTY  DateMade </w:instrText>
      </w:r>
      <w:r w:rsidRPr="00C86CE6">
        <w:rPr>
          <w:szCs w:val="22"/>
        </w:rPr>
        <w:fldChar w:fldCharType="separate"/>
      </w:r>
      <w:r w:rsidR="00745273">
        <w:rPr>
          <w:szCs w:val="22"/>
        </w:rPr>
        <w:t>2024</w:t>
      </w:r>
      <w:r w:rsidRPr="00C86CE6">
        <w:rPr>
          <w:szCs w:val="22"/>
        </w:rPr>
        <w:fldChar w:fldCharType="end"/>
      </w:r>
    </w:p>
    <w:p w14:paraId="417B6B60" w14:textId="77777777" w:rsidR="00116FBA" w:rsidRPr="00C86CE6" w:rsidRDefault="00116FBA" w:rsidP="008A04E4">
      <w:pPr>
        <w:keepNext/>
        <w:tabs>
          <w:tab w:val="left" w:pos="3402"/>
        </w:tabs>
        <w:spacing w:before="1440" w:line="300" w:lineRule="atLeast"/>
        <w:ind w:right="397"/>
        <w:rPr>
          <w:szCs w:val="22"/>
        </w:rPr>
      </w:pPr>
      <w:r w:rsidRPr="00C86CE6">
        <w:rPr>
          <w:szCs w:val="22"/>
        </w:rPr>
        <w:t>Brendan Thomas</w:t>
      </w:r>
      <w:r w:rsidRPr="00C86CE6">
        <w:t xml:space="preserve"> </w:t>
      </w:r>
      <w:r w:rsidRPr="00C86CE6">
        <w:rPr>
          <w:b/>
          <w:szCs w:val="22"/>
        </w:rPr>
        <w:t>[DRAFT ONLY—NOT FOR SIGNATURE]</w:t>
      </w:r>
    </w:p>
    <w:p w14:paraId="36D31F76" w14:textId="77777777" w:rsidR="00116FBA" w:rsidRPr="00C86CE6" w:rsidRDefault="00116FBA" w:rsidP="008A04E4">
      <w:pPr>
        <w:pStyle w:val="SignCoverPageEnd"/>
        <w:rPr>
          <w:szCs w:val="22"/>
        </w:rPr>
      </w:pPr>
      <w:r w:rsidRPr="00C86CE6">
        <w:rPr>
          <w:szCs w:val="22"/>
        </w:rPr>
        <w:t>Chief Executive Officer, Australian Transaction Reports and Analysis Centre</w:t>
      </w:r>
    </w:p>
    <w:p w14:paraId="5C6AC6AF" w14:textId="77777777" w:rsidR="00116FBA" w:rsidRPr="00C86CE6" w:rsidRDefault="00116FBA" w:rsidP="008A04E4"/>
    <w:p w14:paraId="23571508" w14:textId="77777777" w:rsidR="00715299" w:rsidRPr="00C86CE6" w:rsidRDefault="00715299" w:rsidP="00715299">
      <w:pPr>
        <w:pStyle w:val="Header"/>
        <w:tabs>
          <w:tab w:val="clear" w:pos="4150"/>
          <w:tab w:val="clear" w:pos="8307"/>
        </w:tabs>
      </w:pPr>
      <w:r w:rsidRPr="004A7589">
        <w:rPr>
          <w:rStyle w:val="CharChapNo"/>
        </w:rPr>
        <w:t xml:space="preserve"> </w:t>
      </w:r>
      <w:r w:rsidRPr="004A7589">
        <w:rPr>
          <w:rStyle w:val="CharChapText"/>
        </w:rPr>
        <w:t xml:space="preserve"> </w:t>
      </w:r>
    </w:p>
    <w:p w14:paraId="66B06850" w14:textId="77777777" w:rsidR="00715914" w:rsidRPr="00C86CE6" w:rsidRDefault="00715914" w:rsidP="00715914">
      <w:pPr>
        <w:pStyle w:val="Header"/>
        <w:tabs>
          <w:tab w:val="clear" w:pos="4150"/>
          <w:tab w:val="clear" w:pos="8307"/>
        </w:tabs>
      </w:pPr>
      <w:r w:rsidRPr="00C86CE6">
        <w:t xml:space="preserve">  </w:t>
      </w:r>
    </w:p>
    <w:p w14:paraId="189EA08D" w14:textId="77777777" w:rsidR="00715914" w:rsidRPr="00C86CE6" w:rsidRDefault="00715914" w:rsidP="00715914">
      <w:pPr>
        <w:pStyle w:val="Header"/>
        <w:tabs>
          <w:tab w:val="clear" w:pos="4150"/>
          <w:tab w:val="clear" w:pos="8307"/>
        </w:tabs>
      </w:pPr>
      <w:r w:rsidRPr="00C86CE6">
        <w:t xml:space="preserve">  </w:t>
      </w:r>
    </w:p>
    <w:p w14:paraId="188212BF" w14:textId="77777777" w:rsidR="00715914" w:rsidRPr="00C86CE6" w:rsidRDefault="00715914" w:rsidP="00715914">
      <w:pPr>
        <w:sectPr w:rsidR="00715914" w:rsidRPr="00C86CE6" w:rsidSect="0086528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5115F4D7" w14:textId="77777777" w:rsidR="00F67BCA" w:rsidRPr="00C86CE6" w:rsidRDefault="00715914" w:rsidP="00715914">
      <w:pPr>
        <w:outlineLvl w:val="0"/>
        <w:rPr>
          <w:sz w:val="36"/>
        </w:rPr>
      </w:pPr>
      <w:r w:rsidRPr="00C86CE6">
        <w:rPr>
          <w:sz w:val="36"/>
        </w:rPr>
        <w:lastRenderedPageBreak/>
        <w:t>Contents</w:t>
      </w:r>
    </w:p>
    <w:p w14:paraId="09B9C7DC" w14:textId="04C33F21" w:rsidR="004B21E2" w:rsidRDefault="004B21E2">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Pr>
          <w:noProof/>
        </w:rPr>
        <w:t>Part 1—Preliminary</w:t>
      </w:r>
      <w:r w:rsidRPr="004B21E2">
        <w:rPr>
          <w:b w:val="0"/>
          <w:noProof/>
          <w:sz w:val="18"/>
        </w:rPr>
        <w:tab/>
      </w:r>
      <w:r w:rsidRPr="004B21E2">
        <w:rPr>
          <w:b w:val="0"/>
          <w:noProof/>
          <w:sz w:val="18"/>
        </w:rPr>
        <w:fldChar w:fldCharType="begin"/>
      </w:r>
      <w:r w:rsidRPr="004B21E2">
        <w:rPr>
          <w:b w:val="0"/>
          <w:noProof/>
          <w:sz w:val="18"/>
        </w:rPr>
        <w:instrText xml:space="preserve"> PAGEREF _Toc184727306 \h </w:instrText>
      </w:r>
      <w:r w:rsidRPr="004B21E2">
        <w:rPr>
          <w:b w:val="0"/>
          <w:noProof/>
          <w:sz w:val="18"/>
        </w:rPr>
      </w:r>
      <w:r w:rsidRPr="004B21E2">
        <w:rPr>
          <w:b w:val="0"/>
          <w:noProof/>
          <w:sz w:val="18"/>
        </w:rPr>
        <w:fldChar w:fldCharType="separate"/>
      </w:r>
      <w:r w:rsidR="00745273">
        <w:rPr>
          <w:b w:val="0"/>
          <w:noProof/>
          <w:sz w:val="18"/>
        </w:rPr>
        <w:t>1</w:t>
      </w:r>
      <w:r w:rsidRPr="004B21E2">
        <w:rPr>
          <w:b w:val="0"/>
          <w:noProof/>
          <w:sz w:val="18"/>
        </w:rPr>
        <w:fldChar w:fldCharType="end"/>
      </w:r>
    </w:p>
    <w:p w14:paraId="3734EDC8" w14:textId="7181DE29"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1</w:t>
      </w:r>
      <w:r>
        <w:rPr>
          <w:noProof/>
        </w:rPr>
        <w:tab/>
        <w:t>Name</w:t>
      </w:r>
      <w:r w:rsidRPr="004B21E2">
        <w:rPr>
          <w:noProof/>
        </w:rPr>
        <w:tab/>
      </w:r>
      <w:r w:rsidRPr="004B21E2">
        <w:rPr>
          <w:noProof/>
        </w:rPr>
        <w:fldChar w:fldCharType="begin"/>
      </w:r>
      <w:r w:rsidRPr="004B21E2">
        <w:rPr>
          <w:noProof/>
        </w:rPr>
        <w:instrText xml:space="preserve"> PAGEREF _Toc184727307 \h </w:instrText>
      </w:r>
      <w:r w:rsidRPr="004B21E2">
        <w:rPr>
          <w:noProof/>
        </w:rPr>
      </w:r>
      <w:r w:rsidRPr="004B21E2">
        <w:rPr>
          <w:noProof/>
        </w:rPr>
        <w:fldChar w:fldCharType="separate"/>
      </w:r>
      <w:r w:rsidR="00745273">
        <w:rPr>
          <w:noProof/>
        </w:rPr>
        <w:t>1</w:t>
      </w:r>
      <w:r w:rsidRPr="004B21E2">
        <w:rPr>
          <w:noProof/>
        </w:rPr>
        <w:fldChar w:fldCharType="end"/>
      </w:r>
    </w:p>
    <w:p w14:paraId="0492E79A" w14:textId="6871E612"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4B21E2">
        <w:rPr>
          <w:noProof/>
        </w:rPr>
        <w:tab/>
      </w:r>
      <w:r w:rsidRPr="004B21E2">
        <w:rPr>
          <w:noProof/>
        </w:rPr>
        <w:fldChar w:fldCharType="begin"/>
      </w:r>
      <w:r w:rsidRPr="004B21E2">
        <w:rPr>
          <w:noProof/>
        </w:rPr>
        <w:instrText xml:space="preserve"> PAGEREF _Toc184727308 \h </w:instrText>
      </w:r>
      <w:r w:rsidRPr="004B21E2">
        <w:rPr>
          <w:noProof/>
        </w:rPr>
      </w:r>
      <w:r w:rsidRPr="004B21E2">
        <w:rPr>
          <w:noProof/>
        </w:rPr>
        <w:fldChar w:fldCharType="separate"/>
      </w:r>
      <w:r w:rsidR="00745273">
        <w:rPr>
          <w:noProof/>
        </w:rPr>
        <w:t>1</w:t>
      </w:r>
      <w:r w:rsidRPr="004B21E2">
        <w:rPr>
          <w:noProof/>
        </w:rPr>
        <w:fldChar w:fldCharType="end"/>
      </w:r>
    </w:p>
    <w:p w14:paraId="12CBBF89" w14:textId="747C421A"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4B21E2">
        <w:rPr>
          <w:noProof/>
        </w:rPr>
        <w:tab/>
      </w:r>
      <w:r w:rsidRPr="004B21E2">
        <w:rPr>
          <w:noProof/>
        </w:rPr>
        <w:fldChar w:fldCharType="begin"/>
      </w:r>
      <w:r w:rsidRPr="004B21E2">
        <w:rPr>
          <w:noProof/>
        </w:rPr>
        <w:instrText xml:space="preserve"> PAGEREF _Toc184727309 \h </w:instrText>
      </w:r>
      <w:r w:rsidRPr="004B21E2">
        <w:rPr>
          <w:noProof/>
        </w:rPr>
      </w:r>
      <w:r w:rsidRPr="004B21E2">
        <w:rPr>
          <w:noProof/>
        </w:rPr>
        <w:fldChar w:fldCharType="separate"/>
      </w:r>
      <w:r w:rsidR="00745273">
        <w:rPr>
          <w:noProof/>
        </w:rPr>
        <w:t>1</w:t>
      </w:r>
      <w:r w:rsidRPr="004B21E2">
        <w:rPr>
          <w:noProof/>
        </w:rPr>
        <w:fldChar w:fldCharType="end"/>
      </w:r>
    </w:p>
    <w:p w14:paraId="2D7FB447" w14:textId="5F4F1A8E"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Schedules</w:t>
      </w:r>
      <w:r w:rsidRPr="004B21E2">
        <w:rPr>
          <w:noProof/>
        </w:rPr>
        <w:tab/>
      </w:r>
      <w:r w:rsidRPr="004B21E2">
        <w:rPr>
          <w:noProof/>
        </w:rPr>
        <w:fldChar w:fldCharType="begin"/>
      </w:r>
      <w:r w:rsidRPr="004B21E2">
        <w:rPr>
          <w:noProof/>
        </w:rPr>
        <w:instrText xml:space="preserve"> PAGEREF _Toc184727310 \h </w:instrText>
      </w:r>
      <w:r w:rsidRPr="004B21E2">
        <w:rPr>
          <w:noProof/>
        </w:rPr>
      </w:r>
      <w:r w:rsidRPr="004B21E2">
        <w:rPr>
          <w:noProof/>
        </w:rPr>
        <w:fldChar w:fldCharType="separate"/>
      </w:r>
      <w:r w:rsidR="00745273">
        <w:rPr>
          <w:noProof/>
        </w:rPr>
        <w:t>1</w:t>
      </w:r>
      <w:r w:rsidRPr="004B21E2">
        <w:rPr>
          <w:noProof/>
        </w:rPr>
        <w:fldChar w:fldCharType="end"/>
      </w:r>
    </w:p>
    <w:p w14:paraId="1733C28A" w14:textId="2A90D8EF"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5</w:t>
      </w:r>
      <w:r>
        <w:rPr>
          <w:noProof/>
        </w:rPr>
        <w:tab/>
        <w:t>Definitions</w:t>
      </w:r>
      <w:r w:rsidRPr="004B21E2">
        <w:rPr>
          <w:noProof/>
        </w:rPr>
        <w:tab/>
      </w:r>
      <w:r w:rsidRPr="004B21E2">
        <w:rPr>
          <w:noProof/>
        </w:rPr>
        <w:fldChar w:fldCharType="begin"/>
      </w:r>
      <w:r w:rsidRPr="004B21E2">
        <w:rPr>
          <w:noProof/>
        </w:rPr>
        <w:instrText xml:space="preserve"> PAGEREF _Toc184727311 \h </w:instrText>
      </w:r>
      <w:r w:rsidRPr="004B21E2">
        <w:rPr>
          <w:noProof/>
        </w:rPr>
      </w:r>
      <w:r w:rsidRPr="004B21E2">
        <w:rPr>
          <w:noProof/>
        </w:rPr>
        <w:fldChar w:fldCharType="separate"/>
      </w:r>
      <w:r w:rsidR="00745273">
        <w:rPr>
          <w:noProof/>
        </w:rPr>
        <w:t>1</w:t>
      </w:r>
      <w:r w:rsidRPr="004B21E2">
        <w:rPr>
          <w:noProof/>
        </w:rPr>
        <w:fldChar w:fldCharType="end"/>
      </w:r>
    </w:p>
    <w:p w14:paraId="37BAEB32" w14:textId="3408D60F"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6</w:t>
      </w:r>
      <w:r>
        <w:rPr>
          <w:noProof/>
        </w:rPr>
        <w:tab/>
        <w:t>Approved third</w:t>
      </w:r>
      <w:r>
        <w:rPr>
          <w:noProof/>
        </w:rPr>
        <w:noBreakHyphen/>
        <w:t>party bill payment system</w:t>
      </w:r>
      <w:r w:rsidRPr="004B21E2">
        <w:rPr>
          <w:noProof/>
        </w:rPr>
        <w:tab/>
      </w:r>
      <w:r w:rsidRPr="004B21E2">
        <w:rPr>
          <w:noProof/>
        </w:rPr>
        <w:fldChar w:fldCharType="begin"/>
      </w:r>
      <w:r w:rsidRPr="004B21E2">
        <w:rPr>
          <w:noProof/>
        </w:rPr>
        <w:instrText xml:space="preserve"> PAGEREF _Toc184727312 \h </w:instrText>
      </w:r>
      <w:r w:rsidRPr="004B21E2">
        <w:rPr>
          <w:noProof/>
        </w:rPr>
      </w:r>
      <w:r w:rsidRPr="004B21E2">
        <w:rPr>
          <w:noProof/>
        </w:rPr>
        <w:fldChar w:fldCharType="separate"/>
      </w:r>
      <w:r w:rsidR="00745273">
        <w:rPr>
          <w:noProof/>
        </w:rPr>
        <w:t>4</w:t>
      </w:r>
      <w:r w:rsidRPr="004B21E2">
        <w:rPr>
          <w:noProof/>
        </w:rPr>
        <w:fldChar w:fldCharType="end"/>
      </w:r>
    </w:p>
    <w:p w14:paraId="18DDA672" w14:textId="34A5ECAE"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7</w:t>
      </w:r>
      <w:r>
        <w:rPr>
          <w:noProof/>
        </w:rPr>
        <w:tab/>
        <w:t>Domestic politically exposed person</w:t>
      </w:r>
      <w:r w:rsidRPr="004B21E2">
        <w:rPr>
          <w:noProof/>
        </w:rPr>
        <w:tab/>
      </w:r>
      <w:r w:rsidRPr="004B21E2">
        <w:rPr>
          <w:noProof/>
        </w:rPr>
        <w:fldChar w:fldCharType="begin"/>
      </w:r>
      <w:r w:rsidRPr="004B21E2">
        <w:rPr>
          <w:noProof/>
        </w:rPr>
        <w:instrText xml:space="preserve"> PAGEREF _Toc184727313 \h </w:instrText>
      </w:r>
      <w:r w:rsidRPr="004B21E2">
        <w:rPr>
          <w:noProof/>
        </w:rPr>
      </w:r>
      <w:r w:rsidRPr="004B21E2">
        <w:rPr>
          <w:noProof/>
        </w:rPr>
        <w:fldChar w:fldCharType="separate"/>
      </w:r>
      <w:r w:rsidR="00745273">
        <w:rPr>
          <w:noProof/>
        </w:rPr>
        <w:t>4</w:t>
      </w:r>
      <w:r w:rsidRPr="004B21E2">
        <w:rPr>
          <w:noProof/>
        </w:rPr>
        <w:fldChar w:fldCharType="end"/>
      </w:r>
    </w:p>
    <w:p w14:paraId="0A472F9F" w14:textId="29BD9F91"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8</w:t>
      </w:r>
      <w:r>
        <w:rPr>
          <w:noProof/>
        </w:rPr>
        <w:tab/>
        <w:t>Lead entity of a reporting group</w:t>
      </w:r>
      <w:r w:rsidRPr="004B21E2">
        <w:rPr>
          <w:noProof/>
        </w:rPr>
        <w:tab/>
      </w:r>
      <w:r w:rsidRPr="004B21E2">
        <w:rPr>
          <w:noProof/>
        </w:rPr>
        <w:fldChar w:fldCharType="begin"/>
      </w:r>
      <w:r w:rsidRPr="004B21E2">
        <w:rPr>
          <w:noProof/>
        </w:rPr>
        <w:instrText xml:space="preserve"> PAGEREF _Toc184727314 \h </w:instrText>
      </w:r>
      <w:r w:rsidRPr="004B21E2">
        <w:rPr>
          <w:noProof/>
        </w:rPr>
      </w:r>
      <w:r w:rsidRPr="004B21E2">
        <w:rPr>
          <w:noProof/>
        </w:rPr>
        <w:fldChar w:fldCharType="separate"/>
      </w:r>
      <w:r w:rsidR="00745273">
        <w:rPr>
          <w:noProof/>
        </w:rPr>
        <w:t>5</w:t>
      </w:r>
      <w:r w:rsidRPr="004B21E2">
        <w:rPr>
          <w:noProof/>
        </w:rPr>
        <w:fldChar w:fldCharType="end"/>
      </w:r>
    </w:p>
    <w:p w14:paraId="67FA8FD2" w14:textId="7CEA8043" w:rsidR="004B21E2" w:rsidRDefault="004B21E2">
      <w:pPr>
        <w:pStyle w:val="TOC2"/>
        <w:rPr>
          <w:rFonts w:asciiTheme="minorHAnsi" w:eastAsiaTheme="minorEastAsia" w:hAnsiTheme="minorHAnsi" w:cstheme="minorBidi"/>
          <w:b w:val="0"/>
          <w:noProof/>
          <w:kern w:val="2"/>
          <w:szCs w:val="24"/>
          <w14:ligatures w14:val="standardContextual"/>
        </w:rPr>
      </w:pPr>
      <w:r>
        <w:rPr>
          <w:noProof/>
        </w:rPr>
        <w:t>Part 2—Enrolment [to be drafted]</w:t>
      </w:r>
      <w:r w:rsidRPr="004B21E2">
        <w:rPr>
          <w:b w:val="0"/>
          <w:noProof/>
          <w:sz w:val="18"/>
        </w:rPr>
        <w:tab/>
      </w:r>
      <w:r w:rsidRPr="004B21E2">
        <w:rPr>
          <w:b w:val="0"/>
          <w:noProof/>
          <w:sz w:val="18"/>
        </w:rPr>
        <w:fldChar w:fldCharType="begin"/>
      </w:r>
      <w:r w:rsidRPr="004B21E2">
        <w:rPr>
          <w:b w:val="0"/>
          <w:noProof/>
          <w:sz w:val="18"/>
        </w:rPr>
        <w:instrText xml:space="preserve"> PAGEREF _Toc184727315 \h </w:instrText>
      </w:r>
      <w:r w:rsidRPr="004B21E2">
        <w:rPr>
          <w:b w:val="0"/>
          <w:noProof/>
          <w:sz w:val="18"/>
        </w:rPr>
      </w:r>
      <w:r w:rsidRPr="004B21E2">
        <w:rPr>
          <w:b w:val="0"/>
          <w:noProof/>
          <w:sz w:val="18"/>
        </w:rPr>
        <w:fldChar w:fldCharType="separate"/>
      </w:r>
      <w:r w:rsidR="00745273">
        <w:rPr>
          <w:b w:val="0"/>
          <w:noProof/>
          <w:sz w:val="18"/>
        </w:rPr>
        <w:t>7</w:t>
      </w:r>
      <w:r w:rsidRPr="004B21E2">
        <w:rPr>
          <w:b w:val="0"/>
          <w:noProof/>
          <w:sz w:val="18"/>
        </w:rPr>
        <w:fldChar w:fldCharType="end"/>
      </w:r>
    </w:p>
    <w:p w14:paraId="126C59D0" w14:textId="10A0DF02" w:rsidR="004B21E2" w:rsidRDefault="004B21E2">
      <w:pPr>
        <w:pStyle w:val="TOC2"/>
        <w:rPr>
          <w:rFonts w:asciiTheme="minorHAnsi" w:eastAsiaTheme="minorEastAsia" w:hAnsiTheme="minorHAnsi" w:cstheme="minorBidi"/>
          <w:b w:val="0"/>
          <w:noProof/>
          <w:kern w:val="2"/>
          <w:szCs w:val="24"/>
          <w14:ligatures w14:val="standardContextual"/>
        </w:rPr>
      </w:pPr>
      <w:r>
        <w:rPr>
          <w:noProof/>
        </w:rPr>
        <w:t>Part 3—Registration [to be drafted]</w:t>
      </w:r>
      <w:r w:rsidRPr="004B21E2">
        <w:rPr>
          <w:b w:val="0"/>
          <w:noProof/>
          <w:sz w:val="18"/>
        </w:rPr>
        <w:tab/>
      </w:r>
      <w:r w:rsidRPr="004B21E2">
        <w:rPr>
          <w:b w:val="0"/>
          <w:noProof/>
          <w:sz w:val="18"/>
        </w:rPr>
        <w:fldChar w:fldCharType="begin"/>
      </w:r>
      <w:r w:rsidRPr="004B21E2">
        <w:rPr>
          <w:b w:val="0"/>
          <w:noProof/>
          <w:sz w:val="18"/>
        </w:rPr>
        <w:instrText xml:space="preserve"> PAGEREF _Toc184727316 \h </w:instrText>
      </w:r>
      <w:r w:rsidRPr="004B21E2">
        <w:rPr>
          <w:b w:val="0"/>
          <w:noProof/>
          <w:sz w:val="18"/>
        </w:rPr>
      </w:r>
      <w:r w:rsidRPr="004B21E2">
        <w:rPr>
          <w:b w:val="0"/>
          <w:noProof/>
          <w:sz w:val="18"/>
        </w:rPr>
        <w:fldChar w:fldCharType="separate"/>
      </w:r>
      <w:r w:rsidR="00745273">
        <w:rPr>
          <w:b w:val="0"/>
          <w:noProof/>
          <w:sz w:val="18"/>
        </w:rPr>
        <w:t>8</w:t>
      </w:r>
      <w:r w:rsidRPr="004B21E2">
        <w:rPr>
          <w:b w:val="0"/>
          <w:noProof/>
          <w:sz w:val="18"/>
        </w:rPr>
        <w:fldChar w:fldCharType="end"/>
      </w:r>
    </w:p>
    <w:p w14:paraId="61BE30F7" w14:textId="112FCE86" w:rsidR="004B21E2" w:rsidRDefault="004B21E2">
      <w:pPr>
        <w:pStyle w:val="TOC2"/>
        <w:rPr>
          <w:rFonts w:asciiTheme="minorHAnsi" w:eastAsiaTheme="minorEastAsia" w:hAnsiTheme="minorHAnsi" w:cstheme="minorBidi"/>
          <w:b w:val="0"/>
          <w:noProof/>
          <w:kern w:val="2"/>
          <w:szCs w:val="24"/>
          <w14:ligatures w14:val="standardContextual"/>
        </w:rPr>
      </w:pPr>
      <w:r>
        <w:rPr>
          <w:noProof/>
        </w:rPr>
        <w:t>Part 4—AML/CTF programs</w:t>
      </w:r>
      <w:r w:rsidRPr="004B21E2">
        <w:rPr>
          <w:b w:val="0"/>
          <w:noProof/>
          <w:sz w:val="18"/>
        </w:rPr>
        <w:tab/>
      </w:r>
      <w:r w:rsidRPr="004B21E2">
        <w:rPr>
          <w:b w:val="0"/>
          <w:noProof/>
          <w:sz w:val="18"/>
        </w:rPr>
        <w:fldChar w:fldCharType="begin"/>
      </w:r>
      <w:r w:rsidRPr="004B21E2">
        <w:rPr>
          <w:b w:val="0"/>
          <w:noProof/>
          <w:sz w:val="18"/>
        </w:rPr>
        <w:instrText xml:space="preserve"> PAGEREF _Toc184727317 \h </w:instrText>
      </w:r>
      <w:r w:rsidRPr="004B21E2">
        <w:rPr>
          <w:b w:val="0"/>
          <w:noProof/>
          <w:sz w:val="18"/>
        </w:rPr>
      </w:r>
      <w:r w:rsidRPr="004B21E2">
        <w:rPr>
          <w:b w:val="0"/>
          <w:noProof/>
          <w:sz w:val="18"/>
        </w:rPr>
        <w:fldChar w:fldCharType="separate"/>
      </w:r>
      <w:r w:rsidR="00745273">
        <w:rPr>
          <w:b w:val="0"/>
          <w:noProof/>
          <w:sz w:val="18"/>
        </w:rPr>
        <w:t>9</w:t>
      </w:r>
      <w:r w:rsidRPr="004B21E2">
        <w:rPr>
          <w:b w:val="0"/>
          <w:noProof/>
          <w:sz w:val="18"/>
        </w:rPr>
        <w:fldChar w:fldCharType="end"/>
      </w:r>
    </w:p>
    <w:p w14:paraId="58695A9B" w14:textId="4E222386"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Division 1—ML/TF risk assessment</w:t>
      </w:r>
      <w:r w:rsidRPr="004B21E2">
        <w:rPr>
          <w:b w:val="0"/>
          <w:noProof/>
          <w:sz w:val="18"/>
        </w:rPr>
        <w:tab/>
      </w:r>
      <w:r w:rsidRPr="004B21E2">
        <w:rPr>
          <w:b w:val="0"/>
          <w:noProof/>
          <w:sz w:val="18"/>
        </w:rPr>
        <w:fldChar w:fldCharType="begin"/>
      </w:r>
      <w:r w:rsidRPr="004B21E2">
        <w:rPr>
          <w:b w:val="0"/>
          <w:noProof/>
          <w:sz w:val="18"/>
        </w:rPr>
        <w:instrText xml:space="preserve"> PAGEREF _Toc184727318 \h </w:instrText>
      </w:r>
      <w:r w:rsidRPr="004B21E2">
        <w:rPr>
          <w:b w:val="0"/>
          <w:noProof/>
          <w:sz w:val="18"/>
        </w:rPr>
      </w:r>
      <w:r w:rsidRPr="004B21E2">
        <w:rPr>
          <w:b w:val="0"/>
          <w:noProof/>
          <w:sz w:val="18"/>
        </w:rPr>
        <w:fldChar w:fldCharType="separate"/>
      </w:r>
      <w:r w:rsidR="00745273">
        <w:rPr>
          <w:b w:val="0"/>
          <w:noProof/>
          <w:sz w:val="18"/>
        </w:rPr>
        <w:t>9</w:t>
      </w:r>
      <w:r w:rsidRPr="004B21E2">
        <w:rPr>
          <w:b w:val="0"/>
          <w:noProof/>
          <w:sz w:val="18"/>
        </w:rPr>
        <w:fldChar w:fldCharType="end"/>
      </w:r>
    </w:p>
    <w:p w14:paraId="5CC5D535" w14:textId="03602D5F"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9</w:t>
      </w:r>
      <w:r>
        <w:rPr>
          <w:noProof/>
        </w:rPr>
        <w:tab/>
        <w:t>Review of ML/TF risk assessment</w:t>
      </w:r>
      <w:r w:rsidRPr="004B21E2">
        <w:rPr>
          <w:noProof/>
        </w:rPr>
        <w:tab/>
      </w:r>
      <w:r w:rsidRPr="004B21E2">
        <w:rPr>
          <w:noProof/>
        </w:rPr>
        <w:fldChar w:fldCharType="begin"/>
      </w:r>
      <w:r w:rsidRPr="004B21E2">
        <w:rPr>
          <w:noProof/>
        </w:rPr>
        <w:instrText xml:space="preserve"> PAGEREF _Toc184727319 \h </w:instrText>
      </w:r>
      <w:r w:rsidRPr="004B21E2">
        <w:rPr>
          <w:noProof/>
        </w:rPr>
      </w:r>
      <w:r w:rsidRPr="004B21E2">
        <w:rPr>
          <w:noProof/>
        </w:rPr>
        <w:fldChar w:fldCharType="separate"/>
      </w:r>
      <w:r w:rsidR="00745273">
        <w:rPr>
          <w:noProof/>
        </w:rPr>
        <w:t>9</w:t>
      </w:r>
      <w:r w:rsidRPr="004B21E2">
        <w:rPr>
          <w:noProof/>
        </w:rPr>
        <w:fldChar w:fldCharType="end"/>
      </w:r>
    </w:p>
    <w:p w14:paraId="2C91377C" w14:textId="2E1524E0"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Division 2—AML/CTF policies</w:t>
      </w:r>
      <w:r w:rsidRPr="004B21E2">
        <w:rPr>
          <w:b w:val="0"/>
          <w:noProof/>
          <w:sz w:val="18"/>
        </w:rPr>
        <w:tab/>
      </w:r>
      <w:r w:rsidRPr="004B21E2">
        <w:rPr>
          <w:b w:val="0"/>
          <w:noProof/>
          <w:sz w:val="18"/>
        </w:rPr>
        <w:fldChar w:fldCharType="begin"/>
      </w:r>
      <w:r w:rsidRPr="004B21E2">
        <w:rPr>
          <w:b w:val="0"/>
          <w:noProof/>
          <w:sz w:val="18"/>
        </w:rPr>
        <w:instrText xml:space="preserve"> PAGEREF _Toc184727320 \h </w:instrText>
      </w:r>
      <w:r w:rsidRPr="004B21E2">
        <w:rPr>
          <w:b w:val="0"/>
          <w:noProof/>
          <w:sz w:val="18"/>
        </w:rPr>
      </w:r>
      <w:r w:rsidRPr="004B21E2">
        <w:rPr>
          <w:b w:val="0"/>
          <w:noProof/>
          <w:sz w:val="18"/>
        </w:rPr>
        <w:fldChar w:fldCharType="separate"/>
      </w:r>
      <w:r w:rsidR="00745273">
        <w:rPr>
          <w:b w:val="0"/>
          <w:noProof/>
          <w:sz w:val="18"/>
        </w:rPr>
        <w:t>10</w:t>
      </w:r>
      <w:r w:rsidRPr="004B21E2">
        <w:rPr>
          <w:b w:val="0"/>
          <w:noProof/>
          <w:sz w:val="18"/>
        </w:rPr>
        <w:fldChar w:fldCharType="end"/>
      </w:r>
    </w:p>
    <w:p w14:paraId="5A0A52BB" w14:textId="055D2E85"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Prevention of tipping off</w:t>
      </w:r>
      <w:r w:rsidRPr="004B21E2">
        <w:rPr>
          <w:noProof/>
        </w:rPr>
        <w:tab/>
      </w:r>
      <w:r w:rsidRPr="004B21E2">
        <w:rPr>
          <w:noProof/>
        </w:rPr>
        <w:fldChar w:fldCharType="begin"/>
      </w:r>
      <w:r w:rsidRPr="004B21E2">
        <w:rPr>
          <w:noProof/>
        </w:rPr>
        <w:instrText xml:space="preserve"> PAGEREF _Toc184727321 \h </w:instrText>
      </w:r>
      <w:r w:rsidRPr="004B21E2">
        <w:rPr>
          <w:noProof/>
        </w:rPr>
      </w:r>
      <w:r w:rsidRPr="004B21E2">
        <w:rPr>
          <w:noProof/>
        </w:rPr>
        <w:fldChar w:fldCharType="separate"/>
      </w:r>
      <w:r w:rsidR="00745273">
        <w:rPr>
          <w:noProof/>
        </w:rPr>
        <w:t>10</w:t>
      </w:r>
      <w:r w:rsidRPr="004B21E2">
        <w:rPr>
          <w:noProof/>
        </w:rPr>
        <w:fldChar w:fldCharType="end"/>
      </w:r>
    </w:p>
    <w:p w14:paraId="5914C319" w14:textId="1E7B75E8"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Provision of information to governing body</w:t>
      </w:r>
      <w:r w:rsidRPr="004B21E2">
        <w:rPr>
          <w:noProof/>
        </w:rPr>
        <w:tab/>
      </w:r>
      <w:r w:rsidRPr="004B21E2">
        <w:rPr>
          <w:noProof/>
        </w:rPr>
        <w:fldChar w:fldCharType="begin"/>
      </w:r>
      <w:r w:rsidRPr="004B21E2">
        <w:rPr>
          <w:noProof/>
        </w:rPr>
        <w:instrText xml:space="preserve"> PAGEREF _Toc184727322 \h </w:instrText>
      </w:r>
      <w:r w:rsidRPr="004B21E2">
        <w:rPr>
          <w:noProof/>
        </w:rPr>
      </w:r>
      <w:r w:rsidRPr="004B21E2">
        <w:rPr>
          <w:noProof/>
        </w:rPr>
        <w:fldChar w:fldCharType="separate"/>
      </w:r>
      <w:r w:rsidR="00745273">
        <w:rPr>
          <w:noProof/>
        </w:rPr>
        <w:t>10</w:t>
      </w:r>
      <w:r w:rsidRPr="004B21E2">
        <w:rPr>
          <w:noProof/>
        </w:rPr>
        <w:fldChar w:fldCharType="end"/>
      </w:r>
    </w:p>
    <w:p w14:paraId="0C8D76E5" w14:textId="69251C55"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Reporting from AML/CTF compliance officer to governing body</w:t>
      </w:r>
      <w:r w:rsidRPr="004B21E2">
        <w:rPr>
          <w:noProof/>
        </w:rPr>
        <w:tab/>
      </w:r>
      <w:r w:rsidRPr="004B21E2">
        <w:rPr>
          <w:noProof/>
        </w:rPr>
        <w:fldChar w:fldCharType="begin"/>
      </w:r>
      <w:r w:rsidRPr="004B21E2">
        <w:rPr>
          <w:noProof/>
        </w:rPr>
        <w:instrText xml:space="preserve"> PAGEREF _Toc184727323 \h </w:instrText>
      </w:r>
      <w:r w:rsidRPr="004B21E2">
        <w:rPr>
          <w:noProof/>
        </w:rPr>
      </w:r>
      <w:r w:rsidRPr="004B21E2">
        <w:rPr>
          <w:noProof/>
        </w:rPr>
        <w:fldChar w:fldCharType="separate"/>
      </w:r>
      <w:r w:rsidR="00745273">
        <w:rPr>
          <w:noProof/>
        </w:rPr>
        <w:t>10</w:t>
      </w:r>
      <w:r w:rsidRPr="004B21E2">
        <w:rPr>
          <w:noProof/>
        </w:rPr>
        <w:fldChar w:fldCharType="end"/>
      </w:r>
    </w:p>
    <w:p w14:paraId="2A16D661" w14:textId="1AC2C4BD"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Undertaking personnel due diligence</w:t>
      </w:r>
      <w:r w:rsidRPr="004B21E2">
        <w:rPr>
          <w:noProof/>
        </w:rPr>
        <w:tab/>
      </w:r>
      <w:r w:rsidRPr="004B21E2">
        <w:rPr>
          <w:noProof/>
        </w:rPr>
        <w:fldChar w:fldCharType="begin"/>
      </w:r>
      <w:r w:rsidRPr="004B21E2">
        <w:rPr>
          <w:noProof/>
        </w:rPr>
        <w:instrText xml:space="preserve"> PAGEREF _Toc184727324 \h </w:instrText>
      </w:r>
      <w:r w:rsidRPr="004B21E2">
        <w:rPr>
          <w:noProof/>
        </w:rPr>
      </w:r>
      <w:r w:rsidRPr="004B21E2">
        <w:rPr>
          <w:noProof/>
        </w:rPr>
        <w:fldChar w:fldCharType="separate"/>
      </w:r>
      <w:r w:rsidR="00745273">
        <w:rPr>
          <w:noProof/>
        </w:rPr>
        <w:t>10</w:t>
      </w:r>
      <w:r w:rsidRPr="004B21E2">
        <w:rPr>
          <w:noProof/>
        </w:rPr>
        <w:fldChar w:fldCharType="end"/>
      </w:r>
    </w:p>
    <w:p w14:paraId="492B2101" w14:textId="18944CDD"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Providing personnel training</w:t>
      </w:r>
      <w:r w:rsidRPr="004B21E2">
        <w:rPr>
          <w:noProof/>
        </w:rPr>
        <w:tab/>
      </w:r>
      <w:r w:rsidRPr="004B21E2">
        <w:rPr>
          <w:noProof/>
        </w:rPr>
        <w:fldChar w:fldCharType="begin"/>
      </w:r>
      <w:r w:rsidRPr="004B21E2">
        <w:rPr>
          <w:noProof/>
        </w:rPr>
        <w:instrText xml:space="preserve"> PAGEREF _Toc184727325 \h </w:instrText>
      </w:r>
      <w:r w:rsidRPr="004B21E2">
        <w:rPr>
          <w:noProof/>
        </w:rPr>
      </w:r>
      <w:r w:rsidRPr="004B21E2">
        <w:rPr>
          <w:noProof/>
        </w:rPr>
        <w:fldChar w:fldCharType="separate"/>
      </w:r>
      <w:r w:rsidR="00745273">
        <w:rPr>
          <w:noProof/>
        </w:rPr>
        <w:t>11</w:t>
      </w:r>
      <w:r w:rsidRPr="004B21E2">
        <w:rPr>
          <w:noProof/>
        </w:rPr>
        <w:fldChar w:fldCharType="end"/>
      </w:r>
    </w:p>
    <w:p w14:paraId="169DEE12" w14:textId="485755DC"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Independent evaluations</w:t>
      </w:r>
      <w:r w:rsidRPr="004B21E2">
        <w:rPr>
          <w:noProof/>
        </w:rPr>
        <w:tab/>
      </w:r>
      <w:r w:rsidRPr="004B21E2">
        <w:rPr>
          <w:noProof/>
        </w:rPr>
        <w:fldChar w:fldCharType="begin"/>
      </w:r>
      <w:r w:rsidRPr="004B21E2">
        <w:rPr>
          <w:noProof/>
        </w:rPr>
        <w:instrText xml:space="preserve"> PAGEREF _Toc184727326 \h </w:instrText>
      </w:r>
      <w:r w:rsidRPr="004B21E2">
        <w:rPr>
          <w:noProof/>
        </w:rPr>
      </w:r>
      <w:r w:rsidRPr="004B21E2">
        <w:rPr>
          <w:noProof/>
        </w:rPr>
        <w:fldChar w:fldCharType="separate"/>
      </w:r>
      <w:r w:rsidR="00745273">
        <w:rPr>
          <w:noProof/>
        </w:rPr>
        <w:t>11</w:t>
      </w:r>
      <w:r w:rsidRPr="004B21E2">
        <w:rPr>
          <w:noProof/>
        </w:rPr>
        <w:fldChar w:fldCharType="end"/>
      </w:r>
    </w:p>
    <w:p w14:paraId="43C2DFB0" w14:textId="798C4FFB"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Reviewing and updating AML/CTF policies following independent evaluation</w:t>
      </w:r>
      <w:r w:rsidRPr="004B21E2">
        <w:rPr>
          <w:noProof/>
        </w:rPr>
        <w:tab/>
      </w:r>
      <w:r w:rsidRPr="004B21E2">
        <w:rPr>
          <w:noProof/>
        </w:rPr>
        <w:fldChar w:fldCharType="begin"/>
      </w:r>
      <w:r w:rsidRPr="004B21E2">
        <w:rPr>
          <w:noProof/>
        </w:rPr>
        <w:instrText xml:space="preserve"> PAGEREF _Toc184727327 \h </w:instrText>
      </w:r>
      <w:r w:rsidRPr="004B21E2">
        <w:rPr>
          <w:noProof/>
        </w:rPr>
      </w:r>
      <w:r w:rsidRPr="004B21E2">
        <w:rPr>
          <w:noProof/>
        </w:rPr>
        <w:fldChar w:fldCharType="separate"/>
      </w:r>
      <w:r w:rsidR="00745273">
        <w:rPr>
          <w:noProof/>
        </w:rPr>
        <w:t>12</w:t>
      </w:r>
      <w:r w:rsidRPr="004B21E2">
        <w:rPr>
          <w:noProof/>
        </w:rPr>
        <w:fldChar w:fldCharType="end"/>
      </w:r>
    </w:p>
    <w:p w14:paraId="260C30CA" w14:textId="779A0881"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Fulfilling reporting obligations</w:t>
      </w:r>
      <w:r w:rsidRPr="004B21E2">
        <w:rPr>
          <w:noProof/>
        </w:rPr>
        <w:tab/>
      </w:r>
      <w:r w:rsidRPr="004B21E2">
        <w:rPr>
          <w:noProof/>
        </w:rPr>
        <w:fldChar w:fldCharType="begin"/>
      </w:r>
      <w:r w:rsidRPr="004B21E2">
        <w:rPr>
          <w:noProof/>
        </w:rPr>
        <w:instrText xml:space="preserve"> PAGEREF _Toc184727328 \h </w:instrText>
      </w:r>
      <w:r w:rsidRPr="004B21E2">
        <w:rPr>
          <w:noProof/>
        </w:rPr>
      </w:r>
      <w:r w:rsidRPr="004B21E2">
        <w:rPr>
          <w:noProof/>
        </w:rPr>
        <w:fldChar w:fldCharType="separate"/>
      </w:r>
      <w:r w:rsidR="00745273">
        <w:rPr>
          <w:noProof/>
        </w:rPr>
        <w:t>12</w:t>
      </w:r>
      <w:r w:rsidRPr="004B21E2">
        <w:rPr>
          <w:noProof/>
        </w:rPr>
        <w:fldChar w:fldCharType="end"/>
      </w:r>
    </w:p>
    <w:p w14:paraId="3CB884A8" w14:textId="56EECD68"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Assessment of potential suspicious matters</w:t>
      </w:r>
      <w:r w:rsidRPr="004B21E2">
        <w:rPr>
          <w:noProof/>
        </w:rPr>
        <w:tab/>
      </w:r>
      <w:r w:rsidRPr="004B21E2">
        <w:rPr>
          <w:noProof/>
        </w:rPr>
        <w:fldChar w:fldCharType="begin"/>
      </w:r>
      <w:r w:rsidRPr="004B21E2">
        <w:rPr>
          <w:noProof/>
        </w:rPr>
        <w:instrText xml:space="preserve"> PAGEREF _Toc184727329 \h </w:instrText>
      </w:r>
      <w:r w:rsidRPr="004B21E2">
        <w:rPr>
          <w:noProof/>
        </w:rPr>
      </w:r>
      <w:r w:rsidRPr="004B21E2">
        <w:rPr>
          <w:noProof/>
        </w:rPr>
        <w:fldChar w:fldCharType="separate"/>
      </w:r>
      <w:r w:rsidR="00745273">
        <w:rPr>
          <w:noProof/>
        </w:rPr>
        <w:t>12</w:t>
      </w:r>
      <w:r w:rsidRPr="004B21E2">
        <w:rPr>
          <w:noProof/>
        </w:rPr>
        <w:fldChar w:fldCharType="end"/>
      </w:r>
    </w:p>
    <w:p w14:paraId="0DC6019E" w14:textId="30465C5D"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Requirements for senior manager to give approval or be informed</w:t>
      </w:r>
      <w:r w:rsidRPr="004B21E2">
        <w:rPr>
          <w:noProof/>
        </w:rPr>
        <w:tab/>
      </w:r>
      <w:r w:rsidRPr="004B21E2">
        <w:rPr>
          <w:noProof/>
        </w:rPr>
        <w:fldChar w:fldCharType="begin"/>
      </w:r>
      <w:r w:rsidRPr="004B21E2">
        <w:rPr>
          <w:noProof/>
        </w:rPr>
        <w:instrText xml:space="preserve"> PAGEREF _Toc184727330 \h </w:instrText>
      </w:r>
      <w:r w:rsidRPr="004B21E2">
        <w:rPr>
          <w:noProof/>
        </w:rPr>
      </w:r>
      <w:r w:rsidRPr="004B21E2">
        <w:rPr>
          <w:noProof/>
        </w:rPr>
        <w:fldChar w:fldCharType="separate"/>
      </w:r>
      <w:r w:rsidR="00745273">
        <w:rPr>
          <w:noProof/>
        </w:rPr>
        <w:t>12</w:t>
      </w:r>
      <w:r w:rsidRPr="004B21E2">
        <w:rPr>
          <w:noProof/>
        </w:rPr>
        <w:fldChar w:fldCharType="end"/>
      </w:r>
    </w:p>
    <w:p w14:paraId="0038C30C" w14:textId="69C65978"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Policies relating to the obligations of ordering institutions relating to virtual asset transfers</w:t>
      </w:r>
      <w:r w:rsidRPr="004B21E2">
        <w:rPr>
          <w:noProof/>
        </w:rPr>
        <w:tab/>
      </w:r>
      <w:r w:rsidRPr="004B21E2">
        <w:rPr>
          <w:noProof/>
        </w:rPr>
        <w:fldChar w:fldCharType="begin"/>
      </w:r>
      <w:r w:rsidRPr="004B21E2">
        <w:rPr>
          <w:noProof/>
        </w:rPr>
        <w:instrText xml:space="preserve"> PAGEREF _Toc184727331 \h </w:instrText>
      </w:r>
      <w:r w:rsidRPr="004B21E2">
        <w:rPr>
          <w:noProof/>
        </w:rPr>
      </w:r>
      <w:r w:rsidRPr="004B21E2">
        <w:rPr>
          <w:noProof/>
        </w:rPr>
        <w:fldChar w:fldCharType="separate"/>
      </w:r>
      <w:r w:rsidR="00745273">
        <w:rPr>
          <w:noProof/>
        </w:rPr>
        <w:t>13</w:t>
      </w:r>
      <w:r w:rsidRPr="004B21E2">
        <w:rPr>
          <w:noProof/>
        </w:rPr>
        <w:fldChar w:fldCharType="end"/>
      </w:r>
    </w:p>
    <w:p w14:paraId="1C9F6320" w14:textId="6F5693DA"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Policies relating to the obligations of beneficiary institutions</w:t>
      </w:r>
      <w:r w:rsidRPr="004B21E2">
        <w:rPr>
          <w:noProof/>
        </w:rPr>
        <w:tab/>
      </w:r>
      <w:r w:rsidRPr="004B21E2">
        <w:rPr>
          <w:noProof/>
        </w:rPr>
        <w:fldChar w:fldCharType="begin"/>
      </w:r>
      <w:r w:rsidRPr="004B21E2">
        <w:rPr>
          <w:noProof/>
        </w:rPr>
        <w:instrText xml:space="preserve"> PAGEREF _Toc184727332 \h </w:instrText>
      </w:r>
      <w:r w:rsidRPr="004B21E2">
        <w:rPr>
          <w:noProof/>
        </w:rPr>
      </w:r>
      <w:r w:rsidRPr="004B21E2">
        <w:rPr>
          <w:noProof/>
        </w:rPr>
        <w:fldChar w:fldCharType="separate"/>
      </w:r>
      <w:r w:rsidR="00745273">
        <w:rPr>
          <w:noProof/>
        </w:rPr>
        <w:t>13</w:t>
      </w:r>
      <w:r w:rsidRPr="004B21E2">
        <w:rPr>
          <w:noProof/>
        </w:rPr>
        <w:fldChar w:fldCharType="end"/>
      </w:r>
    </w:p>
    <w:p w14:paraId="29AA8C35" w14:textId="42793D1D"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Policies relating to the obligations of intermediary institutions</w:t>
      </w:r>
      <w:r w:rsidRPr="004B21E2">
        <w:rPr>
          <w:noProof/>
        </w:rPr>
        <w:tab/>
      </w:r>
      <w:r w:rsidRPr="004B21E2">
        <w:rPr>
          <w:noProof/>
        </w:rPr>
        <w:fldChar w:fldCharType="begin"/>
      </w:r>
      <w:r w:rsidRPr="004B21E2">
        <w:rPr>
          <w:noProof/>
        </w:rPr>
        <w:instrText xml:space="preserve"> PAGEREF _Toc184727333 \h </w:instrText>
      </w:r>
      <w:r w:rsidRPr="004B21E2">
        <w:rPr>
          <w:noProof/>
        </w:rPr>
      </w:r>
      <w:r w:rsidRPr="004B21E2">
        <w:rPr>
          <w:noProof/>
        </w:rPr>
        <w:fldChar w:fldCharType="separate"/>
      </w:r>
      <w:r w:rsidR="00745273">
        <w:rPr>
          <w:noProof/>
        </w:rPr>
        <w:t>15</w:t>
      </w:r>
      <w:r w:rsidRPr="004B21E2">
        <w:rPr>
          <w:noProof/>
        </w:rPr>
        <w:fldChar w:fldCharType="end"/>
      </w:r>
    </w:p>
    <w:p w14:paraId="0ED19D5B" w14:textId="3619CB5D"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Division 3—AML/CTF compliance officers</w:t>
      </w:r>
      <w:r w:rsidRPr="004B21E2">
        <w:rPr>
          <w:b w:val="0"/>
          <w:noProof/>
          <w:sz w:val="18"/>
        </w:rPr>
        <w:tab/>
      </w:r>
      <w:r w:rsidRPr="004B21E2">
        <w:rPr>
          <w:b w:val="0"/>
          <w:noProof/>
          <w:sz w:val="18"/>
        </w:rPr>
        <w:fldChar w:fldCharType="begin"/>
      </w:r>
      <w:r w:rsidRPr="004B21E2">
        <w:rPr>
          <w:b w:val="0"/>
          <w:noProof/>
          <w:sz w:val="18"/>
        </w:rPr>
        <w:instrText xml:space="preserve"> PAGEREF _Toc184727334 \h </w:instrText>
      </w:r>
      <w:r w:rsidRPr="004B21E2">
        <w:rPr>
          <w:b w:val="0"/>
          <w:noProof/>
          <w:sz w:val="18"/>
        </w:rPr>
      </w:r>
      <w:r w:rsidRPr="004B21E2">
        <w:rPr>
          <w:b w:val="0"/>
          <w:noProof/>
          <w:sz w:val="18"/>
        </w:rPr>
        <w:fldChar w:fldCharType="separate"/>
      </w:r>
      <w:r w:rsidR="00745273">
        <w:rPr>
          <w:b w:val="0"/>
          <w:noProof/>
          <w:sz w:val="18"/>
        </w:rPr>
        <w:t>16</w:t>
      </w:r>
      <w:r w:rsidRPr="004B21E2">
        <w:rPr>
          <w:b w:val="0"/>
          <w:noProof/>
          <w:sz w:val="18"/>
        </w:rPr>
        <w:fldChar w:fldCharType="end"/>
      </w:r>
    </w:p>
    <w:p w14:paraId="1A8E6635" w14:textId="67429A64"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AML/CTF compliance officer requirements—matters to have regard to in determining whether a fit and proper person</w:t>
      </w:r>
      <w:r w:rsidRPr="004B21E2">
        <w:rPr>
          <w:noProof/>
        </w:rPr>
        <w:tab/>
      </w:r>
      <w:r w:rsidRPr="004B21E2">
        <w:rPr>
          <w:noProof/>
        </w:rPr>
        <w:fldChar w:fldCharType="begin"/>
      </w:r>
      <w:r w:rsidRPr="004B21E2">
        <w:rPr>
          <w:noProof/>
        </w:rPr>
        <w:instrText xml:space="preserve"> PAGEREF _Toc184727335 \h </w:instrText>
      </w:r>
      <w:r w:rsidRPr="004B21E2">
        <w:rPr>
          <w:noProof/>
        </w:rPr>
      </w:r>
      <w:r w:rsidRPr="004B21E2">
        <w:rPr>
          <w:noProof/>
        </w:rPr>
        <w:fldChar w:fldCharType="separate"/>
      </w:r>
      <w:r w:rsidR="00745273">
        <w:rPr>
          <w:noProof/>
        </w:rPr>
        <w:t>16</w:t>
      </w:r>
      <w:r w:rsidRPr="004B21E2">
        <w:rPr>
          <w:noProof/>
        </w:rPr>
        <w:fldChar w:fldCharType="end"/>
      </w:r>
    </w:p>
    <w:p w14:paraId="63F3B0EE" w14:textId="3D9FEC62"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Division 4—AML/CTF program documentation</w:t>
      </w:r>
      <w:r w:rsidRPr="004B21E2">
        <w:rPr>
          <w:b w:val="0"/>
          <w:noProof/>
          <w:sz w:val="18"/>
        </w:rPr>
        <w:tab/>
      </w:r>
      <w:r w:rsidRPr="004B21E2">
        <w:rPr>
          <w:b w:val="0"/>
          <w:noProof/>
          <w:sz w:val="18"/>
        </w:rPr>
        <w:fldChar w:fldCharType="begin"/>
      </w:r>
      <w:r w:rsidRPr="004B21E2">
        <w:rPr>
          <w:b w:val="0"/>
          <w:noProof/>
          <w:sz w:val="18"/>
        </w:rPr>
        <w:instrText xml:space="preserve"> PAGEREF _Toc184727336 \h </w:instrText>
      </w:r>
      <w:r w:rsidRPr="004B21E2">
        <w:rPr>
          <w:b w:val="0"/>
          <w:noProof/>
          <w:sz w:val="18"/>
        </w:rPr>
      </w:r>
      <w:r w:rsidRPr="004B21E2">
        <w:rPr>
          <w:b w:val="0"/>
          <w:noProof/>
          <w:sz w:val="18"/>
        </w:rPr>
        <w:fldChar w:fldCharType="separate"/>
      </w:r>
      <w:r w:rsidR="00745273">
        <w:rPr>
          <w:b w:val="0"/>
          <w:noProof/>
          <w:sz w:val="18"/>
        </w:rPr>
        <w:t>17</w:t>
      </w:r>
      <w:r w:rsidRPr="004B21E2">
        <w:rPr>
          <w:b w:val="0"/>
          <w:noProof/>
          <w:sz w:val="18"/>
        </w:rPr>
        <w:fldChar w:fldCharType="end"/>
      </w:r>
    </w:p>
    <w:p w14:paraId="16D784B6" w14:textId="140FA85E"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Time period for AML/CTF program documentation</w:t>
      </w:r>
      <w:r w:rsidRPr="004B21E2">
        <w:rPr>
          <w:noProof/>
        </w:rPr>
        <w:tab/>
      </w:r>
      <w:r w:rsidRPr="004B21E2">
        <w:rPr>
          <w:noProof/>
        </w:rPr>
        <w:fldChar w:fldCharType="begin"/>
      </w:r>
      <w:r w:rsidRPr="004B21E2">
        <w:rPr>
          <w:noProof/>
        </w:rPr>
        <w:instrText xml:space="preserve"> PAGEREF _Toc184727337 \h </w:instrText>
      </w:r>
      <w:r w:rsidRPr="004B21E2">
        <w:rPr>
          <w:noProof/>
        </w:rPr>
      </w:r>
      <w:r w:rsidRPr="004B21E2">
        <w:rPr>
          <w:noProof/>
        </w:rPr>
        <w:fldChar w:fldCharType="separate"/>
      </w:r>
      <w:r w:rsidR="00745273">
        <w:rPr>
          <w:noProof/>
        </w:rPr>
        <w:t>17</w:t>
      </w:r>
      <w:r w:rsidRPr="004B21E2">
        <w:rPr>
          <w:noProof/>
        </w:rPr>
        <w:fldChar w:fldCharType="end"/>
      </w:r>
    </w:p>
    <w:p w14:paraId="650B0352" w14:textId="17D198BA" w:rsidR="004B21E2" w:rsidRDefault="004B21E2">
      <w:pPr>
        <w:pStyle w:val="TOC2"/>
        <w:rPr>
          <w:rFonts w:asciiTheme="minorHAnsi" w:eastAsiaTheme="minorEastAsia" w:hAnsiTheme="minorHAnsi" w:cstheme="minorBidi"/>
          <w:b w:val="0"/>
          <w:noProof/>
          <w:kern w:val="2"/>
          <w:szCs w:val="24"/>
          <w14:ligatures w14:val="standardContextual"/>
        </w:rPr>
      </w:pPr>
      <w:r>
        <w:rPr>
          <w:noProof/>
        </w:rPr>
        <w:t>Part 5—Customer due diligence</w:t>
      </w:r>
      <w:r w:rsidRPr="004B21E2">
        <w:rPr>
          <w:b w:val="0"/>
          <w:noProof/>
          <w:sz w:val="18"/>
        </w:rPr>
        <w:tab/>
      </w:r>
      <w:r w:rsidRPr="004B21E2">
        <w:rPr>
          <w:b w:val="0"/>
          <w:noProof/>
          <w:sz w:val="18"/>
        </w:rPr>
        <w:fldChar w:fldCharType="begin"/>
      </w:r>
      <w:r w:rsidRPr="004B21E2">
        <w:rPr>
          <w:b w:val="0"/>
          <w:noProof/>
          <w:sz w:val="18"/>
        </w:rPr>
        <w:instrText xml:space="preserve"> PAGEREF _Toc184727338 \h </w:instrText>
      </w:r>
      <w:r w:rsidRPr="004B21E2">
        <w:rPr>
          <w:b w:val="0"/>
          <w:noProof/>
          <w:sz w:val="18"/>
        </w:rPr>
      </w:r>
      <w:r w:rsidRPr="004B21E2">
        <w:rPr>
          <w:b w:val="0"/>
          <w:noProof/>
          <w:sz w:val="18"/>
        </w:rPr>
        <w:fldChar w:fldCharType="separate"/>
      </w:r>
      <w:r w:rsidR="00745273">
        <w:rPr>
          <w:b w:val="0"/>
          <w:noProof/>
          <w:sz w:val="18"/>
        </w:rPr>
        <w:t>18</w:t>
      </w:r>
      <w:r w:rsidRPr="004B21E2">
        <w:rPr>
          <w:b w:val="0"/>
          <w:noProof/>
          <w:sz w:val="18"/>
        </w:rPr>
        <w:fldChar w:fldCharType="end"/>
      </w:r>
    </w:p>
    <w:p w14:paraId="728B4C62" w14:textId="59660603"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Division 1—Matters to be established in initial customer due diligence</w:t>
      </w:r>
      <w:r w:rsidRPr="004B21E2">
        <w:rPr>
          <w:b w:val="0"/>
          <w:noProof/>
          <w:sz w:val="18"/>
        </w:rPr>
        <w:tab/>
      </w:r>
      <w:r w:rsidRPr="004B21E2">
        <w:rPr>
          <w:b w:val="0"/>
          <w:noProof/>
          <w:sz w:val="18"/>
        </w:rPr>
        <w:fldChar w:fldCharType="begin"/>
      </w:r>
      <w:r w:rsidRPr="004B21E2">
        <w:rPr>
          <w:b w:val="0"/>
          <w:noProof/>
          <w:sz w:val="18"/>
        </w:rPr>
        <w:instrText xml:space="preserve"> PAGEREF _Toc184727339 \h </w:instrText>
      </w:r>
      <w:r w:rsidRPr="004B21E2">
        <w:rPr>
          <w:b w:val="0"/>
          <w:noProof/>
          <w:sz w:val="18"/>
        </w:rPr>
      </w:r>
      <w:r w:rsidRPr="004B21E2">
        <w:rPr>
          <w:b w:val="0"/>
          <w:noProof/>
          <w:sz w:val="18"/>
        </w:rPr>
        <w:fldChar w:fldCharType="separate"/>
      </w:r>
      <w:r w:rsidR="00745273">
        <w:rPr>
          <w:b w:val="0"/>
          <w:noProof/>
          <w:sz w:val="18"/>
        </w:rPr>
        <w:t>18</w:t>
      </w:r>
      <w:r w:rsidRPr="004B21E2">
        <w:rPr>
          <w:b w:val="0"/>
          <w:noProof/>
          <w:sz w:val="18"/>
        </w:rPr>
        <w:fldChar w:fldCharType="end"/>
      </w:r>
    </w:p>
    <w:p w14:paraId="64FE4582" w14:textId="651256ED"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Establishing the identity of the customer—individuals (accounts and transfer of value)</w:t>
      </w:r>
      <w:r w:rsidRPr="004B21E2">
        <w:rPr>
          <w:noProof/>
        </w:rPr>
        <w:tab/>
      </w:r>
      <w:r w:rsidRPr="004B21E2">
        <w:rPr>
          <w:noProof/>
        </w:rPr>
        <w:fldChar w:fldCharType="begin"/>
      </w:r>
      <w:r w:rsidRPr="004B21E2">
        <w:rPr>
          <w:noProof/>
        </w:rPr>
        <w:instrText xml:space="preserve"> PAGEREF _Toc184727340 \h </w:instrText>
      </w:r>
      <w:r w:rsidRPr="004B21E2">
        <w:rPr>
          <w:noProof/>
        </w:rPr>
      </w:r>
      <w:r w:rsidRPr="004B21E2">
        <w:rPr>
          <w:noProof/>
        </w:rPr>
        <w:fldChar w:fldCharType="separate"/>
      </w:r>
      <w:r w:rsidR="00745273">
        <w:rPr>
          <w:noProof/>
        </w:rPr>
        <w:t>18</w:t>
      </w:r>
      <w:r w:rsidRPr="004B21E2">
        <w:rPr>
          <w:noProof/>
        </w:rPr>
        <w:fldChar w:fldCharType="end"/>
      </w:r>
    </w:p>
    <w:p w14:paraId="09BD7A73" w14:textId="3A234476"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Establishing the identity of the customer—businesses</w:t>
      </w:r>
      <w:r w:rsidRPr="004B21E2">
        <w:rPr>
          <w:noProof/>
        </w:rPr>
        <w:tab/>
      </w:r>
      <w:r w:rsidRPr="004B21E2">
        <w:rPr>
          <w:noProof/>
        </w:rPr>
        <w:fldChar w:fldCharType="begin"/>
      </w:r>
      <w:r w:rsidRPr="004B21E2">
        <w:rPr>
          <w:noProof/>
        </w:rPr>
        <w:instrText xml:space="preserve"> PAGEREF _Toc184727341 \h </w:instrText>
      </w:r>
      <w:r w:rsidRPr="004B21E2">
        <w:rPr>
          <w:noProof/>
        </w:rPr>
      </w:r>
      <w:r w:rsidRPr="004B21E2">
        <w:rPr>
          <w:noProof/>
        </w:rPr>
        <w:fldChar w:fldCharType="separate"/>
      </w:r>
      <w:r w:rsidR="00745273">
        <w:rPr>
          <w:noProof/>
        </w:rPr>
        <w:t>18</w:t>
      </w:r>
      <w:r w:rsidRPr="004B21E2">
        <w:rPr>
          <w:noProof/>
        </w:rPr>
        <w:fldChar w:fldCharType="end"/>
      </w:r>
    </w:p>
    <w:p w14:paraId="450F48AC" w14:textId="679BC5B3"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Additional matters for initial customer due diligence</w:t>
      </w:r>
      <w:r w:rsidRPr="004B21E2">
        <w:rPr>
          <w:noProof/>
        </w:rPr>
        <w:tab/>
      </w:r>
      <w:r w:rsidRPr="004B21E2">
        <w:rPr>
          <w:noProof/>
        </w:rPr>
        <w:fldChar w:fldCharType="begin"/>
      </w:r>
      <w:r w:rsidRPr="004B21E2">
        <w:rPr>
          <w:noProof/>
        </w:rPr>
        <w:instrText xml:space="preserve"> PAGEREF _Toc184727342 \h </w:instrText>
      </w:r>
      <w:r w:rsidRPr="004B21E2">
        <w:rPr>
          <w:noProof/>
        </w:rPr>
      </w:r>
      <w:r w:rsidRPr="004B21E2">
        <w:rPr>
          <w:noProof/>
        </w:rPr>
        <w:fldChar w:fldCharType="separate"/>
      </w:r>
      <w:r w:rsidR="00745273">
        <w:rPr>
          <w:noProof/>
        </w:rPr>
        <w:t>19</w:t>
      </w:r>
      <w:r w:rsidRPr="004B21E2">
        <w:rPr>
          <w:noProof/>
        </w:rPr>
        <w:fldChar w:fldCharType="end"/>
      </w:r>
    </w:p>
    <w:p w14:paraId="7663BF7B" w14:textId="35DA85E7"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Establishing the identity of any person on whose behalf the customer is receiving the designated service—class of beneficiary</w:t>
      </w:r>
      <w:r w:rsidRPr="004B21E2">
        <w:rPr>
          <w:noProof/>
        </w:rPr>
        <w:tab/>
      </w:r>
      <w:r w:rsidRPr="004B21E2">
        <w:rPr>
          <w:noProof/>
        </w:rPr>
        <w:fldChar w:fldCharType="begin"/>
      </w:r>
      <w:r w:rsidRPr="004B21E2">
        <w:rPr>
          <w:noProof/>
        </w:rPr>
        <w:instrText xml:space="preserve"> PAGEREF _Toc184727343 \h </w:instrText>
      </w:r>
      <w:r w:rsidRPr="004B21E2">
        <w:rPr>
          <w:noProof/>
        </w:rPr>
      </w:r>
      <w:r w:rsidRPr="004B21E2">
        <w:rPr>
          <w:noProof/>
        </w:rPr>
        <w:fldChar w:fldCharType="separate"/>
      </w:r>
      <w:r w:rsidR="00745273">
        <w:rPr>
          <w:noProof/>
        </w:rPr>
        <w:t>19</w:t>
      </w:r>
      <w:r w:rsidRPr="004B21E2">
        <w:rPr>
          <w:noProof/>
        </w:rPr>
        <w:fldChar w:fldCharType="end"/>
      </w:r>
    </w:p>
    <w:p w14:paraId="6BB5B915" w14:textId="5AC4FAF7"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Establishing the identity of agents, beneficial owners etc.</w:t>
      </w:r>
      <w:r w:rsidRPr="004B21E2">
        <w:rPr>
          <w:noProof/>
        </w:rPr>
        <w:tab/>
      </w:r>
      <w:r w:rsidRPr="004B21E2">
        <w:rPr>
          <w:noProof/>
        </w:rPr>
        <w:fldChar w:fldCharType="begin"/>
      </w:r>
      <w:r w:rsidRPr="004B21E2">
        <w:rPr>
          <w:noProof/>
        </w:rPr>
        <w:instrText xml:space="preserve"> PAGEREF _Toc184727344 \h </w:instrText>
      </w:r>
      <w:r w:rsidRPr="004B21E2">
        <w:rPr>
          <w:noProof/>
        </w:rPr>
      </w:r>
      <w:r w:rsidRPr="004B21E2">
        <w:rPr>
          <w:noProof/>
        </w:rPr>
        <w:fldChar w:fldCharType="separate"/>
      </w:r>
      <w:r w:rsidR="00745273">
        <w:rPr>
          <w:noProof/>
        </w:rPr>
        <w:t>20</w:t>
      </w:r>
      <w:r w:rsidRPr="004B21E2">
        <w:rPr>
          <w:noProof/>
        </w:rPr>
        <w:fldChar w:fldCharType="end"/>
      </w:r>
    </w:p>
    <w:p w14:paraId="358A4DF2" w14:textId="19904DFE"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2—Exemptions from initial customer due diligence</w:t>
      </w:r>
      <w:r w:rsidRPr="004B21E2">
        <w:rPr>
          <w:b w:val="0"/>
          <w:noProof/>
          <w:sz w:val="18"/>
        </w:rPr>
        <w:tab/>
      </w:r>
      <w:r w:rsidRPr="004B21E2">
        <w:rPr>
          <w:b w:val="0"/>
          <w:noProof/>
          <w:sz w:val="18"/>
        </w:rPr>
        <w:fldChar w:fldCharType="begin"/>
      </w:r>
      <w:r w:rsidRPr="004B21E2">
        <w:rPr>
          <w:b w:val="0"/>
          <w:noProof/>
          <w:sz w:val="18"/>
        </w:rPr>
        <w:instrText xml:space="preserve"> PAGEREF _Toc184727345 \h </w:instrText>
      </w:r>
      <w:r w:rsidRPr="004B21E2">
        <w:rPr>
          <w:b w:val="0"/>
          <w:noProof/>
          <w:sz w:val="18"/>
        </w:rPr>
      </w:r>
      <w:r w:rsidRPr="004B21E2">
        <w:rPr>
          <w:b w:val="0"/>
          <w:noProof/>
          <w:sz w:val="18"/>
        </w:rPr>
        <w:fldChar w:fldCharType="separate"/>
      </w:r>
      <w:r w:rsidR="00745273">
        <w:rPr>
          <w:b w:val="0"/>
          <w:noProof/>
          <w:sz w:val="18"/>
        </w:rPr>
        <w:t>21</w:t>
      </w:r>
      <w:r w:rsidRPr="004B21E2">
        <w:rPr>
          <w:b w:val="0"/>
          <w:noProof/>
          <w:sz w:val="18"/>
        </w:rPr>
        <w:fldChar w:fldCharType="end"/>
      </w:r>
    </w:p>
    <w:p w14:paraId="15DD055F" w14:textId="12E8AC7A"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Exemption from initial customer due diligence (delayed verification)—opening an account and deposit</w:t>
      </w:r>
      <w:r w:rsidRPr="004B21E2">
        <w:rPr>
          <w:noProof/>
        </w:rPr>
        <w:tab/>
      </w:r>
      <w:r w:rsidRPr="004B21E2">
        <w:rPr>
          <w:noProof/>
        </w:rPr>
        <w:fldChar w:fldCharType="begin"/>
      </w:r>
      <w:r w:rsidRPr="004B21E2">
        <w:rPr>
          <w:noProof/>
        </w:rPr>
        <w:instrText xml:space="preserve"> PAGEREF _Toc184727346 \h </w:instrText>
      </w:r>
      <w:r w:rsidRPr="004B21E2">
        <w:rPr>
          <w:noProof/>
        </w:rPr>
      </w:r>
      <w:r w:rsidRPr="004B21E2">
        <w:rPr>
          <w:noProof/>
        </w:rPr>
        <w:fldChar w:fldCharType="separate"/>
      </w:r>
      <w:r w:rsidR="00745273">
        <w:rPr>
          <w:noProof/>
        </w:rPr>
        <w:t>21</w:t>
      </w:r>
      <w:r w:rsidRPr="004B21E2">
        <w:rPr>
          <w:noProof/>
        </w:rPr>
        <w:fldChar w:fldCharType="end"/>
      </w:r>
    </w:p>
    <w:p w14:paraId="5B23D9CA" w14:textId="0544FD29"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Exemption from initial customer due diligence (delayed verification)—certain financial markets transactions</w:t>
      </w:r>
      <w:r w:rsidRPr="004B21E2">
        <w:rPr>
          <w:noProof/>
        </w:rPr>
        <w:tab/>
      </w:r>
      <w:r w:rsidRPr="004B21E2">
        <w:rPr>
          <w:noProof/>
        </w:rPr>
        <w:fldChar w:fldCharType="begin"/>
      </w:r>
      <w:r w:rsidRPr="004B21E2">
        <w:rPr>
          <w:noProof/>
        </w:rPr>
        <w:instrText xml:space="preserve"> PAGEREF _Toc184727347 \h </w:instrText>
      </w:r>
      <w:r w:rsidRPr="004B21E2">
        <w:rPr>
          <w:noProof/>
        </w:rPr>
      </w:r>
      <w:r w:rsidRPr="004B21E2">
        <w:rPr>
          <w:noProof/>
        </w:rPr>
        <w:fldChar w:fldCharType="separate"/>
      </w:r>
      <w:r w:rsidR="00745273">
        <w:rPr>
          <w:noProof/>
        </w:rPr>
        <w:t>21</w:t>
      </w:r>
      <w:r w:rsidRPr="004B21E2">
        <w:rPr>
          <w:noProof/>
        </w:rPr>
        <w:fldChar w:fldCharType="end"/>
      </w:r>
    </w:p>
    <w:p w14:paraId="0966F0C7" w14:textId="124D7E4D"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Exemption from initial customer due diligence (politically exposed persons and sanctions)—service provided in Australia</w:t>
      </w:r>
      <w:r w:rsidRPr="004B21E2">
        <w:rPr>
          <w:noProof/>
        </w:rPr>
        <w:tab/>
      </w:r>
      <w:r w:rsidRPr="004B21E2">
        <w:rPr>
          <w:noProof/>
        </w:rPr>
        <w:fldChar w:fldCharType="begin"/>
      </w:r>
      <w:r w:rsidRPr="004B21E2">
        <w:rPr>
          <w:noProof/>
        </w:rPr>
        <w:instrText xml:space="preserve"> PAGEREF _Toc184727348 \h </w:instrText>
      </w:r>
      <w:r w:rsidRPr="004B21E2">
        <w:rPr>
          <w:noProof/>
        </w:rPr>
      </w:r>
      <w:r w:rsidRPr="004B21E2">
        <w:rPr>
          <w:noProof/>
        </w:rPr>
        <w:fldChar w:fldCharType="separate"/>
      </w:r>
      <w:r w:rsidR="00745273">
        <w:rPr>
          <w:noProof/>
        </w:rPr>
        <w:t>22</w:t>
      </w:r>
      <w:r w:rsidRPr="004B21E2">
        <w:rPr>
          <w:noProof/>
        </w:rPr>
        <w:fldChar w:fldCharType="end"/>
      </w:r>
    </w:p>
    <w:p w14:paraId="4D2FC654" w14:textId="2398BBC9"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Exemption from initial customer due diligence (delayed verification)—service provided in foreign country</w:t>
      </w:r>
      <w:r w:rsidRPr="004B21E2">
        <w:rPr>
          <w:noProof/>
        </w:rPr>
        <w:tab/>
      </w:r>
      <w:r w:rsidRPr="004B21E2">
        <w:rPr>
          <w:noProof/>
        </w:rPr>
        <w:fldChar w:fldCharType="begin"/>
      </w:r>
      <w:r w:rsidRPr="004B21E2">
        <w:rPr>
          <w:noProof/>
        </w:rPr>
        <w:instrText xml:space="preserve"> PAGEREF _Toc184727349 \h </w:instrText>
      </w:r>
      <w:r w:rsidRPr="004B21E2">
        <w:rPr>
          <w:noProof/>
        </w:rPr>
      </w:r>
      <w:r w:rsidRPr="004B21E2">
        <w:rPr>
          <w:noProof/>
        </w:rPr>
        <w:fldChar w:fldCharType="separate"/>
      </w:r>
      <w:r w:rsidR="00745273">
        <w:rPr>
          <w:noProof/>
        </w:rPr>
        <w:t>22</w:t>
      </w:r>
      <w:r w:rsidRPr="004B21E2">
        <w:rPr>
          <w:noProof/>
        </w:rPr>
        <w:fldChar w:fldCharType="end"/>
      </w:r>
    </w:p>
    <w:p w14:paraId="3CD85BA8" w14:textId="1360226F"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Division 3—Simplified and enhanced customer due diligence</w:t>
      </w:r>
      <w:r w:rsidRPr="004B21E2">
        <w:rPr>
          <w:b w:val="0"/>
          <w:noProof/>
          <w:sz w:val="18"/>
        </w:rPr>
        <w:tab/>
      </w:r>
      <w:r w:rsidRPr="004B21E2">
        <w:rPr>
          <w:b w:val="0"/>
          <w:noProof/>
          <w:sz w:val="18"/>
        </w:rPr>
        <w:fldChar w:fldCharType="begin"/>
      </w:r>
      <w:r w:rsidRPr="004B21E2">
        <w:rPr>
          <w:b w:val="0"/>
          <w:noProof/>
          <w:sz w:val="18"/>
        </w:rPr>
        <w:instrText xml:space="preserve"> PAGEREF _Toc184727350 \h </w:instrText>
      </w:r>
      <w:r w:rsidRPr="004B21E2">
        <w:rPr>
          <w:b w:val="0"/>
          <w:noProof/>
          <w:sz w:val="18"/>
        </w:rPr>
      </w:r>
      <w:r w:rsidRPr="004B21E2">
        <w:rPr>
          <w:b w:val="0"/>
          <w:noProof/>
          <w:sz w:val="18"/>
        </w:rPr>
        <w:fldChar w:fldCharType="separate"/>
      </w:r>
      <w:r w:rsidR="00745273">
        <w:rPr>
          <w:b w:val="0"/>
          <w:noProof/>
          <w:sz w:val="18"/>
        </w:rPr>
        <w:t>24</w:t>
      </w:r>
      <w:r w:rsidRPr="004B21E2">
        <w:rPr>
          <w:b w:val="0"/>
          <w:noProof/>
          <w:sz w:val="18"/>
        </w:rPr>
        <w:fldChar w:fldCharType="end"/>
      </w:r>
    </w:p>
    <w:p w14:paraId="53411F63" w14:textId="5FCC1D33"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Simplified customer due diligence requirements</w:t>
      </w:r>
      <w:r w:rsidRPr="004B21E2">
        <w:rPr>
          <w:noProof/>
        </w:rPr>
        <w:tab/>
      </w:r>
      <w:r w:rsidRPr="004B21E2">
        <w:rPr>
          <w:noProof/>
        </w:rPr>
        <w:fldChar w:fldCharType="begin"/>
      </w:r>
      <w:r w:rsidRPr="004B21E2">
        <w:rPr>
          <w:noProof/>
        </w:rPr>
        <w:instrText xml:space="preserve"> PAGEREF _Toc184727351 \h </w:instrText>
      </w:r>
      <w:r w:rsidRPr="004B21E2">
        <w:rPr>
          <w:noProof/>
        </w:rPr>
      </w:r>
      <w:r w:rsidRPr="004B21E2">
        <w:rPr>
          <w:noProof/>
        </w:rPr>
        <w:fldChar w:fldCharType="separate"/>
      </w:r>
      <w:r w:rsidR="00745273">
        <w:rPr>
          <w:noProof/>
        </w:rPr>
        <w:t>24</w:t>
      </w:r>
      <w:r w:rsidRPr="004B21E2">
        <w:rPr>
          <w:noProof/>
        </w:rPr>
        <w:fldChar w:fldCharType="end"/>
      </w:r>
    </w:p>
    <w:p w14:paraId="045DED43" w14:textId="0A8A34B1"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Customers for whom enhanced customer due diligence is required</w:t>
      </w:r>
      <w:r w:rsidRPr="004B21E2">
        <w:rPr>
          <w:noProof/>
        </w:rPr>
        <w:tab/>
      </w:r>
      <w:r w:rsidRPr="004B21E2">
        <w:rPr>
          <w:noProof/>
        </w:rPr>
        <w:fldChar w:fldCharType="begin"/>
      </w:r>
      <w:r w:rsidRPr="004B21E2">
        <w:rPr>
          <w:noProof/>
        </w:rPr>
        <w:instrText xml:space="preserve"> PAGEREF _Toc184727352 \h </w:instrText>
      </w:r>
      <w:r w:rsidRPr="004B21E2">
        <w:rPr>
          <w:noProof/>
        </w:rPr>
      </w:r>
      <w:r w:rsidRPr="004B21E2">
        <w:rPr>
          <w:noProof/>
        </w:rPr>
        <w:fldChar w:fldCharType="separate"/>
      </w:r>
      <w:r w:rsidR="00745273">
        <w:rPr>
          <w:noProof/>
        </w:rPr>
        <w:t>24</w:t>
      </w:r>
      <w:r w:rsidRPr="004B21E2">
        <w:rPr>
          <w:noProof/>
        </w:rPr>
        <w:fldChar w:fldCharType="end"/>
      </w:r>
    </w:p>
    <w:p w14:paraId="2263E414" w14:textId="658ACFAE"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Division 4—Deemed compliance</w:t>
      </w:r>
      <w:r w:rsidRPr="004B21E2">
        <w:rPr>
          <w:b w:val="0"/>
          <w:noProof/>
          <w:sz w:val="18"/>
        </w:rPr>
        <w:tab/>
      </w:r>
      <w:r w:rsidRPr="004B21E2">
        <w:rPr>
          <w:b w:val="0"/>
          <w:noProof/>
          <w:sz w:val="18"/>
        </w:rPr>
        <w:fldChar w:fldCharType="begin"/>
      </w:r>
      <w:r w:rsidRPr="004B21E2">
        <w:rPr>
          <w:b w:val="0"/>
          <w:noProof/>
          <w:sz w:val="18"/>
        </w:rPr>
        <w:instrText xml:space="preserve"> PAGEREF _Toc184727353 \h </w:instrText>
      </w:r>
      <w:r w:rsidRPr="004B21E2">
        <w:rPr>
          <w:b w:val="0"/>
          <w:noProof/>
          <w:sz w:val="18"/>
        </w:rPr>
      </w:r>
      <w:r w:rsidRPr="004B21E2">
        <w:rPr>
          <w:b w:val="0"/>
          <w:noProof/>
          <w:sz w:val="18"/>
        </w:rPr>
        <w:fldChar w:fldCharType="separate"/>
      </w:r>
      <w:r w:rsidR="00745273">
        <w:rPr>
          <w:b w:val="0"/>
          <w:noProof/>
          <w:sz w:val="18"/>
        </w:rPr>
        <w:t>25</w:t>
      </w:r>
      <w:r w:rsidRPr="004B21E2">
        <w:rPr>
          <w:b w:val="0"/>
          <w:noProof/>
          <w:sz w:val="18"/>
        </w:rPr>
        <w:fldChar w:fldCharType="end"/>
      </w:r>
    </w:p>
    <w:p w14:paraId="6D31AAB4" w14:textId="669A9419"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Deemed compliance with initial customer due diligence—previous carrying out of applicable customer identification procedure</w:t>
      </w:r>
      <w:r w:rsidRPr="004B21E2">
        <w:rPr>
          <w:noProof/>
        </w:rPr>
        <w:tab/>
      </w:r>
      <w:r w:rsidRPr="004B21E2">
        <w:rPr>
          <w:noProof/>
        </w:rPr>
        <w:fldChar w:fldCharType="begin"/>
      </w:r>
      <w:r w:rsidRPr="004B21E2">
        <w:rPr>
          <w:noProof/>
        </w:rPr>
        <w:instrText xml:space="preserve"> PAGEREF _Toc184727354 \h </w:instrText>
      </w:r>
      <w:r w:rsidRPr="004B21E2">
        <w:rPr>
          <w:noProof/>
        </w:rPr>
      </w:r>
      <w:r w:rsidRPr="004B21E2">
        <w:rPr>
          <w:noProof/>
        </w:rPr>
        <w:fldChar w:fldCharType="separate"/>
      </w:r>
      <w:r w:rsidR="00745273">
        <w:rPr>
          <w:noProof/>
        </w:rPr>
        <w:t>25</w:t>
      </w:r>
      <w:r w:rsidRPr="004B21E2">
        <w:rPr>
          <w:noProof/>
        </w:rPr>
        <w:fldChar w:fldCharType="end"/>
      </w:r>
    </w:p>
    <w:p w14:paraId="256EBA9F" w14:textId="04047D68"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Deemed compliance with initial customer due diligence—previous compliance in a foreign country</w:t>
      </w:r>
      <w:r w:rsidRPr="004B21E2">
        <w:rPr>
          <w:noProof/>
        </w:rPr>
        <w:tab/>
      </w:r>
      <w:r w:rsidRPr="004B21E2">
        <w:rPr>
          <w:noProof/>
        </w:rPr>
        <w:fldChar w:fldCharType="begin"/>
      </w:r>
      <w:r w:rsidRPr="004B21E2">
        <w:rPr>
          <w:noProof/>
        </w:rPr>
        <w:instrText xml:space="preserve"> PAGEREF _Toc184727355 \h </w:instrText>
      </w:r>
      <w:r w:rsidRPr="004B21E2">
        <w:rPr>
          <w:noProof/>
        </w:rPr>
      </w:r>
      <w:r w:rsidRPr="004B21E2">
        <w:rPr>
          <w:noProof/>
        </w:rPr>
        <w:fldChar w:fldCharType="separate"/>
      </w:r>
      <w:r w:rsidR="00745273">
        <w:rPr>
          <w:noProof/>
        </w:rPr>
        <w:t>25</w:t>
      </w:r>
      <w:r w:rsidRPr="004B21E2">
        <w:rPr>
          <w:noProof/>
        </w:rPr>
        <w:fldChar w:fldCharType="end"/>
      </w:r>
    </w:p>
    <w:p w14:paraId="23FA29B9" w14:textId="62641B40"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Deemed compliance with initial customer due diligence—customer cannot provide satisfactory evidence</w:t>
      </w:r>
      <w:r w:rsidRPr="004B21E2">
        <w:rPr>
          <w:noProof/>
        </w:rPr>
        <w:tab/>
      </w:r>
      <w:r w:rsidRPr="004B21E2">
        <w:rPr>
          <w:noProof/>
        </w:rPr>
        <w:fldChar w:fldCharType="begin"/>
      </w:r>
      <w:r w:rsidRPr="004B21E2">
        <w:rPr>
          <w:noProof/>
        </w:rPr>
        <w:instrText xml:space="preserve"> PAGEREF _Toc184727356 \h </w:instrText>
      </w:r>
      <w:r w:rsidRPr="004B21E2">
        <w:rPr>
          <w:noProof/>
        </w:rPr>
      </w:r>
      <w:r w:rsidRPr="004B21E2">
        <w:rPr>
          <w:noProof/>
        </w:rPr>
        <w:fldChar w:fldCharType="separate"/>
      </w:r>
      <w:r w:rsidR="00745273">
        <w:rPr>
          <w:noProof/>
        </w:rPr>
        <w:t>25</w:t>
      </w:r>
      <w:r w:rsidRPr="004B21E2">
        <w:rPr>
          <w:noProof/>
        </w:rPr>
        <w:fldChar w:fldCharType="end"/>
      </w:r>
    </w:p>
    <w:p w14:paraId="4F1F6E61" w14:textId="1673EDC9"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Deemed compliance with ongoing customer due diligence—monitoring of transactions and behaviours</w:t>
      </w:r>
      <w:r w:rsidRPr="004B21E2">
        <w:rPr>
          <w:noProof/>
        </w:rPr>
        <w:tab/>
      </w:r>
      <w:r w:rsidRPr="004B21E2">
        <w:rPr>
          <w:noProof/>
        </w:rPr>
        <w:fldChar w:fldCharType="begin"/>
      </w:r>
      <w:r w:rsidRPr="004B21E2">
        <w:rPr>
          <w:noProof/>
        </w:rPr>
        <w:instrText xml:space="preserve"> PAGEREF _Toc184727357 \h </w:instrText>
      </w:r>
      <w:r w:rsidRPr="004B21E2">
        <w:rPr>
          <w:noProof/>
        </w:rPr>
      </w:r>
      <w:r w:rsidRPr="004B21E2">
        <w:rPr>
          <w:noProof/>
        </w:rPr>
        <w:fldChar w:fldCharType="separate"/>
      </w:r>
      <w:r w:rsidR="00745273">
        <w:rPr>
          <w:noProof/>
        </w:rPr>
        <w:t>26</w:t>
      </w:r>
      <w:r w:rsidRPr="004B21E2">
        <w:rPr>
          <w:noProof/>
        </w:rPr>
        <w:fldChar w:fldCharType="end"/>
      </w:r>
    </w:p>
    <w:p w14:paraId="03DA66B8" w14:textId="61C956EC"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Division 5—Politically exposed persons</w:t>
      </w:r>
      <w:r w:rsidRPr="004B21E2">
        <w:rPr>
          <w:b w:val="0"/>
          <w:noProof/>
          <w:sz w:val="18"/>
        </w:rPr>
        <w:tab/>
      </w:r>
      <w:r w:rsidRPr="004B21E2">
        <w:rPr>
          <w:b w:val="0"/>
          <w:noProof/>
          <w:sz w:val="18"/>
        </w:rPr>
        <w:fldChar w:fldCharType="begin"/>
      </w:r>
      <w:r w:rsidRPr="004B21E2">
        <w:rPr>
          <w:b w:val="0"/>
          <w:noProof/>
          <w:sz w:val="18"/>
        </w:rPr>
        <w:instrText xml:space="preserve"> PAGEREF _Toc184727358 \h </w:instrText>
      </w:r>
      <w:r w:rsidRPr="004B21E2">
        <w:rPr>
          <w:b w:val="0"/>
          <w:noProof/>
          <w:sz w:val="18"/>
        </w:rPr>
      </w:r>
      <w:r w:rsidRPr="004B21E2">
        <w:rPr>
          <w:b w:val="0"/>
          <w:noProof/>
          <w:sz w:val="18"/>
        </w:rPr>
        <w:fldChar w:fldCharType="separate"/>
      </w:r>
      <w:r w:rsidR="00745273">
        <w:rPr>
          <w:b w:val="0"/>
          <w:noProof/>
          <w:sz w:val="18"/>
        </w:rPr>
        <w:t>28</w:t>
      </w:r>
      <w:r w:rsidRPr="004B21E2">
        <w:rPr>
          <w:b w:val="0"/>
          <w:noProof/>
          <w:sz w:val="18"/>
        </w:rPr>
        <w:fldChar w:fldCharType="end"/>
      </w:r>
    </w:p>
    <w:p w14:paraId="6CA34E66" w14:textId="3E3D2235"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Matters for initial customer due diligence—politically exposed person</w:t>
      </w:r>
      <w:r w:rsidRPr="004B21E2">
        <w:rPr>
          <w:noProof/>
        </w:rPr>
        <w:tab/>
      </w:r>
      <w:r w:rsidRPr="004B21E2">
        <w:rPr>
          <w:noProof/>
        </w:rPr>
        <w:fldChar w:fldCharType="begin"/>
      </w:r>
      <w:r w:rsidRPr="004B21E2">
        <w:rPr>
          <w:noProof/>
        </w:rPr>
        <w:instrText xml:space="preserve"> PAGEREF _Toc184727359 \h </w:instrText>
      </w:r>
      <w:r w:rsidRPr="004B21E2">
        <w:rPr>
          <w:noProof/>
        </w:rPr>
      </w:r>
      <w:r w:rsidRPr="004B21E2">
        <w:rPr>
          <w:noProof/>
        </w:rPr>
        <w:fldChar w:fldCharType="separate"/>
      </w:r>
      <w:r w:rsidR="00745273">
        <w:rPr>
          <w:noProof/>
        </w:rPr>
        <w:t>28</w:t>
      </w:r>
      <w:r w:rsidRPr="004B21E2">
        <w:rPr>
          <w:noProof/>
        </w:rPr>
        <w:fldChar w:fldCharType="end"/>
      </w:r>
    </w:p>
    <w:p w14:paraId="500389AD" w14:textId="6372B711"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Ongoing customer due diligence—politically exposed person</w:t>
      </w:r>
      <w:r w:rsidRPr="004B21E2">
        <w:rPr>
          <w:noProof/>
        </w:rPr>
        <w:tab/>
      </w:r>
      <w:r w:rsidRPr="004B21E2">
        <w:rPr>
          <w:noProof/>
        </w:rPr>
        <w:fldChar w:fldCharType="begin"/>
      </w:r>
      <w:r w:rsidRPr="004B21E2">
        <w:rPr>
          <w:noProof/>
        </w:rPr>
        <w:instrText xml:space="preserve"> PAGEREF _Toc184727360 \h </w:instrText>
      </w:r>
      <w:r w:rsidRPr="004B21E2">
        <w:rPr>
          <w:noProof/>
        </w:rPr>
      </w:r>
      <w:r w:rsidRPr="004B21E2">
        <w:rPr>
          <w:noProof/>
        </w:rPr>
        <w:fldChar w:fldCharType="separate"/>
      </w:r>
      <w:r w:rsidR="00745273">
        <w:rPr>
          <w:noProof/>
        </w:rPr>
        <w:t>28</w:t>
      </w:r>
      <w:r w:rsidRPr="004B21E2">
        <w:rPr>
          <w:noProof/>
        </w:rPr>
        <w:fldChar w:fldCharType="end"/>
      </w:r>
    </w:p>
    <w:p w14:paraId="32C59DF8" w14:textId="07D3A9AE"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Division 6—Nested service relationships</w:t>
      </w:r>
      <w:r w:rsidRPr="004B21E2">
        <w:rPr>
          <w:b w:val="0"/>
          <w:noProof/>
          <w:sz w:val="18"/>
        </w:rPr>
        <w:tab/>
      </w:r>
      <w:r w:rsidRPr="004B21E2">
        <w:rPr>
          <w:b w:val="0"/>
          <w:noProof/>
          <w:sz w:val="18"/>
        </w:rPr>
        <w:fldChar w:fldCharType="begin"/>
      </w:r>
      <w:r w:rsidRPr="004B21E2">
        <w:rPr>
          <w:b w:val="0"/>
          <w:noProof/>
          <w:sz w:val="18"/>
        </w:rPr>
        <w:instrText xml:space="preserve"> PAGEREF _Toc184727361 \h </w:instrText>
      </w:r>
      <w:r w:rsidRPr="004B21E2">
        <w:rPr>
          <w:b w:val="0"/>
          <w:noProof/>
          <w:sz w:val="18"/>
        </w:rPr>
      </w:r>
      <w:r w:rsidRPr="004B21E2">
        <w:rPr>
          <w:b w:val="0"/>
          <w:noProof/>
          <w:sz w:val="18"/>
        </w:rPr>
        <w:fldChar w:fldCharType="separate"/>
      </w:r>
      <w:r w:rsidR="00745273">
        <w:rPr>
          <w:b w:val="0"/>
          <w:noProof/>
          <w:sz w:val="18"/>
        </w:rPr>
        <w:t>29</w:t>
      </w:r>
      <w:r w:rsidRPr="004B21E2">
        <w:rPr>
          <w:b w:val="0"/>
          <w:noProof/>
          <w:sz w:val="18"/>
        </w:rPr>
        <w:fldChar w:fldCharType="end"/>
      </w:r>
    </w:p>
    <w:p w14:paraId="624A110D" w14:textId="3B2DFE3F"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Matters for initial customer due diligence—nested services relationship</w:t>
      </w:r>
      <w:r w:rsidRPr="004B21E2">
        <w:rPr>
          <w:noProof/>
        </w:rPr>
        <w:tab/>
      </w:r>
      <w:r w:rsidRPr="004B21E2">
        <w:rPr>
          <w:noProof/>
        </w:rPr>
        <w:fldChar w:fldCharType="begin"/>
      </w:r>
      <w:r w:rsidRPr="004B21E2">
        <w:rPr>
          <w:noProof/>
        </w:rPr>
        <w:instrText xml:space="preserve"> PAGEREF _Toc184727362 \h </w:instrText>
      </w:r>
      <w:r w:rsidRPr="004B21E2">
        <w:rPr>
          <w:noProof/>
        </w:rPr>
      </w:r>
      <w:r w:rsidRPr="004B21E2">
        <w:rPr>
          <w:noProof/>
        </w:rPr>
        <w:fldChar w:fldCharType="separate"/>
      </w:r>
      <w:r w:rsidR="00745273">
        <w:rPr>
          <w:noProof/>
        </w:rPr>
        <w:t>29</w:t>
      </w:r>
      <w:r w:rsidRPr="004B21E2">
        <w:rPr>
          <w:noProof/>
        </w:rPr>
        <w:fldChar w:fldCharType="end"/>
      </w:r>
    </w:p>
    <w:p w14:paraId="4E7D1762" w14:textId="2D5912D5"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Ongoing customer due diligence—nested services relationship</w:t>
      </w:r>
      <w:r w:rsidRPr="004B21E2">
        <w:rPr>
          <w:noProof/>
        </w:rPr>
        <w:tab/>
      </w:r>
      <w:r w:rsidRPr="004B21E2">
        <w:rPr>
          <w:noProof/>
        </w:rPr>
        <w:fldChar w:fldCharType="begin"/>
      </w:r>
      <w:r w:rsidRPr="004B21E2">
        <w:rPr>
          <w:noProof/>
        </w:rPr>
        <w:instrText xml:space="preserve"> PAGEREF _Toc184727363 \h </w:instrText>
      </w:r>
      <w:r w:rsidRPr="004B21E2">
        <w:rPr>
          <w:noProof/>
        </w:rPr>
      </w:r>
      <w:r w:rsidRPr="004B21E2">
        <w:rPr>
          <w:noProof/>
        </w:rPr>
        <w:fldChar w:fldCharType="separate"/>
      </w:r>
      <w:r w:rsidR="00745273">
        <w:rPr>
          <w:noProof/>
        </w:rPr>
        <w:t>30</w:t>
      </w:r>
      <w:r w:rsidRPr="004B21E2">
        <w:rPr>
          <w:noProof/>
        </w:rPr>
        <w:fldChar w:fldCharType="end"/>
      </w:r>
    </w:p>
    <w:p w14:paraId="2FF6E784" w14:textId="68858365"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Division 7—Reliance on collection and verification of KYC information</w:t>
      </w:r>
      <w:r w:rsidRPr="004B21E2">
        <w:rPr>
          <w:b w:val="0"/>
          <w:noProof/>
          <w:sz w:val="18"/>
        </w:rPr>
        <w:tab/>
      </w:r>
      <w:r w:rsidRPr="004B21E2">
        <w:rPr>
          <w:b w:val="0"/>
          <w:noProof/>
          <w:sz w:val="18"/>
        </w:rPr>
        <w:fldChar w:fldCharType="begin"/>
      </w:r>
      <w:r w:rsidRPr="004B21E2">
        <w:rPr>
          <w:b w:val="0"/>
          <w:noProof/>
          <w:sz w:val="18"/>
        </w:rPr>
        <w:instrText xml:space="preserve"> PAGEREF _Toc184727364 \h </w:instrText>
      </w:r>
      <w:r w:rsidRPr="004B21E2">
        <w:rPr>
          <w:b w:val="0"/>
          <w:noProof/>
          <w:sz w:val="18"/>
        </w:rPr>
      </w:r>
      <w:r w:rsidRPr="004B21E2">
        <w:rPr>
          <w:b w:val="0"/>
          <w:noProof/>
          <w:sz w:val="18"/>
        </w:rPr>
        <w:fldChar w:fldCharType="separate"/>
      </w:r>
      <w:r w:rsidR="00745273">
        <w:rPr>
          <w:b w:val="0"/>
          <w:noProof/>
          <w:sz w:val="18"/>
        </w:rPr>
        <w:t>31</w:t>
      </w:r>
      <w:r w:rsidRPr="004B21E2">
        <w:rPr>
          <w:b w:val="0"/>
          <w:noProof/>
          <w:sz w:val="18"/>
        </w:rPr>
        <w:fldChar w:fldCharType="end"/>
      </w:r>
    </w:p>
    <w:p w14:paraId="2E1C6F6C" w14:textId="006E9E55"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Requirements for agreement or arrangement on collection and verification of KYC information</w:t>
      </w:r>
      <w:r w:rsidRPr="004B21E2">
        <w:rPr>
          <w:noProof/>
        </w:rPr>
        <w:tab/>
      </w:r>
      <w:r w:rsidRPr="004B21E2">
        <w:rPr>
          <w:noProof/>
        </w:rPr>
        <w:fldChar w:fldCharType="begin"/>
      </w:r>
      <w:r w:rsidRPr="004B21E2">
        <w:rPr>
          <w:noProof/>
        </w:rPr>
        <w:instrText xml:space="preserve"> PAGEREF _Toc184727365 \h </w:instrText>
      </w:r>
      <w:r w:rsidRPr="004B21E2">
        <w:rPr>
          <w:noProof/>
        </w:rPr>
      </w:r>
      <w:r w:rsidRPr="004B21E2">
        <w:rPr>
          <w:noProof/>
        </w:rPr>
        <w:fldChar w:fldCharType="separate"/>
      </w:r>
      <w:r w:rsidR="00745273">
        <w:rPr>
          <w:noProof/>
        </w:rPr>
        <w:t>31</w:t>
      </w:r>
      <w:r w:rsidRPr="004B21E2">
        <w:rPr>
          <w:noProof/>
        </w:rPr>
        <w:fldChar w:fldCharType="end"/>
      </w:r>
    </w:p>
    <w:p w14:paraId="13EB4C1E" w14:textId="1F891AF0"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Requirements for reliance on collection and verification of KYC information</w:t>
      </w:r>
      <w:r w:rsidRPr="004B21E2">
        <w:rPr>
          <w:noProof/>
        </w:rPr>
        <w:tab/>
      </w:r>
      <w:r w:rsidRPr="004B21E2">
        <w:rPr>
          <w:noProof/>
        </w:rPr>
        <w:fldChar w:fldCharType="begin"/>
      </w:r>
      <w:r w:rsidRPr="004B21E2">
        <w:rPr>
          <w:noProof/>
        </w:rPr>
        <w:instrText xml:space="preserve"> PAGEREF _Toc184727366 \h </w:instrText>
      </w:r>
      <w:r w:rsidRPr="004B21E2">
        <w:rPr>
          <w:noProof/>
        </w:rPr>
      </w:r>
      <w:r w:rsidRPr="004B21E2">
        <w:rPr>
          <w:noProof/>
        </w:rPr>
        <w:fldChar w:fldCharType="separate"/>
      </w:r>
      <w:r w:rsidR="00745273">
        <w:rPr>
          <w:noProof/>
        </w:rPr>
        <w:t>31</w:t>
      </w:r>
      <w:r w:rsidRPr="004B21E2">
        <w:rPr>
          <w:noProof/>
        </w:rPr>
        <w:fldChar w:fldCharType="end"/>
      </w:r>
    </w:p>
    <w:p w14:paraId="44D3D21F" w14:textId="18E864D6"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Division 8—Keep open notices</w:t>
      </w:r>
      <w:r w:rsidRPr="004B21E2">
        <w:rPr>
          <w:b w:val="0"/>
          <w:noProof/>
          <w:sz w:val="18"/>
        </w:rPr>
        <w:tab/>
      </w:r>
      <w:r w:rsidRPr="004B21E2">
        <w:rPr>
          <w:b w:val="0"/>
          <w:noProof/>
          <w:sz w:val="18"/>
        </w:rPr>
        <w:fldChar w:fldCharType="begin"/>
      </w:r>
      <w:r w:rsidRPr="004B21E2">
        <w:rPr>
          <w:b w:val="0"/>
          <w:noProof/>
          <w:sz w:val="18"/>
        </w:rPr>
        <w:instrText xml:space="preserve"> PAGEREF _Toc184727367 \h </w:instrText>
      </w:r>
      <w:r w:rsidRPr="004B21E2">
        <w:rPr>
          <w:b w:val="0"/>
          <w:noProof/>
          <w:sz w:val="18"/>
        </w:rPr>
      </w:r>
      <w:r w:rsidRPr="004B21E2">
        <w:rPr>
          <w:b w:val="0"/>
          <w:noProof/>
          <w:sz w:val="18"/>
        </w:rPr>
        <w:fldChar w:fldCharType="separate"/>
      </w:r>
      <w:r w:rsidR="00745273">
        <w:rPr>
          <w:b w:val="0"/>
          <w:noProof/>
          <w:sz w:val="18"/>
        </w:rPr>
        <w:t>33</w:t>
      </w:r>
      <w:r w:rsidRPr="004B21E2">
        <w:rPr>
          <w:b w:val="0"/>
          <w:noProof/>
          <w:sz w:val="18"/>
        </w:rPr>
        <w:fldChar w:fldCharType="end"/>
      </w:r>
    </w:p>
    <w:p w14:paraId="0D30C415" w14:textId="6033F939"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Form of keep open notice</w:t>
      </w:r>
      <w:r w:rsidRPr="004B21E2">
        <w:rPr>
          <w:noProof/>
        </w:rPr>
        <w:tab/>
      </w:r>
      <w:r w:rsidRPr="004B21E2">
        <w:rPr>
          <w:noProof/>
        </w:rPr>
        <w:fldChar w:fldCharType="begin"/>
      </w:r>
      <w:r w:rsidRPr="004B21E2">
        <w:rPr>
          <w:noProof/>
        </w:rPr>
        <w:instrText xml:space="preserve"> PAGEREF _Toc184727368 \h </w:instrText>
      </w:r>
      <w:r w:rsidRPr="004B21E2">
        <w:rPr>
          <w:noProof/>
        </w:rPr>
      </w:r>
      <w:r w:rsidRPr="004B21E2">
        <w:rPr>
          <w:noProof/>
        </w:rPr>
        <w:fldChar w:fldCharType="separate"/>
      </w:r>
      <w:r w:rsidR="00745273">
        <w:rPr>
          <w:noProof/>
        </w:rPr>
        <w:t>33</w:t>
      </w:r>
      <w:r w:rsidRPr="004B21E2">
        <w:rPr>
          <w:noProof/>
        </w:rPr>
        <w:fldChar w:fldCharType="end"/>
      </w:r>
    </w:p>
    <w:p w14:paraId="22DF24C9" w14:textId="510317C2"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Information and documents required to be contained in or to accompany keep open notice</w:t>
      </w:r>
      <w:r w:rsidRPr="004B21E2">
        <w:rPr>
          <w:noProof/>
        </w:rPr>
        <w:tab/>
      </w:r>
      <w:r w:rsidRPr="004B21E2">
        <w:rPr>
          <w:noProof/>
        </w:rPr>
        <w:fldChar w:fldCharType="begin"/>
      </w:r>
      <w:r w:rsidRPr="004B21E2">
        <w:rPr>
          <w:noProof/>
        </w:rPr>
        <w:instrText xml:space="preserve"> PAGEREF _Toc184727369 \h </w:instrText>
      </w:r>
      <w:r w:rsidRPr="004B21E2">
        <w:rPr>
          <w:noProof/>
        </w:rPr>
      </w:r>
      <w:r w:rsidRPr="004B21E2">
        <w:rPr>
          <w:noProof/>
        </w:rPr>
        <w:fldChar w:fldCharType="separate"/>
      </w:r>
      <w:r w:rsidR="00745273">
        <w:rPr>
          <w:noProof/>
        </w:rPr>
        <w:t>33</w:t>
      </w:r>
      <w:r w:rsidRPr="004B21E2">
        <w:rPr>
          <w:noProof/>
        </w:rPr>
        <w:fldChar w:fldCharType="end"/>
      </w:r>
    </w:p>
    <w:p w14:paraId="6592ED9D" w14:textId="40700CD4"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Extension notices</w:t>
      </w:r>
      <w:r w:rsidRPr="004B21E2">
        <w:rPr>
          <w:noProof/>
        </w:rPr>
        <w:tab/>
      </w:r>
      <w:r w:rsidRPr="004B21E2">
        <w:rPr>
          <w:noProof/>
        </w:rPr>
        <w:fldChar w:fldCharType="begin"/>
      </w:r>
      <w:r w:rsidRPr="004B21E2">
        <w:rPr>
          <w:noProof/>
        </w:rPr>
        <w:instrText xml:space="preserve"> PAGEREF _Toc184727370 \h </w:instrText>
      </w:r>
      <w:r w:rsidRPr="004B21E2">
        <w:rPr>
          <w:noProof/>
        </w:rPr>
      </w:r>
      <w:r w:rsidRPr="004B21E2">
        <w:rPr>
          <w:noProof/>
        </w:rPr>
        <w:fldChar w:fldCharType="separate"/>
      </w:r>
      <w:r w:rsidR="00745273">
        <w:rPr>
          <w:noProof/>
        </w:rPr>
        <w:t>33</w:t>
      </w:r>
      <w:r w:rsidRPr="004B21E2">
        <w:rPr>
          <w:noProof/>
        </w:rPr>
        <w:fldChar w:fldCharType="end"/>
      </w:r>
    </w:p>
    <w:p w14:paraId="50B27B86" w14:textId="5E957643"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Further extension application</w:t>
      </w:r>
      <w:r w:rsidRPr="004B21E2">
        <w:rPr>
          <w:noProof/>
        </w:rPr>
        <w:tab/>
      </w:r>
      <w:r w:rsidRPr="004B21E2">
        <w:rPr>
          <w:noProof/>
        </w:rPr>
        <w:fldChar w:fldCharType="begin"/>
      </w:r>
      <w:r w:rsidRPr="004B21E2">
        <w:rPr>
          <w:noProof/>
        </w:rPr>
        <w:instrText xml:space="preserve"> PAGEREF _Toc184727371 \h </w:instrText>
      </w:r>
      <w:r w:rsidRPr="004B21E2">
        <w:rPr>
          <w:noProof/>
        </w:rPr>
      </w:r>
      <w:r w:rsidRPr="004B21E2">
        <w:rPr>
          <w:noProof/>
        </w:rPr>
        <w:fldChar w:fldCharType="separate"/>
      </w:r>
      <w:r w:rsidR="00745273">
        <w:rPr>
          <w:noProof/>
        </w:rPr>
        <w:t>34</w:t>
      </w:r>
      <w:r w:rsidRPr="004B21E2">
        <w:rPr>
          <w:noProof/>
        </w:rPr>
        <w:fldChar w:fldCharType="end"/>
      </w:r>
    </w:p>
    <w:p w14:paraId="6A399533" w14:textId="0293B842" w:rsidR="004B21E2" w:rsidRDefault="004B21E2">
      <w:pPr>
        <w:pStyle w:val="TOC2"/>
        <w:rPr>
          <w:rFonts w:asciiTheme="minorHAnsi" w:eastAsiaTheme="minorEastAsia" w:hAnsiTheme="minorHAnsi" w:cstheme="minorBidi"/>
          <w:b w:val="0"/>
          <w:noProof/>
          <w:kern w:val="2"/>
          <w:szCs w:val="24"/>
          <w14:ligatures w14:val="standardContextual"/>
        </w:rPr>
      </w:pPr>
      <w:r>
        <w:rPr>
          <w:noProof/>
        </w:rPr>
        <w:t>Part 6—Correspondent banking</w:t>
      </w:r>
      <w:r w:rsidRPr="004B21E2">
        <w:rPr>
          <w:b w:val="0"/>
          <w:noProof/>
          <w:sz w:val="18"/>
        </w:rPr>
        <w:tab/>
      </w:r>
      <w:r w:rsidRPr="004B21E2">
        <w:rPr>
          <w:b w:val="0"/>
          <w:noProof/>
          <w:sz w:val="18"/>
        </w:rPr>
        <w:fldChar w:fldCharType="begin"/>
      </w:r>
      <w:r w:rsidRPr="004B21E2">
        <w:rPr>
          <w:b w:val="0"/>
          <w:noProof/>
          <w:sz w:val="18"/>
        </w:rPr>
        <w:instrText xml:space="preserve"> PAGEREF _Toc184727372 \h </w:instrText>
      </w:r>
      <w:r w:rsidRPr="004B21E2">
        <w:rPr>
          <w:b w:val="0"/>
          <w:noProof/>
          <w:sz w:val="18"/>
        </w:rPr>
      </w:r>
      <w:r w:rsidRPr="004B21E2">
        <w:rPr>
          <w:b w:val="0"/>
          <w:noProof/>
          <w:sz w:val="18"/>
        </w:rPr>
        <w:fldChar w:fldCharType="separate"/>
      </w:r>
      <w:r w:rsidR="00745273">
        <w:rPr>
          <w:b w:val="0"/>
          <w:noProof/>
          <w:sz w:val="18"/>
        </w:rPr>
        <w:t>35</w:t>
      </w:r>
      <w:r w:rsidRPr="004B21E2">
        <w:rPr>
          <w:b w:val="0"/>
          <w:noProof/>
          <w:sz w:val="18"/>
        </w:rPr>
        <w:fldChar w:fldCharType="end"/>
      </w:r>
    </w:p>
    <w:p w14:paraId="3E1DB758" w14:textId="2BACEE81"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Division 1—Due diligence assessment for entry into correspondent banking relationship</w:t>
      </w:r>
      <w:r w:rsidRPr="004B21E2">
        <w:rPr>
          <w:b w:val="0"/>
          <w:noProof/>
          <w:sz w:val="18"/>
        </w:rPr>
        <w:tab/>
      </w:r>
      <w:r w:rsidRPr="004B21E2">
        <w:rPr>
          <w:b w:val="0"/>
          <w:noProof/>
          <w:sz w:val="18"/>
        </w:rPr>
        <w:fldChar w:fldCharType="begin"/>
      </w:r>
      <w:r w:rsidRPr="004B21E2">
        <w:rPr>
          <w:b w:val="0"/>
          <w:noProof/>
          <w:sz w:val="18"/>
        </w:rPr>
        <w:instrText xml:space="preserve"> PAGEREF _Toc184727373 \h </w:instrText>
      </w:r>
      <w:r w:rsidRPr="004B21E2">
        <w:rPr>
          <w:b w:val="0"/>
          <w:noProof/>
          <w:sz w:val="18"/>
        </w:rPr>
      </w:r>
      <w:r w:rsidRPr="004B21E2">
        <w:rPr>
          <w:b w:val="0"/>
          <w:noProof/>
          <w:sz w:val="18"/>
        </w:rPr>
        <w:fldChar w:fldCharType="separate"/>
      </w:r>
      <w:r w:rsidR="00745273">
        <w:rPr>
          <w:b w:val="0"/>
          <w:noProof/>
          <w:sz w:val="18"/>
        </w:rPr>
        <w:t>35</w:t>
      </w:r>
      <w:r w:rsidRPr="004B21E2">
        <w:rPr>
          <w:b w:val="0"/>
          <w:noProof/>
          <w:sz w:val="18"/>
        </w:rPr>
        <w:fldChar w:fldCharType="end"/>
      </w:r>
    </w:p>
    <w:p w14:paraId="150F8170" w14:textId="41AE4727"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Requirements for due diligence assessment</w:t>
      </w:r>
      <w:r w:rsidRPr="004B21E2">
        <w:rPr>
          <w:noProof/>
        </w:rPr>
        <w:tab/>
      </w:r>
      <w:r w:rsidRPr="004B21E2">
        <w:rPr>
          <w:noProof/>
        </w:rPr>
        <w:fldChar w:fldCharType="begin"/>
      </w:r>
      <w:r w:rsidRPr="004B21E2">
        <w:rPr>
          <w:noProof/>
        </w:rPr>
        <w:instrText xml:space="preserve"> PAGEREF _Toc184727374 \h </w:instrText>
      </w:r>
      <w:r w:rsidRPr="004B21E2">
        <w:rPr>
          <w:noProof/>
        </w:rPr>
      </w:r>
      <w:r w:rsidRPr="004B21E2">
        <w:rPr>
          <w:noProof/>
        </w:rPr>
        <w:fldChar w:fldCharType="separate"/>
      </w:r>
      <w:r w:rsidR="00745273">
        <w:rPr>
          <w:noProof/>
        </w:rPr>
        <w:t>35</w:t>
      </w:r>
      <w:r w:rsidRPr="004B21E2">
        <w:rPr>
          <w:noProof/>
        </w:rPr>
        <w:fldChar w:fldCharType="end"/>
      </w:r>
    </w:p>
    <w:p w14:paraId="0EE570B2" w14:textId="6E2DF441"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Matters to which a senior officer must have regard before giving approval</w:t>
      </w:r>
      <w:r w:rsidRPr="004B21E2">
        <w:rPr>
          <w:noProof/>
        </w:rPr>
        <w:tab/>
      </w:r>
      <w:r w:rsidRPr="004B21E2">
        <w:rPr>
          <w:noProof/>
        </w:rPr>
        <w:fldChar w:fldCharType="begin"/>
      </w:r>
      <w:r w:rsidRPr="004B21E2">
        <w:rPr>
          <w:noProof/>
        </w:rPr>
        <w:instrText xml:space="preserve"> PAGEREF _Toc184727375 \h </w:instrText>
      </w:r>
      <w:r w:rsidRPr="004B21E2">
        <w:rPr>
          <w:noProof/>
        </w:rPr>
      </w:r>
      <w:r w:rsidRPr="004B21E2">
        <w:rPr>
          <w:noProof/>
        </w:rPr>
        <w:fldChar w:fldCharType="separate"/>
      </w:r>
      <w:r w:rsidR="00745273">
        <w:rPr>
          <w:noProof/>
        </w:rPr>
        <w:t>36</w:t>
      </w:r>
      <w:r w:rsidRPr="004B21E2">
        <w:rPr>
          <w:noProof/>
        </w:rPr>
        <w:fldChar w:fldCharType="end"/>
      </w:r>
    </w:p>
    <w:p w14:paraId="13210953" w14:textId="4E399AB9"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Division 2—Requirements for ongoing due diligence assessments</w:t>
      </w:r>
      <w:r w:rsidRPr="004B21E2">
        <w:rPr>
          <w:b w:val="0"/>
          <w:noProof/>
          <w:sz w:val="18"/>
        </w:rPr>
        <w:tab/>
      </w:r>
      <w:r w:rsidRPr="004B21E2">
        <w:rPr>
          <w:b w:val="0"/>
          <w:noProof/>
          <w:sz w:val="18"/>
        </w:rPr>
        <w:fldChar w:fldCharType="begin"/>
      </w:r>
      <w:r w:rsidRPr="004B21E2">
        <w:rPr>
          <w:b w:val="0"/>
          <w:noProof/>
          <w:sz w:val="18"/>
        </w:rPr>
        <w:instrText xml:space="preserve"> PAGEREF _Toc184727376 \h </w:instrText>
      </w:r>
      <w:r w:rsidRPr="004B21E2">
        <w:rPr>
          <w:b w:val="0"/>
          <w:noProof/>
          <w:sz w:val="18"/>
        </w:rPr>
      </w:r>
      <w:r w:rsidRPr="004B21E2">
        <w:rPr>
          <w:b w:val="0"/>
          <w:noProof/>
          <w:sz w:val="18"/>
        </w:rPr>
        <w:fldChar w:fldCharType="separate"/>
      </w:r>
      <w:r w:rsidR="00745273">
        <w:rPr>
          <w:b w:val="0"/>
          <w:noProof/>
          <w:sz w:val="18"/>
        </w:rPr>
        <w:t>37</w:t>
      </w:r>
      <w:r w:rsidRPr="004B21E2">
        <w:rPr>
          <w:b w:val="0"/>
          <w:noProof/>
          <w:sz w:val="18"/>
        </w:rPr>
        <w:fldChar w:fldCharType="end"/>
      </w:r>
    </w:p>
    <w:p w14:paraId="756F7284" w14:textId="57DD1FC5"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Requirements for ongoing due diligence assessments</w:t>
      </w:r>
      <w:r w:rsidRPr="004B21E2">
        <w:rPr>
          <w:noProof/>
        </w:rPr>
        <w:tab/>
      </w:r>
      <w:r w:rsidRPr="004B21E2">
        <w:rPr>
          <w:noProof/>
        </w:rPr>
        <w:fldChar w:fldCharType="begin"/>
      </w:r>
      <w:r w:rsidRPr="004B21E2">
        <w:rPr>
          <w:noProof/>
        </w:rPr>
        <w:instrText xml:space="preserve"> PAGEREF _Toc184727377 \h </w:instrText>
      </w:r>
      <w:r w:rsidRPr="004B21E2">
        <w:rPr>
          <w:noProof/>
        </w:rPr>
      </w:r>
      <w:r w:rsidRPr="004B21E2">
        <w:rPr>
          <w:noProof/>
        </w:rPr>
        <w:fldChar w:fldCharType="separate"/>
      </w:r>
      <w:r w:rsidR="00745273">
        <w:rPr>
          <w:noProof/>
        </w:rPr>
        <w:t>37</w:t>
      </w:r>
      <w:r w:rsidRPr="004B21E2">
        <w:rPr>
          <w:noProof/>
        </w:rPr>
        <w:fldChar w:fldCharType="end"/>
      </w:r>
    </w:p>
    <w:p w14:paraId="4F892917" w14:textId="22E72CC3"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Timing of ongoing due diligence assessments</w:t>
      </w:r>
      <w:r w:rsidRPr="004B21E2">
        <w:rPr>
          <w:noProof/>
        </w:rPr>
        <w:tab/>
      </w:r>
      <w:r w:rsidRPr="004B21E2">
        <w:rPr>
          <w:noProof/>
        </w:rPr>
        <w:fldChar w:fldCharType="begin"/>
      </w:r>
      <w:r w:rsidRPr="004B21E2">
        <w:rPr>
          <w:noProof/>
        </w:rPr>
        <w:instrText xml:space="preserve"> PAGEREF _Toc184727378 \h </w:instrText>
      </w:r>
      <w:r w:rsidRPr="004B21E2">
        <w:rPr>
          <w:noProof/>
        </w:rPr>
      </w:r>
      <w:r w:rsidRPr="004B21E2">
        <w:rPr>
          <w:noProof/>
        </w:rPr>
        <w:fldChar w:fldCharType="separate"/>
      </w:r>
      <w:r w:rsidR="00745273">
        <w:rPr>
          <w:noProof/>
        </w:rPr>
        <w:t>37</w:t>
      </w:r>
      <w:r w:rsidRPr="004B21E2">
        <w:rPr>
          <w:noProof/>
        </w:rPr>
        <w:fldChar w:fldCharType="end"/>
      </w:r>
    </w:p>
    <w:p w14:paraId="5BFA2A00" w14:textId="1DF3C814" w:rsidR="004B21E2" w:rsidRDefault="004B21E2">
      <w:pPr>
        <w:pStyle w:val="TOC2"/>
        <w:rPr>
          <w:rFonts w:asciiTheme="minorHAnsi" w:eastAsiaTheme="minorEastAsia" w:hAnsiTheme="minorHAnsi" w:cstheme="minorBidi"/>
          <w:b w:val="0"/>
          <w:noProof/>
          <w:kern w:val="2"/>
          <w:szCs w:val="24"/>
          <w14:ligatures w14:val="standardContextual"/>
        </w:rPr>
      </w:pPr>
      <w:r>
        <w:rPr>
          <w:noProof/>
        </w:rPr>
        <w:t>Part 7—Transfers of value</w:t>
      </w:r>
      <w:r w:rsidRPr="004B21E2">
        <w:rPr>
          <w:b w:val="0"/>
          <w:noProof/>
          <w:sz w:val="18"/>
        </w:rPr>
        <w:tab/>
      </w:r>
      <w:r w:rsidRPr="004B21E2">
        <w:rPr>
          <w:b w:val="0"/>
          <w:noProof/>
          <w:sz w:val="18"/>
        </w:rPr>
        <w:fldChar w:fldCharType="begin"/>
      </w:r>
      <w:r w:rsidRPr="004B21E2">
        <w:rPr>
          <w:b w:val="0"/>
          <w:noProof/>
          <w:sz w:val="18"/>
        </w:rPr>
        <w:instrText xml:space="preserve"> PAGEREF _Toc184727379 \h </w:instrText>
      </w:r>
      <w:r w:rsidRPr="004B21E2">
        <w:rPr>
          <w:b w:val="0"/>
          <w:noProof/>
          <w:sz w:val="18"/>
        </w:rPr>
      </w:r>
      <w:r w:rsidRPr="004B21E2">
        <w:rPr>
          <w:b w:val="0"/>
          <w:noProof/>
          <w:sz w:val="18"/>
        </w:rPr>
        <w:fldChar w:fldCharType="separate"/>
      </w:r>
      <w:r w:rsidR="00745273">
        <w:rPr>
          <w:b w:val="0"/>
          <w:noProof/>
          <w:sz w:val="18"/>
        </w:rPr>
        <w:t>38</w:t>
      </w:r>
      <w:r w:rsidRPr="004B21E2">
        <w:rPr>
          <w:b w:val="0"/>
          <w:noProof/>
          <w:sz w:val="18"/>
        </w:rPr>
        <w:fldChar w:fldCharType="end"/>
      </w:r>
    </w:p>
    <w:p w14:paraId="272A2941" w14:textId="7B088050"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Division 1—Ordering institutions and beneficiary institutions</w:t>
      </w:r>
      <w:r w:rsidRPr="004B21E2">
        <w:rPr>
          <w:b w:val="0"/>
          <w:noProof/>
          <w:sz w:val="18"/>
        </w:rPr>
        <w:tab/>
      </w:r>
      <w:r w:rsidRPr="004B21E2">
        <w:rPr>
          <w:b w:val="0"/>
          <w:noProof/>
          <w:sz w:val="18"/>
        </w:rPr>
        <w:fldChar w:fldCharType="begin"/>
      </w:r>
      <w:r w:rsidRPr="004B21E2">
        <w:rPr>
          <w:b w:val="0"/>
          <w:noProof/>
          <w:sz w:val="18"/>
        </w:rPr>
        <w:instrText xml:space="preserve"> PAGEREF _Toc184727380 \h </w:instrText>
      </w:r>
      <w:r w:rsidRPr="004B21E2">
        <w:rPr>
          <w:b w:val="0"/>
          <w:noProof/>
          <w:sz w:val="18"/>
        </w:rPr>
      </w:r>
      <w:r w:rsidRPr="004B21E2">
        <w:rPr>
          <w:b w:val="0"/>
          <w:noProof/>
          <w:sz w:val="18"/>
        </w:rPr>
        <w:fldChar w:fldCharType="separate"/>
      </w:r>
      <w:r w:rsidR="00745273">
        <w:rPr>
          <w:b w:val="0"/>
          <w:noProof/>
          <w:sz w:val="18"/>
        </w:rPr>
        <w:t>38</w:t>
      </w:r>
      <w:r w:rsidRPr="004B21E2">
        <w:rPr>
          <w:b w:val="0"/>
          <w:noProof/>
          <w:sz w:val="18"/>
        </w:rPr>
        <w:fldChar w:fldCharType="end"/>
      </w:r>
    </w:p>
    <w:p w14:paraId="177D61A1" w14:textId="08DFABB6"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 xml:space="preserve">Determination of who is an </w:t>
      </w:r>
      <w:r w:rsidRPr="007A1DBE">
        <w:rPr>
          <w:i/>
          <w:noProof/>
        </w:rPr>
        <w:t>ordering institution</w:t>
      </w:r>
      <w:r w:rsidRPr="004B21E2">
        <w:rPr>
          <w:noProof/>
        </w:rPr>
        <w:tab/>
      </w:r>
      <w:r w:rsidRPr="004B21E2">
        <w:rPr>
          <w:noProof/>
        </w:rPr>
        <w:fldChar w:fldCharType="begin"/>
      </w:r>
      <w:r w:rsidRPr="004B21E2">
        <w:rPr>
          <w:noProof/>
        </w:rPr>
        <w:instrText xml:space="preserve"> PAGEREF _Toc184727381 \h </w:instrText>
      </w:r>
      <w:r w:rsidRPr="004B21E2">
        <w:rPr>
          <w:noProof/>
        </w:rPr>
      </w:r>
      <w:r w:rsidRPr="004B21E2">
        <w:rPr>
          <w:noProof/>
        </w:rPr>
        <w:fldChar w:fldCharType="separate"/>
      </w:r>
      <w:r w:rsidR="00745273">
        <w:rPr>
          <w:noProof/>
        </w:rPr>
        <w:t>38</w:t>
      </w:r>
      <w:r w:rsidRPr="004B21E2">
        <w:rPr>
          <w:noProof/>
        </w:rPr>
        <w:fldChar w:fldCharType="end"/>
      </w:r>
    </w:p>
    <w:p w14:paraId="40172E1D" w14:textId="17B1976B"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 xml:space="preserve">Determination of who is a </w:t>
      </w:r>
      <w:r w:rsidRPr="007A1DBE">
        <w:rPr>
          <w:i/>
          <w:noProof/>
        </w:rPr>
        <w:t>beneficiary institution</w:t>
      </w:r>
      <w:r w:rsidRPr="004B21E2">
        <w:rPr>
          <w:noProof/>
        </w:rPr>
        <w:tab/>
      </w:r>
      <w:r w:rsidRPr="004B21E2">
        <w:rPr>
          <w:noProof/>
        </w:rPr>
        <w:fldChar w:fldCharType="begin"/>
      </w:r>
      <w:r w:rsidRPr="004B21E2">
        <w:rPr>
          <w:noProof/>
        </w:rPr>
        <w:instrText xml:space="preserve"> PAGEREF _Toc184727382 \h </w:instrText>
      </w:r>
      <w:r w:rsidRPr="004B21E2">
        <w:rPr>
          <w:noProof/>
        </w:rPr>
      </w:r>
      <w:r w:rsidRPr="004B21E2">
        <w:rPr>
          <w:noProof/>
        </w:rPr>
        <w:fldChar w:fldCharType="separate"/>
      </w:r>
      <w:r w:rsidR="00745273">
        <w:rPr>
          <w:noProof/>
        </w:rPr>
        <w:t>38</w:t>
      </w:r>
      <w:r w:rsidRPr="004B21E2">
        <w:rPr>
          <w:noProof/>
        </w:rPr>
        <w:fldChar w:fldCharType="end"/>
      </w:r>
    </w:p>
    <w:p w14:paraId="5450D318" w14:textId="175D2E84"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2—Transfers of value</w:t>
      </w:r>
      <w:r w:rsidRPr="004B21E2">
        <w:rPr>
          <w:b w:val="0"/>
          <w:noProof/>
          <w:sz w:val="18"/>
        </w:rPr>
        <w:tab/>
      </w:r>
      <w:r w:rsidRPr="004B21E2">
        <w:rPr>
          <w:b w:val="0"/>
          <w:noProof/>
          <w:sz w:val="18"/>
        </w:rPr>
        <w:fldChar w:fldCharType="begin"/>
      </w:r>
      <w:r w:rsidRPr="004B21E2">
        <w:rPr>
          <w:b w:val="0"/>
          <w:noProof/>
          <w:sz w:val="18"/>
        </w:rPr>
        <w:instrText xml:space="preserve"> PAGEREF _Toc184727383 \h </w:instrText>
      </w:r>
      <w:r w:rsidRPr="004B21E2">
        <w:rPr>
          <w:b w:val="0"/>
          <w:noProof/>
          <w:sz w:val="18"/>
        </w:rPr>
      </w:r>
      <w:r w:rsidRPr="004B21E2">
        <w:rPr>
          <w:b w:val="0"/>
          <w:noProof/>
          <w:sz w:val="18"/>
        </w:rPr>
        <w:fldChar w:fldCharType="separate"/>
      </w:r>
      <w:r w:rsidR="00745273">
        <w:rPr>
          <w:b w:val="0"/>
          <w:noProof/>
          <w:sz w:val="18"/>
        </w:rPr>
        <w:t>40</w:t>
      </w:r>
      <w:r w:rsidRPr="004B21E2">
        <w:rPr>
          <w:b w:val="0"/>
          <w:noProof/>
          <w:sz w:val="18"/>
        </w:rPr>
        <w:fldChar w:fldCharType="end"/>
      </w:r>
    </w:p>
    <w:p w14:paraId="3BBF2147" w14:textId="4072D64B"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Obligations of ordering institutions—collecting, verifying and passing on information</w:t>
      </w:r>
      <w:r w:rsidRPr="004B21E2">
        <w:rPr>
          <w:noProof/>
        </w:rPr>
        <w:tab/>
      </w:r>
      <w:r w:rsidRPr="004B21E2">
        <w:rPr>
          <w:noProof/>
        </w:rPr>
        <w:fldChar w:fldCharType="begin"/>
      </w:r>
      <w:r w:rsidRPr="004B21E2">
        <w:rPr>
          <w:noProof/>
        </w:rPr>
        <w:instrText xml:space="preserve"> PAGEREF _Toc184727384 \h </w:instrText>
      </w:r>
      <w:r w:rsidRPr="004B21E2">
        <w:rPr>
          <w:noProof/>
        </w:rPr>
      </w:r>
      <w:r w:rsidRPr="004B21E2">
        <w:rPr>
          <w:noProof/>
        </w:rPr>
        <w:fldChar w:fldCharType="separate"/>
      </w:r>
      <w:r w:rsidR="00745273">
        <w:rPr>
          <w:noProof/>
        </w:rPr>
        <w:t>40</w:t>
      </w:r>
      <w:r w:rsidRPr="004B21E2">
        <w:rPr>
          <w:noProof/>
        </w:rPr>
        <w:fldChar w:fldCharType="end"/>
      </w:r>
    </w:p>
    <w:p w14:paraId="2E6C674D" w14:textId="11430B9A"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Obligations of beneficiary institutions—monitoring for receipt of information</w:t>
      </w:r>
      <w:r w:rsidRPr="004B21E2">
        <w:rPr>
          <w:noProof/>
        </w:rPr>
        <w:tab/>
      </w:r>
      <w:r w:rsidRPr="004B21E2">
        <w:rPr>
          <w:noProof/>
        </w:rPr>
        <w:fldChar w:fldCharType="begin"/>
      </w:r>
      <w:r w:rsidRPr="004B21E2">
        <w:rPr>
          <w:noProof/>
        </w:rPr>
        <w:instrText xml:space="preserve"> PAGEREF _Toc184727385 \h </w:instrText>
      </w:r>
      <w:r w:rsidRPr="004B21E2">
        <w:rPr>
          <w:noProof/>
        </w:rPr>
      </w:r>
      <w:r w:rsidRPr="004B21E2">
        <w:rPr>
          <w:noProof/>
        </w:rPr>
        <w:fldChar w:fldCharType="separate"/>
      </w:r>
      <w:r w:rsidR="00745273">
        <w:rPr>
          <w:noProof/>
        </w:rPr>
        <w:t>41</w:t>
      </w:r>
      <w:r w:rsidRPr="004B21E2">
        <w:rPr>
          <w:noProof/>
        </w:rPr>
        <w:fldChar w:fldCharType="end"/>
      </w:r>
    </w:p>
    <w:p w14:paraId="0FC3CBE5" w14:textId="06DC40C2"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Obligations of intermediary institutions—monitoring for receipt of information and passing on information</w:t>
      </w:r>
      <w:r w:rsidRPr="004B21E2">
        <w:rPr>
          <w:noProof/>
        </w:rPr>
        <w:tab/>
      </w:r>
      <w:r w:rsidRPr="004B21E2">
        <w:rPr>
          <w:noProof/>
        </w:rPr>
        <w:fldChar w:fldCharType="begin"/>
      </w:r>
      <w:r w:rsidRPr="004B21E2">
        <w:rPr>
          <w:noProof/>
        </w:rPr>
        <w:instrText xml:space="preserve"> PAGEREF _Toc184727386 \h </w:instrText>
      </w:r>
      <w:r w:rsidRPr="004B21E2">
        <w:rPr>
          <w:noProof/>
        </w:rPr>
      </w:r>
      <w:r w:rsidRPr="004B21E2">
        <w:rPr>
          <w:noProof/>
        </w:rPr>
        <w:fldChar w:fldCharType="separate"/>
      </w:r>
      <w:r w:rsidR="00745273">
        <w:rPr>
          <w:noProof/>
        </w:rPr>
        <w:t>42</w:t>
      </w:r>
      <w:r w:rsidRPr="004B21E2">
        <w:rPr>
          <w:noProof/>
        </w:rPr>
        <w:fldChar w:fldCharType="end"/>
      </w:r>
    </w:p>
    <w:p w14:paraId="6571B847" w14:textId="69B63FBA"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Division 3—Transfers of value exemptions</w:t>
      </w:r>
      <w:r w:rsidRPr="004B21E2">
        <w:rPr>
          <w:b w:val="0"/>
          <w:noProof/>
          <w:sz w:val="18"/>
        </w:rPr>
        <w:tab/>
      </w:r>
      <w:r w:rsidRPr="004B21E2">
        <w:rPr>
          <w:b w:val="0"/>
          <w:noProof/>
          <w:sz w:val="18"/>
        </w:rPr>
        <w:fldChar w:fldCharType="begin"/>
      </w:r>
      <w:r w:rsidRPr="004B21E2">
        <w:rPr>
          <w:b w:val="0"/>
          <w:noProof/>
          <w:sz w:val="18"/>
        </w:rPr>
        <w:instrText xml:space="preserve"> PAGEREF _Toc184727387 \h </w:instrText>
      </w:r>
      <w:r w:rsidRPr="004B21E2">
        <w:rPr>
          <w:b w:val="0"/>
          <w:noProof/>
          <w:sz w:val="18"/>
        </w:rPr>
      </w:r>
      <w:r w:rsidRPr="004B21E2">
        <w:rPr>
          <w:b w:val="0"/>
          <w:noProof/>
          <w:sz w:val="18"/>
        </w:rPr>
        <w:fldChar w:fldCharType="separate"/>
      </w:r>
      <w:r w:rsidR="00745273">
        <w:rPr>
          <w:b w:val="0"/>
          <w:noProof/>
          <w:sz w:val="18"/>
        </w:rPr>
        <w:t>45</w:t>
      </w:r>
      <w:r w:rsidRPr="004B21E2">
        <w:rPr>
          <w:b w:val="0"/>
          <w:noProof/>
          <w:sz w:val="18"/>
        </w:rPr>
        <w:fldChar w:fldCharType="end"/>
      </w:r>
    </w:p>
    <w:p w14:paraId="56B75C73" w14:textId="13B2E5E7"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Transfer of value exemptions</w:t>
      </w:r>
      <w:r w:rsidRPr="004B21E2">
        <w:rPr>
          <w:noProof/>
        </w:rPr>
        <w:tab/>
      </w:r>
      <w:r w:rsidRPr="004B21E2">
        <w:rPr>
          <w:noProof/>
        </w:rPr>
        <w:fldChar w:fldCharType="begin"/>
      </w:r>
      <w:r w:rsidRPr="004B21E2">
        <w:rPr>
          <w:noProof/>
        </w:rPr>
        <w:instrText xml:space="preserve"> PAGEREF _Toc184727388 \h </w:instrText>
      </w:r>
      <w:r w:rsidRPr="004B21E2">
        <w:rPr>
          <w:noProof/>
        </w:rPr>
      </w:r>
      <w:r w:rsidRPr="004B21E2">
        <w:rPr>
          <w:noProof/>
        </w:rPr>
        <w:fldChar w:fldCharType="separate"/>
      </w:r>
      <w:r w:rsidR="00745273">
        <w:rPr>
          <w:noProof/>
        </w:rPr>
        <w:t>45</w:t>
      </w:r>
      <w:r w:rsidRPr="004B21E2">
        <w:rPr>
          <w:noProof/>
        </w:rPr>
        <w:fldChar w:fldCharType="end"/>
      </w:r>
    </w:p>
    <w:p w14:paraId="53628DC1" w14:textId="696890E0"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Division 4—International value transfer services</w:t>
      </w:r>
      <w:r w:rsidRPr="004B21E2">
        <w:rPr>
          <w:b w:val="0"/>
          <w:noProof/>
          <w:sz w:val="18"/>
        </w:rPr>
        <w:tab/>
      </w:r>
      <w:r w:rsidRPr="004B21E2">
        <w:rPr>
          <w:b w:val="0"/>
          <w:noProof/>
          <w:sz w:val="18"/>
        </w:rPr>
        <w:fldChar w:fldCharType="begin"/>
      </w:r>
      <w:r w:rsidRPr="004B21E2">
        <w:rPr>
          <w:b w:val="0"/>
          <w:noProof/>
          <w:sz w:val="18"/>
        </w:rPr>
        <w:instrText xml:space="preserve"> PAGEREF _Toc184727389 \h </w:instrText>
      </w:r>
      <w:r w:rsidRPr="004B21E2">
        <w:rPr>
          <w:b w:val="0"/>
          <w:noProof/>
          <w:sz w:val="18"/>
        </w:rPr>
      </w:r>
      <w:r w:rsidRPr="004B21E2">
        <w:rPr>
          <w:b w:val="0"/>
          <w:noProof/>
          <w:sz w:val="18"/>
        </w:rPr>
        <w:fldChar w:fldCharType="separate"/>
      </w:r>
      <w:r w:rsidR="00745273">
        <w:rPr>
          <w:b w:val="0"/>
          <w:noProof/>
          <w:sz w:val="18"/>
        </w:rPr>
        <w:t>46</w:t>
      </w:r>
      <w:r w:rsidRPr="004B21E2">
        <w:rPr>
          <w:b w:val="0"/>
          <w:noProof/>
          <w:sz w:val="18"/>
        </w:rPr>
        <w:fldChar w:fldCharType="end"/>
      </w:r>
    </w:p>
    <w:p w14:paraId="06E50720" w14:textId="47171DCE"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60</w:t>
      </w:r>
      <w:r>
        <w:rPr>
          <w:noProof/>
        </w:rPr>
        <w:tab/>
        <w:t>When value is in a country</w:t>
      </w:r>
      <w:r w:rsidRPr="004B21E2">
        <w:rPr>
          <w:noProof/>
        </w:rPr>
        <w:tab/>
      </w:r>
      <w:r w:rsidRPr="004B21E2">
        <w:rPr>
          <w:noProof/>
        </w:rPr>
        <w:fldChar w:fldCharType="begin"/>
      </w:r>
      <w:r w:rsidRPr="004B21E2">
        <w:rPr>
          <w:noProof/>
        </w:rPr>
        <w:instrText xml:space="preserve"> PAGEREF _Toc184727390 \h </w:instrText>
      </w:r>
      <w:r w:rsidRPr="004B21E2">
        <w:rPr>
          <w:noProof/>
        </w:rPr>
      </w:r>
      <w:r w:rsidRPr="004B21E2">
        <w:rPr>
          <w:noProof/>
        </w:rPr>
        <w:fldChar w:fldCharType="separate"/>
      </w:r>
      <w:r w:rsidR="00745273">
        <w:rPr>
          <w:noProof/>
        </w:rPr>
        <w:t>46</w:t>
      </w:r>
      <w:r w:rsidRPr="004B21E2">
        <w:rPr>
          <w:noProof/>
        </w:rPr>
        <w:fldChar w:fldCharType="end"/>
      </w:r>
    </w:p>
    <w:p w14:paraId="1B4EFA38" w14:textId="7A326F2C" w:rsidR="004B21E2" w:rsidRDefault="004B21E2">
      <w:pPr>
        <w:pStyle w:val="TOC2"/>
        <w:rPr>
          <w:rFonts w:asciiTheme="minorHAnsi" w:eastAsiaTheme="minorEastAsia" w:hAnsiTheme="minorHAnsi" w:cstheme="minorBidi"/>
          <w:b w:val="0"/>
          <w:noProof/>
          <w:kern w:val="2"/>
          <w:szCs w:val="24"/>
          <w14:ligatures w14:val="standardContextual"/>
        </w:rPr>
      </w:pPr>
      <w:r>
        <w:rPr>
          <w:noProof/>
        </w:rPr>
        <w:t>Part 8—Reporting</w:t>
      </w:r>
      <w:r w:rsidRPr="004B21E2">
        <w:rPr>
          <w:b w:val="0"/>
          <w:noProof/>
          <w:sz w:val="18"/>
        </w:rPr>
        <w:tab/>
      </w:r>
      <w:r w:rsidRPr="004B21E2">
        <w:rPr>
          <w:b w:val="0"/>
          <w:noProof/>
          <w:sz w:val="18"/>
        </w:rPr>
        <w:fldChar w:fldCharType="begin"/>
      </w:r>
      <w:r w:rsidRPr="004B21E2">
        <w:rPr>
          <w:b w:val="0"/>
          <w:noProof/>
          <w:sz w:val="18"/>
        </w:rPr>
        <w:instrText xml:space="preserve"> PAGEREF _Toc184727391 \h </w:instrText>
      </w:r>
      <w:r w:rsidRPr="004B21E2">
        <w:rPr>
          <w:b w:val="0"/>
          <w:noProof/>
          <w:sz w:val="18"/>
        </w:rPr>
      </w:r>
      <w:r w:rsidRPr="004B21E2">
        <w:rPr>
          <w:b w:val="0"/>
          <w:noProof/>
          <w:sz w:val="18"/>
        </w:rPr>
        <w:fldChar w:fldCharType="separate"/>
      </w:r>
      <w:r w:rsidR="00745273">
        <w:rPr>
          <w:b w:val="0"/>
          <w:noProof/>
          <w:sz w:val="18"/>
        </w:rPr>
        <w:t>47</w:t>
      </w:r>
      <w:r w:rsidRPr="004B21E2">
        <w:rPr>
          <w:b w:val="0"/>
          <w:noProof/>
          <w:sz w:val="18"/>
        </w:rPr>
        <w:fldChar w:fldCharType="end"/>
      </w:r>
    </w:p>
    <w:p w14:paraId="3FE1F489" w14:textId="5A200D3B"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Division 1—Suspicious matter reports [to be drafted]</w:t>
      </w:r>
      <w:r w:rsidRPr="004B21E2">
        <w:rPr>
          <w:b w:val="0"/>
          <w:noProof/>
          <w:sz w:val="18"/>
        </w:rPr>
        <w:tab/>
      </w:r>
      <w:r w:rsidRPr="004B21E2">
        <w:rPr>
          <w:b w:val="0"/>
          <w:noProof/>
          <w:sz w:val="18"/>
        </w:rPr>
        <w:fldChar w:fldCharType="begin"/>
      </w:r>
      <w:r w:rsidRPr="004B21E2">
        <w:rPr>
          <w:b w:val="0"/>
          <w:noProof/>
          <w:sz w:val="18"/>
        </w:rPr>
        <w:instrText xml:space="preserve"> PAGEREF _Toc184727392 \h </w:instrText>
      </w:r>
      <w:r w:rsidRPr="004B21E2">
        <w:rPr>
          <w:b w:val="0"/>
          <w:noProof/>
          <w:sz w:val="18"/>
        </w:rPr>
      </w:r>
      <w:r w:rsidRPr="004B21E2">
        <w:rPr>
          <w:b w:val="0"/>
          <w:noProof/>
          <w:sz w:val="18"/>
        </w:rPr>
        <w:fldChar w:fldCharType="separate"/>
      </w:r>
      <w:r w:rsidR="00745273">
        <w:rPr>
          <w:b w:val="0"/>
          <w:noProof/>
          <w:sz w:val="18"/>
        </w:rPr>
        <w:t>47</w:t>
      </w:r>
      <w:r w:rsidRPr="004B21E2">
        <w:rPr>
          <w:b w:val="0"/>
          <w:noProof/>
          <w:sz w:val="18"/>
        </w:rPr>
        <w:fldChar w:fldCharType="end"/>
      </w:r>
    </w:p>
    <w:p w14:paraId="5A6EFC77" w14:textId="4E6E5E26"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Division 2—Threshold transaction reports [to be drafted]</w:t>
      </w:r>
      <w:r w:rsidRPr="004B21E2">
        <w:rPr>
          <w:b w:val="0"/>
          <w:noProof/>
          <w:sz w:val="18"/>
        </w:rPr>
        <w:tab/>
      </w:r>
      <w:r w:rsidRPr="004B21E2">
        <w:rPr>
          <w:b w:val="0"/>
          <w:noProof/>
          <w:sz w:val="18"/>
        </w:rPr>
        <w:fldChar w:fldCharType="begin"/>
      </w:r>
      <w:r w:rsidRPr="004B21E2">
        <w:rPr>
          <w:b w:val="0"/>
          <w:noProof/>
          <w:sz w:val="18"/>
        </w:rPr>
        <w:instrText xml:space="preserve"> PAGEREF _Toc184727393 \h </w:instrText>
      </w:r>
      <w:r w:rsidRPr="004B21E2">
        <w:rPr>
          <w:b w:val="0"/>
          <w:noProof/>
          <w:sz w:val="18"/>
        </w:rPr>
      </w:r>
      <w:r w:rsidRPr="004B21E2">
        <w:rPr>
          <w:b w:val="0"/>
          <w:noProof/>
          <w:sz w:val="18"/>
        </w:rPr>
        <w:fldChar w:fldCharType="separate"/>
      </w:r>
      <w:r w:rsidR="00745273">
        <w:rPr>
          <w:b w:val="0"/>
          <w:noProof/>
          <w:sz w:val="18"/>
        </w:rPr>
        <w:t>48</w:t>
      </w:r>
      <w:r w:rsidRPr="004B21E2">
        <w:rPr>
          <w:b w:val="0"/>
          <w:noProof/>
          <w:sz w:val="18"/>
        </w:rPr>
        <w:fldChar w:fldCharType="end"/>
      </w:r>
    </w:p>
    <w:p w14:paraId="6ED8531E" w14:textId="61A36EDB"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Division 3—International value transfer reports [to be drafted]</w:t>
      </w:r>
      <w:r w:rsidRPr="004B21E2">
        <w:rPr>
          <w:b w:val="0"/>
          <w:noProof/>
          <w:sz w:val="18"/>
        </w:rPr>
        <w:tab/>
      </w:r>
      <w:r w:rsidRPr="004B21E2">
        <w:rPr>
          <w:b w:val="0"/>
          <w:noProof/>
          <w:sz w:val="18"/>
        </w:rPr>
        <w:fldChar w:fldCharType="begin"/>
      </w:r>
      <w:r w:rsidRPr="004B21E2">
        <w:rPr>
          <w:b w:val="0"/>
          <w:noProof/>
          <w:sz w:val="18"/>
        </w:rPr>
        <w:instrText xml:space="preserve"> PAGEREF _Toc184727394 \h </w:instrText>
      </w:r>
      <w:r w:rsidRPr="004B21E2">
        <w:rPr>
          <w:b w:val="0"/>
          <w:noProof/>
          <w:sz w:val="18"/>
        </w:rPr>
      </w:r>
      <w:r w:rsidRPr="004B21E2">
        <w:rPr>
          <w:b w:val="0"/>
          <w:noProof/>
          <w:sz w:val="18"/>
        </w:rPr>
        <w:fldChar w:fldCharType="separate"/>
      </w:r>
      <w:r w:rsidR="00745273">
        <w:rPr>
          <w:b w:val="0"/>
          <w:noProof/>
          <w:sz w:val="18"/>
        </w:rPr>
        <w:t>49</w:t>
      </w:r>
      <w:r w:rsidRPr="004B21E2">
        <w:rPr>
          <w:b w:val="0"/>
          <w:noProof/>
          <w:sz w:val="18"/>
        </w:rPr>
        <w:fldChar w:fldCharType="end"/>
      </w:r>
    </w:p>
    <w:p w14:paraId="7BF9A9B2" w14:textId="284E78B1"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Division 4—AML/CTF compliance reports</w:t>
      </w:r>
      <w:r w:rsidRPr="004B21E2">
        <w:rPr>
          <w:b w:val="0"/>
          <w:noProof/>
          <w:sz w:val="18"/>
        </w:rPr>
        <w:tab/>
      </w:r>
      <w:r w:rsidRPr="004B21E2">
        <w:rPr>
          <w:b w:val="0"/>
          <w:noProof/>
          <w:sz w:val="18"/>
        </w:rPr>
        <w:fldChar w:fldCharType="begin"/>
      </w:r>
      <w:r w:rsidRPr="004B21E2">
        <w:rPr>
          <w:b w:val="0"/>
          <w:noProof/>
          <w:sz w:val="18"/>
        </w:rPr>
        <w:instrText xml:space="preserve"> PAGEREF _Toc184727395 \h </w:instrText>
      </w:r>
      <w:r w:rsidRPr="004B21E2">
        <w:rPr>
          <w:b w:val="0"/>
          <w:noProof/>
          <w:sz w:val="18"/>
        </w:rPr>
      </w:r>
      <w:r w:rsidRPr="004B21E2">
        <w:rPr>
          <w:b w:val="0"/>
          <w:noProof/>
          <w:sz w:val="18"/>
        </w:rPr>
        <w:fldChar w:fldCharType="separate"/>
      </w:r>
      <w:r w:rsidR="00745273">
        <w:rPr>
          <w:b w:val="0"/>
          <w:noProof/>
          <w:sz w:val="18"/>
        </w:rPr>
        <w:t>50</w:t>
      </w:r>
      <w:r w:rsidRPr="004B21E2">
        <w:rPr>
          <w:b w:val="0"/>
          <w:noProof/>
          <w:sz w:val="18"/>
        </w:rPr>
        <w:fldChar w:fldCharType="end"/>
      </w:r>
    </w:p>
    <w:p w14:paraId="33EFFEFC" w14:textId="68454341"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Reporting and lodgement periods for AML/CTF compliance reports</w:t>
      </w:r>
      <w:r w:rsidRPr="004B21E2">
        <w:rPr>
          <w:noProof/>
        </w:rPr>
        <w:tab/>
      </w:r>
      <w:r w:rsidRPr="004B21E2">
        <w:rPr>
          <w:noProof/>
        </w:rPr>
        <w:fldChar w:fldCharType="begin"/>
      </w:r>
      <w:r w:rsidRPr="004B21E2">
        <w:rPr>
          <w:noProof/>
        </w:rPr>
        <w:instrText xml:space="preserve"> PAGEREF _Toc184727396 \h </w:instrText>
      </w:r>
      <w:r w:rsidRPr="004B21E2">
        <w:rPr>
          <w:noProof/>
        </w:rPr>
      </w:r>
      <w:r w:rsidRPr="004B21E2">
        <w:rPr>
          <w:noProof/>
        </w:rPr>
        <w:fldChar w:fldCharType="separate"/>
      </w:r>
      <w:r w:rsidR="00745273">
        <w:rPr>
          <w:noProof/>
        </w:rPr>
        <w:t>50</w:t>
      </w:r>
      <w:r w:rsidRPr="004B21E2">
        <w:rPr>
          <w:noProof/>
        </w:rPr>
        <w:fldChar w:fldCharType="end"/>
      </w:r>
    </w:p>
    <w:p w14:paraId="1915E3FD" w14:textId="4E0B01FB"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Division 5—Registered remittance affiliates</w:t>
      </w:r>
      <w:r w:rsidRPr="004B21E2">
        <w:rPr>
          <w:b w:val="0"/>
          <w:noProof/>
          <w:sz w:val="18"/>
        </w:rPr>
        <w:tab/>
      </w:r>
      <w:r w:rsidRPr="004B21E2">
        <w:rPr>
          <w:b w:val="0"/>
          <w:noProof/>
          <w:sz w:val="18"/>
        </w:rPr>
        <w:fldChar w:fldCharType="begin"/>
      </w:r>
      <w:r w:rsidRPr="004B21E2">
        <w:rPr>
          <w:b w:val="0"/>
          <w:noProof/>
          <w:sz w:val="18"/>
        </w:rPr>
        <w:instrText xml:space="preserve"> PAGEREF _Toc184727397 \h </w:instrText>
      </w:r>
      <w:r w:rsidRPr="004B21E2">
        <w:rPr>
          <w:b w:val="0"/>
          <w:noProof/>
          <w:sz w:val="18"/>
        </w:rPr>
      </w:r>
      <w:r w:rsidRPr="004B21E2">
        <w:rPr>
          <w:b w:val="0"/>
          <w:noProof/>
          <w:sz w:val="18"/>
        </w:rPr>
        <w:fldChar w:fldCharType="separate"/>
      </w:r>
      <w:r w:rsidR="00745273">
        <w:rPr>
          <w:b w:val="0"/>
          <w:noProof/>
          <w:sz w:val="18"/>
        </w:rPr>
        <w:t>51</w:t>
      </w:r>
      <w:r w:rsidRPr="004B21E2">
        <w:rPr>
          <w:b w:val="0"/>
          <w:noProof/>
          <w:sz w:val="18"/>
        </w:rPr>
        <w:fldChar w:fldCharType="end"/>
      </w:r>
    </w:p>
    <w:p w14:paraId="77D81D99" w14:textId="1EDE0252"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62</w:t>
      </w:r>
      <w:r>
        <w:rPr>
          <w:noProof/>
        </w:rPr>
        <w:tab/>
        <w:t>Reporting obligations of registered remittance affiliates</w:t>
      </w:r>
      <w:r w:rsidRPr="004B21E2">
        <w:rPr>
          <w:noProof/>
        </w:rPr>
        <w:tab/>
      </w:r>
      <w:r w:rsidRPr="004B21E2">
        <w:rPr>
          <w:noProof/>
        </w:rPr>
        <w:fldChar w:fldCharType="begin"/>
      </w:r>
      <w:r w:rsidRPr="004B21E2">
        <w:rPr>
          <w:noProof/>
        </w:rPr>
        <w:instrText xml:space="preserve"> PAGEREF _Toc184727398 \h </w:instrText>
      </w:r>
      <w:r w:rsidRPr="004B21E2">
        <w:rPr>
          <w:noProof/>
        </w:rPr>
      </w:r>
      <w:r w:rsidRPr="004B21E2">
        <w:rPr>
          <w:noProof/>
        </w:rPr>
        <w:fldChar w:fldCharType="separate"/>
      </w:r>
      <w:r w:rsidR="00745273">
        <w:rPr>
          <w:noProof/>
        </w:rPr>
        <w:t>51</w:t>
      </w:r>
      <w:r w:rsidRPr="004B21E2">
        <w:rPr>
          <w:noProof/>
        </w:rPr>
        <w:fldChar w:fldCharType="end"/>
      </w:r>
    </w:p>
    <w:p w14:paraId="38F47BBB" w14:textId="4C936594"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Division 6—Cross</w:t>
      </w:r>
      <w:r>
        <w:rPr>
          <w:noProof/>
        </w:rPr>
        <w:noBreakHyphen/>
        <w:t>border movement reports</w:t>
      </w:r>
      <w:r w:rsidRPr="004B21E2">
        <w:rPr>
          <w:b w:val="0"/>
          <w:noProof/>
          <w:sz w:val="18"/>
        </w:rPr>
        <w:tab/>
      </w:r>
      <w:r w:rsidRPr="004B21E2">
        <w:rPr>
          <w:b w:val="0"/>
          <w:noProof/>
          <w:sz w:val="18"/>
        </w:rPr>
        <w:fldChar w:fldCharType="begin"/>
      </w:r>
      <w:r w:rsidRPr="004B21E2">
        <w:rPr>
          <w:b w:val="0"/>
          <w:noProof/>
          <w:sz w:val="18"/>
        </w:rPr>
        <w:instrText xml:space="preserve"> PAGEREF _Toc184727399 \h </w:instrText>
      </w:r>
      <w:r w:rsidRPr="004B21E2">
        <w:rPr>
          <w:b w:val="0"/>
          <w:noProof/>
          <w:sz w:val="18"/>
        </w:rPr>
      </w:r>
      <w:r w:rsidRPr="004B21E2">
        <w:rPr>
          <w:b w:val="0"/>
          <w:noProof/>
          <w:sz w:val="18"/>
        </w:rPr>
        <w:fldChar w:fldCharType="separate"/>
      </w:r>
      <w:r w:rsidR="00745273">
        <w:rPr>
          <w:b w:val="0"/>
          <w:noProof/>
          <w:sz w:val="18"/>
        </w:rPr>
        <w:t>52</w:t>
      </w:r>
      <w:r w:rsidRPr="004B21E2">
        <w:rPr>
          <w:b w:val="0"/>
          <w:noProof/>
          <w:sz w:val="18"/>
        </w:rPr>
        <w:fldChar w:fldCharType="end"/>
      </w:r>
    </w:p>
    <w:p w14:paraId="163B863C" w14:textId="777A953C"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Purpose of this Division</w:t>
      </w:r>
      <w:r w:rsidRPr="004B21E2">
        <w:rPr>
          <w:noProof/>
        </w:rPr>
        <w:tab/>
      </w:r>
      <w:r w:rsidRPr="004B21E2">
        <w:rPr>
          <w:noProof/>
        </w:rPr>
        <w:fldChar w:fldCharType="begin"/>
      </w:r>
      <w:r w:rsidRPr="004B21E2">
        <w:rPr>
          <w:noProof/>
        </w:rPr>
        <w:instrText xml:space="preserve"> PAGEREF _Toc184727400 \h </w:instrText>
      </w:r>
      <w:r w:rsidRPr="004B21E2">
        <w:rPr>
          <w:noProof/>
        </w:rPr>
      </w:r>
      <w:r w:rsidRPr="004B21E2">
        <w:rPr>
          <w:noProof/>
        </w:rPr>
        <w:fldChar w:fldCharType="separate"/>
      </w:r>
      <w:r w:rsidR="00745273">
        <w:rPr>
          <w:noProof/>
        </w:rPr>
        <w:t>52</w:t>
      </w:r>
      <w:r w:rsidRPr="004B21E2">
        <w:rPr>
          <w:noProof/>
        </w:rPr>
        <w:fldChar w:fldCharType="end"/>
      </w:r>
    </w:p>
    <w:p w14:paraId="04996259" w14:textId="2E82A5D2"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64</w:t>
      </w:r>
      <w:r>
        <w:rPr>
          <w:noProof/>
        </w:rPr>
        <w:tab/>
        <w:t>Reports about moving monetary instruments into or out of Australia</w:t>
      </w:r>
      <w:r w:rsidRPr="004B21E2">
        <w:rPr>
          <w:noProof/>
        </w:rPr>
        <w:tab/>
      </w:r>
      <w:r w:rsidRPr="004B21E2">
        <w:rPr>
          <w:noProof/>
        </w:rPr>
        <w:fldChar w:fldCharType="begin"/>
      </w:r>
      <w:r w:rsidRPr="004B21E2">
        <w:rPr>
          <w:noProof/>
        </w:rPr>
        <w:instrText xml:space="preserve"> PAGEREF _Toc184727401 \h </w:instrText>
      </w:r>
      <w:r w:rsidRPr="004B21E2">
        <w:rPr>
          <w:noProof/>
        </w:rPr>
      </w:r>
      <w:r w:rsidRPr="004B21E2">
        <w:rPr>
          <w:noProof/>
        </w:rPr>
        <w:fldChar w:fldCharType="separate"/>
      </w:r>
      <w:r w:rsidR="00745273">
        <w:rPr>
          <w:noProof/>
        </w:rPr>
        <w:t>52</w:t>
      </w:r>
      <w:r w:rsidRPr="004B21E2">
        <w:rPr>
          <w:noProof/>
        </w:rPr>
        <w:fldChar w:fldCharType="end"/>
      </w:r>
    </w:p>
    <w:p w14:paraId="0B5EACCD" w14:textId="1DFEE5BA"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65</w:t>
      </w:r>
      <w:r>
        <w:rPr>
          <w:noProof/>
        </w:rPr>
        <w:tab/>
        <w:t>Reports about receiving monetary instruments moved into Australia</w:t>
      </w:r>
      <w:r w:rsidRPr="004B21E2">
        <w:rPr>
          <w:noProof/>
        </w:rPr>
        <w:tab/>
      </w:r>
      <w:r w:rsidRPr="004B21E2">
        <w:rPr>
          <w:noProof/>
        </w:rPr>
        <w:fldChar w:fldCharType="begin"/>
      </w:r>
      <w:r w:rsidRPr="004B21E2">
        <w:rPr>
          <w:noProof/>
        </w:rPr>
        <w:instrText xml:space="preserve"> PAGEREF _Toc184727402 \h </w:instrText>
      </w:r>
      <w:r w:rsidRPr="004B21E2">
        <w:rPr>
          <w:noProof/>
        </w:rPr>
      </w:r>
      <w:r w:rsidRPr="004B21E2">
        <w:rPr>
          <w:noProof/>
        </w:rPr>
        <w:fldChar w:fldCharType="separate"/>
      </w:r>
      <w:r w:rsidR="00745273">
        <w:rPr>
          <w:noProof/>
        </w:rPr>
        <w:t>54</w:t>
      </w:r>
      <w:r w:rsidRPr="004B21E2">
        <w:rPr>
          <w:noProof/>
        </w:rPr>
        <w:fldChar w:fldCharType="end"/>
      </w:r>
    </w:p>
    <w:p w14:paraId="4A17FE5A" w14:textId="1A2EFFBA"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66</w:t>
      </w:r>
      <w:r>
        <w:rPr>
          <w:noProof/>
        </w:rPr>
        <w:tab/>
        <w:t>Affixing of notices about cross</w:t>
      </w:r>
      <w:r>
        <w:rPr>
          <w:noProof/>
        </w:rPr>
        <w:noBreakHyphen/>
        <w:t>border movement reporting obligations</w:t>
      </w:r>
      <w:r w:rsidRPr="004B21E2">
        <w:rPr>
          <w:noProof/>
        </w:rPr>
        <w:tab/>
      </w:r>
      <w:r w:rsidRPr="004B21E2">
        <w:rPr>
          <w:noProof/>
        </w:rPr>
        <w:fldChar w:fldCharType="begin"/>
      </w:r>
      <w:r w:rsidRPr="004B21E2">
        <w:rPr>
          <w:noProof/>
        </w:rPr>
        <w:instrText xml:space="preserve"> PAGEREF _Toc184727403 \h </w:instrText>
      </w:r>
      <w:r w:rsidRPr="004B21E2">
        <w:rPr>
          <w:noProof/>
        </w:rPr>
      </w:r>
      <w:r w:rsidRPr="004B21E2">
        <w:rPr>
          <w:noProof/>
        </w:rPr>
        <w:fldChar w:fldCharType="separate"/>
      </w:r>
      <w:r w:rsidR="00745273">
        <w:rPr>
          <w:noProof/>
        </w:rPr>
        <w:t>56</w:t>
      </w:r>
      <w:r w:rsidRPr="004B21E2">
        <w:rPr>
          <w:noProof/>
        </w:rPr>
        <w:fldChar w:fldCharType="end"/>
      </w:r>
    </w:p>
    <w:p w14:paraId="1585A049" w14:textId="01EF4EB7" w:rsidR="004B21E2" w:rsidRDefault="004B21E2">
      <w:pPr>
        <w:pStyle w:val="TOC2"/>
        <w:rPr>
          <w:rFonts w:asciiTheme="minorHAnsi" w:eastAsiaTheme="minorEastAsia" w:hAnsiTheme="minorHAnsi" w:cstheme="minorBidi"/>
          <w:b w:val="0"/>
          <w:noProof/>
          <w:kern w:val="2"/>
          <w:szCs w:val="24"/>
          <w14:ligatures w14:val="standardContextual"/>
        </w:rPr>
      </w:pPr>
      <w:r>
        <w:rPr>
          <w:noProof/>
        </w:rPr>
        <w:t>Part 9—Record</w:t>
      </w:r>
      <w:r>
        <w:rPr>
          <w:noProof/>
        </w:rPr>
        <w:noBreakHyphen/>
        <w:t>keeping [to be drafted]</w:t>
      </w:r>
      <w:r w:rsidRPr="004B21E2">
        <w:rPr>
          <w:b w:val="0"/>
          <w:noProof/>
          <w:sz w:val="18"/>
        </w:rPr>
        <w:tab/>
      </w:r>
      <w:r w:rsidRPr="004B21E2">
        <w:rPr>
          <w:b w:val="0"/>
          <w:noProof/>
          <w:sz w:val="18"/>
        </w:rPr>
        <w:fldChar w:fldCharType="begin"/>
      </w:r>
      <w:r w:rsidRPr="004B21E2">
        <w:rPr>
          <w:b w:val="0"/>
          <w:noProof/>
          <w:sz w:val="18"/>
        </w:rPr>
        <w:instrText xml:space="preserve"> PAGEREF _Toc184727404 \h </w:instrText>
      </w:r>
      <w:r w:rsidRPr="004B21E2">
        <w:rPr>
          <w:b w:val="0"/>
          <w:noProof/>
          <w:sz w:val="18"/>
        </w:rPr>
      </w:r>
      <w:r w:rsidRPr="004B21E2">
        <w:rPr>
          <w:b w:val="0"/>
          <w:noProof/>
          <w:sz w:val="18"/>
        </w:rPr>
        <w:fldChar w:fldCharType="separate"/>
      </w:r>
      <w:r w:rsidR="00745273">
        <w:rPr>
          <w:b w:val="0"/>
          <w:noProof/>
          <w:sz w:val="18"/>
        </w:rPr>
        <w:t>57</w:t>
      </w:r>
      <w:r w:rsidRPr="004B21E2">
        <w:rPr>
          <w:b w:val="0"/>
          <w:noProof/>
          <w:sz w:val="18"/>
        </w:rPr>
        <w:fldChar w:fldCharType="end"/>
      </w:r>
    </w:p>
    <w:p w14:paraId="4262BEFA" w14:textId="5068EEB9" w:rsidR="004B21E2" w:rsidRDefault="004B21E2">
      <w:pPr>
        <w:pStyle w:val="TOC2"/>
        <w:rPr>
          <w:rFonts w:asciiTheme="minorHAnsi" w:eastAsiaTheme="minorEastAsia" w:hAnsiTheme="minorHAnsi" w:cstheme="minorBidi"/>
          <w:b w:val="0"/>
          <w:noProof/>
          <w:kern w:val="2"/>
          <w:szCs w:val="24"/>
          <w14:ligatures w14:val="standardContextual"/>
        </w:rPr>
      </w:pPr>
      <w:r>
        <w:rPr>
          <w:noProof/>
        </w:rPr>
        <w:t>Part 10—Secrecy and access</w:t>
      </w:r>
      <w:r w:rsidRPr="004B21E2">
        <w:rPr>
          <w:b w:val="0"/>
          <w:noProof/>
          <w:sz w:val="18"/>
        </w:rPr>
        <w:tab/>
      </w:r>
      <w:r w:rsidRPr="004B21E2">
        <w:rPr>
          <w:b w:val="0"/>
          <w:noProof/>
          <w:sz w:val="18"/>
        </w:rPr>
        <w:fldChar w:fldCharType="begin"/>
      </w:r>
      <w:r w:rsidRPr="004B21E2">
        <w:rPr>
          <w:b w:val="0"/>
          <w:noProof/>
          <w:sz w:val="18"/>
        </w:rPr>
        <w:instrText xml:space="preserve"> PAGEREF _Toc184727405 \h </w:instrText>
      </w:r>
      <w:r w:rsidRPr="004B21E2">
        <w:rPr>
          <w:b w:val="0"/>
          <w:noProof/>
          <w:sz w:val="18"/>
        </w:rPr>
      </w:r>
      <w:r w:rsidRPr="004B21E2">
        <w:rPr>
          <w:b w:val="0"/>
          <w:noProof/>
          <w:sz w:val="18"/>
        </w:rPr>
        <w:fldChar w:fldCharType="separate"/>
      </w:r>
      <w:r w:rsidR="00745273">
        <w:rPr>
          <w:b w:val="0"/>
          <w:noProof/>
          <w:sz w:val="18"/>
        </w:rPr>
        <w:t>58</w:t>
      </w:r>
      <w:r w:rsidRPr="004B21E2">
        <w:rPr>
          <w:b w:val="0"/>
          <w:noProof/>
          <w:sz w:val="18"/>
        </w:rPr>
        <w:fldChar w:fldCharType="end"/>
      </w:r>
    </w:p>
    <w:p w14:paraId="614547F9" w14:textId="296F31C7"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Disclosure of AUSTRAC information to foreign countries or agencies</w:t>
      </w:r>
      <w:r w:rsidRPr="004B21E2">
        <w:rPr>
          <w:noProof/>
        </w:rPr>
        <w:tab/>
      </w:r>
      <w:r w:rsidRPr="004B21E2">
        <w:rPr>
          <w:noProof/>
        </w:rPr>
        <w:fldChar w:fldCharType="begin"/>
      </w:r>
      <w:r w:rsidRPr="004B21E2">
        <w:rPr>
          <w:noProof/>
        </w:rPr>
        <w:instrText xml:space="preserve"> PAGEREF _Toc184727406 \h </w:instrText>
      </w:r>
      <w:r w:rsidRPr="004B21E2">
        <w:rPr>
          <w:noProof/>
        </w:rPr>
      </w:r>
      <w:r w:rsidRPr="004B21E2">
        <w:rPr>
          <w:noProof/>
        </w:rPr>
        <w:fldChar w:fldCharType="separate"/>
      </w:r>
      <w:r w:rsidR="00745273">
        <w:rPr>
          <w:noProof/>
        </w:rPr>
        <w:t>58</w:t>
      </w:r>
      <w:r w:rsidRPr="004B21E2">
        <w:rPr>
          <w:noProof/>
        </w:rPr>
        <w:fldChar w:fldCharType="end"/>
      </w:r>
    </w:p>
    <w:p w14:paraId="39E6FC6A" w14:textId="792E11B7" w:rsidR="004B21E2" w:rsidRDefault="004B21E2">
      <w:pPr>
        <w:pStyle w:val="TOC2"/>
        <w:rPr>
          <w:rFonts w:asciiTheme="minorHAnsi" w:eastAsiaTheme="minorEastAsia" w:hAnsiTheme="minorHAnsi" w:cstheme="minorBidi"/>
          <w:b w:val="0"/>
          <w:noProof/>
          <w:kern w:val="2"/>
          <w:szCs w:val="24"/>
          <w14:ligatures w14:val="standardContextual"/>
        </w:rPr>
      </w:pPr>
      <w:r>
        <w:rPr>
          <w:noProof/>
        </w:rPr>
        <w:t>Part 11—Other matters</w:t>
      </w:r>
      <w:r w:rsidRPr="004B21E2">
        <w:rPr>
          <w:b w:val="0"/>
          <w:noProof/>
          <w:sz w:val="18"/>
        </w:rPr>
        <w:tab/>
      </w:r>
      <w:r w:rsidRPr="004B21E2">
        <w:rPr>
          <w:b w:val="0"/>
          <w:noProof/>
          <w:sz w:val="18"/>
        </w:rPr>
        <w:fldChar w:fldCharType="begin"/>
      </w:r>
      <w:r w:rsidRPr="004B21E2">
        <w:rPr>
          <w:b w:val="0"/>
          <w:noProof/>
          <w:sz w:val="18"/>
        </w:rPr>
        <w:instrText xml:space="preserve"> PAGEREF _Toc184727407 \h </w:instrText>
      </w:r>
      <w:r w:rsidRPr="004B21E2">
        <w:rPr>
          <w:b w:val="0"/>
          <w:noProof/>
          <w:sz w:val="18"/>
        </w:rPr>
      </w:r>
      <w:r w:rsidRPr="004B21E2">
        <w:rPr>
          <w:b w:val="0"/>
          <w:noProof/>
          <w:sz w:val="18"/>
        </w:rPr>
        <w:fldChar w:fldCharType="separate"/>
      </w:r>
      <w:r w:rsidR="00745273">
        <w:rPr>
          <w:b w:val="0"/>
          <w:noProof/>
          <w:sz w:val="18"/>
        </w:rPr>
        <w:t>59</w:t>
      </w:r>
      <w:r w:rsidRPr="004B21E2">
        <w:rPr>
          <w:b w:val="0"/>
          <w:noProof/>
          <w:sz w:val="18"/>
        </w:rPr>
        <w:fldChar w:fldCharType="end"/>
      </w:r>
    </w:p>
    <w:p w14:paraId="6D6E49FE" w14:textId="502659DB" w:rsidR="004B21E2" w:rsidRDefault="004B21E2">
      <w:pPr>
        <w:pStyle w:val="TOC5"/>
        <w:rPr>
          <w:rFonts w:asciiTheme="minorHAnsi" w:eastAsiaTheme="minorEastAsia" w:hAnsiTheme="minorHAnsi" w:cstheme="minorBidi"/>
          <w:noProof/>
          <w:kern w:val="2"/>
          <w:sz w:val="24"/>
          <w:szCs w:val="24"/>
          <w14:ligatures w14:val="standardContextual"/>
        </w:rPr>
      </w:pPr>
      <w:r>
        <w:rPr>
          <w:noProof/>
        </w:rPr>
        <w:t>68</w:t>
      </w:r>
      <w:r>
        <w:rPr>
          <w:noProof/>
        </w:rPr>
        <w:tab/>
        <w:t>Discharge of obligations by members of a reporting group</w:t>
      </w:r>
      <w:r w:rsidRPr="004B21E2">
        <w:rPr>
          <w:noProof/>
        </w:rPr>
        <w:tab/>
      </w:r>
      <w:r w:rsidRPr="004B21E2">
        <w:rPr>
          <w:noProof/>
        </w:rPr>
        <w:fldChar w:fldCharType="begin"/>
      </w:r>
      <w:r w:rsidRPr="004B21E2">
        <w:rPr>
          <w:noProof/>
        </w:rPr>
        <w:instrText xml:space="preserve"> PAGEREF _Toc184727408 \h </w:instrText>
      </w:r>
      <w:r w:rsidRPr="004B21E2">
        <w:rPr>
          <w:noProof/>
        </w:rPr>
      </w:r>
      <w:r w:rsidRPr="004B21E2">
        <w:rPr>
          <w:noProof/>
        </w:rPr>
        <w:fldChar w:fldCharType="separate"/>
      </w:r>
      <w:r w:rsidR="00745273">
        <w:rPr>
          <w:noProof/>
        </w:rPr>
        <w:t>59</w:t>
      </w:r>
      <w:r w:rsidRPr="004B21E2">
        <w:rPr>
          <w:noProof/>
        </w:rPr>
        <w:fldChar w:fldCharType="end"/>
      </w:r>
    </w:p>
    <w:p w14:paraId="3B198D29" w14:textId="65C0E7EA" w:rsidR="004B21E2" w:rsidRDefault="004B21E2">
      <w:pPr>
        <w:pStyle w:val="TOC2"/>
        <w:rPr>
          <w:rFonts w:asciiTheme="minorHAnsi" w:eastAsiaTheme="minorEastAsia" w:hAnsiTheme="minorHAnsi" w:cstheme="minorBidi"/>
          <w:b w:val="0"/>
          <w:noProof/>
          <w:kern w:val="2"/>
          <w:szCs w:val="24"/>
          <w14:ligatures w14:val="standardContextual"/>
        </w:rPr>
      </w:pPr>
      <w:r>
        <w:rPr>
          <w:noProof/>
        </w:rPr>
        <w:t>Part 12—Application, saving and transitional provisions [to be drafted]</w:t>
      </w:r>
      <w:r w:rsidRPr="004B21E2">
        <w:rPr>
          <w:b w:val="0"/>
          <w:noProof/>
          <w:sz w:val="18"/>
        </w:rPr>
        <w:tab/>
      </w:r>
      <w:r w:rsidRPr="004B21E2">
        <w:rPr>
          <w:b w:val="0"/>
          <w:noProof/>
          <w:sz w:val="18"/>
        </w:rPr>
        <w:fldChar w:fldCharType="begin"/>
      </w:r>
      <w:r w:rsidRPr="004B21E2">
        <w:rPr>
          <w:b w:val="0"/>
          <w:noProof/>
          <w:sz w:val="18"/>
        </w:rPr>
        <w:instrText xml:space="preserve"> PAGEREF _Toc184727409 \h </w:instrText>
      </w:r>
      <w:r w:rsidRPr="004B21E2">
        <w:rPr>
          <w:b w:val="0"/>
          <w:noProof/>
          <w:sz w:val="18"/>
        </w:rPr>
      </w:r>
      <w:r w:rsidRPr="004B21E2">
        <w:rPr>
          <w:b w:val="0"/>
          <w:noProof/>
          <w:sz w:val="18"/>
        </w:rPr>
        <w:fldChar w:fldCharType="separate"/>
      </w:r>
      <w:r w:rsidR="00745273">
        <w:rPr>
          <w:b w:val="0"/>
          <w:noProof/>
          <w:sz w:val="18"/>
        </w:rPr>
        <w:t>60</w:t>
      </w:r>
      <w:r w:rsidRPr="004B21E2">
        <w:rPr>
          <w:b w:val="0"/>
          <w:noProof/>
          <w:sz w:val="18"/>
        </w:rPr>
        <w:fldChar w:fldCharType="end"/>
      </w:r>
    </w:p>
    <w:p w14:paraId="5E492959" w14:textId="45C0F8E9" w:rsidR="004B21E2" w:rsidRDefault="004B21E2">
      <w:pPr>
        <w:pStyle w:val="TOC1"/>
        <w:rPr>
          <w:rFonts w:asciiTheme="minorHAnsi" w:eastAsiaTheme="minorEastAsia" w:hAnsiTheme="minorHAnsi" w:cstheme="minorBidi"/>
          <w:b w:val="0"/>
          <w:noProof/>
          <w:kern w:val="2"/>
          <w:sz w:val="24"/>
          <w:szCs w:val="24"/>
          <w14:ligatures w14:val="standardContextual"/>
        </w:rPr>
      </w:pPr>
      <w:r>
        <w:rPr>
          <w:noProof/>
        </w:rPr>
        <w:t>Schedule 1—Forms</w:t>
      </w:r>
      <w:r w:rsidRPr="004B21E2">
        <w:rPr>
          <w:b w:val="0"/>
          <w:noProof/>
          <w:sz w:val="18"/>
        </w:rPr>
        <w:tab/>
      </w:r>
      <w:r w:rsidRPr="004B21E2">
        <w:rPr>
          <w:b w:val="0"/>
          <w:noProof/>
          <w:sz w:val="18"/>
        </w:rPr>
        <w:fldChar w:fldCharType="begin"/>
      </w:r>
      <w:r w:rsidRPr="004B21E2">
        <w:rPr>
          <w:b w:val="0"/>
          <w:noProof/>
          <w:sz w:val="18"/>
        </w:rPr>
        <w:instrText xml:space="preserve"> PAGEREF _Toc184727410 \h </w:instrText>
      </w:r>
      <w:r w:rsidRPr="004B21E2">
        <w:rPr>
          <w:b w:val="0"/>
          <w:noProof/>
          <w:sz w:val="18"/>
        </w:rPr>
      </w:r>
      <w:r w:rsidRPr="004B21E2">
        <w:rPr>
          <w:b w:val="0"/>
          <w:noProof/>
          <w:sz w:val="18"/>
        </w:rPr>
        <w:fldChar w:fldCharType="separate"/>
      </w:r>
      <w:r w:rsidR="00745273">
        <w:rPr>
          <w:b w:val="0"/>
          <w:noProof/>
          <w:sz w:val="18"/>
        </w:rPr>
        <w:t>61</w:t>
      </w:r>
      <w:r w:rsidRPr="004B21E2">
        <w:rPr>
          <w:b w:val="0"/>
          <w:noProof/>
          <w:sz w:val="18"/>
        </w:rPr>
        <w:fldChar w:fldCharType="end"/>
      </w:r>
    </w:p>
    <w:p w14:paraId="37C411CD" w14:textId="562692FA"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Form 1—Keep open notice</w:t>
      </w:r>
      <w:r w:rsidRPr="004B21E2">
        <w:rPr>
          <w:b w:val="0"/>
          <w:noProof/>
          <w:sz w:val="18"/>
        </w:rPr>
        <w:tab/>
      </w:r>
      <w:r w:rsidRPr="004B21E2">
        <w:rPr>
          <w:b w:val="0"/>
          <w:noProof/>
          <w:sz w:val="18"/>
        </w:rPr>
        <w:fldChar w:fldCharType="begin"/>
      </w:r>
      <w:r w:rsidRPr="004B21E2">
        <w:rPr>
          <w:b w:val="0"/>
          <w:noProof/>
          <w:sz w:val="18"/>
        </w:rPr>
        <w:instrText xml:space="preserve"> PAGEREF _Toc184727411 \h </w:instrText>
      </w:r>
      <w:r w:rsidRPr="004B21E2">
        <w:rPr>
          <w:b w:val="0"/>
          <w:noProof/>
          <w:sz w:val="18"/>
        </w:rPr>
      </w:r>
      <w:r w:rsidRPr="004B21E2">
        <w:rPr>
          <w:b w:val="0"/>
          <w:noProof/>
          <w:sz w:val="18"/>
        </w:rPr>
        <w:fldChar w:fldCharType="separate"/>
      </w:r>
      <w:r w:rsidR="00745273">
        <w:rPr>
          <w:b w:val="0"/>
          <w:noProof/>
          <w:sz w:val="18"/>
        </w:rPr>
        <w:t>61</w:t>
      </w:r>
      <w:r w:rsidRPr="004B21E2">
        <w:rPr>
          <w:b w:val="0"/>
          <w:noProof/>
          <w:sz w:val="18"/>
        </w:rPr>
        <w:fldChar w:fldCharType="end"/>
      </w:r>
    </w:p>
    <w:p w14:paraId="77EBB079" w14:textId="018AC99F"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Form 2—Extension notice</w:t>
      </w:r>
      <w:r w:rsidRPr="004B21E2">
        <w:rPr>
          <w:b w:val="0"/>
          <w:noProof/>
          <w:sz w:val="18"/>
        </w:rPr>
        <w:tab/>
      </w:r>
      <w:r w:rsidRPr="004B21E2">
        <w:rPr>
          <w:b w:val="0"/>
          <w:noProof/>
          <w:sz w:val="18"/>
        </w:rPr>
        <w:fldChar w:fldCharType="begin"/>
      </w:r>
      <w:r w:rsidRPr="004B21E2">
        <w:rPr>
          <w:b w:val="0"/>
          <w:noProof/>
          <w:sz w:val="18"/>
        </w:rPr>
        <w:instrText xml:space="preserve"> PAGEREF _Toc184727412 \h </w:instrText>
      </w:r>
      <w:r w:rsidRPr="004B21E2">
        <w:rPr>
          <w:b w:val="0"/>
          <w:noProof/>
          <w:sz w:val="18"/>
        </w:rPr>
      </w:r>
      <w:r w:rsidRPr="004B21E2">
        <w:rPr>
          <w:b w:val="0"/>
          <w:noProof/>
          <w:sz w:val="18"/>
        </w:rPr>
        <w:fldChar w:fldCharType="separate"/>
      </w:r>
      <w:r w:rsidR="00745273">
        <w:rPr>
          <w:b w:val="0"/>
          <w:noProof/>
          <w:sz w:val="18"/>
        </w:rPr>
        <w:t>63</w:t>
      </w:r>
      <w:r w:rsidRPr="004B21E2">
        <w:rPr>
          <w:b w:val="0"/>
          <w:noProof/>
          <w:sz w:val="18"/>
        </w:rPr>
        <w:fldChar w:fldCharType="end"/>
      </w:r>
    </w:p>
    <w:p w14:paraId="27DE0B58" w14:textId="05B39DFE" w:rsidR="004B21E2" w:rsidRDefault="004B21E2">
      <w:pPr>
        <w:pStyle w:val="TOC3"/>
        <w:rPr>
          <w:rFonts w:asciiTheme="minorHAnsi" w:eastAsiaTheme="minorEastAsia" w:hAnsiTheme="minorHAnsi" w:cstheme="minorBidi"/>
          <w:b w:val="0"/>
          <w:noProof/>
          <w:kern w:val="2"/>
          <w:sz w:val="24"/>
          <w:szCs w:val="24"/>
          <w14:ligatures w14:val="standardContextual"/>
        </w:rPr>
      </w:pPr>
      <w:r>
        <w:rPr>
          <w:noProof/>
        </w:rPr>
        <w:t>Form 3—Application to issue extension notice</w:t>
      </w:r>
      <w:r w:rsidRPr="004B21E2">
        <w:rPr>
          <w:b w:val="0"/>
          <w:noProof/>
          <w:sz w:val="18"/>
        </w:rPr>
        <w:tab/>
      </w:r>
      <w:r w:rsidRPr="004B21E2">
        <w:rPr>
          <w:b w:val="0"/>
          <w:noProof/>
          <w:sz w:val="18"/>
        </w:rPr>
        <w:fldChar w:fldCharType="begin"/>
      </w:r>
      <w:r w:rsidRPr="004B21E2">
        <w:rPr>
          <w:b w:val="0"/>
          <w:noProof/>
          <w:sz w:val="18"/>
        </w:rPr>
        <w:instrText xml:space="preserve"> PAGEREF _Toc184727413 \h </w:instrText>
      </w:r>
      <w:r w:rsidRPr="004B21E2">
        <w:rPr>
          <w:b w:val="0"/>
          <w:noProof/>
          <w:sz w:val="18"/>
        </w:rPr>
      </w:r>
      <w:r w:rsidRPr="004B21E2">
        <w:rPr>
          <w:b w:val="0"/>
          <w:noProof/>
          <w:sz w:val="18"/>
        </w:rPr>
        <w:fldChar w:fldCharType="separate"/>
      </w:r>
      <w:r w:rsidR="00745273">
        <w:rPr>
          <w:b w:val="0"/>
          <w:noProof/>
          <w:sz w:val="18"/>
        </w:rPr>
        <w:t>65</w:t>
      </w:r>
      <w:r w:rsidRPr="004B21E2">
        <w:rPr>
          <w:b w:val="0"/>
          <w:noProof/>
          <w:sz w:val="18"/>
        </w:rPr>
        <w:fldChar w:fldCharType="end"/>
      </w:r>
    </w:p>
    <w:p w14:paraId="6DE46CAE" w14:textId="0C65EC57" w:rsidR="00670EA1" w:rsidRPr="00C86CE6" w:rsidRDefault="004B21E2" w:rsidP="00715914">
      <w:r>
        <w:fldChar w:fldCharType="end"/>
      </w:r>
    </w:p>
    <w:p w14:paraId="6F2A39C2" w14:textId="77777777" w:rsidR="00670EA1" w:rsidRPr="00C86CE6" w:rsidRDefault="00670EA1" w:rsidP="00715914">
      <w:pPr>
        <w:sectPr w:rsidR="00670EA1" w:rsidRPr="00C86CE6" w:rsidSect="0086528C">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41F6ACB4" w14:textId="77777777" w:rsidR="00715914" w:rsidRPr="00C86CE6" w:rsidRDefault="0069174B" w:rsidP="00715914">
      <w:pPr>
        <w:pStyle w:val="ActHead2"/>
      </w:pPr>
      <w:bookmarkStart w:id="0" w:name="_Toc184727306"/>
      <w:r w:rsidRPr="004B21E2">
        <w:rPr>
          <w:rStyle w:val="CharPartNo"/>
        </w:rPr>
        <w:lastRenderedPageBreak/>
        <w:t>Part 1</w:t>
      </w:r>
      <w:r w:rsidR="00715914" w:rsidRPr="00C86CE6">
        <w:t>—</w:t>
      </w:r>
      <w:r w:rsidR="00715914" w:rsidRPr="004B21E2">
        <w:rPr>
          <w:rStyle w:val="CharPartText"/>
        </w:rPr>
        <w:t>Preliminary</w:t>
      </w:r>
      <w:bookmarkEnd w:id="0"/>
    </w:p>
    <w:p w14:paraId="2F4C5E84" w14:textId="77777777" w:rsidR="0020657D" w:rsidRPr="00C86CE6" w:rsidRDefault="0020657D" w:rsidP="0020657D">
      <w:pPr>
        <w:pStyle w:val="Header"/>
      </w:pPr>
      <w:r w:rsidRPr="004B21E2">
        <w:t xml:space="preserve">  </w:t>
      </w:r>
    </w:p>
    <w:p w14:paraId="1FD2C1BA" w14:textId="7400ADB5" w:rsidR="00715914" w:rsidRPr="00C86CE6" w:rsidRDefault="00BC4A61" w:rsidP="00715914">
      <w:pPr>
        <w:pStyle w:val="ActHead5"/>
      </w:pPr>
      <w:bookmarkStart w:id="1" w:name="_Toc184727307"/>
      <w:r w:rsidRPr="004B21E2">
        <w:rPr>
          <w:rStyle w:val="CharSectno"/>
        </w:rPr>
        <w:t>1</w:t>
      </w:r>
      <w:r w:rsidR="00715914" w:rsidRPr="00C86CE6">
        <w:t xml:space="preserve">  </w:t>
      </w:r>
      <w:r w:rsidR="00CE493D" w:rsidRPr="00C86CE6">
        <w:t>Name</w:t>
      </w:r>
      <w:bookmarkEnd w:id="1"/>
    </w:p>
    <w:p w14:paraId="735EB2E4" w14:textId="77DDDEBB" w:rsidR="00715914" w:rsidRPr="00C86CE6" w:rsidRDefault="00715914" w:rsidP="00715914">
      <w:pPr>
        <w:pStyle w:val="subsection"/>
      </w:pPr>
      <w:r w:rsidRPr="00C86CE6">
        <w:tab/>
      </w:r>
      <w:r w:rsidRPr="00C86CE6">
        <w:tab/>
      </w:r>
      <w:r w:rsidR="00116FBA" w:rsidRPr="00C86CE6">
        <w:t>This instrument is</w:t>
      </w:r>
      <w:r w:rsidR="00CE493D" w:rsidRPr="00C86CE6">
        <w:t xml:space="preserve"> the </w:t>
      </w:r>
      <w:r w:rsidR="00BC76AC" w:rsidRPr="00C86CE6">
        <w:rPr>
          <w:i/>
        </w:rPr>
        <w:fldChar w:fldCharType="begin"/>
      </w:r>
      <w:r w:rsidR="00BC76AC" w:rsidRPr="00C86CE6">
        <w:rPr>
          <w:i/>
        </w:rPr>
        <w:instrText xml:space="preserve"> STYLEREF  ShortT </w:instrText>
      </w:r>
      <w:r w:rsidR="00BC76AC" w:rsidRPr="00C86CE6">
        <w:rPr>
          <w:i/>
        </w:rPr>
        <w:fldChar w:fldCharType="separate"/>
      </w:r>
      <w:r w:rsidR="00745273">
        <w:rPr>
          <w:i/>
          <w:noProof/>
        </w:rPr>
        <w:t>Anti-Money Laundering and Counter-Terrorism Financing Rules 2024</w:t>
      </w:r>
      <w:r w:rsidR="00BC76AC" w:rsidRPr="00C86CE6">
        <w:rPr>
          <w:i/>
        </w:rPr>
        <w:fldChar w:fldCharType="end"/>
      </w:r>
      <w:r w:rsidRPr="00C86CE6">
        <w:t>.</w:t>
      </w:r>
    </w:p>
    <w:p w14:paraId="1301C91F" w14:textId="0490514F" w:rsidR="00715914" w:rsidRPr="00C86CE6" w:rsidRDefault="00BC4A61" w:rsidP="00715914">
      <w:pPr>
        <w:pStyle w:val="ActHead5"/>
      </w:pPr>
      <w:bookmarkStart w:id="2" w:name="_Toc184727308"/>
      <w:r w:rsidRPr="004B21E2">
        <w:rPr>
          <w:rStyle w:val="CharSectno"/>
        </w:rPr>
        <w:t>2</w:t>
      </w:r>
      <w:r w:rsidR="00715914" w:rsidRPr="00C86CE6">
        <w:t xml:space="preserve">  Commencement</w:t>
      </w:r>
      <w:bookmarkEnd w:id="2"/>
    </w:p>
    <w:p w14:paraId="468D5A24" w14:textId="77777777" w:rsidR="00AE3652" w:rsidRPr="00C86CE6" w:rsidRDefault="00807626" w:rsidP="00AE3652">
      <w:pPr>
        <w:pStyle w:val="subsection"/>
      </w:pPr>
      <w:r w:rsidRPr="00C86CE6">
        <w:tab/>
      </w:r>
      <w:r w:rsidR="00AE3652" w:rsidRPr="00C86CE6">
        <w:t>(1)</w:t>
      </w:r>
      <w:r w:rsidR="00AE3652" w:rsidRPr="00C86CE6">
        <w:tab/>
        <w:t xml:space="preserve">Each provision of </w:t>
      </w:r>
      <w:r w:rsidR="00116FBA" w:rsidRPr="00C86CE6">
        <w:t>this instrument</w:t>
      </w:r>
      <w:r w:rsidR="00AE3652" w:rsidRPr="00C86CE6">
        <w:t xml:space="preserve"> specified in column 1 of the table commences, or is taken to have commenced, in accordance with column 2 of the table. Any other statement in column 2 has effect according to its terms.</w:t>
      </w:r>
    </w:p>
    <w:p w14:paraId="37C7F38A" w14:textId="77777777" w:rsidR="00AE3652" w:rsidRPr="00C86CE6"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C86CE6" w14:paraId="28A3AE8F" w14:textId="77777777" w:rsidTr="008A04E4">
        <w:trPr>
          <w:tblHeader/>
        </w:trPr>
        <w:tc>
          <w:tcPr>
            <w:tcW w:w="8364" w:type="dxa"/>
            <w:gridSpan w:val="3"/>
            <w:tcBorders>
              <w:top w:val="single" w:sz="12" w:space="0" w:color="auto"/>
              <w:bottom w:val="single" w:sz="6" w:space="0" w:color="auto"/>
            </w:tcBorders>
            <w:shd w:val="clear" w:color="auto" w:fill="auto"/>
            <w:hideMark/>
          </w:tcPr>
          <w:p w14:paraId="0CD6D485" w14:textId="77777777" w:rsidR="00AE3652" w:rsidRPr="00C86CE6" w:rsidRDefault="00AE3652" w:rsidP="008A04E4">
            <w:pPr>
              <w:pStyle w:val="TableHeading"/>
            </w:pPr>
            <w:r w:rsidRPr="00C86CE6">
              <w:t>Commencement information</w:t>
            </w:r>
          </w:p>
        </w:tc>
      </w:tr>
      <w:tr w:rsidR="00AE3652" w:rsidRPr="00C86CE6" w14:paraId="5405C49A" w14:textId="77777777" w:rsidTr="008A04E4">
        <w:trPr>
          <w:tblHeader/>
        </w:trPr>
        <w:tc>
          <w:tcPr>
            <w:tcW w:w="2127" w:type="dxa"/>
            <w:tcBorders>
              <w:top w:val="single" w:sz="6" w:space="0" w:color="auto"/>
              <w:bottom w:val="single" w:sz="6" w:space="0" w:color="auto"/>
            </w:tcBorders>
            <w:shd w:val="clear" w:color="auto" w:fill="auto"/>
            <w:hideMark/>
          </w:tcPr>
          <w:p w14:paraId="2A6C7F4A" w14:textId="77777777" w:rsidR="00AE3652" w:rsidRPr="00C86CE6" w:rsidRDefault="00AE3652" w:rsidP="008A04E4">
            <w:pPr>
              <w:pStyle w:val="TableHeading"/>
            </w:pPr>
            <w:r w:rsidRPr="00C86CE6">
              <w:t>Column 1</w:t>
            </w:r>
          </w:p>
        </w:tc>
        <w:tc>
          <w:tcPr>
            <w:tcW w:w="4394" w:type="dxa"/>
            <w:tcBorders>
              <w:top w:val="single" w:sz="6" w:space="0" w:color="auto"/>
              <w:bottom w:val="single" w:sz="6" w:space="0" w:color="auto"/>
            </w:tcBorders>
            <w:shd w:val="clear" w:color="auto" w:fill="auto"/>
            <w:hideMark/>
          </w:tcPr>
          <w:p w14:paraId="1F5BFD78" w14:textId="77777777" w:rsidR="00AE3652" w:rsidRPr="00C86CE6" w:rsidRDefault="00AE3652" w:rsidP="008A04E4">
            <w:pPr>
              <w:pStyle w:val="TableHeading"/>
            </w:pPr>
            <w:r w:rsidRPr="00C86CE6">
              <w:t>Column 2</w:t>
            </w:r>
          </w:p>
        </w:tc>
        <w:tc>
          <w:tcPr>
            <w:tcW w:w="1843" w:type="dxa"/>
            <w:tcBorders>
              <w:top w:val="single" w:sz="6" w:space="0" w:color="auto"/>
              <w:bottom w:val="single" w:sz="6" w:space="0" w:color="auto"/>
            </w:tcBorders>
            <w:shd w:val="clear" w:color="auto" w:fill="auto"/>
            <w:hideMark/>
          </w:tcPr>
          <w:p w14:paraId="2717B84A" w14:textId="77777777" w:rsidR="00AE3652" w:rsidRPr="00C86CE6" w:rsidRDefault="00AE3652" w:rsidP="008A04E4">
            <w:pPr>
              <w:pStyle w:val="TableHeading"/>
            </w:pPr>
            <w:r w:rsidRPr="00C86CE6">
              <w:t>Column 3</w:t>
            </w:r>
          </w:p>
        </w:tc>
      </w:tr>
      <w:tr w:rsidR="00AE3652" w:rsidRPr="00C86CE6" w14:paraId="6BE7172D" w14:textId="77777777" w:rsidTr="008A04E4">
        <w:trPr>
          <w:tblHeader/>
        </w:trPr>
        <w:tc>
          <w:tcPr>
            <w:tcW w:w="2127" w:type="dxa"/>
            <w:tcBorders>
              <w:top w:val="single" w:sz="6" w:space="0" w:color="auto"/>
              <w:bottom w:val="single" w:sz="12" w:space="0" w:color="auto"/>
            </w:tcBorders>
            <w:shd w:val="clear" w:color="auto" w:fill="auto"/>
            <w:hideMark/>
          </w:tcPr>
          <w:p w14:paraId="7C5419FD" w14:textId="77777777" w:rsidR="00AE3652" w:rsidRPr="00C86CE6" w:rsidRDefault="00AE3652" w:rsidP="008A04E4">
            <w:pPr>
              <w:pStyle w:val="TableHeading"/>
            </w:pPr>
            <w:r w:rsidRPr="00C86CE6">
              <w:t>Provisions</w:t>
            </w:r>
          </w:p>
        </w:tc>
        <w:tc>
          <w:tcPr>
            <w:tcW w:w="4394" w:type="dxa"/>
            <w:tcBorders>
              <w:top w:val="single" w:sz="6" w:space="0" w:color="auto"/>
              <w:bottom w:val="single" w:sz="12" w:space="0" w:color="auto"/>
            </w:tcBorders>
            <w:shd w:val="clear" w:color="auto" w:fill="auto"/>
            <w:hideMark/>
          </w:tcPr>
          <w:p w14:paraId="4175FB24" w14:textId="77777777" w:rsidR="00AE3652" w:rsidRPr="00C86CE6" w:rsidRDefault="00AE3652" w:rsidP="008A04E4">
            <w:pPr>
              <w:pStyle w:val="TableHeading"/>
            </w:pPr>
            <w:r w:rsidRPr="00C86CE6">
              <w:t>Commencement</w:t>
            </w:r>
          </w:p>
        </w:tc>
        <w:tc>
          <w:tcPr>
            <w:tcW w:w="1843" w:type="dxa"/>
            <w:tcBorders>
              <w:top w:val="single" w:sz="6" w:space="0" w:color="auto"/>
              <w:bottom w:val="single" w:sz="12" w:space="0" w:color="auto"/>
            </w:tcBorders>
            <w:shd w:val="clear" w:color="auto" w:fill="auto"/>
            <w:hideMark/>
          </w:tcPr>
          <w:p w14:paraId="66307436" w14:textId="77777777" w:rsidR="00AE3652" w:rsidRPr="00C86CE6" w:rsidRDefault="00AE3652" w:rsidP="008A04E4">
            <w:pPr>
              <w:pStyle w:val="TableHeading"/>
            </w:pPr>
            <w:r w:rsidRPr="00C86CE6">
              <w:t>Date/Details</w:t>
            </w:r>
          </w:p>
        </w:tc>
      </w:tr>
      <w:tr w:rsidR="00AE3652" w:rsidRPr="00C86CE6" w14:paraId="1978A999" w14:textId="77777777" w:rsidTr="008A04E4">
        <w:tc>
          <w:tcPr>
            <w:tcW w:w="2127" w:type="dxa"/>
            <w:tcBorders>
              <w:top w:val="single" w:sz="12" w:space="0" w:color="auto"/>
              <w:bottom w:val="single" w:sz="12" w:space="0" w:color="auto"/>
            </w:tcBorders>
            <w:shd w:val="clear" w:color="auto" w:fill="auto"/>
            <w:hideMark/>
          </w:tcPr>
          <w:p w14:paraId="1B711834" w14:textId="77777777" w:rsidR="00AE3652" w:rsidRPr="00C86CE6" w:rsidRDefault="00AE3652" w:rsidP="008A04E4">
            <w:pPr>
              <w:pStyle w:val="Tabletext"/>
            </w:pPr>
            <w:r w:rsidRPr="00C86CE6">
              <w:t xml:space="preserve">1.  The whole of </w:t>
            </w:r>
            <w:r w:rsidR="00116FBA" w:rsidRPr="00C86CE6">
              <w:t>this instrument</w:t>
            </w:r>
          </w:p>
        </w:tc>
        <w:tc>
          <w:tcPr>
            <w:tcW w:w="4394" w:type="dxa"/>
            <w:tcBorders>
              <w:top w:val="single" w:sz="12" w:space="0" w:color="auto"/>
              <w:bottom w:val="single" w:sz="12" w:space="0" w:color="auto"/>
            </w:tcBorders>
            <w:shd w:val="clear" w:color="auto" w:fill="auto"/>
            <w:hideMark/>
          </w:tcPr>
          <w:p w14:paraId="5CBA4A4C" w14:textId="70D6AE5C" w:rsidR="00AE3652" w:rsidRPr="00C86CE6" w:rsidRDefault="00A25E52" w:rsidP="008A04E4">
            <w:pPr>
              <w:pStyle w:val="Tabletext"/>
            </w:pPr>
            <w:r w:rsidRPr="00C86CE6">
              <w:t>31 March</w:t>
            </w:r>
            <w:r w:rsidR="006F6E00" w:rsidRPr="00C86CE6">
              <w:t xml:space="preserve"> 2026</w:t>
            </w:r>
            <w:r w:rsidR="00AE3652" w:rsidRPr="00C86CE6">
              <w:t>.</w:t>
            </w:r>
          </w:p>
        </w:tc>
        <w:tc>
          <w:tcPr>
            <w:tcW w:w="1843" w:type="dxa"/>
            <w:tcBorders>
              <w:top w:val="single" w:sz="12" w:space="0" w:color="auto"/>
              <w:bottom w:val="single" w:sz="12" w:space="0" w:color="auto"/>
            </w:tcBorders>
            <w:shd w:val="clear" w:color="auto" w:fill="auto"/>
          </w:tcPr>
          <w:p w14:paraId="71C1236B" w14:textId="56CE996E" w:rsidR="00AE3652" w:rsidRPr="00C86CE6" w:rsidRDefault="00A25E52" w:rsidP="008A04E4">
            <w:pPr>
              <w:pStyle w:val="Tabletext"/>
            </w:pPr>
            <w:r w:rsidRPr="00C86CE6">
              <w:t>31 March</w:t>
            </w:r>
            <w:r w:rsidR="006F6E00" w:rsidRPr="00C86CE6">
              <w:t xml:space="preserve"> 2026</w:t>
            </w:r>
          </w:p>
        </w:tc>
      </w:tr>
    </w:tbl>
    <w:p w14:paraId="450F1172" w14:textId="77777777" w:rsidR="00AE3652" w:rsidRPr="00C86CE6" w:rsidRDefault="00AE3652" w:rsidP="00AE3652">
      <w:pPr>
        <w:pStyle w:val="notetext"/>
      </w:pPr>
      <w:r w:rsidRPr="00C86CE6">
        <w:rPr>
          <w:snapToGrid w:val="0"/>
          <w:lang w:eastAsia="en-US"/>
        </w:rPr>
        <w:t>Note:</w:t>
      </w:r>
      <w:r w:rsidRPr="00C86CE6">
        <w:rPr>
          <w:snapToGrid w:val="0"/>
          <w:lang w:eastAsia="en-US"/>
        </w:rPr>
        <w:tab/>
        <w:t xml:space="preserve">This table relates only to the provisions of </w:t>
      </w:r>
      <w:r w:rsidR="00116FBA" w:rsidRPr="00C86CE6">
        <w:rPr>
          <w:snapToGrid w:val="0"/>
          <w:lang w:eastAsia="en-US"/>
        </w:rPr>
        <w:t>this instrument</w:t>
      </w:r>
      <w:r w:rsidRPr="00C86CE6">
        <w:t xml:space="preserve"> </w:t>
      </w:r>
      <w:r w:rsidRPr="00C86CE6">
        <w:rPr>
          <w:snapToGrid w:val="0"/>
          <w:lang w:eastAsia="en-US"/>
        </w:rPr>
        <w:t xml:space="preserve">as originally made. It will not be amended to deal with any later amendments of </w:t>
      </w:r>
      <w:r w:rsidR="00116FBA" w:rsidRPr="00C86CE6">
        <w:rPr>
          <w:snapToGrid w:val="0"/>
          <w:lang w:eastAsia="en-US"/>
        </w:rPr>
        <w:t>this instrument</w:t>
      </w:r>
      <w:r w:rsidRPr="00C86CE6">
        <w:rPr>
          <w:snapToGrid w:val="0"/>
          <w:lang w:eastAsia="en-US"/>
        </w:rPr>
        <w:t>.</w:t>
      </w:r>
    </w:p>
    <w:p w14:paraId="6E1D2B76" w14:textId="77777777" w:rsidR="00807626" w:rsidRPr="00C86CE6" w:rsidRDefault="00AE3652" w:rsidP="00AE3652">
      <w:pPr>
        <w:pStyle w:val="subsection"/>
      </w:pPr>
      <w:r w:rsidRPr="00C86CE6">
        <w:tab/>
        <w:t>(2)</w:t>
      </w:r>
      <w:r w:rsidRPr="00C86CE6">
        <w:tab/>
        <w:t xml:space="preserve">Any information in column 3 of the table is not part of </w:t>
      </w:r>
      <w:r w:rsidR="00116FBA" w:rsidRPr="00C86CE6">
        <w:t>this instrument</w:t>
      </w:r>
      <w:r w:rsidRPr="00C86CE6">
        <w:t xml:space="preserve">. Information may be inserted in this column, or information in it may be edited, in any published version of </w:t>
      </w:r>
      <w:r w:rsidR="00116FBA" w:rsidRPr="00C86CE6">
        <w:t>this instrument</w:t>
      </w:r>
      <w:r w:rsidRPr="00C86CE6">
        <w:t>.</w:t>
      </w:r>
    </w:p>
    <w:p w14:paraId="2DEB09FA" w14:textId="77E8CA2B" w:rsidR="007500C8" w:rsidRPr="00C86CE6" w:rsidRDefault="00BC4A61" w:rsidP="007500C8">
      <w:pPr>
        <w:pStyle w:val="ActHead5"/>
      </w:pPr>
      <w:bookmarkStart w:id="3" w:name="_Toc184727309"/>
      <w:r w:rsidRPr="004B21E2">
        <w:rPr>
          <w:rStyle w:val="CharSectno"/>
        </w:rPr>
        <w:t>3</w:t>
      </w:r>
      <w:r w:rsidR="007500C8" w:rsidRPr="00C86CE6">
        <w:t xml:space="preserve">  Authority</w:t>
      </w:r>
      <w:bookmarkEnd w:id="3"/>
    </w:p>
    <w:p w14:paraId="2CEA986F" w14:textId="235F0997" w:rsidR="00157B8B" w:rsidRPr="00C86CE6" w:rsidRDefault="007500C8" w:rsidP="007E667A">
      <w:pPr>
        <w:pStyle w:val="subsection"/>
      </w:pPr>
      <w:r w:rsidRPr="00C86CE6">
        <w:tab/>
      </w:r>
      <w:r w:rsidRPr="00C86CE6">
        <w:tab/>
      </w:r>
      <w:r w:rsidR="00116FBA" w:rsidRPr="00C86CE6">
        <w:t>This instrument is</w:t>
      </w:r>
      <w:r w:rsidRPr="00C86CE6">
        <w:t xml:space="preserve"> made under </w:t>
      </w:r>
      <w:r w:rsidR="00DA1335" w:rsidRPr="00C86CE6">
        <w:t xml:space="preserve">the </w:t>
      </w:r>
      <w:bookmarkStart w:id="4" w:name="_Hlk177981925"/>
      <w:r w:rsidR="00DA1335" w:rsidRPr="00C86CE6">
        <w:rPr>
          <w:i/>
        </w:rPr>
        <w:t>Anti</w:t>
      </w:r>
      <w:r w:rsidR="004A7589">
        <w:rPr>
          <w:i/>
        </w:rPr>
        <w:noBreakHyphen/>
      </w:r>
      <w:r w:rsidR="00DA1335" w:rsidRPr="00C86CE6">
        <w:rPr>
          <w:i/>
        </w:rPr>
        <w:t>Money Laundering and Counter</w:t>
      </w:r>
      <w:r w:rsidR="004A7589">
        <w:rPr>
          <w:i/>
        </w:rPr>
        <w:noBreakHyphen/>
      </w:r>
      <w:r w:rsidR="00DA1335" w:rsidRPr="00C86CE6">
        <w:rPr>
          <w:i/>
        </w:rPr>
        <w:t>Terrorism Financing Act 2006</w:t>
      </w:r>
      <w:bookmarkEnd w:id="4"/>
      <w:r w:rsidR="00F4350D" w:rsidRPr="00C86CE6">
        <w:t>.</w:t>
      </w:r>
    </w:p>
    <w:p w14:paraId="3EE6A148" w14:textId="42702078" w:rsidR="000B0C75" w:rsidRPr="00C86CE6" w:rsidRDefault="00BC4A61" w:rsidP="00BF71F1">
      <w:pPr>
        <w:pStyle w:val="ActHead5"/>
      </w:pPr>
      <w:bookmarkStart w:id="5" w:name="_Toc184727310"/>
      <w:r w:rsidRPr="004B21E2">
        <w:rPr>
          <w:rStyle w:val="CharSectno"/>
        </w:rPr>
        <w:t>4</w:t>
      </w:r>
      <w:r w:rsidR="000B0C75" w:rsidRPr="00C86CE6">
        <w:t xml:space="preserve">  Schedule</w:t>
      </w:r>
      <w:r w:rsidR="00BF71F1" w:rsidRPr="00C86CE6">
        <w:t>s</w:t>
      </w:r>
      <w:bookmarkEnd w:id="5"/>
    </w:p>
    <w:p w14:paraId="30C62185" w14:textId="77777777" w:rsidR="000B0C75" w:rsidRDefault="000B0C75" w:rsidP="000B0C75">
      <w:pPr>
        <w:pStyle w:val="subsection"/>
      </w:pPr>
      <w:r w:rsidRPr="00C86CE6">
        <w:tab/>
      </w:r>
      <w:r w:rsidRPr="00C86CE6">
        <w:tab/>
        <w:t xml:space="preserve">Each instrument that is specified in </w:t>
      </w:r>
      <w:r w:rsidR="00BF71F1" w:rsidRPr="00C86CE6">
        <w:t xml:space="preserve">a </w:t>
      </w:r>
      <w:r w:rsidRPr="00C86CE6">
        <w:t>Schedule to this instrument is amended or repealed as set out in the applicable items in that Schedule, and any other item in that Schedule has effect according to its terms.</w:t>
      </w:r>
    </w:p>
    <w:p w14:paraId="3C00C767" w14:textId="0FE65A05" w:rsidR="000B0C75" w:rsidRPr="00C86CE6" w:rsidRDefault="00BC4A61" w:rsidP="00BF71F1">
      <w:pPr>
        <w:pStyle w:val="ActHead5"/>
      </w:pPr>
      <w:bookmarkStart w:id="6" w:name="_Toc184727311"/>
      <w:r w:rsidRPr="004B21E2">
        <w:rPr>
          <w:rStyle w:val="CharSectno"/>
        </w:rPr>
        <w:t>5</w:t>
      </w:r>
      <w:r w:rsidR="000B0C75" w:rsidRPr="00C86CE6">
        <w:t xml:space="preserve">  Definitions</w:t>
      </w:r>
      <w:bookmarkEnd w:id="6"/>
    </w:p>
    <w:p w14:paraId="04EE9D54" w14:textId="77777777" w:rsidR="000B0C75" w:rsidRPr="00C86CE6" w:rsidRDefault="000B0C75" w:rsidP="008A04E4">
      <w:pPr>
        <w:pStyle w:val="notetext"/>
      </w:pPr>
      <w:r w:rsidRPr="00C86CE6">
        <w:t>Note:</w:t>
      </w:r>
      <w:r w:rsidRPr="00C86CE6">
        <w:tab/>
        <w:t>A number of expressions used in this instrument are defined in the Act, including the following:</w:t>
      </w:r>
    </w:p>
    <w:p w14:paraId="51164A00" w14:textId="77777777" w:rsidR="00FE0567" w:rsidRPr="00C86CE6" w:rsidRDefault="008A04E4" w:rsidP="008A04E4">
      <w:pPr>
        <w:pStyle w:val="notepara"/>
      </w:pPr>
      <w:r w:rsidRPr="00C86CE6">
        <w:t>(a)</w:t>
      </w:r>
      <w:r w:rsidRPr="00C86CE6">
        <w:tab/>
      </w:r>
      <w:r w:rsidR="00FE0567" w:rsidRPr="00C86CE6">
        <w:t>designated service;</w:t>
      </w:r>
    </w:p>
    <w:p w14:paraId="5F21BB76" w14:textId="77777777" w:rsidR="00FE0567" w:rsidRPr="00C86CE6" w:rsidRDefault="007F6A9D" w:rsidP="008A04E4">
      <w:pPr>
        <w:pStyle w:val="notepara"/>
      </w:pPr>
      <w:r w:rsidRPr="00C86CE6">
        <w:t>(b)</w:t>
      </w:r>
      <w:r w:rsidRPr="00C86CE6">
        <w:tab/>
      </w:r>
      <w:r w:rsidR="00FE0567" w:rsidRPr="00C86CE6">
        <w:t>financial institution</w:t>
      </w:r>
      <w:r w:rsidR="000444BC" w:rsidRPr="00C86CE6">
        <w:t>;</w:t>
      </w:r>
    </w:p>
    <w:p w14:paraId="2C21996D" w14:textId="77777777" w:rsidR="00FE0567" w:rsidRPr="00C86CE6" w:rsidRDefault="007F6A9D" w:rsidP="008A04E4">
      <w:pPr>
        <w:pStyle w:val="notepara"/>
      </w:pPr>
      <w:r w:rsidRPr="00C86CE6">
        <w:t>(c)</w:t>
      </w:r>
      <w:r w:rsidRPr="00C86CE6">
        <w:tab/>
      </w:r>
      <w:r w:rsidR="00FE0567" w:rsidRPr="00C86CE6">
        <w:t>nested services relationship</w:t>
      </w:r>
      <w:r w:rsidR="000444BC" w:rsidRPr="00C86CE6">
        <w:t>;</w:t>
      </w:r>
    </w:p>
    <w:p w14:paraId="2007B23B" w14:textId="77777777" w:rsidR="008642C5" w:rsidRPr="00C86CE6" w:rsidRDefault="007F6A9D" w:rsidP="008A04E4">
      <w:pPr>
        <w:pStyle w:val="notepara"/>
      </w:pPr>
      <w:r w:rsidRPr="00C86CE6">
        <w:t>(d)</w:t>
      </w:r>
      <w:r w:rsidRPr="00C86CE6">
        <w:tab/>
      </w:r>
      <w:r w:rsidR="00DF4682" w:rsidRPr="00C86CE6">
        <w:t>reporting entity;</w:t>
      </w:r>
    </w:p>
    <w:p w14:paraId="624D4DC9" w14:textId="5220C6DC" w:rsidR="00FE0567" w:rsidRPr="00C86CE6" w:rsidRDefault="00394379" w:rsidP="008A04E4">
      <w:pPr>
        <w:pStyle w:val="notepara"/>
      </w:pPr>
      <w:r w:rsidRPr="00C86CE6">
        <w:t>(</w:t>
      </w:r>
      <w:r w:rsidR="00B77985">
        <w:t>e</w:t>
      </w:r>
      <w:r w:rsidRPr="00C86CE6">
        <w:t>)</w:t>
      </w:r>
      <w:r w:rsidRPr="00C86CE6">
        <w:tab/>
      </w:r>
      <w:r w:rsidR="00DF4682" w:rsidRPr="00C86CE6">
        <w:t>transfer of value</w:t>
      </w:r>
      <w:r w:rsidR="007F6A9D" w:rsidRPr="00C86CE6">
        <w:t>.</w:t>
      </w:r>
    </w:p>
    <w:p w14:paraId="4AADF561" w14:textId="77777777" w:rsidR="000B0C75" w:rsidRPr="00C86CE6" w:rsidRDefault="000B0C75" w:rsidP="000B0C75">
      <w:pPr>
        <w:pStyle w:val="subsection"/>
      </w:pPr>
      <w:r w:rsidRPr="00C86CE6">
        <w:tab/>
      </w:r>
      <w:r w:rsidRPr="00C86CE6">
        <w:tab/>
        <w:t>In this instrument:</w:t>
      </w:r>
    </w:p>
    <w:p w14:paraId="0EAB7085" w14:textId="77777777" w:rsidR="00E67951" w:rsidRPr="00C86CE6" w:rsidRDefault="00E67951" w:rsidP="008A04E4">
      <w:pPr>
        <w:pStyle w:val="Definition"/>
      </w:pPr>
      <w:r w:rsidRPr="00C86CE6">
        <w:rPr>
          <w:b/>
          <w:i/>
        </w:rPr>
        <w:lastRenderedPageBreak/>
        <w:t>ABN</w:t>
      </w:r>
      <w:r w:rsidRPr="00C86CE6">
        <w:t xml:space="preserve"> has the meaning given by </w:t>
      </w:r>
      <w:r w:rsidR="00606BBD" w:rsidRPr="00C86CE6">
        <w:t>section 4</w:t>
      </w:r>
      <w:r w:rsidRPr="00C86CE6">
        <w:t xml:space="preserve">1 of the </w:t>
      </w:r>
      <w:r w:rsidRPr="00C86CE6">
        <w:rPr>
          <w:i/>
        </w:rPr>
        <w:t>A New Tax System (Australian Business Number) Act 1999</w:t>
      </w:r>
      <w:r w:rsidRPr="00C86CE6">
        <w:t>.</w:t>
      </w:r>
    </w:p>
    <w:p w14:paraId="62084F78" w14:textId="77777777" w:rsidR="00E67951" w:rsidRPr="00C86CE6" w:rsidRDefault="00E67951" w:rsidP="008A04E4">
      <w:pPr>
        <w:pStyle w:val="Definition"/>
      </w:pPr>
      <w:r w:rsidRPr="00C86CE6">
        <w:rPr>
          <w:b/>
          <w:i/>
        </w:rPr>
        <w:t>ACN</w:t>
      </w:r>
      <w:r w:rsidRPr="00C86CE6">
        <w:t xml:space="preserve"> has the meaning given by </w:t>
      </w:r>
      <w:r w:rsidR="00F1490F" w:rsidRPr="00C86CE6">
        <w:t>section 9</w:t>
      </w:r>
      <w:r w:rsidRPr="00C86CE6">
        <w:t xml:space="preserve"> of the </w:t>
      </w:r>
      <w:r w:rsidRPr="00C86CE6">
        <w:rPr>
          <w:i/>
        </w:rPr>
        <w:t>Corporations Act 2001</w:t>
      </w:r>
      <w:r w:rsidRPr="00C86CE6">
        <w:t>.</w:t>
      </w:r>
    </w:p>
    <w:p w14:paraId="73DD8E6D" w14:textId="1A9D8904" w:rsidR="006C14B7" w:rsidRPr="00C86CE6" w:rsidRDefault="006C14B7" w:rsidP="006C14B7">
      <w:pPr>
        <w:pStyle w:val="Definition"/>
      </w:pPr>
      <w:r w:rsidRPr="00C86CE6">
        <w:rPr>
          <w:b/>
          <w:i/>
        </w:rPr>
        <w:t>Act</w:t>
      </w:r>
      <w:r w:rsidRPr="00C86CE6">
        <w:t xml:space="preserve"> means the </w:t>
      </w:r>
      <w:r w:rsidRPr="00C86CE6">
        <w:rPr>
          <w:i/>
        </w:rPr>
        <w:t>Anti</w:t>
      </w:r>
      <w:r w:rsidR="004A7589">
        <w:rPr>
          <w:i/>
        </w:rPr>
        <w:noBreakHyphen/>
      </w:r>
      <w:r w:rsidRPr="00C86CE6">
        <w:rPr>
          <w:i/>
        </w:rPr>
        <w:t>Money Laundering and Counter</w:t>
      </w:r>
      <w:r w:rsidR="004A7589">
        <w:rPr>
          <w:i/>
        </w:rPr>
        <w:noBreakHyphen/>
      </w:r>
      <w:r w:rsidRPr="00C86CE6">
        <w:rPr>
          <w:i/>
        </w:rPr>
        <w:t>Terrorism Financing Act 2006</w:t>
      </w:r>
      <w:r w:rsidRPr="00C86CE6">
        <w:t>.</w:t>
      </w:r>
    </w:p>
    <w:p w14:paraId="15ADD1A7" w14:textId="77777777" w:rsidR="008B0EF5" w:rsidRPr="00C86CE6" w:rsidRDefault="008B0EF5" w:rsidP="008B0EF5">
      <w:pPr>
        <w:pStyle w:val="Definition"/>
      </w:pPr>
      <w:r w:rsidRPr="00C86CE6">
        <w:rPr>
          <w:b/>
          <w:i/>
        </w:rPr>
        <w:t>ARBN</w:t>
      </w:r>
      <w:r w:rsidRPr="00C86CE6">
        <w:t xml:space="preserve"> has the meaning given by </w:t>
      </w:r>
      <w:r w:rsidR="00F1490F" w:rsidRPr="00C86CE6">
        <w:t>section 9</w:t>
      </w:r>
      <w:r w:rsidRPr="00C86CE6">
        <w:t xml:space="preserve"> of the </w:t>
      </w:r>
      <w:r w:rsidRPr="00C86CE6">
        <w:rPr>
          <w:i/>
        </w:rPr>
        <w:t>Corporations Act 2001</w:t>
      </w:r>
      <w:r w:rsidRPr="00C86CE6">
        <w:t>.</w:t>
      </w:r>
    </w:p>
    <w:p w14:paraId="4850B66E" w14:textId="77777777" w:rsidR="0089230C" w:rsidRPr="00C86CE6" w:rsidRDefault="0089230C" w:rsidP="0089230C">
      <w:pPr>
        <w:pStyle w:val="Definition"/>
      </w:pPr>
      <w:r w:rsidRPr="00C86CE6">
        <w:rPr>
          <w:b/>
          <w:i/>
        </w:rPr>
        <w:t>BECS</w:t>
      </w:r>
      <w:r w:rsidRPr="00C86CE6">
        <w:t xml:space="preserve"> means the Bulk Electronic Clearing System administered by the Australian Payments Network.</w:t>
      </w:r>
    </w:p>
    <w:p w14:paraId="5B736DBB" w14:textId="111B9D8C" w:rsidR="0089230C" w:rsidRPr="00C86CE6" w:rsidRDefault="0089230C" w:rsidP="0089230C">
      <w:pPr>
        <w:pStyle w:val="Definition"/>
      </w:pPr>
      <w:r w:rsidRPr="00C86CE6">
        <w:rPr>
          <w:b/>
          <w:i/>
        </w:rPr>
        <w:t>card</w:t>
      </w:r>
      <w:r w:rsidR="004A7589">
        <w:rPr>
          <w:b/>
          <w:i/>
        </w:rPr>
        <w:noBreakHyphen/>
      </w:r>
      <w:r w:rsidRPr="00C86CE6">
        <w:rPr>
          <w:b/>
          <w:i/>
        </w:rPr>
        <w:t>based pull payment</w:t>
      </w:r>
      <w:r w:rsidRPr="00C86CE6">
        <w:t xml:space="preserve">: a transfer of value is a </w:t>
      </w:r>
      <w:r w:rsidRPr="00C86CE6">
        <w:rPr>
          <w:b/>
          <w:i/>
        </w:rPr>
        <w:t>card</w:t>
      </w:r>
      <w:r w:rsidR="004A7589">
        <w:rPr>
          <w:b/>
          <w:i/>
        </w:rPr>
        <w:noBreakHyphen/>
      </w:r>
      <w:r w:rsidRPr="00C86CE6">
        <w:rPr>
          <w:b/>
          <w:i/>
        </w:rPr>
        <w:t>based pull payment</w:t>
      </w:r>
      <w:r w:rsidRPr="00C86CE6">
        <w:t xml:space="preserve"> if:</w:t>
      </w:r>
    </w:p>
    <w:p w14:paraId="76457B9E" w14:textId="77777777" w:rsidR="0089230C" w:rsidRPr="00C86CE6" w:rsidRDefault="0089230C" w:rsidP="0089230C">
      <w:pPr>
        <w:pStyle w:val="paragraph"/>
      </w:pPr>
      <w:r w:rsidRPr="00C86CE6">
        <w:tab/>
        <w:t>(a)</w:t>
      </w:r>
      <w:r w:rsidRPr="00C86CE6">
        <w:tab/>
        <w:t>the value transferred is money; and</w:t>
      </w:r>
    </w:p>
    <w:p w14:paraId="62A450AF" w14:textId="77777777" w:rsidR="0089230C" w:rsidRPr="00C86CE6" w:rsidRDefault="0089230C" w:rsidP="0089230C">
      <w:pPr>
        <w:pStyle w:val="paragraph"/>
      </w:pPr>
      <w:r w:rsidRPr="00C86CE6">
        <w:tab/>
        <w:t>(b)</w:t>
      </w:r>
      <w:r w:rsidRPr="00C86CE6">
        <w:tab/>
        <w:t>the transfer arises from the use of any of the following:</w:t>
      </w:r>
    </w:p>
    <w:p w14:paraId="54B8462E" w14:textId="77777777" w:rsidR="0089230C" w:rsidRPr="00C86CE6" w:rsidRDefault="0089230C" w:rsidP="0089230C">
      <w:pPr>
        <w:pStyle w:val="paragraphsub"/>
      </w:pPr>
      <w:r w:rsidRPr="00C86CE6">
        <w:tab/>
        <w:t>(i)</w:t>
      </w:r>
      <w:r w:rsidRPr="00C86CE6">
        <w:tab/>
        <w:t>a credit card;</w:t>
      </w:r>
    </w:p>
    <w:p w14:paraId="3C692F2C" w14:textId="77777777" w:rsidR="0089230C" w:rsidRPr="00C86CE6" w:rsidRDefault="0089230C" w:rsidP="0089230C">
      <w:pPr>
        <w:pStyle w:val="paragraphsub"/>
      </w:pPr>
      <w:r w:rsidRPr="00C86CE6">
        <w:tab/>
        <w:t>(ii)</w:t>
      </w:r>
      <w:r w:rsidRPr="00C86CE6">
        <w:tab/>
        <w:t>a debit card;</w:t>
      </w:r>
    </w:p>
    <w:p w14:paraId="2A438A5F" w14:textId="77777777" w:rsidR="0089230C" w:rsidRPr="00C86CE6" w:rsidRDefault="0089230C" w:rsidP="0089230C">
      <w:pPr>
        <w:pStyle w:val="paragraphsub"/>
      </w:pPr>
      <w:r w:rsidRPr="00C86CE6">
        <w:tab/>
        <w:t>(iii)</w:t>
      </w:r>
      <w:r w:rsidRPr="00C86CE6">
        <w:tab/>
        <w:t>a stored value card; and</w:t>
      </w:r>
    </w:p>
    <w:p w14:paraId="7C201AC0" w14:textId="77777777" w:rsidR="0089230C" w:rsidRPr="00C86CE6" w:rsidRDefault="0089230C" w:rsidP="0089230C">
      <w:pPr>
        <w:pStyle w:val="paragraph"/>
      </w:pPr>
      <w:r w:rsidRPr="00C86CE6">
        <w:tab/>
        <w:t>(c)</w:t>
      </w:r>
      <w:r w:rsidRPr="00C86CE6">
        <w:tab/>
        <w:t>the ordering institution issued that card; and</w:t>
      </w:r>
    </w:p>
    <w:p w14:paraId="76AF3973" w14:textId="77777777" w:rsidR="00DF1DC1" w:rsidRPr="00C86CE6" w:rsidRDefault="0089230C" w:rsidP="0089230C">
      <w:pPr>
        <w:pStyle w:val="paragraph"/>
      </w:pPr>
      <w:r w:rsidRPr="00C86CE6">
        <w:tab/>
        <w:t>(</w:t>
      </w:r>
      <w:r w:rsidR="00AA3F24" w:rsidRPr="00C86CE6">
        <w:t>d</w:t>
      </w:r>
      <w:r w:rsidRPr="00C86CE6">
        <w:t>)</w:t>
      </w:r>
      <w:r w:rsidRPr="00C86CE6">
        <w:tab/>
      </w:r>
      <w:r w:rsidR="00DF1DC1" w:rsidRPr="00C86CE6">
        <w:t>the beneficiary institution initiates the transfer by sending the payer’s instruction for the transfer to the ordering institution; and</w:t>
      </w:r>
    </w:p>
    <w:p w14:paraId="3B3BDACD" w14:textId="77777777" w:rsidR="00AA3F24" w:rsidRPr="00C86CE6" w:rsidRDefault="00DF1DC1" w:rsidP="0089230C">
      <w:pPr>
        <w:pStyle w:val="paragraph"/>
      </w:pPr>
      <w:r w:rsidRPr="00C86CE6">
        <w:tab/>
        <w:t>(e)</w:t>
      </w:r>
      <w:r w:rsidRPr="00C86CE6">
        <w:tab/>
      </w:r>
      <w:r w:rsidR="0089230C" w:rsidRPr="00C86CE6">
        <w:t>the beneficiary institution pays, or accepts liability to pay, the payee the money; and</w:t>
      </w:r>
    </w:p>
    <w:p w14:paraId="0245C537" w14:textId="77777777" w:rsidR="0089230C" w:rsidRPr="00C86CE6" w:rsidRDefault="0089230C" w:rsidP="0089230C">
      <w:pPr>
        <w:pStyle w:val="paragraph"/>
      </w:pPr>
      <w:r w:rsidRPr="00C86CE6">
        <w:tab/>
        <w:t>(</w:t>
      </w:r>
      <w:r w:rsidR="001979FD" w:rsidRPr="00C86CE6">
        <w:t>f</w:t>
      </w:r>
      <w:r w:rsidRPr="00C86CE6">
        <w:t>)</w:t>
      </w:r>
      <w:r w:rsidRPr="00C86CE6">
        <w:tab/>
        <w:t>in giving effect to the transfer, the money is transferred from the ordering institution to the beneficiary institution.</w:t>
      </w:r>
    </w:p>
    <w:p w14:paraId="49AB812F" w14:textId="77777777" w:rsidR="00692DB7" w:rsidRPr="00C86CE6" w:rsidRDefault="00692DB7" w:rsidP="00692DB7">
      <w:pPr>
        <w:pStyle w:val="Definition"/>
      </w:pPr>
      <w:r w:rsidRPr="00C86CE6">
        <w:rPr>
          <w:b/>
          <w:i/>
        </w:rPr>
        <w:t xml:space="preserve">Defence Department </w:t>
      </w:r>
      <w:r w:rsidRPr="00C86CE6">
        <w:t xml:space="preserve">means the Department administered by the Minister responsible for administering the </w:t>
      </w:r>
      <w:r w:rsidRPr="00C86CE6">
        <w:rPr>
          <w:i/>
        </w:rPr>
        <w:t>Defence Act 1903</w:t>
      </w:r>
      <w:r w:rsidRPr="00C86CE6">
        <w:t>.</w:t>
      </w:r>
    </w:p>
    <w:p w14:paraId="5387B660" w14:textId="77777777" w:rsidR="0089230C" w:rsidRPr="00C86CE6" w:rsidRDefault="0089230C" w:rsidP="0089230C">
      <w:pPr>
        <w:pStyle w:val="Definition"/>
      </w:pPr>
      <w:r w:rsidRPr="00C86CE6">
        <w:rPr>
          <w:b/>
          <w:i/>
        </w:rPr>
        <w:t>domestic transfer of value</w:t>
      </w:r>
      <w:r w:rsidRPr="00C86CE6">
        <w:t xml:space="preserve">: a transfer of value is a </w:t>
      </w:r>
      <w:r w:rsidRPr="00C86CE6">
        <w:rPr>
          <w:b/>
          <w:i/>
        </w:rPr>
        <w:t xml:space="preserve">domestic transfer of value </w:t>
      </w:r>
      <w:r w:rsidRPr="00C86CE6">
        <w:t>if the value to be transferred is in Australia and, as a result of the transfer, the value will be in Australia.</w:t>
      </w:r>
    </w:p>
    <w:p w14:paraId="186C6A9A" w14:textId="76519D36" w:rsidR="0089230C" w:rsidRPr="00C86CE6" w:rsidRDefault="0089230C" w:rsidP="0089230C">
      <w:pPr>
        <w:pStyle w:val="notetext"/>
      </w:pPr>
      <w:r w:rsidRPr="00C86CE6">
        <w:t>Note:</w:t>
      </w:r>
      <w:r w:rsidRPr="00C86CE6">
        <w:tab/>
        <w:t xml:space="preserve">See section </w:t>
      </w:r>
      <w:r w:rsidR="00BC4A61" w:rsidRPr="00C86CE6">
        <w:t>60</w:t>
      </w:r>
      <w:r w:rsidRPr="00C86CE6">
        <w:t xml:space="preserve"> for the circumstances in which the value is </w:t>
      </w:r>
      <w:r w:rsidRPr="00C86CE6">
        <w:rPr>
          <w:b/>
          <w:i/>
        </w:rPr>
        <w:t xml:space="preserve">in </w:t>
      </w:r>
      <w:r w:rsidRPr="00C86CE6">
        <w:t>a country.</w:t>
      </w:r>
    </w:p>
    <w:p w14:paraId="124254BD" w14:textId="77777777" w:rsidR="007A31C7" w:rsidRPr="00C86CE6" w:rsidRDefault="00601260" w:rsidP="00601260">
      <w:pPr>
        <w:pStyle w:val="Definition"/>
      </w:pPr>
      <w:r w:rsidRPr="00C86CE6">
        <w:rPr>
          <w:b/>
          <w:i/>
        </w:rPr>
        <w:t xml:space="preserve">Foreign Affairs </w:t>
      </w:r>
      <w:r w:rsidR="00F11FE9" w:rsidRPr="00C86CE6">
        <w:rPr>
          <w:b/>
          <w:i/>
        </w:rPr>
        <w:t>Depart</w:t>
      </w:r>
      <w:r w:rsidR="00C334B1" w:rsidRPr="00C86CE6">
        <w:rPr>
          <w:b/>
          <w:i/>
        </w:rPr>
        <w:t>ment</w:t>
      </w:r>
      <w:r w:rsidRPr="00C86CE6">
        <w:t xml:space="preserve"> means</w:t>
      </w:r>
      <w:r w:rsidR="007A31C7" w:rsidRPr="00C86CE6">
        <w:t xml:space="preserve"> the Department administered </w:t>
      </w:r>
      <w:r w:rsidR="00B6032A" w:rsidRPr="00C86CE6">
        <w:t xml:space="preserve">by the Minister responsible for administering the </w:t>
      </w:r>
      <w:r w:rsidR="00A75ED3" w:rsidRPr="00C86CE6">
        <w:rPr>
          <w:i/>
        </w:rPr>
        <w:t>Diplomatic Privileges and Immunities Act 1967</w:t>
      </w:r>
      <w:r w:rsidR="007A31C7" w:rsidRPr="00C86CE6">
        <w:t>.</w:t>
      </w:r>
    </w:p>
    <w:p w14:paraId="15B99262" w14:textId="77777777" w:rsidR="00CD7E3C" w:rsidRPr="00C86CE6" w:rsidRDefault="00601260" w:rsidP="00C12E6E">
      <w:pPr>
        <w:pStyle w:val="Definition"/>
        <w:rPr>
          <w:rFonts w:eastAsiaTheme="minorEastAsia"/>
        </w:rPr>
      </w:pPr>
      <w:r w:rsidRPr="00C86CE6">
        <w:rPr>
          <w:rFonts w:eastAsiaTheme="minorEastAsia"/>
          <w:b/>
          <w:i/>
        </w:rPr>
        <w:t>Home Affairs</w:t>
      </w:r>
      <w:r w:rsidR="00C334B1" w:rsidRPr="00C86CE6">
        <w:rPr>
          <w:rFonts w:eastAsiaTheme="minorEastAsia"/>
          <w:b/>
          <w:i/>
        </w:rPr>
        <w:t xml:space="preserve"> Department</w:t>
      </w:r>
      <w:r w:rsidRPr="00C86CE6">
        <w:rPr>
          <w:rFonts w:eastAsiaTheme="minorEastAsia"/>
        </w:rPr>
        <w:t xml:space="preserve"> means </w:t>
      </w:r>
      <w:r w:rsidR="00B6032A" w:rsidRPr="00C86CE6">
        <w:rPr>
          <w:rFonts w:eastAsiaTheme="minorEastAsia"/>
        </w:rPr>
        <w:t xml:space="preserve">the Department administered by the Minister responsible for administering the </w:t>
      </w:r>
      <w:r w:rsidR="00B6032A" w:rsidRPr="00C86CE6">
        <w:rPr>
          <w:rFonts w:eastAsiaTheme="minorEastAsia"/>
          <w:i/>
        </w:rPr>
        <w:t>Australian Border Force Act 2015</w:t>
      </w:r>
      <w:r w:rsidR="00B6032A" w:rsidRPr="00C86CE6">
        <w:rPr>
          <w:rFonts w:eastAsiaTheme="minorEastAsia"/>
        </w:rPr>
        <w:t>.</w:t>
      </w:r>
    </w:p>
    <w:p w14:paraId="0B31642A" w14:textId="34090985" w:rsidR="00B11DA4" w:rsidRPr="00C86CE6" w:rsidRDefault="00B11DA4" w:rsidP="00B11DA4">
      <w:pPr>
        <w:pStyle w:val="Definition"/>
      </w:pPr>
      <w:r w:rsidRPr="00C86CE6">
        <w:rPr>
          <w:b/>
          <w:i/>
        </w:rPr>
        <w:t xml:space="preserve">independent evaluation report </w:t>
      </w:r>
      <w:r w:rsidRPr="00C86CE6">
        <w:t xml:space="preserve">has the meaning given by paragraph </w:t>
      </w:r>
      <w:r w:rsidR="00BC4A61" w:rsidRPr="00C86CE6">
        <w:t>15</w:t>
      </w:r>
      <w:r w:rsidRPr="00C86CE6">
        <w:t>(2)(d).</w:t>
      </w:r>
    </w:p>
    <w:p w14:paraId="00DC5955" w14:textId="77777777" w:rsidR="00984A40" w:rsidRPr="00C86CE6" w:rsidRDefault="00984A40" w:rsidP="00984A40">
      <w:pPr>
        <w:pStyle w:val="Definition"/>
      </w:pPr>
      <w:r w:rsidRPr="00C86CE6">
        <w:rPr>
          <w:b/>
          <w:i/>
        </w:rPr>
        <w:t>passport</w:t>
      </w:r>
      <w:r w:rsidRPr="00C86CE6">
        <w:t xml:space="preserve"> means:</w:t>
      </w:r>
    </w:p>
    <w:p w14:paraId="205BBC97" w14:textId="77777777" w:rsidR="00984A40" w:rsidRPr="00C86CE6" w:rsidRDefault="00984A40" w:rsidP="00984A40">
      <w:pPr>
        <w:pStyle w:val="paragraph"/>
      </w:pPr>
      <w:r w:rsidRPr="00C86CE6">
        <w:tab/>
        <w:t>(a)</w:t>
      </w:r>
      <w:r w:rsidRPr="00C86CE6">
        <w:tab/>
        <w:t>a</w:t>
      </w:r>
      <w:r w:rsidR="009568BD" w:rsidRPr="00C86CE6">
        <w:t>n Australian</w:t>
      </w:r>
      <w:r w:rsidRPr="00C86CE6">
        <w:t xml:space="preserve"> passport</w:t>
      </w:r>
      <w:r w:rsidR="009568BD" w:rsidRPr="00C86CE6">
        <w:t xml:space="preserve">, within the meaning of the </w:t>
      </w:r>
      <w:r w:rsidR="009568BD" w:rsidRPr="00C86CE6">
        <w:rPr>
          <w:i/>
        </w:rPr>
        <w:t>Australian Passports Act 2005</w:t>
      </w:r>
      <w:r w:rsidRPr="00C86CE6">
        <w:t>; or</w:t>
      </w:r>
    </w:p>
    <w:p w14:paraId="7A5EB4DC" w14:textId="77777777" w:rsidR="00984A40" w:rsidRPr="00C86CE6" w:rsidRDefault="00984A40" w:rsidP="00984A40">
      <w:pPr>
        <w:pStyle w:val="paragraph"/>
      </w:pPr>
      <w:r w:rsidRPr="00C86CE6">
        <w:tab/>
        <w:t>(b)</w:t>
      </w:r>
      <w:r w:rsidRPr="00C86CE6">
        <w:tab/>
        <w:t>a passport or a similar document issued for the purpose of international travel</w:t>
      </w:r>
      <w:r w:rsidR="003A4669" w:rsidRPr="00C86CE6">
        <w:t xml:space="preserve"> t</w:t>
      </w:r>
      <w:r w:rsidRPr="00C86CE6">
        <w:t>hat:</w:t>
      </w:r>
    </w:p>
    <w:p w14:paraId="1E4D569F" w14:textId="77777777" w:rsidR="00984A40" w:rsidRPr="00C86CE6" w:rsidRDefault="00984A40" w:rsidP="00984A40">
      <w:pPr>
        <w:pStyle w:val="paragraphsub"/>
      </w:pPr>
      <w:r w:rsidRPr="00C86CE6">
        <w:tab/>
        <w:t>(i)</w:t>
      </w:r>
      <w:r w:rsidRPr="00C86CE6">
        <w:tab/>
        <w:t>contains a photograph and the signature of the person in whose name the document is issued; and</w:t>
      </w:r>
    </w:p>
    <w:p w14:paraId="1800C2D8" w14:textId="77777777" w:rsidR="00DB6DAC" w:rsidRPr="00C86CE6" w:rsidRDefault="00984A40" w:rsidP="0005106A">
      <w:pPr>
        <w:pStyle w:val="paragraphsub"/>
      </w:pPr>
      <w:r w:rsidRPr="00C86CE6">
        <w:lastRenderedPageBreak/>
        <w:tab/>
        <w:t>(ii)</w:t>
      </w:r>
      <w:r w:rsidRPr="00C86CE6">
        <w:tab/>
        <w:t>is issued by a foreign government, the United Nations or an agency of the United Nations.</w:t>
      </w:r>
      <w:bookmarkStart w:id="7" w:name="opcCurrentPosition"/>
      <w:bookmarkEnd w:id="7"/>
    </w:p>
    <w:p w14:paraId="703F8AF8" w14:textId="59BEF22E" w:rsidR="00BD3FF1" w:rsidRPr="00C86CE6" w:rsidRDefault="00BD3FF1" w:rsidP="00BD3FF1">
      <w:pPr>
        <w:pStyle w:val="Definition"/>
      </w:pPr>
      <w:r w:rsidRPr="00C86CE6">
        <w:rPr>
          <w:b/>
          <w:i/>
        </w:rPr>
        <w:t>payable</w:t>
      </w:r>
      <w:r w:rsidR="004A7589">
        <w:rPr>
          <w:b/>
          <w:i/>
        </w:rPr>
        <w:noBreakHyphen/>
      </w:r>
      <w:r w:rsidRPr="00C86CE6">
        <w:rPr>
          <w:b/>
          <w:i/>
        </w:rPr>
        <w:t>through accounts</w:t>
      </w:r>
      <w:r w:rsidRPr="00C86CE6">
        <w:t xml:space="preserve"> has the meaning given by paragraph </w:t>
      </w:r>
      <w:r w:rsidR="00BC4A61" w:rsidRPr="00C86CE6">
        <w:t>50</w:t>
      </w:r>
      <w:r w:rsidRPr="00C86CE6">
        <w:t>(3)(g).</w:t>
      </w:r>
    </w:p>
    <w:p w14:paraId="50C33644" w14:textId="77777777" w:rsidR="0089230C" w:rsidRPr="00C86CE6" w:rsidRDefault="0089230C" w:rsidP="0089230C">
      <w:pPr>
        <w:pStyle w:val="Definition"/>
      </w:pPr>
      <w:r w:rsidRPr="00C86CE6">
        <w:rPr>
          <w:b/>
          <w:i/>
        </w:rPr>
        <w:t>payee information</w:t>
      </w:r>
      <w:r w:rsidRPr="00C86CE6">
        <w:t>, in relation to a transfer of value, means all of the following information:</w:t>
      </w:r>
    </w:p>
    <w:p w14:paraId="6C05B760" w14:textId="77777777" w:rsidR="0089230C" w:rsidRPr="00C86CE6" w:rsidRDefault="0089230C" w:rsidP="0089230C">
      <w:pPr>
        <w:pStyle w:val="paragraph"/>
      </w:pPr>
      <w:r w:rsidRPr="00C86CE6">
        <w:tab/>
        <w:t>(a)</w:t>
      </w:r>
      <w:r w:rsidRPr="00C86CE6">
        <w:tab/>
        <w:t>the payee’s full name;</w:t>
      </w:r>
    </w:p>
    <w:p w14:paraId="3258D490" w14:textId="77777777" w:rsidR="0089230C" w:rsidRPr="00C86CE6" w:rsidRDefault="0089230C" w:rsidP="0089230C">
      <w:pPr>
        <w:pStyle w:val="paragraph"/>
      </w:pPr>
      <w:r w:rsidRPr="00C86CE6">
        <w:tab/>
        <w:t>(b)</w:t>
      </w:r>
      <w:r w:rsidRPr="00C86CE6">
        <w:tab/>
        <w:t>tracing information in relation to the transfer of value.</w:t>
      </w:r>
    </w:p>
    <w:p w14:paraId="14DF675D" w14:textId="77777777" w:rsidR="0089230C" w:rsidRPr="00C86CE6" w:rsidRDefault="0089230C" w:rsidP="0089230C">
      <w:pPr>
        <w:pStyle w:val="Definition"/>
      </w:pPr>
      <w:r w:rsidRPr="00C86CE6">
        <w:rPr>
          <w:b/>
          <w:i/>
        </w:rPr>
        <w:t>payer information</w:t>
      </w:r>
      <w:r w:rsidRPr="00C86CE6">
        <w:t>, in relation to a transfer of value, means all of the following information:</w:t>
      </w:r>
    </w:p>
    <w:p w14:paraId="598D2676" w14:textId="77777777" w:rsidR="0089230C" w:rsidRPr="00C86CE6" w:rsidRDefault="0089230C" w:rsidP="0089230C">
      <w:pPr>
        <w:pStyle w:val="paragraph"/>
      </w:pPr>
      <w:r w:rsidRPr="00C86CE6">
        <w:tab/>
        <w:t>(a)</w:t>
      </w:r>
      <w:r w:rsidRPr="00C86CE6">
        <w:tab/>
        <w:t>the payer’s full name;</w:t>
      </w:r>
    </w:p>
    <w:p w14:paraId="1709683E" w14:textId="77777777" w:rsidR="0089230C" w:rsidRPr="00C86CE6" w:rsidRDefault="0089230C" w:rsidP="0089230C">
      <w:pPr>
        <w:pStyle w:val="paragraph"/>
      </w:pPr>
      <w:r w:rsidRPr="00C86CE6">
        <w:tab/>
        <w:t>(b)</w:t>
      </w:r>
      <w:r w:rsidRPr="00C86CE6">
        <w:tab/>
        <w:t>tracing information in relation to the transfer of value;</w:t>
      </w:r>
    </w:p>
    <w:p w14:paraId="5EF0D129" w14:textId="77777777" w:rsidR="0089230C" w:rsidRPr="00C86CE6" w:rsidRDefault="0089230C" w:rsidP="0089230C">
      <w:pPr>
        <w:pStyle w:val="paragraph"/>
      </w:pPr>
      <w:r w:rsidRPr="00C86CE6">
        <w:tab/>
        <w:t>(c)</w:t>
      </w:r>
      <w:r w:rsidRPr="00C86CE6">
        <w:tab/>
        <w:t>information that is one or more of the following:</w:t>
      </w:r>
    </w:p>
    <w:p w14:paraId="57950C67" w14:textId="77777777" w:rsidR="0089230C" w:rsidRPr="00C86CE6" w:rsidRDefault="0089230C" w:rsidP="0089230C">
      <w:pPr>
        <w:pStyle w:val="paragraphsub"/>
      </w:pPr>
      <w:r w:rsidRPr="00C86CE6">
        <w:tab/>
        <w:t>(i)</w:t>
      </w:r>
      <w:r w:rsidRPr="00C86CE6">
        <w:tab/>
        <w:t>a unique customer identification number given to the payer by the ordering institution;</w:t>
      </w:r>
    </w:p>
    <w:p w14:paraId="0C09A496" w14:textId="53B0952F" w:rsidR="0089230C" w:rsidRPr="00C86CE6" w:rsidRDefault="0089230C" w:rsidP="0089230C">
      <w:pPr>
        <w:pStyle w:val="paragraphsub"/>
      </w:pPr>
      <w:r w:rsidRPr="00C86CE6">
        <w:tab/>
        <w:t>(ii)</w:t>
      </w:r>
      <w:r w:rsidRPr="00C86CE6">
        <w:tab/>
        <w:t xml:space="preserve">a unique identification number given to the payer by an Australian government body, other than the payer’s tax file number (within the meaning of </w:t>
      </w:r>
      <w:r w:rsidR="00A25E52" w:rsidRPr="00C86CE6">
        <w:t>section 2</w:t>
      </w:r>
      <w:r w:rsidRPr="00C86CE6">
        <w:t xml:space="preserve">02A of the </w:t>
      </w:r>
      <w:r w:rsidRPr="00C86CE6">
        <w:rPr>
          <w:i/>
        </w:rPr>
        <w:t>Income Tax Assessment Act 1936</w:t>
      </w:r>
      <w:r w:rsidRPr="00C86CE6">
        <w:t>);</w:t>
      </w:r>
    </w:p>
    <w:p w14:paraId="68FBC7CF" w14:textId="77777777" w:rsidR="0089230C" w:rsidRPr="00C86CE6" w:rsidRDefault="0089230C" w:rsidP="0089230C">
      <w:pPr>
        <w:pStyle w:val="paragraphsub"/>
      </w:pPr>
      <w:r w:rsidRPr="00C86CE6">
        <w:tab/>
        <w:t>(iii)</w:t>
      </w:r>
      <w:r w:rsidRPr="00C86CE6">
        <w:tab/>
        <w:t>a unique identification number given to the payer by the government of a foreign country;</w:t>
      </w:r>
    </w:p>
    <w:p w14:paraId="1E2D4EAE" w14:textId="77777777" w:rsidR="0089230C" w:rsidRPr="00C86CE6" w:rsidRDefault="0089230C" w:rsidP="0089230C">
      <w:pPr>
        <w:pStyle w:val="paragraphsub"/>
      </w:pPr>
      <w:r w:rsidRPr="00C86CE6">
        <w:tab/>
        <w:t>(iv)</w:t>
      </w:r>
      <w:r w:rsidRPr="00C86CE6">
        <w:tab/>
        <w:t>a unique identification number given to the payer by an organisation accredited by the Global Legal Entity Identification Foundation;</w:t>
      </w:r>
    </w:p>
    <w:p w14:paraId="4B303410" w14:textId="77777777" w:rsidR="0089230C" w:rsidRPr="00C86CE6" w:rsidRDefault="0089230C" w:rsidP="0089230C">
      <w:pPr>
        <w:pStyle w:val="paragraphsub"/>
      </w:pPr>
      <w:r w:rsidRPr="00C86CE6">
        <w:tab/>
        <w:t>(v)</w:t>
      </w:r>
      <w:r w:rsidRPr="00C86CE6">
        <w:tab/>
        <w:t>if the payer is an individual—the payer’s date and place of birth;</w:t>
      </w:r>
    </w:p>
    <w:p w14:paraId="134A3543" w14:textId="77777777" w:rsidR="0089230C" w:rsidRPr="00C86CE6" w:rsidRDefault="0089230C" w:rsidP="0089230C">
      <w:pPr>
        <w:pStyle w:val="paragraphsub"/>
      </w:pPr>
      <w:r w:rsidRPr="00C86CE6">
        <w:tab/>
        <w:t>(vi)</w:t>
      </w:r>
      <w:r w:rsidRPr="00C86CE6">
        <w:tab/>
        <w:t>the payer’s full business or residential address (not being a post box).</w:t>
      </w:r>
    </w:p>
    <w:p w14:paraId="20EA10F3" w14:textId="77777777" w:rsidR="00530C49" w:rsidRPr="00C86CE6" w:rsidRDefault="00530C49" w:rsidP="00530C49">
      <w:pPr>
        <w:pStyle w:val="Definition"/>
      </w:pPr>
      <w:r w:rsidRPr="00C86CE6">
        <w:rPr>
          <w:b/>
          <w:i/>
        </w:rPr>
        <w:t>tracing information</w:t>
      </w:r>
      <w:r w:rsidRPr="00C86CE6">
        <w:t>, in relation to a transfer of value, means</w:t>
      </w:r>
      <w:r w:rsidR="00AB5644" w:rsidRPr="00C86CE6">
        <w:t xml:space="preserve"> information </w:t>
      </w:r>
      <w:r w:rsidR="00643B82" w:rsidRPr="00C86CE6">
        <w:t>that satisfies the following</w:t>
      </w:r>
      <w:r w:rsidRPr="00C86CE6">
        <w:t>:</w:t>
      </w:r>
    </w:p>
    <w:p w14:paraId="4E990A4D" w14:textId="77777777" w:rsidR="00530913" w:rsidRPr="00C86CE6" w:rsidRDefault="00530C49" w:rsidP="00530913">
      <w:pPr>
        <w:pStyle w:val="paragraph"/>
      </w:pPr>
      <w:r w:rsidRPr="00C86CE6">
        <w:tab/>
        <w:t>(a)</w:t>
      </w:r>
      <w:r w:rsidRPr="00C86CE6">
        <w:tab/>
      </w:r>
      <w:r w:rsidR="00530913" w:rsidRPr="00C86CE6">
        <w:t>the information:</w:t>
      </w:r>
    </w:p>
    <w:p w14:paraId="602D0583" w14:textId="77777777" w:rsidR="009D1BC0" w:rsidRPr="00C86CE6" w:rsidRDefault="00530913" w:rsidP="009D1BC0">
      <w:pPr>
        <w:pStyle w:val="paragraphsub"/>
      </w:pPr>
      <w:r w:rsidRPr="00C86CE6">
        <w:tab/>
        <w:t>(i)</w:t>
      </w:r>
      <w:r w:rsidRPr="00C86CE6">
        <w:tab/>
        <w:t>for a transfer from an account held by the payer with the ordering institution—enables the ordering institution to identify the account; or</w:t>
      </w:r>
    </w:p>
    <w:p w14:paraId="3A394EC1" w14:textId="77777777" w:rsidR="009D1BC0" w:rsidRPr="00C86CE6" w:rsidRDefault="009D1BC0" w:rsidP="009D1BC0">
      <w:pPr>
        <w:pStyle w:val="paragraphsub"/>
      </w:pPr>
      <w:r w:rsidRPr="00C86CE6">
        <w:tab/>
        <w:t>(ii)</w:t>
      </w:r>
      <w:r w:rsidRPr="00C86CE6">
        <w:tab/>
      </w:r>
      <w:r w:rsidR="00530913" w:rsidRPr="00C86CE6">
        <w:t>for a transfer of a virtual asset from a custodial wallet—enables the ordering institution to identify the payer’s virtual asset holdings in the wallet</w:t>
      </w:r>
      <w:r w:rsidR="0092706C" w:rsidRPr="00C86CE6">
        <w:t xml:space="preserve"> (such as by providing the wallet address, including the destination tag or memo details, if applicable)</w:t>
      </w:r>
      <w:r w:rsidR="00530913" w:rsidRPr="00C86CE6">
        <w:t>; or</w:t>
      </w:r>
    </w:p>
    <w:p w14:paraId="438F05A0" w14:textId="671C6CED" w:rsidR="00A6620B" w:rsidRPr="00C86CE6" w:rsidRDefault="00A6620B" w:rsidP="009D1BC0">
      <w:pPr>
        <w:pStyle w:val="paragraphsub"/>
      </w:pPr>
      <w:r w:rsidRPr="00C86CE6">
        <w:tab/>
        <w:t>(iii)</w:t>
      </w:r>
      <w:r w:rsidRPr="00C86CE6">
        <w:tab/>
      </w:r>
      <w:r w:rsidR="00CD70A4" w:rsidRPr="00C86CE6">
        <w:t xml:space="preserve">for a transfer of a virtual asset from a </w:t>
      </w:r>
      <w:r w:rsidR="00733EB6" w:rsidRPr="00C86CE6">
        <w:t>self</w:t>
      </w:r>
      <w:r w:rsidR="004A7589">
        <w:noBreakHyphen/>
      </w:r>
      <w:r w:rsidR="00733EB6" w:rsidRPr="00C86CE6">
        <w:t>hosted</w:t>
      </w:r>
      <w:r w:rsidR="00CD70A4" w:rsidRPr="00C86CE6">
        <w:t xml:space="preserve"> </w:t>
      </w:r>
      <w:r w:rsidR="003D622A" w:rsidRPr="00C86CE6">
        <w:t xml:space="preserve">virtual asset </w:t>
      </w:r>
      <w:r w:rsidR="00CD70A4" w:rsidRPr="00C86CE6">
        <w:t>wallet—</w:t>
      </w:r>
      <w:r w:rsidR="003D622A" w:rsidRPr="00C86CE6">
        <w:t xml:space="preserve">provides </w:t>
      </w:r>
      <w:r w:rsidR="00E93E3D" w:rsidRPr="00C86CE6">
        <w:t>the address of the wallet; or</w:t>
      </w:r>
    </w:p>
    <w:p w14:paraId="60D797DA" w14:textId="77777777" w:rsidR="00530913" w:rsidRPr="00C86CE6" w:rsidRDefault="009D1BC0" w:rsidP="009D1BC0">
      <w:pPr>
        <w:pStyle w:val="paragraphsub"/>
      </w:pPr>
      <w:r w:rsidRPr="00C86CE6">
        <w:tab/>
        <w:t>(i</w:t>
      </w:r>
      <w:r w:rsidR="00A6620B" w:rsidRPr="00C86CE6">
        <w:t>v</w:t>
      </w:r>
      <w:r w:rsidRPr="00C86CE6">
        <w:t>)</w:t>
      </w:r>
      <w:r w:rsidRPr="00C86CE6">
        <w:tab/>
      </w:r>
      <w:r w:rsidR="00530913" w:rsidRPr="00C86CE6">
        <w:t>in any other case—provides a unique transaction reference number for the transfer of value;</w:t>
      </w:r>
    </w:p>
    <w:p w14:paraId="49E96009" w14:textId="77777777" w:rsidR="00530913" w:rsidRPr="00C86CE6" w:rsidRDefault="009D1BC0" w:rsidP="009D1BC0">
      <w:pPr>
        <w:pStyle w:val="paragraph"/>
      </w:pPr>
      <w:r w:rsidRPr="00C86CE6">
        <w:tab/>
        <w:t>(b)</w:t>
      </w:r>
      <w:r w:rsidRPr="00C86CE6">
        <w:tab/>
      </w:r>
      <w:r w:rsidR="00D977C4" w:rsidRPr="00C86CE6">
        <w:t>the information</w:t>
      </w:r>
      <w:r w:rsidR="00530913" w:rsidRPr="00C86CE6">
        <w:t>:</w:t>
      </w:r>
    </w:p>
    <w:p w14:paraId="19160AF2" w14:textId="77777777" w:rsidR="00530913" w:rsidRPr="00C86CE6" w:rsidRDefault="009D1BC0" w:rsidP="009D1BC0">
      <w:pPr>
        <w:pStyle w:val="paragraphsub"/>
      </w:pPr>
      <w:r w:rsidRPr="00C86CE6">
        <w:tab/>
        <w:t>(i)</w:t>
      </w:r>
      <w:r w:rsidRPr="00C86CE6">
        <w:tab/>
      </w:r>
      <w:r w:rsidR="00530913" w:rsidRPr="00C86CE6">
        <w:t xml:space="preserve">for a transfer </w:t>
      </w:r>
      <w:r w:rsidR="00EA440B" w:rsidRPr="00C86CE6">
        <w:t xml:space="preserve">in circumstances </w:t>
      </w:r>
      <w:r w:rsidR="00530913" w:rsidRPr="00C86CE6">
        <w:t>where the value is to be made available to the payee by depositing it into an account held by the payee—enables the beneficiary institution to identify the account; or</w:t>
      </w:r>
    </w:p>
    <w:p w14:paraId="7DAE98F0" w14:textId="77777777" w:rsidR="00530913" w:rsidRPr="00C86CE6" w:rsidRDefault="009D1BC0" w:rsidP="009D1BC0">
      <w:pPr>
        <w:pStyle w:val="paragraphsub"/>
      </w:pPr>
      <w:r w:rsidRPr="00C86CE6">
        <w:tab/>
        <w:t>(ii)</w:t>
      </w:r>
      <w:r w:rsidRPr="00C86CE6">
        <w:tab/>
      </w:r>
      <w:r w:rsidR="00530913" w:rsidRPr="00C86CE6">
        <w:t xml:space="preserve">for a transfer </w:t>
      </w:r>
      <w:r w:rsidR="00FA6312" w:rsidRPr="00C86CE6">
        <w:t xml:space="preserve">of a virtual asset </w:t>
      </w:r>
      <w:r w:rsidR="00EA440B" w:rsidRPr="00C86CE6">
        <w:t xml:space="preserve">in circumstances </w:t>
      </w:r>
      <w:r w:rsidR="00530913" w:rsidRPr="00C86CE6">
        <w:t xml:space="preserve">where the </w:t>
      </w:r>
      <w:r w:rsidR="004A2A15" w:rsidRPr="00C86CE6">
        <w:t>asset</w:t>
      </w:r>
      <w:r w:rsidR="00530913" w:rsidRPr="00C86CE6">
        <w:t xml:space="preserve"> is to be made available to the payee by transferring it to</w:t>
      </w:r>
      <w:r w:rsidR="00A6620B" w:rsidRPr="00C86CE6">
        <w:t xml:space="preserve"> </w:t>
      </w:r>
      <w:r w:rsidR="00530913" w:rsidRPr="00C86CE6">
        <w:t>a custodial wallet—enables the beneficiary institution to identify the payer’s virtual asset holdings in the wallet</w:t>
      </w:r>
      <w:r w:rsidR="00DA0B76" w:rsidRPr="00C86CE6">
        <w:t xml:space="preserve"> (such as by providing</w:t>
      </w:r>
      <w:r w:rsidR="00E54CE4" w:rsidRPr="00C86CE6">
        <w:t xml:space="preserve"> the wallet </w:t>
      </w:r>
      <w:r w:rsidR="00E54CE4" w:rsidRPr="00C86CE6">
        <w:lastRenderedPageBreak/>
        <w:t xml:space="preserve">address, including </w:t>
      </w:r>
      <w:r w:rsidR="0092706C" w:rsidRPr="00C86CE6">
        <w:t xml:space="preserve">the </w:t>
      </w:r>
      <w:r w:rsidR="00E54CE4" w:rsidRPr="00C86CE6">
        <w:t>destination tag or memo details, if applicable)</w:t>
      </w:r>
      <w:r w:rsidR="00530913" w:rsidRPr="00C86CE6">
        <w:t>; or</w:t>
      </w:r>
    </w:p>
    <w:p w14:paraId="2E2E23C7" w14:textId="2F5275B7" w:rsidR="00E93E3D" w:rsidRPr="00C86CE6" w:rsidRDefault="00E93E3D" w:rsidP="009D1BC0">
      <w:pPr>
        <w:pStyle w:val="paragraphsub"/>
      </w:pPr>
      <w:r w:rsidRPr="00C86CE6">
        <w:tab/>
        <w:t>(iii)</w:t>
      </w:r>
      <w:r w:rsidRPr="00C86CE6">
        <w:tab/>
      </w:r>
      <w:r w:rsidR="00B76C99" w:rsidRPr="00C86CE6">
        <w:t xml:space="preserve">for a transfer of a virtual asset in circumstances where </w:t>
      </w:r>
      <w:r w:rsidR="00CE06C9" w:rsidRPr="00C86CE6">
        <w:t xml:space="preserve">the value is </w:t>
      </w:r>
      <w:r w:rsidR="00C12B0F" w:rsidRPr="00C86CE6">
        <w:t xml:space="preserve">to be </w:t>
      </w:r>
      <w:r w:rsidR="00CE06C9" w:rsidRPr="00C86CE6">
        <w:t>made available to the payee by transferring it to a self</w:t>
      </w:r>
      <w:r w:rsidR="004A7589">
        <w:noBreakHyphen/>
      </w:r>
      <w:r w:rsidR="00CE06C9" w:rsidRPr="00C86CE6">
        <w:t>hosted virtual asset wallet—</w:t>
      </w:r>
      <w:r w:rsidR="00154463" w:rsidRPr="00C86CE6">
        <w:t xml:space="preserve">provides </w:t>
      </w:r>
      <w:r w:rsidR="00CE06C9" w:rsidRPr="00C86CE6">
        <w:t>the address of the</w:t>
      </w:r>
      <w:r w:rsidR="00DE72A4" w:rsidRPr="00C86CE6">
        <w:t xml:space="preserve"> </w:t>
      </w:r>
      <w:r w:rsidR="00CE06C9" w:rsidRPr="00C86CE6">
        <w:t>walle</w:t>
      </w:r>
      <w:r w:rsidR="000B2270" w:rsidRPr="00C86CE6">
        <w:t>t</w:t>
      </w:r>
      <w:r w:rsidR="00CE06C9" w:rsidRPr="00C86CE6">
        <w:t>; or</w:t>
      </w:r>
    </w:p>
    <w:p w14:paraId="3B1F550C" w14:textId="77777777" w:rsidR="00530C49" w:rsidRPr="00C86CE6" w:rsidRDefault="009D1BC0" w:rsidP="009D1BC0">
      <w:pPr>
        <w:pStyle w:val="paragraphsub"/>
      </w:pPr>
      <w:r w:rsidRPr="00C86CE6">
        <w:tab/>
        <w:t>(i</w:t>
      </w:r>
      <w:r w:rsidR="00E93E3D" w:rsidRPr="00C86CE6">
        <w:t>v</w:t>
      </w:r>
      <w:r w:rsidRPr="00C86CE6">
        <w:t>)</w:t>
      </w:r>
      <w:r w:rsidRPr="00C86CE6">
        <w:tab/>
      </w:r>
      <w:r w:rsidR="00530913" w:rsidRPr="00C86CE6">
        <w:t>in any other case—provides a unique transaction reference number for the transfer of valu</w:t>
      </w:r>
      <w:r w:rsidR="004A2A15" w:rsidRPr="00C86CE6">
        <w:t>e</w:t>
      </w:r>
      <w:r w:rsidR="00530C49" w:rsidRPr="00C86CE6">
        <w:t>.</w:t>
      </w:r>
    </w:p>
    <w:p w14:paraId="3C0E7956" w14:textId="4E5A7DBA" w:rsidR="00530C49" w:rsidRPr="00C86CE6" w:rsidRDefault="00530C49" w:rsidP="00530C49">
      <w:pPr>
        <w:pStyle w:val="notetext"/>
      </w:pPr>
      <w:r w:rsidRPr="00C86CE6">
        <w:t>Note:</w:t>
      </w:r>
      <w:r w:rsidRPr="00C86CE6">
        <w:tab/>
        <w:t xml:space="preserve">An example of information to which </w:t>
      </w:r>
      <w:r w:rsidR="00606BBD" w:rsidRPr="00C86CE6">
        <w:t>sub</w:t>
      </w:r>
      <w:r w:rsidR="009B58BE" w:rsidRPr="00C86CE6">
        <w:t>paragraphs (</w:t>
      </w:r>
      <w:r w:rsidRPr="00C86CE6">
        <w:t>a)(i) and (b)(i) apply is a combination of a BSB and account number.</w:t>
      </w:r>
    </w:p>
    <w:p w14:paraId="1251B921" w14:textId="77777777" w:rsidR="005D556D" w:rsidRPr="00C86CE6" w:rsidRDefault="000A3338" w:rsidP="00C57678">
      <w:pPr>
        <w:pStyle w:val="Definition"/>
      </w:pPr>
      <w:r w:rsidRPr="00C86CE6">
        <w:rPr>
          <w:b/>
          <w:i/>
        </w:rPr>
        <w:t>ultimate parent</w:t>
      </w:r>
      <w:r w:rsidRPr="00C86CE6">
        <w:t xml:space="preserve"> </w:t>
      </w:r>
      <w:r w:rsidR="00A44370" w:rsidRPr="00C86CE6">
        <w:t xml:space="preserve">of </w:t>
      </w:r>
      <w:r w:rsidR="009678C0" w:rsidRPr="00C86CE6">
        <w:t xml:space="preserve">a </w:t>
      </w:r>
      <w:r w:rsidR="005F7F1C" w:rsidRPr="00C86CE6">
        <w:t xml:space="preserve">remitter, virtual asset service provider or </w:t>
      </w:r>
      <w:r w:rsidR="009678C0" w:rsidRPr="00C86CE6">
        <w:t xml:space="preserve">financial institution means </w:t>
      </w:r>
      <w:r w:rsidR="00D33CC8" w:rsidRPr="00C86CE6">
        <w:t>a</w:t>
      </w:r>
      <w:r w:rsidR="009E2753" w:rsidRPr="00C86CE6">
        <w:t xml:space="preserve"> </w:t>
      </w:r>
      <w:r w:rsidR="00515ECA" w:rsidRPr="00C86CE6">
        <w:t>body corporate</w:t>
      </w:r>
      <w:r w:rsidR="00D960BE" w:rsidRPr="00C86CE6">
        <w:t xml:space="preserve"> that</w:t>
      </w:r>
      <w:r w:rsidR="005D556D" w:rsidRPr="00C86CE6">
        <w:t>:</w:t>
      </w:r>
    </w:p>
    <w:p w14:paraId="6437D524" w14:textId="77777777" w:rsidR="00D960BE" w:rsidRPr="00C86CE6" w:rsidRDefault="005D556D" w:rsidP="005D556D">
      <w:pPr>
        <w:pStyle w:val="paragraph"/>
      </w:pPr>
      <w:r w:rsidRPr="00C86CE6">
        <w:tab/>
        <w:t>(a)</w:t>
      </w:r>
      <w:r w:rsidRPr="00C86CE6">
        <w:tab/>
      </w:r>
      <w:r w:rsidR="00D960BE" w:rsidRPr="00C86CE6">
        <w:t>control</w:t>
      </w:r>
      <w:r w:rsidR="00E53FF7" w:rsidRPr="00C86CE6">
        <w:t>s</w:t>
      </w:r>
      <w:r w:rsidR="00D960BE" w:rsidRPr="00C86CE6">
        <w:t xml:space="preserve"> the </w:t>
      </w:r>
      <w:r w:rsidR="00E53FF7" w:rsidRPr="00C86CE6">
        <w:t xml:space="preserve">remitter, virtual asset service provider or </w:t>
      </w:r>
      <w:r w:rsidR="00D960BE" w:rsidRPr="00C86CE6">
        <w:t>financial institution; and</w:t>
      </w:r>
    </w:p>
    <w:p w14:paraId="4CF8C215" w14:textId="77777777" w:rsidR="00F25A56" w:rsidRPr="00C86CE6" w:rsidRDefault="00D960BE" w:rsidP="005D556D">
      <w:pPr>
        <w:pStyle w:val="paragraph"/>
      </w:pPr>
      <w:r w:rsidRPr="00C86CE6">
        <w:tab/>
        <w:t>(b)</w:t>
      </w:r>
      <w:r w:rsidRPr="00C86CE6">
        <w:tab/>
        <w:t xml:space="preserve">is </w:t>
      </w:r>
      <w:r w:rsidR="00D22B47" w:rsidRPr="00C86CE6">
        <w:t xml:space="preserve">not itself controlled by another </w:t>
      </w:r>
      <w:r w:rsidR="00515ECA" w:rsidRPr="00C86CE6">
        <w:t>body corporate</w:t>
      </w:r>
      <w:r w:rsidR="00234E74" w:rsidRPr="00C86CE6">
        <w:t>.</w:t>
      </w:r>
    </w:p>
    <w:p w14:paraId="7E3A9111" w14:textId="77777777" w:rsidR="000E1AAB" w:rsidRPr="00C86CE6" w:rsidRDefault="000E1AAB" w:rsidP="000E1AAB">
      <w:pPr>
        <w:pStyle w:val="Definition"/>
      </w:pPr>
      <w:r w:rsidRPr="00C86CE6">
        <w:rPr>
          <w:b/>
          <w:i/>
        </w:rPr>
        <w:t>unique transaction reference number</w:t>
      </w:r>
      <w:r w:rsidRPr="00C86CE6">
        <w:t>, in relation to a transfer of value, means information to which both of the following paragraphs apply:</w:t>
      </w:r>
    </w:p>
    <w:p w14:paraId="27DC3988" w14:textId="77777777" w:rsidR="000E1AAB" w:rsidRPr="00C86CE6" w:rsidRDefault="000E1AAB" w:rsidP="000E1AAB">
      <w:pPr>
        <w:pStyle w:val="paragraph"/>
      </w:pPr>
      <w:r w:rsidRPr="00C86CE6">
        <w:tab/>
        <w:t>(a)</w:t>
      </w:r>
      <w:r w:rsidRPr="00C86CE6">
        <w:tab/>
        <w:t>the information is a combination of any o</w:t>
      </w:r>
      <w:r w:rsidR="007F6A9D" w:rsidRPr="00C86CE6">
        <w:t>r</w:t>
      </w:r>
      <w:r w:rsidRPr="00C86CE6">
        <w:t xml:space="preserve"> all of the following:</w:t>
      </w:r>
    </w:p>
    <w:p w14:paraId="4697CFBA" w14:textId="77777777" w:rsidR="000E1AAB" w:rsidRPr="00C86CE6" w:rsidRDefault="000E1AAB" w:rsidP="000E1AAB">
      <w:pPr>
        <w:pStyle w:val="paragraphsub"/>
      </w:pPr>
      <w:r w:rsidRPr="00C86CE6">
        <w:tab/>
        <w:t>(i)</w:t>
      </w:r>
      <w:r w:rsidRPr="00C86CE6">
        <w:tab/>
        <w:t>letters;</w:t>
      </w:r>
    </w:p>
    <w:p w14:paraId="4908EAB0" w14:textId="77777777" w:rsidR="000E1AAB" w:rsidRPr="00C86CE6" w:rsidRDefault="000E1AAB" w:rsidP="000E1AAB">
      <w:pPr>
        <w:pStyle w:val="paragraphsub"/>
      </w:pPr>
      <w:r w:rsidRPr="00C86CE6">
        <w:tab/>
        <w:t>(ii)</w:t>
      </w:r>
      <w:r w:rsidRPr="00C86CE6">
        <w:tab/>
        <w:t>digits;</w:t>
      </w:r>
    </w:p>
    <w:p w14:paraId="76202CCA" w14:textId="77777777" w:rsidR="000E1AAB" w:rsidRPr="00C86CE6" w:rsidRDefault="000E1AAB" w:rsidP="000E1AAB">
      <w:pPr>
        <w:pStyle w:val="paragraphsub"/>
      </w:pPr>
      <w:r w:rsidRPr="00C86CE6">
        <w:tab/>
        <w:t>(iii)</w:t>
      </w:r>
      <w:r w:rsidRPr="00C86CE6">
        <w:tab/>
        <w:t>characters;</w:t>
      </w:r>
    </w:p>
    <w:p w14:paraId="4B632CD4" w14:textId="77777777" w:rsidR="000E1AAB" w:rsidRPr="00C86CE6" w:rsidRDefault="000E1AAB" w:rsidP="000E1AAB">
      <w:pPr>
        <w:pStyle w:val="paragraphsub"/>
      </w:pPr>
      <w:r w:rsidRPr="00C86CE6">
        <w:tab/>
        <w:t>(iv)</w:t>
      </w:r>
      <w:r w:rsidRPr="00C86CE6">
        <w:tab/>
        <w:t>symbols;</w:t>
      </w:r>
    </w:p>
    <w:p w14:paraId="36BBAD23" w14:textId="77777777" w:rsidR="000E1AAB" w:rsidRPr="00C86CE6" w:rsidRDefault="000E1AAB" w:rsidP="000E1AAB">
      <w:pPr>
        <w:pStyle w:val="paragraph"/>
      </w:pPr>
      <w:r w:rsidRPr="00C86CE6">
        <w:tab/>
        <w:t>(b)</w:t>
      </w:r>
      <w:r w:rsidRPr="00C86CE6">
        <w:tab/>
        <w:t>the information distinguishes the transfer of value in a way that, either alone or in conjunction with any other information in the transfer message for the transfer of value, enables the ordering institution to associate the transfer of value with the payer, and the beneficiary institution to associate the transfer of value with the payee.</w:t>
      </w:r>
    </w:p>
    <w:p w14:paraId="58EDF5AC" w14:textId="0D5DB7C4" w:rsidR="000E1AAB" w:rsidRPr="00C86CE6" w:rsidRDefault="00BC4A61" w:rsidP="000E1AAB">
      <w:pPr>
        <w:pStyle w:val="ActHead5"/>
      </w:pPr>
      <w:bookmarkStart w:id="8" w:name="_Toc184727312"/>
      <w:bookmarkStart w:id="9" w:name="_Hlk181360410"/>
      <w:r w:rsidRPr="004B21E2">
        <w:rPr>
          <w:rStyle w:val="CharSectno"/>
        </w:rPr>
        <w:t>6</w:t>
      </w:r>
      <w:r w:rsidR="000E1AAB" w:rsidRPr="00C86CE6">
        <w:t xml:space="preserve">  Approved third</w:t>
      </w:r>
      <w:r w:rsidR="004A7589">
        <w:noBreakHyphen/>
      </w:r>
      <w:r w:rsidR="000E1AAB" w:rsidRPr="00C86CE6">
        <w:t>party bill payment system</w:t>
      </w:r>
      <w:bookmarkEnd w:id="8"/>
    </w:p>
    <w:p w14:paraId="3BF6BF25" w14:textId="6DF02F4C" w:rsidR="000E1AAB" w:rsidRPr="00C86CE6" w:rsidRDefault="000E1AAB" w:rsidP="000E1AAB">
      <w:pPr>
        <w:pStyle w:val="subsection"/>
      </w:pPr>
      <w:r w:rsidRPr="00C86CE6">
        <w:tab/>
      </w:r>
      <w:r w:rsidRPr="00C86CE6">
        <w:tab/>
        <w:t xml:space="preserve">For the purposes of the definition of </w:t>
      </w:r>
      <w:r w:rsidRPr="00C86CE6">
        <w:rPr>
          <w:b/>
          <w:i/>
        </w:rPr>
        <w:t>approved third</w:t>
      </w:r>
      <w:r w:rsidR="004A7589">
        <w:rPr>
          <w:b/>
          <w:i/>
        </w:rPr>
        <w:noBreakHyphen/>
      </w:r>
      <w:r w:rsidRPr="00C86CE6">
        <w:rPr>
          <w:b/>
          <w:i/>
        </w:rPr>
        <w:t>party bill payment system</w:t>
      </w:r>
      <w:r w:rsidRPr="00C86CE6">
        <w:t xml:space="preserve"> in </w:t>
      </w:r>
      <w:r w:rsidR="00606BBD" w:rsidRPr="00C86CE6">
        <w:t>section 5</w:t>
      </w:r>
      <w:r w:rsidRPr="00C86CE6">
        <w:t xml:space="preserve"> of the Act, a bill payment system is prescribed if the system is developed, maintained and used exclusively to facilitate electronic bill payments by transmitting transfer messages for domestic transfers of value.</w:t>
      </w:r>
    </w:p>
    <w:p w14:paraId="040FCB5B" w14:textId="5F5F80A4" w:rsidR="00DE4C07" w:rsidRPr="00C86CE6" w:rsidRDefault="00BC4A61" w:rsidP="00DE4C07">
      <w:pPr>
        <w:pStyle w:val="ActHead5"/>
      </w:pPr>
      <w:bookmarkStart w:id="10" w:name="_Toc184727313"/>
      <w:r w:rsidRPr="004B21E2">
        <w:rPr>
          <w:rStyle w:val="CharSectno"/>
        </w:rPr>
        <w:t>7</w:t>
      </w:r>
      <w:r w:rsidR="00DE4C07" w:rsidRPr="00C86CE6">
        <w:t xml:space="preserve">  Domestic politically exposed person</w:t>
      </w:r>
      <w:bookmarkEnd w:id="10"/>
    </w:p>
    <w:p w14:paraId="6CF91E86" w14:textId="009266F4" w:rsidR="00DE4C07" w:rsidRPr="00C86CE6" w:rsidRDefault="00DE4C07" w:rsidP="00DE4C07">
      <w:pPr>
        <w:pStyle w:val="subsection"/>
      </w:pPr>
      <w:r w:rsidRPr="00C86CE6">
        <w:tab/>
      </w:r>
      <w:r w:rsidR="00EA6F60" w:rsidRPr="00C86CE6">
        <w:tab/>
      </w:r>
      <w:r w:rsidRPr="00C86CE6">
        <w:t xml:space="preserve">For the purposes of </w:t>
      </w:r>
      <w:r w:rsidR="009B58BE" w:rsidRPr="00C86CE6">
        <w:t>paragraph (</w:t>
      </w:r>
      <w:r w:rsidRPr="00C86CE6">
        <w:t xml:space="preserve">a) of the definition of </w:t>
      </w:r>
      <w:r w:rsidRPr="00C86CE6">
        <w:rPr>
          <w:b/>
          <w:i/>
        </w:rPr>
        <w:t>domestic politically exposed person</w:t>
      </w:r>
      <w:r w:rsidRPr="00C86CE6">
        <w:t xml:space="preserve"> in </w:t>
      </w:r>
      <w:r w:rsidR="00606BBD" w:rsidRPr="00C86CE6">
        <w:t>section 5</w:t>
      </w:r>
      <w:r w:rsidRPr="00C86CE6">
        <w:t xml:space="preserve"> of the Act, the following offices and positions are specified:</w:t>
      </w:r>
    </w:p>
    <w:p w14:paraId="2C14EAEC" w14:textId="42C06C40" w:rsidR="00DE4C07" w:rsidRPr="00C86CE6" w:rsidRDefault="00DE4C07" w:rsidP="00DE4C07">
      <w:pPr>
        <w:pStyle w:val="paragraph"/>
      </w:pPr>
      <w:r w:rsidRPr="00C86CE6">
        <w:tab/>
        <w:t>(a)</w:t>
      </w:r>
      <w:r w:rsidRPr="00C86CE6">
        <w:tab/>
        <w:t>Governor</w:t>
      </w:r>
      <w:r w:rsidR="004A7589">
        <w:noBreakHyphen/>
      </w:r>
      <w:r w:rsidRPr="00C86CE6">
        <w:t>General;</w:t>
      </w:r>
    </w:p>
    <w:p w14:paraId="39853D78" w14:textId="77777777" w:rsidR="00DE4C07" w:rsidRPr="00C86CE6" w:rsidRDefault="00DE4C07" w:rsidP="00DE4C07">
      <w:pPr>
        <w:pStyle w:val="paragraph"/>
      </w:pPr>
      <w:r w:rsidRPr="00C86CE6">
        <w:tab/>
        <w:t>(b)</w:t>
      </w:r>
      <w:r w:rsidRPr="00C86CE6">
        <w:tab/>
        <w:t>Governor of a State;</w:t>
      </w:r>
    </w:p>
    <w:p w14:paraId="47940759" w14:textId="77777777" w:rsidR="00DE4C07" w:rsidRPr="00C86CE6" w:rsidRDefault="00DE4C07" w:rsidP="00DE4C07">
      <w:pPr>
        <w:pStyle w:val="paragraph"/>
      </w:pPr>
      <w:r w:rsidRPr="00C86CE6">
        <w:tab/>
        <w:t>(c)</w:t>
      </w:r>
      <w:r w:rsidRPr="00C86CE6">
        <w:tab/>
        <w:t>Administrator of a Territory;</w:t>
      </w:r>
    </w:p>
    <w:p w14:paraId="14EACA9C" w14:textId="77777777" w:rsidR="00DE4C07" w:rsidRPr="00C86CE6" w:rsidRDefault="00DE4C07" w:rsidP="00DE4C07">
      <w:pPr>
        <w:pStyle w:val="paragraph"/>
      </w:pPr>
      <w:r w:rsidRPr="00C86CE6">
        <w:tab/>
        <w:t>(d)</w:t>
      </w:r>
      <w:r w:rsidRPr="00C86CE6">
        <w:tab/>
        <w:t>Justice of the High Court;</w:t>
      </w:r>
    </w:p>
    <w:p w14:paraId="0E6B7E05" w14:textId="77777777" w:rsidR="00DE4C07" w:rsidRPr="00C86CE6" w:rsidRDefault="00DE4C07" w:rsidP="00DE4C07">
      <w:pPr>
        <w:pStyle w:val="paragraph"/>
      </w:pPr>
      <w:r w:rsidRPr="00C86CE6">
        <w:tab/>
        <w:t>(e)</w:t>
      </w:r>
      <w:r w:rsidRPr="00C86CE6">
        <w:tab/>
        <w:t>Judge of the Federal Court of Australia</w:t>
      </w:r>
      <w:r w:rsidR="00DC119F" w:rsidRPr="00C86CE6">
        <w:t>;</w:t>
      </w:r>
    </w:p>
    <w:p w14:paraId="4CCE33E6" w14:textId="77777777" w:rsidR="00331D38" w:rsidRPr="00C86CE6" w:rsidRDefault="00DE4C07" w:rsidP="00331D38">
      <w:pPr>
        <w:pStyle w:val="paragraph"/>
      </w:pPr>
      <w:r w:rsidRPr="00C86CE6">
        <w:tab/>
        <w:t>(f)</w:t>
      </w:r>
      <w:r w:rsidRPr="00C86CE6">
        <w:tab/>
        <w:t>Judge of the Supreme Court of a State or Territory</w:t>
      </w:r>
      <w:r w:rsidR="002A23F1" w:rsidRPr="00C86CE6">
        <w:t>;</w:t>
      </w:r>
    </w:p>
    <w:p w14:paraId="1DA9CD3B" w14:textId="77777777" w:rsidR="006A3146" w:rsidRPr="00C86CE6" w:rsidRDefault="006A3146" w:rsidP="00331D38">
      <w:pPr>
        <w:pStyle w:val="paragraph"/>
      </w:pPr>
      <w:r w:rsidRPr="00C86CE6">
        <w:lastRenderedPageBreak/>
        <w:tab/>
        <w:t>(g)</w:t>
      </w:r>
      <w:r w:rsidRPr="00C86CE6">
        <w:tab/>
      </w:r>
      <w:r w:rsidR="009605AE" w:rsidRPr="00C86CE6">
        <w:t xml:space="preserve">accountable authority, or member of </w:t>
      </w:r>
      <w:r w:rsidR="006650CB" w:rsidRPr="00C86CE6">
        <w:t>the</w:t>
      </w:r>
      <w:r w:rsidR="009605AE" w:rsidRPr="00C86CE6">
        <w:t xml:space="preserve"> accountable authority, of a Commonwealth entity within the meaning of the </w:t>
      </w:r>
      <w:r w:rsidR="009605AE" w:rsidRPr="00C86CE6">
        <w:rPr>
          <w:i/>
        </w:rPr>
        <w:t>Public Governance, Performance and Accountability Act 2013</w:t>
      </w:r>
      <w:r w:rsidR="007841DF" w:rsidRPr="00C86CE6">
        <w:t>;</w:t>
      </w:r>
    </w:p>
    <w:p w14:paraId="16331FA3" w14:textId="521650D0" w:rsidR="00C76F51" w:rsidRPr="00C86CE6" w:rsidRDefault="004F3FDC" w:rsidP="007D3CD5">
      <w:pPr>
        <w:pStyle w:val="paragraph"/>
      </w:pPr>
      <w:r w:rsidRPr="00C86CE6">
        <w:tab/>
        <w:t>(h)</w:t>
      </w:r>
      <w:r w:rsidRPr="00C86CE6">
        <w:tab/>
      </w:r>
      <w:r w:rsidR="00276E74" w:rsidRPr="00C86CE6">
        <w:t>member of the governing body</w:t>
      </w:r>
      <w:r w:rsidR="00E743A8" w:rsidRPr="00C86CE6">
        <w:t xml:space="preserve"> </w:t>
      </w:r>
      <w:r w:rsidR="00500437" w:rsidRPr="00C86CE6">
        <w:t xml:space="preserve">of a </w:t>
      </w:r>
      <w:r w:rsidR="00B3216E" w:rsidRPr="00C86CE6">
        <w:t>wholly</w:t>
      </w:r>
      <w:r w:rsidR="004A7589">
        <w:noBreakHyphen/>
      </w:r>
      <w:r w:rsidR="00B3216E" w:rsidRPr="00C86CE6">
        <w:t xml:space="preserve">owned </w:t>
      </w:r>
      <w:r w:rsidR="00500437" w:rsidRPr="00C86CE6">
        <w:t xml:space="preserve">Commonwealth company </w:t>
      </w:r>
      <w:r w:rsidR="00B3216E" w:rsidRPr="00C86CE6">
        <w:t>within the meaning</w:t>
      </w:r>
      <w:r w:rsidR="00D83603" w:rsidRPr="00C86CE6">
        <w:t xml:space="preserve"> of the </w:t>
      </w:r>
      <w:r w:rsidR="00D83603" w:rsidRPr="00C86CE6">
        <w:rPr>
          <w:i/>
        </w:rPr>
        <w:t>Public Governance, Performance and Accountability Act 2013</w:t>
      </w:r>
      <w:r w:rsidR="00D83603" w:rsidRPr="00C86CE6">
        <w:t>;</w:t>
      </w:r>
      <w:bookmarkEnd w:id="9"/>
    </w:p>
    <w:p w14:paraId="42516377" w14:textId="77777777" w:rsidR="00C76F51" w:rsidRPr="00C86CE6" w:rsidRDefault="00C76F51" w:rsidP="00C76F51">
      <w:pPr>
        <w:pStyle w:val="paragraph"/>
      </w:pPr>
      <w:r w:rsidRPr="00C86CE6">
        <w:tab/>
        <w:t>(i)</w:t>
      </w:r>
      <w:r w:rsidRPr="00C86CE6">
        <w:tab/>
        <w:t>head (however described) of a Department of State of a State or Territory;</w:t>
      </w:r>
    </w:p>
    <w:p w14:paraId="4761AF5C" w14:textId="77777777" w:rsidR="00660803" w:rsidRPr="00C86CE6" w:rsidRDefault="00C76F51" w:rsidP="00F7225A">
      <w:pPr>
        <w:pStyle w:val="paragraph"/>
      </w:pPr>
      <w:r w:rsidRPr="00C86CE6">
        <w:tab/>
        <w:t>(j)</w:t>
      </w:r>
      <w:r w:rsidRPr="00C86CE6">
        <w:tab/>
      </w:r>
      <w:r w:rsidR="00361150" w:rsidRPr="00C86CE6">
        <w:t>in relation to</w:t>
      </w:r>
      <w:r w:rsidR="0078589A" w:rsidRPr="00C86CE6">
        <w:t xml:space="preserve"> a body (</w:t>
      </w:r>
      <w:r w:rsidR="00371ACB" w:rsidRPr="00C86CE6">
        <w:t xml:space="preserve">whether incorporated or </w:t>
      </w:r>
      <w:r w:rsidR="0078589A" w:rsidRPr="00C86CE6">
        <w:t>not)</w:t>
      </w:r>
      <w:r w:rsidR="00CF59E2" w:rsidRPr="00C86CE6">
        <w:t xml:space="preserve"> </w:t>
      </w:r>
      <w:r w:rsidR="00864F6B" w:rsidRPr="00C86CE6">
        <w:t>established for a public purpose by</w:t>
      </w:r>
      <w:r w:rsidR="00884922" w:rsidRPr="00C86CE6">
        <w:t xml:space="preserve"> or under</w:t>
      </w:r>
      <w:r w:rsidR="00864F6B" w:rsidRPr="00C86CE6">
        <w:t xml:space="preserve"> a law of a State or Territory</w:t>
      </w:r>
      <w:r w:rsidR="00361150" w:rsidRPr="00C86CE6">
        <w:t>:</w:t>
      </w:r>
    </w:p>
    <w:p w14:paraId="0991422E" w14:textId="77777777" w:rsidR="00FC5D46" w:rsidRPr="00C86CE6" w:rsidRDefault="00361150" w:rsidP="00361150">
      <w:pPr>
        <w:pStyle w:val="paragraphsub"/>
      </w:pPr>
      <w:r w:rsidRPr="00C86CE6">
        <w:tab/>
        <w:t>(i)</w:t>
      </w:r>
      <w:r w:rsidRPr="00C86CE6">
        <w:tab/>
        <w:t>head (however described)</w:t>
      </w:r>
      <w:r w:rsidR="00FC5D46" w:rsidRPr="00C86CE6">
        <w:t xml:space="preserve"> of the body;</w:t>
      </w:r>
      <w:r w:rsidR="00317F01" w:rsidRPr="00C86CE6">
        <w:t xml:space="preserve"> or</w:t>
      </w:r>
    </w:p>
    <w:p w14:paraId="24A48573" w14:textId="77777777" w:rsidR="00361150" w:rsidRPr="00C86CE6" w:rsidRDefault="00FC5D46" w:rsidP="00361150">
      <w:pPr>
        <w:pStyle w:val="paragraphsub"/>
      </w:pPr>
      <w:r w:rsidRPr="00C86CE6">
        <w:tab/>
        <w:t>(ii)</w:t>
      </w:r>
      <w:r w:rsidRPr="00C86CE6">
        <w:tab/>
      </w:r>
      <w:r w:rsidR="00361150" w:rsidRPr="00C86CE6">
        <w:t>member of a governing body</w:t>
      </w:r>
      <w:r w:rsidRPr="00C86CE6">
        <w:t xml:space="preserve"> of the body;</w:t>
      </w:r>
      <w:r w:rsidR="00317F01" w:rsidRPr="00C86CE6">
        <w:t xml:space="preserve"> or</w:t>
      </w:r>
    </w:p>
    <w:p w14:paraId="56A06318" w14:textId="77777777" w:rsidR="002502B0" w:rsidRPr="00C86CE6" w:rsidRDefault="00FC5D46" w:rsidP="00AC6006">
      <w:pPr>
        <w:pStyle w:val="paragraphsub"/>
      </w:pPr>
      <w:r w:rsidRPr="00C86CE6">
        <w:tab/>
        <w:t>(iii)</w:t>
      </w:r>
      <w:r w:rsidRPr="00C86CE6">
        <w:tab/>
        <w:t>for a local government council—</w:t>
      </w:r>
      <w:r w:rsidR="00AC6006" w:rsidRPr="00C86CE6">
        <w:t xml:space="preserve">mayor or </w:t>
      </w:r>
      <w:r w:rsidR="002502B0" w:rsidRPr="00C86CE6">
        <w:t>member of the council;</w:t>
      </w:r>
    </w:p>
    <w:p w14:paraId="62067326" w14:textId="77777777" w:rsidR="00C76F51" w:rsidRPr="00C86CE6" w:rsidRDefault="00C76F51" w:rsidP="004827B7">
      <w:pPr>
        <w:pStyle w:val="paragraph"/>
      </w:pPr>
      <w:r w:rsidRPr="00C86CE6">
        <w:tab/>
        <w:t>(</w:t>
      </w:r>
      <w:r w:rsidR="006F53F8" w:rsidRPr="00C86CE6">
        <w:t>k</w:t>
      </w:r>
      <w:r w:rsidRPr="00C86CE6">
        <w:t>)</w:t>
      </w:r>
      <w:r w:rsidRPr="00C86CE6">
        <w:tab/>
        <w:t>Chief of the Defence Force, Vice Chief of the Defence Force, Chief of Navy, Chief of Army or Chief of Air Force;</w:t>
      </w:r>
    </w:p>
    <w:p w14:paraId="2C7C5412" w14:textId="77777777" w:rsidR="004827B7" w:rsidRPr="00C86CE6" w:rsidRDefault="00C76F51" w:rsidP="004827B7">
      <w:pPr>
        <w:pStyle w:val="paragraph"/>
      </w:pPr>
      <w:r w:rsidRPr="00C86CE6">
        <w:rPr>
          <w:i/>
        </w:rPr>
        <w:tab/>
      </w:r>
      <w:r w:rsidRPr="00C86CE6">
        <w:t>(</w:t>
      </w:r>
      <w:r w:rsidR="006F53F8" w:rsidRPr="00C86CE6">
        <w:t>l</w:t>
      </w:r>
      <w:r w:rsidRPr="00C86CE6">
        <w:t>)</w:t>
      </w:r>
      <w:r w:rsidRPr="00C86CE6">
        <w:tab/>
      </w:r>
      <w:r w:rsidR="004D58EA" w:rsidRPr="00C86CE6">
        <w:t xml:space="preserve">officer of the Navy </w:t>
      </w:r>
      <w:r w:rsidR="00EA6F60" w:rsidRPr="00C86CE6">
        <w:t>of</w:t>
      </w:r>
      <w:r w:rsidR="004D58EA" w:rsidRPr="00C86CE6">
        <w:t xml:space="preserve"> the rank </w:t>
      </w:r>
      <w:r w:rsidR="00317F01" w:rsidRPr="00C86CE6">
        <w:t xml:space="preserve">of </w:t>
      </w:r>
      <w:r w:rsidR="004D58EA" w:rsidRPr="00C86CE6">
        <w:t>Vice Admiral or a higher rank</w:t>
      </w:r>
      <w:r w:rsidR="004827B7" w:rsidRPr="00C86CE6">
        <w:t>;</w:t>
      </w:r>
    </w:p>
    <w:p w14:paraId="38B1F328" w14:textId="77777777" w:rsidR="004827B7" w:rsidRPr="00C86CE6" w:rsidRDefault="004827B7" w:rsidP="004827B7">
      <w:pPr>
        <w:pStyle w:val="paragraph"/>
      </w:pPr>
      <w:r w:rsidRPr="00C86CE6">
        <w:tab/>
        <w:t>(</w:t>
      </w:r>
      <w:r w:rsidR="006F53F8" w:rsidRPr="00C86CE6">
        <w:t>m</w:t>
      </w:r>
      <w:r w:rsidRPr="00C86CE6">
        <w:t>)</w:t>
      </w:r>
      <w:r w:rsidRPr="00C86CE6">
        <w:tab/>
        <w:t>officer of the Army</w:t>
      </w:r>
      <w:r w:rsidR="00E20280" w:rsidRPr="00C86CE6">
        <w:t xml:space="preserve"> of</w:t>
      </w:r>
      <w:r w:rsidRPr="00C86CE6">
        <w:t xml:space="preserve"> the rank of Lieutenant General or a higher rank;</w:t>
      </w:r>
    </w:p>
    <w:p w14:paraId="1DCA1D5A" w14:textId="77777777" w:rsidR="00C76F51" w:rsidRPr="00C86CE6" w:rsidRDefault="004827B7" w:rsidP="008D4D00">
      <w:pPr>
        <w:pStyle w:val="paragraph"/>
      </w:pPr>
      <w:r w:rsidRPr="00C86CE6">
        <w:tab/>
        <w:t>(</w:t>
      </w:r>
      <w:r w:rsidR="006F53F8" w:rsidRPr="00C86CE6">
        <w:t>n</w:t>
      </w:r>
      <w:r w:rsidRPr="00C86CE6">
        <w:t>)</w:t>
      </w:r>
      <w:r w:rsidRPr="00C86CE6">
        <w:tab/>
      </w:r>
      <w:r w:rsidR="004D58EA" w:rsidRPr="00C86CE6">
        <w:t xml:space="preserve">officer of the Air Force </w:t>
      </w:r>
      <w:r w:rsidR="000D0650" w:rsidRPr="00C86CE6">
        <w:t>of</w:t>
      </w:r>
      <w:r w:rsidR="004D58EA" w:rsidRPr="00C86CE6">
        <w:t xml:space="preserve"> the rank of Air Marshal or a higher rank</w:t>
      </w:r>
      <w:r w:rsidR="00C76F51" w:rsidRPr="00C86CE6">
        <w:t>;</w:t>
      </w:r>
    </w:p>
    <w:p w14:paraId="6DD4B4AC" w14:textId="77777777" w:rsidR="008C0F13" w:rsidRPr="00C86CE6" w:rsidRDefault="00C76F51" w:rsidP="000E6AF7">
      <w:pPr>
        <w:pStyle w:val="paragraph"/>
      </w:pPr>
      <w:r w:rsidRPr="00C86CE6">
        <w:tab/>
        <w:t>(</w:t>
      </w:r>
      <w:r w:rsidR="006F53F8" w:rsidRPr="00C86CE6">
        <w:t>o</w:t>
      </w:r>
      <w:r w:rsidRPr="00C86CE6">
        <w:t>)</w:t>
      </w:r>
      <w:r w:rsidRPr="00C86CE6">
        <w:tab/>
      </w:r>
      <w:r w:rsidR="008C0F13" w:rsidRPr="00C86CE6">
        <w:t>any of the following offices of the Commonwealth in a country or place outside Australia:</w:t>
      </w:r>
    </w:p>
    <w:p w14:paraId="1424266B" w14:textId="77777777" w:rsidR="004C1F20" w:rsidRPr="00C86CE6" w:rsidRDefault="008C0F13" w:rsidP="004C1F20">
      <w:pPr>
        <w:pStyle w:val="paragraphsub"/>
      </w:pPr>
      <w:r w:rsidRPr="00C86CE6">
        <w:tab/>
        <w:t>(i)</w:t>
      </w:r>
      <w:r w:rsidRPr="00C86CE6">
        <w:tab/>
      </w:r>
      <w:r w:rsidR="004C1F20" w:rsidRPr="00C86CE6">
        <w:t>Ambassador;</w:t>
      </w:r>
    </w:p>
    <w:p w14:paraId="49E29B21" w14:textId="77777777" w:rsidR="004C1F20" w:rsidRPr="00C86CE6" w:rsidRDefault="004C1F20" w:rsidP="004C1F20">
      <w:pPr>
        <w:pStyle w:val="paragraphsub"/>
      </w:pPr>
      <w:r w:rsidRPr="00C86CE6">
        <w:tab/>
        <w:t>(ii)</w:t>
      </w:r>
      <w:r w:rsidRPr="00C86CE6">
        <w:tab/>
        <w:t>High Commissioner;</w:t>
      </w:r>
    </w:p>
    <w:p w14:paraId="15662D0A" w14:textId="77777777" w:rsidR="004C1F20" w:rsidRPr="00C86CE6" w:rsidRDefault="004C1F20" w:rsidP="004C1F20">
      <w:pPr>
        <w:pStyle w:val="paragraphsub"/>
      </w:pPr>
      <w:r w:rsidRPr="00C86CE6">
        <w:tab/>
        <w:t>(iii)</w:t>
      </w:r>
      <w:r w:rsidRPr="00C86CE6">
        <w:tab/>
      </w:r>
      <w:r w:rsidR="006B6A99" w:rsidRPr="00C86CE6">
        <w:t>Chargé d’Affaires;</w:t>
      </w:r>
    </w:p>
    <w:p w14:paraId="0BDA8944" w14:textId="77777777" w:rsidR="00E86B03" w:rsidRPr="00C86CE6" w:rsidRDefault="004C1F20" w:rsidP="00F7225A">
      <w:pPr>
        <w:pStyle w:val="paragraphsub"/>
      </w:pPr>
      <w:r w:rsidRPr="00C86CE6">
        <w:tab/>
        <w:t>(iv)</w:t>
      </w:r>
      <w:r w:rsidRPr="00C86CE6">
        <w:tab/>
      </w:r>
      <w:r w:rsidR="006B6A99" w:rsidRPr="00C86CE6">
        <w:t xml:space="preserve">any other </w:t>
      </w:r>
      <w:r w:rsidR="001062A1" w:rsidRPr="00C86CE6">
        <w:t xml:space="preserve">office that is a </w:t>
      </w:r>
      <w:r w:rsidR="004827B7" w:rsidRPr="00C86CE6">
        <w:t xml:space="preserve">Head of Mission within the meaning of the </w:t>
      </w:r>
      <w:r w:rsidR="004827B7" w:rsidRPr="00C86CE6">
        <w:rPr>
          <w:i/>
        </w:rPr>
        <w:t>Public Service Act 1999</w:t>
      </w:r>
      <w:r w:rsidR="006B6A99" w:rsidRPr="00C86CE6">
        <w:t>;</w:t>
      </w:r>
    </w:p>
    <w:p w14:paraId="59D0A4C2" w14:textId="77777777" w:rsidR="00CE29EE" w:rsidRPr="00C86CE6" w:rsidRDefault="006B6A99" w:rsidP="00962AEC">
      <w:pPr>
        <w:pStyle w:val="paragraph"/>
      </w:pPr>
      <w:r w:rsidRPr="00C86CE6">
        <w:tab/>
        <w:t>(</w:t>
      </w:r>
      <w:r w:rsidR="006F53F8" w:rsidRPr="00C86CE6">
        <w:t>p</w:t>
      </w:r>
      <w:r w:rsidRPr="00C86CE6">
        <w:t>)</w:t>
      </w:r>
      <w:r w:rsidRPr="00C86CE6">
        <w:tab/>
        <w:t>member of the governing body of a political party represented in the legislature of the Commonwealth or a State or Territory</w:t>
      </w:r>
      <w:r w:rsidR="000001A4" w:rsidRPr="00C86CE6">
        <w:t>.</w:t>
      </w:r>
    </w:p>
    <w:p w14:paraId="344D8304" w14:textId="3DDCF391" w:rsidR="00596AB4" w:rsidRPr="00C86CE6" w:rsidRDefault="00BC4A61" w:rsidP="00596AB4">
      <w:pPr>
        <w:pStyle w:val="ActHead5"/>
      </w:pPr>
      <w:bookmarkStart w:id="11" w:name="_Toc184727314"/>
      <w:r w:rsidRPr="004B21E2">
        <w:rPr>
          <w:rStyle w:val="CharSectno"/>
        </w:rPr>
        <w:t>8</w:t>
      </w:r>
      <w:r w:rsidR="00596AB4" w:rsidRPr="00C86CE6">
        <w:t xml:space="preserve">  Lead entity of a reporting group</w:t>
      </w:r>
      <w:bookmarkEnd w:id="11"/>
    </w:p>
    <w:p w14:paraId="1CA7F072" w14:textId="77777777" w:rsidR="00596AB4" w:rsidRPr="00C86CE6" w:rsidRDefault="00596AB4" w:rsidP="00596AB4">
      <w:pPr>
        <w:pStyle w:val="SubsectionHead"/>
      </w:pPr>
      <w:r w:rsidRPr="00C86CE6">
        <w:t>Purpose of section</w:t>
      </w:r>
    </w:p>
    <w:p w14:paraId="71BFFD88" w14:textId="77777777" w:rsidR="00596AB4" w:rsidRPr="00C86CE6" w:rsidRDefault="00596AB4" w:rsidP="00596AB4">
      <w:pPr>
        <w:pStyle w:val="subsection"/>
      </w:pPr>
      <w:r w:rsidRPr="00C86CE6">
        <w:tab/>
        <w:t>(1)</w:t>
      </w:r>
      <w:r w:rsidRPr="00C86CE6">
        <w:tab/>
        <w:t xml:space="preserve">For the purposes of </w:t>
      </w:r>
      <w:r w:rsidR="00606BBD" w:rsidRPr="00C86CE6">
        <w:t>subsection 1</w:t>
      </w:r>
      <w:r w:rsidRPr="00C86CE6">
        <w:t>0A(5) of the Act, this section specifies which person in a reporting group is the lead entity for the reporting group.</w:t>
      </w:r>
    </w:p>
    <w:p w14:paraId="6D6E4C7B" w14:textId="77777777" w:rsidR="00596AB4" w:rsidRPr="00C86CE6" w:rsidRDefault="00596AB4" w:rsidP="00596AB4">
      <w:pPr>
        <w:pStyle w:val="SubsectionHead"/>
      </w:pPr>
      <w:r w:rsidRPr="00C86CE6">
        <w:t>Business groups</w:t>
      </w:r>
    </w:p>
    <w:p w14:paraId="3B78F11C" w14:textId="77777777" w:rsidR="00596AB4" w:rsidRPr="00C86CE6" w:rsidRDefault="00596AB4" w:rsidP="00596AB4">
      <w:pPr>
        <w:pStyle w:val="subsection"/>
      </w:pPr>
      <w:r w:rsidRPr="00C86CE6">
        <w:tab/>
        <w:t>(2)</w:t>
      </w:r>
      <w:r w:rsidRPr="00C86CE6">
        <w:tab/>
        <w:t xml:space="preserve">For a reporting group within the meaning of </w:t>
      </w:r>
      <w:r w:rsidR="00606BBD" w:rsidRPr="00C86CE6">
        <w:t>paragraph 1</w:t>
      </w:r>
      <w:r w:rsidRPr="00C86CE6">
        <w:t xml:space="preserve">0A(1)(a) of the Act, the lead entity is (subject to </w:t>
      </w:r>
      <w:r w:rsidR="00606BBD" w:rsidRPr="00C86CE6">
        <w:t>subsections (</w:t>
      </w:r>
      <w:r w:rsidRPr="00C86CE6">
        <w:t>3) and (4) of this section) the person in the reporting group that:</w:t>
      </w:r>
    </w:p>
    <w:p w14:paraId="29C6A4B4" w14:textId="5A3223AF" w:rsidR="00596AB4" w:rsidRPr="00C86CE6" w:rsidRDefault="00596AB4" w:rsidP="00596AB4">
      <w:pPr>
        <w:pStyle w:val="paragraph"/>
      </w:pPr>
      <w:r w:rsidRPr="00C86CE6">
        <w:tab/>
        <w:t>(a)</w:t>
      </w:r>
      <w:r w:rsidRPr="00C86CE6">
        <w:tab/>
        <w:t xml:space="preserve">provides a designated service (other than by operation of </w:t>
      </w:r>
      <w:r w:rsidR="00A25E52" w:rsidRPr="00C86CE6">
        <w:t>subsection 2</w:t>
      </w:r>
      <w:r w:rsidRPr="00C86CE6">
        <w:t>36B(2) of the Act); or</w:t>
      </w:r>
    </w:p>
    <w:p w14:paraId="44A94596" w14:textId="77777777" w:rsidR="00596AB4" w:rsidRPr="00C86CE6" w:rsidRDefault="00596AB4" w:rsidP="00596AB4">
      <w:pPr>
        <w:pStyle w:val="paragraph"/>
      </w:pPr>
      <w:r w:rsidRPr="00C86CE6">
        <w:tab/>
        <w:t>(b)</w:t>
      </w:r>
      <w:r w:rsidRPr="00C86CE6">
        <w:tab/>
        <w:t>is a resident of Australia; or</w:t>
      </w:r>
    </w:p>
    <w:p w14:paraId="2CDF6E2D" w14:textId="4DF64FB5" w:rsidR="00596AB4" w:rsidRPr="00C86CE6" w:rsidRDefault="00596AB4" w:rsidP="00596AB4">
      <w:pPr>
        <w:pStyle w:val="paragraph"/>
      </w:pPr>
      <w:r w:rsidRPr="00C86CE6">
        <w:tab/>
        <w:t>(c)</w:t>
      </w:r>
      <w:r w:rsidRPr="00C86CE6">
        <w:tab/>
        <w:t xml:space="preserve">is registered under </w:t>
      </w:r>
      <w:r w:rsidR="00270E8B" w:rsidRPr="00C86CE6">
        <w:t>Division 2</w:t>
      </w:r>
      <w:r w:rsidRPr="00C86CE6">
        <w:t xml:space="preserve"> of </w:t>
      </w:r>
      <w:r w:rsidR="00606BBD" w:rsidRPr="00C86CE6">
        <w:t>Part 5</w:t>
      </w:r>
      <w:r w:rsidRPr="00C86CE6">
        <w:t xml:space="preserve">B.2 of the </w:t>
      </w:r>
      <w:r w:rsidRPr="00C86CE6">
        <w:rPr>
          <w:i/>
        </w:rPr>
        <w:t>Corporations Act 2001</w:t>
      </w:r>
      <w:r w:rsidRPr="00C86CE6">
        <w:t>;</w:t>
      </w:r>
    </w:p>
    <w:p w14:paraId="1292704B" w14:textId="77777777" w:rsidR="00596AB4" w:rsidRPr="00C86CE6" w:rsidRDefault="00596AB4" w:rsidP="00596AB4">
      <w:pPr>
        <w:pStyle w:val="subsection2"/>
      </w:pPr>
      <w:r w:rsidRPr="00C86CE6">
        <w:t>and who controls all other members of the group who provide a designated service.</w:t>
      </w:r>
    </w:p>
    <w:p w14:paraId="16EAACB7" w14:textId="1F2ACF81" w:rsidR="00596AB4" w:rsidRPr="00C86CE6" w:rsidRDefault="00596AB4" w:rsidP="00596AB4">
      <w:pPr>
        <w:pStyle w:val="subsection"/>
      </w:pPr>
      <w:r w:rsidRPr="00C86CE6">
        <w:lastRenderedPageBreak/>
        <w:tab/>
        <w:t>(3)</w:t>
      </w:r>
      <w:r w:rsidRPr="00C86CE6">
        <w:tab/>
        <w:t xml:space="preserve">If more than one person in the group satisfies the criteria in </w:t>
      </w:r>
      <w:r w:rsidR="00A25E52" w:rsidRPr="00C86CE6">
        <w:t>subsection (</w:t>
      </w:r>
      <w:r w:rsidRPr="00C86CE6">
        <w:t>2), the lead entity is the person that has the most direct control of all other members of the group that provide a designated service.</w:t>
      </w:r>
    </w:p>
    <w:p w14:paraId="43F09630" w14:textId="3F7E1AB0" w:rsidR="00596AB4" w:rsidRPr="00C86CE6" w:rsidRDefault="00596AB4" w:rsidP="00596AB4">
      <w:pPr>
        <w:pStyle w:val="subsection"/>
      </w:pPr>
      <w:r w:rsidRPr="00C86CE6">
        <w:tab/>
        <w:t>(4)</w:t>
      </w:r>
      <w:r w:rsidRPr="00C86CE6">
        <w:tab/>
        <w:t xml:space="preserve">If no person in the group satisfies the criteria in </w:t>
      </w:r>
      <w:r w:rsidR="00A25E52" w:rsidRPr="00C86CE6">
        <w:t>subsection (</w:t>
      </w:r>
      <w:r w:rsidRPr="00C86CE6">
        <w:t xml:space="preserve">2), the lead entity is </w:t>
      </w:r>
      <w:r w:rsidRPr="00C86CE6">
        <w:rPr>
          <w:i/>
        </w:rPr>
        <w:t>[to be drafted]</w:t>
      </w:r>
      <w:r w:rsidRPr="00C86CE6">
        <w:t>.</w:t>
      </w:r>
    </w:p>
    <w:p w14:paraId="7FBE81A1" w14:textId="77777777" w:rsidR="00596AB4" w:rsidRPr="00C86CE6" w:rsidRDefault="00596AB4" w:rsidP="00596AB4">
      <w:pPr>
        <w:pStyle w:val="SubsectionHead"/>
      </w:pPr>
      <w:r w:rsidRPr="00C86CE6">
        <w:t>Groups formed by election</w:t>
      </w:r>
    </w:p>
    <w:p w14:paraId="4A8007A8" w14:textId="77777777" w:rsidR="00596AB4" w:rsidRPr="00C86CE6" w:rsidRDefault="00596AB4" w:rsidP="00596AB4">
      <w:pPr>
        <w:pStyle w:val="subsection"/>
      </w:pPr>
      <w:r w:rsidRPr="00C86CE6">
        <w:tab/>
        <w:t>(5)</w:t>
      </w:r>
      <w:r w:rsidRPr="00C86CE6">
        <w:tab/>
        <w:t xml:space="preserve">For a reporting group within the meaning of </w:t>
      </w:r>
      <w:r w:rsidR="00606BBD" w:rsidRPr="00C86CE6">
        <w:t>paragraph 1</w:t>
      </w:r>
      <w:r w:rsidRPr="00C86CE6">
        <w:t xml:space="preserve">0A(1)(b) of the Act, the lead entity is </w:t>
      </w:r>
      <w:r w:rsidRPr="00C86CE6">
        <w:rPr>
          <w:i/>
        </w:rPr>
        <w:t>[to be drafted]</w:t>
      </w:r>
      <w:r w:rsidRPr="00C86CE6">
        <w:t>.</w:t>
      </w:r>
    </w:p>
    <w:p w14:paraId="0A148748" w14:textId="4D86D1A4" w:rsidR="00FD3B7C" w:rsidRPr="00C86CE6" w:rsidRDefault="0069174B" w:rsidP="00FD3B7C">
      <w:pPr>
        <w:pStyle w:val="ActHead2"/>
        <w:pageBreakBefore/>
      </w:pPr>
      <w:bookmarkStart w:id="12" w:name="_Toc184727315"/>
      <w:r w:rsidRPr="004B21E2">
        <w:rPr>
          <w:rStyle w:val="CharPartNo"/>
        </w:rPr>
        <w:lastRenderedPageBreak/>
        <w:t>Part </w:t>
      </w:r>
      <w:r w:rsidR="00AB693F" w:rsidRPr="004B21E2">
        <w:rPr>
          <w:rStyle w:val="CharPartNo"/>
        </w:rPr>
        <w:t>2</w:t>
      </w:r>
      <w:r w:rsidR="00FD3B7C" w:rsidRPr="00C86CE6">
        <w:t>—</w:t>
      </w:r>
      <w:r w:rsidR="00FD3B7C" w:rsidRPr="004B21E2">
        <w:rPr>
          <w:rStyle w:val="CharPartText"/>
        </w:rPr>
        <w:t>Enrolme</w:t>
      </w:r>
      <w:r w:rsidR="00D86399" w:rsidRPr="004B21E2">
        <w:rPr>
          <w:rStyle w:val="CharPartText"/>
        </w:rPr>
        <w:t>nt</w:t>
      </w:r>
      <w:r w:rsidR="00C7261F" w:rsidRPr="004B21E2">
        <w:rPr>
          <w:rStyle w:val="CharPartText"/>
        </w:rPr>
        <w:t xml:space="preserve"> [to be drafted]</w:t>
      </w:r>
      <w:bookmarkEnd w:id="12"/>
    </w:p>
    <w:p w14:paraId="5096906D" w14:textId="77777777" w:rsidR="006A7AC6" w:rsidRPr="00C86CE6" w:rsidRDefault="006A7AC6" w:rsidP="006A7AC6">
      <w:pPr>
        <w:pStyle w:val="Header"/>
      </w:pPr>
      <w:r w:rsidRPr="004B21E2">
        <w:t xml:space="preserve">  </w:t>
      </w:r>
    </w:p>
    <w:p w14:paraId="3B2F7313" w14:textId="154DEBA8" w:rsidR="00D86399" w:rsidRPr="00C86CE6" w:rsidRDefault="006C14B7" w:rsidP="00C7261F">
      <w:pPr>
        <w:pStyle w:val="ActHead2"/>
        <w:pageBreakBefore/>
      </w:pPr>
      <w:bookmarkStart w:id="13" w:name="_Toc184727316"/>
      <w:r w:rsidRPr="004B21E2">
        <w:rPr>
          <w:rStyle w:val="CharPartNo"/>
        </w:rPr>
        <w:lastRenderedPageBreak/>
        <w:t>Part </w:t>
      </w:r>
      <w:r w:rsidR="00AB693F" w:rsidRPr="004B21E2">
        <w:rPr>
          <w:rStyle w:val="CharPartNo"/>
        </w:rPr>
        <w:t>3</w:t>
      </w:r>
      <w:r w:rsidR="00D86399" w:rsidRPr="00C86CE6">
        <w:t>—</w:t>
      </w:r>
      <w:r w:rsidR="00D86399" w:rsidRPr="004B21E2">
        <w:rPr>
          <w:rStyle w:val="CharPartText"/>
        </w:rPr>
        <w:t>Registration</w:t>
      </w:r>
      <w:r w:rsidR="00C7261F" w:rsidRPr="004B21E2">
        <w:rPr>
          <w:rStyle w:val="CharPartText"/>
        </w:rPr>
        <w:t xml:space="preserve"> [to be drafted]</w:t>
      </w:r>
      <w:bookmarkEnd w:id="13"/>
    </w:p>
    <w:p w14:paraId="265E72B3" w14:textId="77777777" w:rsidR="006A7AC6" w:rsidRPr="00C86CE6" w:rsidRDefault="006A7AC6" w:rsidP="006A7AC6">
      <w:pPr>
        <w:pStyle w:val="Header"/>
      </w:pPr>
      <w:r w:rsidRPr="004B21E2">
        <w:t xml:space="preserve">  </w:t>
      </w:r>
    </w:p>
    <w:p w14:paraId="10630BDB" w14:textId="0CB49170" w:rsidR="00D86399" w:rsidRPr="00C86CE6" w:rsidRDefault="00606BBD" w:rsidP="00D86399">
      <w:pPr>
        <w:pStyle w:val="ActHead2"/>
        <w:pageBreakBefore/>
      </w:pPr>
      <w:bookmarkStart w:id="14" w:name="_Toc184727317"/>
      <w:r w:rsidRPr="004B21E2">
        <w:rPr>
          <w:rStyle w:val="CharPartNo"/>
        </w:rPr>
        <w:lastRenderedPageBreak/>
        <w:t>Part </w:t>
      </w:r>
      <w:r w:rsidR="00AB693F" w:rsidRPr="004B21E2">
        <w:rPr>
          <w:rStyle w:val="CharPartNo"/>
        </w:rPr>
        <w:t>4</w:t>
      </w:r>
      <w:r w:rsidR="00D86399" w:rsidRPr="00C86CE6">
        <w:t>—</w:t>
      </w:r>
      <w:r w:rsidR="00D86399" w:rsidRPr="004B21E2">
        <w:rPr>
          <w:rStyle w:val="CharPartText"/>
        </w:rPr>
        <w:t>AML/CTF programs</w:t>
      </w:r>
      <w:bookmarkEnd w:id="14"/>
    </w:p>
    <w:p w14:paraId="42CA8755" w14:textId="264FF7E5" w:rsidR="00596AB4" w:rsidRPr="00C86CE6" w:rsidRDefault="00270E8B" w:rsidP="00596AB4">
      <w:pPr>
        <w:pStyle w:val="ActHead3"/>
      </w:pPr>
      <w:bookmarkStart w:id="15" w:name="_Toc184727318"/>
      <w:r w:rsidRPr="004B21E2">
        <w:rPr>
          <w:rStyle w:val="CharDivNo"/>
        </w:rPr>
        <w:t>Division 1</w:t>
      </w:r>
      <w:r w:rsidR="00596AB4" w:rsidRPr="00C86CE6">
        <w:t>—</w:t>
      </w:r>
      <w:r w:rsidR="00596AB4" w:rsidRPr="004B21E2">
        <w:rPr>
          <w:rStyle w:val="CharDivText"/>
        </w:rPr>
        <w:t>ML/TF risk assessment</w:t>
      </w:r>
      <w:bookmarkEnd w:id="15"/>
    </w:p>
    <w:p w14:paraId="6EB69940" w14:textId="7B12FBCB" w:rsidR="00596AB4" w:rsidRPr="00C86CE6" w:rsidRDefault="00BC4A61" w:rsidP="00596AB4">
      <w:pPr>
        <w:pStyle w:val="ActHead5"/>
      </w:pPr>
      <w:bookmarkStart w:id="16" w:name="_Toc184727319"/>
      <w:r w:rsidRPr="004B21E2">
        <w:rPr>
          <w:rStyle w:val="CharSectno"/>
        </w:rPr>
        <w:t>9</w:t>
      </w:r>
      <w:r w:rsidR="00596AB4" w:rsidRPr="00C86CE6">
        <w:t xml:space="preserve">  Review of ML/TF risk assessment</w:t>
      </w:r>
      <w:bookmarkEnd w:id="16"/>
    </w:p>
    <w:p w14:paraId="6E221020" w14:textId="04F5B140" w:rsidR="00596AB4" w:rsidRPr="00C86CE6" w:rsidRDefault="00596AB4" w:rsidP="00596AB4">
      <w:pPr>
        <w:pStyle w:val="subsection"/>
      </w:pPr>
      <w:r w:rsidRPr="00C86CE6">
        <w:tab/>
        <w:t>(1)</w:t>
      </w:r>
      <w:r w:rsidRPr="00C86CE6">
        <w:tab/>
        <w:t xml:space="preserve">For the purposes of </w:t>
      </w:r>
      <w:r w:rsidR="00606BBD" w:rsidRPr="00C86CE6">
        <w:t>sub</w:t>
      </w:r>
      <w:r w:rsidR="00A25E52" w:rsidRPr="00C86CE6">
        <w:t>paragraph 2</w:t>
      </w:r>
      <w:r w:rsidRPr="00C86CE6">
        <w:t>6D(1)(a)(iii) of the Act, a reporting entity must review its ML/TF risk assessment if an independent evaluation report contains adverse findings in relation to the ML/TF risk assessment.</w:t>
      </w:r>
    </w:p>
    <w:p w14:paraId="2BD1A0C6" w14:textId="171AC008" w:rsidR="00596AB4" w:rsidRPr="00C86CE6" w:rsidRDefault="00596AB4" w:rsidP="00596AB4">
      <w:pPr>
        <w:pStyle w:val="subsection"/>
      </w:pPr>
      <w:r w:rsidRPr="00C86CE6">
        <w:tab/>
        <w:t>(2)</w:t>
      </w:r>
      <w:r w:rsidRPr="00C86CE6">
        <w:tab/>
        <w:t xml:space="preserve">For the purposes of </w:t>
      </w:r>
      <w:r w:rsidR="00A25E52" w:rsidRPr="00C86CE6">
        <w:t>paragraph 2</w:t>
      </w:r>
      <w:r w:rsidRPr="00C86CE6">
        <w:t>6D(2)(d) of the Act, the review must be undertaken as soon as practicable after the governing body of the reporting entity receives the independent evaluation report.</w:t>
      </w:r>
    </w:p>
    <w:p w14:paraId="24119D3B" w14:textId="6AF3AB3F" w:rsidR="00596AB4" w:rsidRPr="00C86CE6" w:rsidRDefault="00270E8B" w:rsidP="00596AB4">
      <w:pPr>
        <w:pStyle w:val="ActHead3"/>
        <w:pageBreakBefore/>
      </w:pPr>
      <w:bookmarkStart w:id="17" w:name="_Toc184727320"/>
      <w:r w:rsidRPr="004B21E2">
        <w:rPr>
          <w:rStyle w:val="CharDivNo"/>
        </w:rPr>
        <w:lastRenderedPageBreak/>
        <w:t>Division 2</w:t>
      </w:r>
      <w:r w:rsidR="00596AB4" w:rsidRPr="00C86CE6">
        <w:t>—</w:t>
      </w:r>
      <w:r w:rsidR="00596AB4" w:rsidRPr="004B21E2">
        <w:rPr>
          <w:rStyle w:val="CharDivText"/>
        </w:rPr>
        <w:t>AML/CTF policies</w:t>
      </w:r>
      <w:bookmarkEnd w:id="17"/>
    </w:p>
    <w:p w14:paraId="130687B9" w14:textId="693A1905" w:rsidR="009B152C" w:rsidRPr="00C86CE6" w:rsidRDefault="00BC4A61" w:rsidP="009B152C">
      <w:pPr>
        <w:pStyle w:val="ActHead5"/>
      </w:pPr>
      <w:bookmarkStart w:id="18" w:name="_Toc184727321"/>
      <w:r w:rsidRPr="004B21E2">
        <w:rPr>
          <w:rStyle w:val="CharSectno"/>
        </w:rPr>
        <w:t>10</w:t>
      </w:r>
      <w:r w:rsidR="009B152C" w:rsidRPr="00C86CE6">
        <w:t xml:space="preserve">  Prevention of tipping off</w:t>
      </w:r>
      <w:bookmarkEnd w:id="18"/>
    </w:p>
    <w:p w14:paraId="7C917A87" w14:textId="77777777" w:rsidR="009B152C" w:rsidRPr="00C86CE6" w:rsidRDefault="009B152C" w:rsidP="009B152C">
      <w:pPr>
        <w:pStyle w:val="subsection"/>
      </w:pPr>
      <w:r w:rsidRPr="00C86CE6">
        <w:tab/>
      </w:r>
      <w:r w:rsidRPr="00C86CE6">
        <w:tab/>
        <w:t>For the purposes of paragraph 26F(4)(g) of the Act, the AML/CTF policies of a reporting entity must deal with establishing safeguards to prevent any contravention of subsection 123(1) of the Act by the reporting entity or an officer, employee or agent of the reporting entity, including by ensuring the confidentiality and appropriate use of information disclosed by the reporting entity to persons employed or otherwise engaged by the reporting entity.</w:t>
      </w:r>
    </w:p>
    <w:p w14:paraId="514861A7" w14:textId="28303A0A" w:rsidR="00596AB4" w:rsidRPr="00C86CE6" w:rsidRDefault="00BC4A61" w:rsidP="00596AB4">
      <w:pPr>
        <w:pStyle w:val="ActHead5"/>
      </w:pPr>
      <w:bookmarkStart w:id="19" w:name="_Toc184727322"/>
      <w:r w:rsidRPr="004B21E2">
        <w:rPr>
          <w:rStyle w:val="CharSectno"/>
        </w:rPr>
        <w:t>11</w:t>
      </w:r>
      <w:r w:rsidR="00596AB4" w:rsidRPr="00C86CE6">
        <w:t xml:space="preserve">  Provision of information to governing body</w:t>
      </w:r>
      <w:bookmarkEnd w:id="19"/>
    </w:p>
    <w:p w14:paraId="60D73508" w14:textId="39EA386F" w:rsidR="00596AB4" w:rsidRPr="00C86CE6" w:rsidRDefault="00596AB4" w:rsidP="00596AB4">
      <w:pPr>
        <w:pStyle w:val="subsection"/>
      </w:pPr>
      <w:r w:rsidRPr="00C86CE6">
        <w:tab/>
      </w:r>
      <w:r w:rsidRPr="00C86CE6">
        <w:tab/>
        <w:t xml:space="preserve">For the purposes of </w:t>
      </w:r>
      <w:r w:rsidR="00A25E52" w:rsidRPr="00C86CE6">
        <w:t>paragraph 2</w:t>
      </w:r>
      <w:r w:rsidRPr="00C86CE6">
        <w:t xml:space="preserve">6F(4)(g) of the Act, the AML/CTF policies of a reporting entity must deal with the provision of information to the governing body of the reporting entity to enable the governing body to fulfil its responsibilities under </w:t>
      </w:r>
      <w:r w:rsidR="00A25E52" w:rsidRPr="00C86CE6">
        <w:t>subsection 2</w:t>
      </w:r>
      <w:r w:rsidRPr="00C86CE6">
        <w:t>6H(1) of the Act.</w:t>
      </w:r>
    </w:p>
    <w:p w14:paraId="3B1A6D4A" w14:textId="10F380F5" w:rsidR="00596AB4" w:rsidRPr="00C86CE6" w:rsidRDefault="00BC4A61" w:rsidP="00596AB4">
      <w:pPr>
        <w:pStyle w:val="ActHead5"/>
      </w:pPr>
      <w:bookmarkStart w:id="20" w:name="_Toc184727323"/>
      <w:r w:rsidRPr="004B21E2">
        <w:rPr>
          <w:rStyle w:val="CharSectno"/>
        </w:rPr>
        <w:t>12</w:t>
      </w:r>
      <w:r w:rsidR="00596AB4" w:rsidRPr="00C86CE6">
        <w:t xml:space="preserve">  Reporting from AML/CTF compliance officer to governing body</w:t>
      </w:r>
      <w:bookmarkEnd w:id="20"/>
    </w:p>
    <w:p w14:paraId="7FDF939C" w14:textId="3500C29E" w:rsidR="00596AB4" w:rsidRPr="00C86CE6" w:rsidRDefault="00596AB4" w:rsidP="00596AB4">
      <w:pPr>
        <w:pStyle w:val="subsection"/>
      </w:pPr>
      <w:r w:rsidRPr="00C86CE6">
        <w:tab/>
        <w:t>(1)</w:t>
      </w:r>
      <w:r w:rsidRPr="00C86CE6">
        <w:tab/>
        <w:t xml:space="preserve">For the purposes of </w:t>
      </w:r>
      <w:r w:rsidR="00A25E52" w:rsidRPr="00C86CE6">
        <w:t>paragraph 2</w:t>
      </w:r>
      <w:r w:rsidRPr="00C86CE6">
        <w:t>6F(4)(g) of the Act, the AML/CTF policies of a reporting entity must deal with ensuring its governing body receives reporting from its AML/CTF compliance officer about the following matters:</w:t>
      </w:r>
    </w:p>
    <w:p w14:paraId="3F2EBECF" w14:textId="77777777" w:rsidR="00596AB4" w:rsidRPr="00C86CE6" w:rsidRDefault="00596AB4" w:rsidP="00596AB4">
      <w:pPr>
        <w:pStyle w:val="paragraph"/>
      </w:pPr>
      <w:r w:rsidRPr="00C86CE6">
        <w:tab/>
        <w:t>(a)</w:t>
      </w:r>
      <w:r w:rsidRPr="00C86CE6">
        <w:tab/>
        <w:t>the reporting entity’s compliance with its AML/CTF policies;</w:t>
      </w:r>
    </w:p>
    <w:p w14:paraId="7F5ADDD7" w14:textId="77777777" w:rsidR="00596AB4" w:rsidRPr="00C86CE6" w:rsidRDefault="00596AB4" w:rsidP="00596AB4">
      <w:pPr>
        <w:pStyle w:val="paragraph"/>
      </w:pPr>
      <w:r w:rsidRPr="00C86CE6">
        <w:tab/>
        <w:t>(b)</w:t>
      </w:r>
      <w:r w:rsidRPr="00C86CE6">
        <w:tab/>
        <w:t>the extent to which the reporting entity’s AML/CTF policies are appropriately managing and mitigating the risks of money laundering, financing of terrorism and proliferation financing that the reporting entity may reasonably face in providing its designated services;</w:t>
      </w:r>
    </w:p>
    <w:p w14:paraId="5BFD8EB8" w14:textId="77777777" w:rsidR="00596AB4" w:rsidRPr="00C86CE6" w:rsidRDefault="00596AB4" w:rsidP="00596AB4">
      <w:pPr>
        <w:pStyle w:val="paragraph"/>
      </w:pPr>
      <w:r w:rsidRPr="00C86CE6">
        <w:tab/>
        <w:t>(c)</w:t>
      </w:r>
      <w:r w:rsidRPr="00C86CE6">
        <w:tab/>
        <w:t>the reporting entity’s compliance with the Act, the regulations and the AML/CTF Rules.</w:t>
      </w:r>
    </w:p>
    <w:p w14:paraId="29590E60" w14:textId="20F5A6EB" w:rsidR="00596AB4" w:rsidRPr="00C86CE6" w:rsidRDefault="00596AB4" w:rsidP="00596AB4">
      <w:pPr>
        <w:pStyle w:val="subsection"/>
      </w:pPr>
      <w:r w:rsidRPr="00C86CE6">
        <w:tab/>
        <w:t>(2)</w:t>
      </w:r>
      <w:r w:rsidRPr="00C86CE6">
        <w:tab/>
        <w:t xml:space="preserve">The AML/CTF policies of a reporting entity must provide for the reporting mentioned in </w:t>
      </w:r>
      <w:r w:rsidR="00A25E52" w:rsidRPr="00C86CE6">
        <w:t>subsection (</w:t>
      </w:r>
      <w:r w:rsidRPr="00C86CE6">
        <w:t>1) to occur regularly, with a frequency of at least once every 12 months.</w:t>
      </w:r>
    </w:p>
    <w:p w14:paraId="29E2264A" w14:textId="2FF58EB2" w:rsidR="00596AB4" w:rsidRPr="00C86CE6" w:rsidRDefault="00BC4A61" w:rsidP="00596AB4">
      <w:pPr>
        <w:pStyle w:val="ActHead5"/>
      </w:pPr>
      <w:bookmarkStart w:id="21" w:name="_Toc184727324"/>
      <w:r w:rsidRPr="004B21E2">
        <w:rPr>
          <w:rStyle w:val="CharSectno"/>
        </w:rPr>
        <w:t>13</w:t>
      </w:r>
      <w:r w:rsidR="00596AB4" w:rsidRPr="00C86CE6">
        <w:t xml:space="preserve">  Undertaking personnel due diligence</w:t>
      </w:r>
      <w:bookmarkEnd w:id="21"/>
    </w:p>
    <w:p w14:paraId="63E3BE93" w14:textId="23F114F8" w:rsidR="00596AB4" w:rsidRPr="00C86CE6" w:rsidRDefault="00596AB4" w:rsidP="00596AB4">
      <w:pPr>
        <w:pStyle w:val="subsection"/>
      </w:pPr>
      <w:r w:rsidRPr="00C86CE6">
        <w:tab/>
        <w:t>(1)</w:t>
      </w:r>
      <w:r w:rsidRPr="00C86CE6">
        <w:tab/>
        <w:t xml:space="preserve">For the purposes of </w:t>
      </w:r>
      <w:r w:rsidR="00A25E52" w:rsidRPr="00C86CE6">
        <w:t>paragraph 2</w:t>
      </w:r>
      <w:r w:rsidRPr="00C86CE6">
        <w:t xml:space="preserve">6F(7)(a) of the Act, this section specifies requirements in relation to the matter mentioned in </w:t>
      </w:r>
      <w:r w:rsidR="00A25E52" w:rsidRPr="00C86CE6">
        <w:t>paragraph 2</w:t>
      </w:r>
      <w:r w:rsidRPr="00C86CE6">
        <w:t>6F(4)(d) of the Act (undertaking due diligence in relation to persons who are, or will be, employed or otherwise engaged by the reporting entity).</w:t>
      </w:r>
    </w:p>
    <w:p w14:paraId="3312E824" w14:textId="77777777" w:rsidR="00596AB4" w:rsidRPr="00C86CE6" w:rsidRDefault="00596AB4" w:rsidP="00596AB4">
      <w:pPr>
        <w:pStyle w:val="subsection"/>
      </w:pPr>
      <w:r w:rsidRPr="00C86CE6">
        <w:tab/>
        <w:t>(2)</w:t>
      </w:r>
      <w:r w:rsidRPr="00C86CE6">
        <w:tab/>
        <w:t>The AML/CTF policies of the reporting entity must require the reporting entity, as part of undertaking that due diligence, to assess, both before a person’s employment or engagement of a person and during a person’s employment or engagement:</w:t>
      </w:r>
    </w:p>
    <w:p w14:paraId="776085A4" w14:textId="77777777" w:rsidR="00596AB4" w:rsidRPr="00C86CE6" w:rsidRDefault="00596AB4" w:rsidP="00596AB4">
      <w:pPr>
        <w:pStyle w:val="paragraph"/>
      </w:pPr>
      <w:r w:rsidRPr="00C86CE6">
        <w:tab/>
        <w:t>(a)</w:t>
      </w:r>
      <w:r w:rsidRPr="00C86CE6">
        <w:tab/>
        <w:t>the person’s skills, knowledge and expertise relevant to the particular responsibilities of the person under the AML/CTF policies; and</w:t>
      </w:r>
    </w:p>
    <w:p w14:paraId="4CF3D93E" w14:textId="77777777" w:rsidR="00596AB4" w:rsidRPr="00C86CE6" w:rsidRDefault="00596AB4" w:rsidP="00596AB4">
      <w:pPr>
        <w:pStyle w:val="paragraph"/>
      </w:pPr>
      <w:r w:rsidRPr="00C86CE6">
        <w:tab/>
        <w:t>(b)</w:t>
      </w:r>
      <w:r w:rsidRPr="00C86CE6">
        <w:tab/>
        <w:t>the person’s integrity.</w:t>
      </w:r>
    </w:p>
    <w:p w14:paraId="41E1F252" w14:textId="709F739B" w:rsidR="00596AB4" w:rsidRPr="00C86CE6" w:rsidRDefault="00BC4A61" w:rsidP="00596AB4">
      <w:pPr>
        <w:pStyle w:val="ActHead5"/>
      </w:pPr>
      <w:bookmarkStart w:id="22" w:name="_Toc184727325"/>
      <w:r w:rsidRPr="004B21E2">
        <w:rPr>
          <w:rStyle w:val="CharSectno"/>
        </w:rPr>
        <w:lastRenderedPageBreak/>
        <w:t>14</w:t>
      </w:r>
      <w:r w:rsidR="00596AB4" w:rsidRPr="00C86CE6">
        <w:t xml:space="preserve">  Providing personnel training</w:t>
      </w:r>
      <w:bookmarkEnd w:id="22"/>
    </w:p>
    <w:p w14:paraId="141A029E" w14:textId="0C18F0D6" w:rsidR="00596AB4" w:rsidRPr="00C86CE6" w:rsidRDefault="00596AB4" w:rsidP="00596AB4">
      <w:pPr>
        <w:pStyle w:val="subsection"/>
      </w:pPr>
      <w:r w:rsidRPr="00C86CE6">
        <w:tab/>
        <w:t>(1)</w:t>
      </w:r>
      <w:r w:rsidRPr="00C86CE6">
        <w:tab/>
        <w:t xml:space="preserve">For the purposes of </w:t>
      </w:r>
      <w:r w:rsidR="00A25E52" w:rsidRPr="00C86CE6">
        <w:t>paragraph 2</w:t>
      </w:r>
      <w:r w:rsidRPr="00C86CE6">
        <w:t xml:space="preserve">6F(7)(a) of the Act, this section specifies requirements in relation to the matter mentioned in </w:t>
      </w:r>
      <w:r w:rsidR="00A25E52" w:rsidRPr="00C86CE6">
        <w:t>paragraph 2</w:t>
      </w:r>
      <w:r w:rsidRPr="00C86CE6">
        <w:t>6F(4)(e) of the Act (providing training to persons who are employed or otherwise engaged by the reporting entity).</w:t>
      </w:r>
    </w:p>
    <w:p w14:paraId="44E31E2C" w14:textId="77777777" w:rsidR="00596AB4" w:rsidRPr="00C86CE6" w:rsidRDefault="00596AB4" w:rsidP="00596AB4">
      <w:pPr>
        <w:pStyle w:val="subsection"/>
      </w:pPr>
      <w:r w:rsidRPr="00C86CE6">
        <w:tab/>
        <w:t>(2)</w:t>
      </w:r>
      <w:r w:rsidRPr="00C86CE6">
        <w:tab/>
        <w:t>The AML/CTF policies of the reporting entity must deal with both initial training upon a person’s employment or engagement and ongoing training during a person’s employment or engagement.</w:t>
      </w:r>
    </w:p>
    <w:p w14:paraId="58094F5B" w14:textId="77777777" w:rsidR="00596AB4" w:rsidRPr="00C86CE6" w:rsidRDefault="00596AB4" w:rsidP="00596AB4">
      <w:pPr>
        <w:pStyle w:val="subsection"/>
      </w:pPr>
      <w:r w:rsidRPr="00C86CE6">
        <w:tab/>
        <w:t>(3)</w:t>
      </w:r>
      <w:r w:rsidRPr="00C86CE6">
        <w:tab/>
        <w:t>The AML/CTF policies of the reporting entity must require that the training provided to a person:</w:t>
      </w:r>
    </w:p>
    <w:p w14:paraId="783639EF" w14:textId="77777777" w:rsidR="00596AB4" w:rsidRPr="00C86CE6" w:rsidRDefault="00596AB4" w:rsidP="00596AB4">
      <w:pPr>
        <w:pStyle w:val="paragraph"/>
      </w:pPr>
      <w:r w:rsidRPr="00C86CE6">
        <w:tab/>
        <w:t>(a)</w:t>
      </w:r>
      <w:r w:rsidRPr="00C86CE6">
        <w:tab/>
        <w:t>is appropriate having regard to:</w:t>
      </w:r>
    </w:p>
    <w:p w14:paraId="53598AE5" w14:textId="77777777" w:rsidR="00596AB4" w:rsidRPr="00C86CE6" w:rsidRDefault="00596AB4" w:rsidP="00596AB4">
      <w:pPr>
        <w:pStyle w:val="paragraphsub"/>
      </w:pPr>
      <w:r w:rsidRPr="00C86CE6">
        <w:tab/>
        <w:t>(i)</w:t>
      </w:r>
      <w:r w:rsidRPr="00C86CE6">
        <w:tab/>
        <w:t>the particular function performed by the person; and</w:t>
      </w:r>
    </w:p>
    <w:p w14:paraId="2D3263CF" w14:textId="77777777" w:rsidR="00596AB4" w:rsidRPr="00C86CE6" w:rsidRDefault="00596AB4" w:rsidP="00596AB4">
      <w:pPr>
        <w:pStyle w:val="paragraphsub"/>
      </w:pPr>
      <w:r w:rsidRPr="00C86CE6">
        <w:tab/>
        <w:t>(ii)</w:t>
      </w:r>
      <w:r w:rsidRPr="00C86CE6">
        <w:tab/>
        <w:t>the particular risks of money laundering, financing of terrorism and proliferation financing that are relevant to the person’s function; and</w:t>
      </w:r>
    </w:p>
    <w:p w14:paraId="012BD644" w14:textId="77777777" w:rsidR="00596AB4" w:rsidRPr="00C86CE6" w:rsidRDefault="00596AB4" w:rsidP="00596AB4">
      <w:pPr>
        <w:pStyle w:val="paragraphsub"/>
      </w:pPr>
      <w:r w:rsidRPr="00C86CE6">
        <w:tab/>
        <w:t>(iii)</w:t>
      </w:r>
      <w:r w:rsidRPr="00C86CE6">
        <w:tab/>
        <w:t>the particular responsibilities of the person under the AML/CTF policies; and</w:t>
      </w:r>
    </w:p>
    <w:p w14:paraId="09C7AEEC" w14:textId="77777777" w:rsidR="00596AB4" w:rsidRPr="00C86CE6" w:rsidRDefault="00596AB4" w:rsidP="00596AB4">
      <w:pPr>
        <w:pStyle w:val="paragraph"/>
      </w:pPr>
      <w:r w:rsidRPr="00C86CE6">
        <w:tab/>
        <w:t>(b)</w:t>
      </w:r>
      <w:r w:rsidRPr="00C86CE6">
        <w:tab/>
        <w:t>is readily understandable by the person.</w:t>
      </w:r>
    </w:p>
    <w:p w14:paraId="4C8E3A66" w14:textId="062B4D63" w:rsidR="00596AB4" w:rsidRPr="00C86CE6" w:rsidRDefault="00BC4A61" w:rsidP="00596AB4">
      <w:pPr>
        <w:pStyle w:val="ActHead5"/>
      </w:pPr>
      <w:bookmarkStart w:id="23" w:name="_Toc184727326"/>
      <w:r w:rsidRPr="004B21E2">
        <w:rPr>
          <w:rStyle w:val="CharSectno"/>
        </w:rPr>
        <w:t>15</w:t>
      </w:r>
      <w:r w:rsidR="00596AB4" w:rsidRPr="00C86CE6">
        <w:t xml:space="preserve">  Independent evaluations</w:t>
      </w:r>
      <w:bookmarkEnd w:id="23"/>
    </w:p>
    <w:p w14:paraId="076335E9" w14:textId="4E4EDAD1" w:rsidR="00596AB4" w:rsidRPr="00C86CE6" w:rsidRDefault="00596AB4" w:rsidP="00596AB4">
      <w:pPr>
        <w:pStyle w:val="subsection"/>
      </w:pPr>
      <w:r w:rsidRPr="00C86CE6">
        <w:tab/>
        <w:t>(1)</w:t>
      </w:r>
      <w:r w:rsidRPr="00C86CE6">
        <w:tab/>
        <w:t xml:space="preserve">For the purposes of </w:t>
      </w:r>
      <w:r w:rsidR="00A25E52" w:rsidRPr="00C86CE6">
        <w:t>paragraph 2</w:t>
      </w:r>
      <w:r w:rsidRPr="00C86CE6">
        <w:t xml:space="preserve">6F(7)(a) of the Act, this section specifies requirements in relation to the matter mentioned in </w:t>
      </w:r>
      <w:r w:rsidR="00A25E52" w:rsidRPr="00C86CE6">
        <w:t>paragraph 2</w:t>
      </w:r>
      <w:r w:rsidRPr="00C86CE6">
        <w:t>6F(4)(f) of the Act (the conduct of independent evaluations of the reporting entity’s AML/CTF program).</w:t>
      </w:r>
    </w:p>
    <w:p w14:paraId="0417D529" w14:textId="77777777" w:rsidR="00596AB4" w:rsidRPr="00C86CE6" w:rsidRDefault="00596AB4" w:rsidP="00596AB4">
      <w:pPr>
        <w:pStyle w:val="subsection"/>
      </w:pPr>
      <w:r w:rsidRPr="00C86CE6">
        <w:tab/>
        <w:t>(2)</w:t>
      </w:r>
      <w:r w:rsidRPr="00C86CE6">
        <w:tab/>
        <w:t>The AML/CTF policies of the reporting entity must require the following as part of the conduct of an independent evaluation:</w:t>
      </w:r>
    </w:p>
    <w:p w14:paraId="21592B23" w14:textId="77777777" w:rsidR="00596AB4" w:rsidRPr="00C86CE6" w:rsidRDefault="00596AB4" w:rsidP="00596AB4">
      <w:pPr>
        <w:pStyle w:val="paragraph"/>
      </w:pPr>
      <w:r w:rsidRPr="00C86CE6">
        <w:tab/>
        <w:t>(a)</w:t>
      </w:r>
      <w:r w:rsidRPr="00C86CE6">
        <w:tab/>
        <w:t>evaluation of the steps taken by the reporting entity when undertaking or reviewing the reporting entity’s ML/TF risk assessment, against the requirements of the Act, the regulations and the AML/CTF Rules;</w:t>
      </w:r>
    </w:p>
    <w:p w14:paraId="74D89BC1" w14:textId="77777777" w:rsidR="00596AB4" w:rsidRPr="00C86CE6" w:rsidRDefault="00596AB4" w:rsidP="00596AB4">
      <w:pPr>
        <w:pStyle w:val="paragraph"/>
      </w:pPr>
      <w:r w:rsidRPr="00C86CE6">
        <w:tab/>
        <w:t>(b)</w:t>
      </w:r>
      <w:r w:rsidRPr="00C86CE6">
        <w:tab/>
        <w:t>evaluation of the design of the reporting entity’s AML/CTF policies, against the requirements of the Act, the regulations and the AML/CTF Rules;</w:t>
      </w:r>
    </w:p>
    <w:p w14:paraId="34DC243D" w14:textId="77777777" w:rsidR="00596AB4" w:rsidRPr="00C86CE6" w:rsidRDefault="00596AB4" w:rsidP="00596AB4">
      <w:pPr>
        <w:pStyle w:val="paragraph"/>
      </w:pPr>
      <w:r w:rsidRPr="00C86CE6">
        <w:tab/>
        <w:t>(c)</w:t>
      </w:r>
      <w:r w:rsidRPr="00C86CE6">
        <w:tab/>
        <w:t>testing and evaluation of the compliance of the reporting entity with the reporting entity’s AML/CTF policies;</w:t>
      </w:r>
    </w:p>
    <w:p w14:paraId="7C670C00" w14:textId="1D1FCBE2" w:rsidR="00596AB4" w:rsidRPr="00C86CE6" w:rsidRDefault="00596AB4" w:rsidP="00596AB4">
      <w:pPr>
        <w:pStyle w:val="paragraph"/>
      </w:pPr>
      <w:r w:rsidRPr="00C86CE6">
        <w:tab/>
        <w:t>(d)</w:t>
      </w:r>
      <w:r w:rsidRPr="00C86CE6">
        <w:tab/>
        <w:t xml:space="preserve">production of a written report (an </w:t>
      </w:r>
      <w:r w:rsidRPr="00C86CE6">
        <w:rPr>
          <w:b/>
          <w:i/>
        </w:rPr>
        <w:t>independent evaluation report</w:t>
      </w:r>
      <w:r w:rsidRPr="00C86CE6">
        <w:t xml:space="preserve">) containing findings on the matters mentioned in </w:t>
      </w:r>
      <w:r w:rsidR="009B58BE" w:rsidRPr="00C86CE6">
        <w:t>paragraphs (</w:t>
      </w:r>
      <w:r w:rsidRPr="00C86CE6">
        <w:t>a) to (c);</w:t>
      </w:r>
    </w:p>
    <w:p w14:paraId="18446605" w14:textId="671BD29C" w:rsidR="00596AB4" w:rsidRPr="00C86CE6" w:rsidRDefault="00596AB4" w:rsidP="00596AB4">
      <w:pPr>
        <w:pStyle w:val="paragraph"/>
      </w:pPr>
      <w:r w:rsidRPr="00C86CE6">
        <w:tab/>
        <w:t>(e)</w:t>
      </w:r>
      <w:r w:rsidRPr="00C86CE6">
        <w:tab/>
        <w:t xml:space="preserve">delivery of the independent evaluation report to the governing body of the reporting entity and to any senior manager responsible for approvals under </w:t>
      </w:r>
      <w:r w:rsidR="00A25E52" w:rsidRPr="00C86CE6">
        <w:t>section 2</w:t>
      </w:r>
      <w:r w:rsidRPr="00C86CE6">
        <w:t>6P of the Act.</w:t>
      </w:r>
    </w:p>
    <w:p w14:paraId="130A97C6" w14:textId="77777777" w:rsidR="00596AB4" w:rsidRPr="00C86CE6" w:rsidRDefault="00596AB4" w:rsidP="00596AB4">
      <w:pPr>
        <w:pStyle w:val="subsection"/>
      </w:pPr>
      <w:r w:rsidRPr="00C86CE6">
        <w:tab/>
        <w:t>(3)</w:t>
      </w:r>
      <w:r w:rsidRPr="00C86CE6">
        <w:tab/>
        <w:t>The AML/CTF polices of the reporting entity must deal with how the reporting entity will respond to an independent evaluation report.</w:t>
      </w:r>
    </w:p>
    <w:p w14:paraId="12EE453D" w14:textId="21EBB2F4" w:rsidR="009B152C" w:rsidRPr="00C86CE6" w:rsidRDefault="00BC4A61" w:rsidP="009B152C">
      <w:pPr>
        <w:pStyle w:val="ActHead5"/>
      </w:pPr>
      <w:bookmarkStart w:id="24" w:name="_Toc184727327"/>
      <w:r w:rsidRPr="004B21E2">
        <w:rPr>
          <w:rStyle w:val="CharSectno"/>
        </w:rPr>
        <w:lastRenderedPageBreak/>
        <w:t>16</w:t>
      </w:r>
      <w:r w:rsidR="009B152C" w:rsidRPr="00C86CE6">
        <w:t xml:space="preserve">  Reviewing and updating AML/CTF policies following independent evaluation</w:t>
      </w:r>
      <w:bookmarkEnd w:id="24"/>
    </w:p>
    <w:p w14:paraId="59E2E710" w14:textId="77777777" w:rsidR="009B152C" w:rsidRPr="00C86CE6" w:rsidRDefault="009B152C" w:rsidP="009B152C">
      <w:pPr>
        <w:pStyle w:val="subsection"/>
      </w:pPr>
      <w:r w:rsidRPr="00C86CE6">
        <w:tab/>
      </w:r>
      <w:r w:rsidRPr="00C86CE6">
        <w:tab/>
        <w:t>For the purposes of subparagraph 26F(3)(c)(ii) of the Act, the AML/CTF policies of a reporting entity must deal with reviewing and updating the AML/CTF policies in response to</w:t>
      </w:r>
      <w:r w:rsidRPr="00C86CE6">
        <w:rPr>
          <w:i/>
        </w:rPr>
        <w:t xml:space="preserve"> </w:t>
      </w:r>
      <w:r w:rsidRPr="00C86CE6">
        <w:t>an independent evaluation report that contains adverse findings in relation to the AML/CTF policies.</w:t>
      </w:r>
    </w:p>
    <w:p w14:paraId="7EB0DB2E" w14:textId="20E3C564" w:rsidR="009B152C" w:rsidRPr="00C86CE6" w:rsidRDefault="00BC4A61" w:rsidP="009B152C">
      <w:pPr>
        <w:pStyle w:val="ActHead5"/>
      </w:pPr>
      <w:bookmarkStart w:id="25" w:name="_Toc184727328"/>
      <w:r w:rsidRPr="004B21E2">
        <w:rPr>
          <w:rStyle w:val="CharSectno"/>
        </w:rPr>
        <w:t>17</w:t>
      </w:r>
      <w:r w:rsidR="009B152C" w:rsidRPr="00C86CE6">
        <w:t xml:space="preserve">  Fulfilling reporting obligations</w:t>
      </w:r>
      <w:bookmarkEnd w:id="25"/>
    </w:p>
    <w:p w14:paraId="61D563F4" w14:textId="77777777" w:rsidR="009B152C" w:rsidRPr="00C86CE6" w:rsidRDefault="009B152C" w:rsidP="009B152C">
      <w:pPr>
        <w:pStyle w:val="subsection"/>
      </w:pPr>
      <w:r w:rsidRPr="00C86CE6">
        <w:tab/>
      </w:r>
      <w:r w:rsidRPr="00C86CE6">
        <w:tab/>
        <w:t>For the purposes of paragraph 26F(4)(g) of the Act, the AML/CTF policies of a reporting entity must deal with ensuring that information reported by the entity under sections 41, 43, 46 and 46A of the Act is complete, accurate and free from unauthorised change.</w:t>
      </w:r>
    </w:p>
    <w:p w14:paraId="52686560" w14:textId="464F8101" w:rsidR="009B152C" w:rsidRPr="00C86CE6" w:rsidRDefault="00BC4A61" w:rsidP="009B152C">
      <w:pPr>
        <w:pStyle w:val="ActHead5"/>
      </w:pPr>
      <w:bookmarkStart w:id="26" w:name="_Toc184727329"/>
      <w:r w:rsidRPr="004B21E2">
        <w:rPr>
          <w:rStyle w:val="CharSectno"/>
        </w:rPr>
        <w:t>18</w:t>
      </w:r>
      <w:r w:rsidR="009B152C" w:rsidRPr="00C86CE6">
        <w:t xml:space="preserve">  Assessment of potential suspicious matters</w:t>
      </w:r>
      <w:bookmarkEnd w:id="26"/>
    </w:p>
    <w:p w14:paraId="0A05F6A2" w14:textId="77777777" w:rsidR="009B152C" w:rsidRPr="00C86CE6" w:rsidRDefault="009B152C" w:rsidP="009B152C">
      <w:pPr>
        <w:pStyle w:val="subsection"/>
      </w:pPr>
      <w:r w:rsidRPr="00C86CE6">
        <w:tab/>
      </w:r>
      <w:r w:rsidRPr="00C86CE6">
        <w:tab/>
        <w:t>For the purposes of paragraph 26F(4)(g) of the Act, the AML/CTF policies of a reporting entity must deal with the following:</w:t>
      </w:r>
    </w:p>
    <w:p w14:paraId="21D367C4" w14:textId="77777777" w:rsidR="009B152C" w:rsidRPr="00C86CE6" w:rsidRDefault="009B152C" w:rsidP="009B152C">
      <w:pPr>
        <w:pStyle w:val="paragraph"/>
      </w:pPr>
      <w:r w:rsidRPr="00C86CE6">
        <w:tab/>
        <w:t>(a)</w:t>
      </w:r>
      <w:r w:rsidRPr="00C86CE6">
        <w:tab/>
        <w:t>enabling timely review of material that is relevant to matters that may need to be reported under section 41 of the Act;</w:t>
      </w:r>
    </w:p>
    <w:p w14:paraId="4640858C" w14:textId="77777777" w:rsidR="009B152C" w:rsidRPr="00C86CE6" w:rsidRDefault="009B152C" w:rsidP="009B152C">
      <w:pPr>
        <w:pStyle w:val="paragraph"/>
      </w:pPr>
      <w:r w:rsidRPr="00C86CE6">
        <w:tab/>
        <w:t>(b)</w:t>
      </w:r>
      <w:r w:rsidRPr="00C86CE6">
        <w:tab/>
        <w:t>ensuring determination, as soon as practicable, of whether the reporting entity suspects on reasonable grounds any of the matters referred to in paragraphs 41(1)(d) to (j) of the Act.</w:t>
      </w:r>
    </w:p>
    <w:p w14:paraId="6E20E8F6" w14:textId="70897ABE" w:rsidR="009B152C" w:rsidRPr="00C86CE6" w:rsidRDefault="00BC4A61" w:rsidP="009B152C">
      <w:pPr>
        <w:pStyle w:val="ActHead5"/>
      </w:pPr>
      <w:bookmarkStart w:id="27" w:name="_Toc184727330"/>
      <w:r w:rsidRPr="004B21E2">
        <w:rPr>
          <w:rStyle w:val="CharSectno"/>
        </w:rPr>
        <w:t>19</w:t>
      </w:r>
      <w:r w:rsidR="009B152C" w:rsidRPr="00C86CE6">
        <w:t xml:space="preserve">  Requirements for senior manager to give approval or be informed</w:t>
      </w:r>
      <w:bookmarkEnd w:id="27"/>
    </w:p>
    <w:p w14:paraId="7F961229" w14:textId="77777777" w:rsidR="009B152C" w:rsidRPr="00C86CE6" w:rsidRDefault="009B152C" w:rsidP="009B152C">
      <w:pPr>
        <w:pStyle w:val="subsection"/>
      </w:pPr>
      <w:r w:rsidRPr="00C86CE6">
        <w:tab/>
        <w:t>(1)</w:t>
      </w:r>
      <w:r w:rsidRPr="00C86CE6">
        <w:tab/>
        <w:t>For the purposes of paragraph 26F(3)(e) of the Act, the AML/CTF policies of a reporting entity must ensure that the approval of a senior manager of the reporting entity is obtained before the reporting entity does any of the following:</w:t>
      </w:r>
    </w:p>
    <w:p w14:paraId="3B43A535" w14:textId="77777777" w:rsidR="009B152C" w:rsidRPr="00C86CE6" w:rsidRDefault="009B152C" w:rsidP="009B152C">
      <w:pPr>
        <w:pStyle w:val="paragraph"/>
      </w:pPr>
      <w:r w:rsidRPr="00C86CE6">
        <w:tab/>
        <w:t>(a)</w:t>
      </w:r>
      <w:r w:rsidRPr="00C86CE6">
        <w:tab/>
        <w:t>commences to provide a designated service to a customer, if the customer, any beneficial owner of the customer or any person on whose behalf the customer is receiving the service is a foreign politically exposed person;</w:t>
      </w:r>
    </w:p>
    <w:p w14:paraId="2D25B4E7" w14:textId="77777777" w:rsidR="009B152C" w:rsidRPr="00C86CE6" w:rsidRDefault="009B152C" w:rsidP="009B152C">
      <w:pPr>
        <w:pStyle w:val="paragraph"/>
      </w:pPr>
      <w:r w:rsidRPr="00C86CE6">
        <w:tab/>
        <w:t>(b)</w:t>
      </w:r>
      <w:r w:rsidRPr="00C86CE6">
        <w:tab/>
        <w:t>commences to provide a designated service to a customer, if:</w:t>
      </w:r>
    </w:p>
    <w:p w14:paraId="1A99C2CF" w14:textId="77777777" w:rsidR="009B152C" w:rsidRPr="00C86CE6" w:rsidRDefault="009B152C" w:rsidP="009B152C">
      <w:pPr>
        <w:pStyle w:val="paragraphsub"/>
      </w:pPr>
      <w:r w:rsidRPr="00C86CE6">
        <w:tab/>
        <w:t>(i)</w:t>
      </w:r>
      <w:r w:rsidRPr="00C86CE6">
        <w:tab/>
        <w:t>the customer, any beneficial owner of the customer or any person on whose behalf the customer is receiving the service is a domestic politically exposed person; and</w:t>
      </w:r>
    </w:p>
    <w:p w14:paraId="17D33E37" w14:textId="77777777" w:rsidR="009B152C" w:rsidRPr="00C86CE6" w:rsidRDefault="009B152C" w:rsidP="009B152C">
      <w:pPr>
        <w:pStyle w:val="paragraphsub"/>
      </w:pPr>
      <w:r w:rsidRPr="00C86CE6">
        <w:tab/>
        <w:t>(ii)</w:t>
      </w:r>
      <w:r w:rsidRPr="00C86CE6">
        <w:tab/>
        <w:t>the ML/TF risk of the customer is high;</w:t>
      </w:r>
    </w:p>
    <w:p w14:paraId="1E06949B" w14:textId="77777777" w:rsidR="009B152C" w:rsidRPr="00C86CE6" w:rsidRDefault="009B152C" w:rsidP="009B152C">
      <w:pPr>
        <w:pStyle w:val="paragraph"/>
      </w:pPr>
      <w:r w:rsidRPr="00C86CE6">
        <w:tab/>
        <w:t>(c)</w:t>
      </w:r>
      <w:r w:rsidRPr="00C86CE6">
        <w:tab/>
        <w:t>commences to provide a designated service to a customer, if:</w:t>
      </w:r>
    </w:p>
    <w:p w14:paraId="7D7FC2DD" w14:textId="77777777" w:rsidR="009B152C" w:rsidRPr="00C86CE6" w:rsidRDefault="009B152C" w:rsidP="009B152C">
      <w:pPr>
        <w:pStyle w:val="paragraphsub"/>
      </w:pPr>
      <w:r w:rsidRPr="00C86CE6">
        <w:tab/>
        <w:t>(i)</w:t>
      </w:r>
      <w:r w:rsidRPr="00C86CE6">
        <w:tab/>
        <w:t>the customer, any beneficial owner of the customer or any person on whose behalf the customer is receiving the service is an international organisation politically exposed person; and</w:t>
      </w:r>
    </w:p>
    <w:p w14:paraId="2963A035" w14:textId="77777777" w:rsidR="009B152C" w:rsidRPr="00C86CE6" w:rsidRDefault="009B152C" w:rsidP="009B152C">
      <w:pPr>
        <w:pStyle w:val="paragraphsub"/>
      </w:pPr>
      <w:r w:rsidRPr="00C86CE6">
        <w:tab/>
        <w:t>(ii)</w:t>
      </w:r>
      <w:r w:rsidRPr="00C86CE6">
        <w:tab/>
        <w:t>the ML/TF risk of the customer is high;</w:t>
      </w:r>
    </w:p>
    <w:p w14:paraId="6E05D7E9" w14:textId="77777777" w:rsidR="009B152C" w:rsidRPr="00C86CE6" w:rsidRDefault="009B152C" w:rsidP="009B152C">
      <w:pPr>
        <w:pStyle w:val="paragraph"/>
      </w:pPr>
      <w:r w:rsidRPr="00C86CE6">
        <w:tab/>
        <w:t>(d)</w:t>
      </w:r>
      <w:r w:rsidRPr="00C86CE6">
        <w:tab/>
        <w:t>commences to provide a designated service as part of a nested services relationship;</w:t>
      </w:r>
    </w:p>
    <w:p w14:paraId="7138EA7F" w14:textId="77777777" w:rsidR="009B152C" w:rsidRPr="00C86CE6" w:rsidRDefault="009B152C" w:rsidP="009B152C">
      <w:pPr>
        <w:pStyle w:val="paragraph"/>
      </w:pPr>
      <w:r w:rsidRPr="00C86CE6">
        <w:tab/>
        <w:t>(e)</w:t>
      </w:r>
      <w:r w:rsidRPr="00C86CE6">
        <w:tab/>
        <w:t>enters into an agreement or arrangement of the kind referred to in paragraph 37A(1)(a) of the Act as the first entity.</w:t>
      </w:r>
    </w:p>
    <w:p w14:paraId="2F88F6DC" w14:textId="77777777" w:rsidR="009B152C" w:rsidRPr="00C86CE6" w:rsidRDefault="009B152C" w:rsidP="009B152C">
      <w:pPr>
        <w:pStyle w:val="subsection"/>
      </w:pPr>
      <w:r w:rsidRPr="00C86CE6">
        <w:tab/>
        <w:t>(2)</w:t>
      </w:r>
      <w:r w:rsidRPr="00C86CE6">
        <w:tab/>
        <w:t xml:space="preserve">For the purposes of paragraph 26F(3)(e) of the Act, the AML/CTF policies of a reporting entity must ensure that a senior manager of the reporting entity is </w:t>
      </w:r>
      <w:r w:rsidRPr="00C86CE6">
        <w:lastRenderedPageBreak/>
        <w:t>informed before the reporting entity commences to provide a designated service covered by item 39 of table 1 in section 6 of the Act to a customer if the ML/TF risk of the customer is high.</w:t>
      </w:r>
    </w:p>
    <w:p w14:paraId="186D451F" w14:textId="4EF3C573" w:rsidR="00596AB4" w:rsidRPr="00C86CE6" w:rsidRDefault="00BC4A61" w:rsidP="00596AB4">
      <w:pPr>
        <w:pStyle w:val="ActHead5"/>
      </w:pPr>
      <w:bookmarkStart w:id="28" w:name="_Toc184727331"/>
      <w:r w:rsidRPr="004B21E2">
        <w:rPr>
          <w:rStyle w:val="CharSectno"/>
        </w:rPr>
        <w:t>20</w:t>
      </w:r>
      <w:r w:rsidR="00596AB4" w:rsidRPr="00C86CE6">
        <w:t xml:space="preserve">  Policies relating to the obligations of ordering institutions relating to virtual asset transfers</w:t>
      </w:r>
      <w:bookmarkEnd w:id="28"/>
    </w:p>
    <w:p w14:paraId="330186F6" w14:textId="64CB9355" w:rsidR="00596AB4" w:rsidRPr="00C86CE6" w:rsidRDefault="00596AB4" w:rsidP="00596AB4">
      <w:pPr>
        <w:pStyle w:val="subsection"/>
      </w:pPr>
      <w:r w:rsidRPr="00C86CE6">
        <w:tab/>
      </w:r>
      <w:r w:rsidRPr="00C86CE6">
        <w:tab/>
        <w:t xml:space="preserve">For the purposes of </w:t>
      </w:r>
      <w:r w:rsidR="00A25E52" w:rsidRPr="00C86CE6">
        <w:t>paragraph 2</w:t>
      </w:r>
      <w:r w:rsidRPr="00C86CE6">
        <w:t xml:space="preserve">6F(3)(e) of the Act, the AML/CTF policies of a reporting entity must deal with the following if the reporting entity is to provide a designated service covered by </w:t>
      </w:r>
      <w:r w:rsidR="00606BBD" w:rsidRPr="00C86CE6">
        <w:t>item 2</w:t>
      </w:r>
      <w:r w:rsidRPr="00C86CE6">
        <w:t xml:space="preserve">9 of table 1 in </w:t>
      </w:r>
      <w:r w:rsidR="009B58BE" w:rsidRPr="00C86CE6">
        <w:t>section 6</w:t>
      </w:r>
      <w:r w:rsidRPr="00C86CE6">
        <w:t xml:space="preserve"> of the Act, as an ordering institution, in relation to the transfer of a virtual asset:</w:t>
      </w:r>
    </w:p>
    <w:p w14:paraId="5CA356E5" w14:textId="77777777" w:rsidR="00596AB4" w:rsidRPr="00C86CE6" w:rsidRDefault="00596AB4" w:rsidP="00596AB4">
      <w:pPr>
        <w:pStyle w:val="paragraph"/>
      </w:pPr>
      <w:r w:rsidRPr="00C86CE6">
        <w:tab/>
        <w:t>(a)</w:t>
      </w:r>
      <w:r w:rsidRPr="00C86CE6">
        <w:tab/>
        <w:t>how the reporting entity will undertake due diligence to determine:</w:t>
      </w:r>
    </w:p>
    <w:p w14:paraId="01496CA2" w14:textId="683670F9" w:rsidR="00596AB4" w:rsidRPr="00C86CE6" w:rsidRDefault="00596AB4" w:rsidP="00596AB4">
      <w:pPr>
        <w:pStyle w:val="paragraphsub"/>
      </w:pPr>
      <w:r w:rsidRPr="00C86CE6">
        <w:tab/>
        <w:t>(i)</w:t>
      </w:r>
      <w:r w:rsidRPr="00C86CE6">
        <w:tab/>
        <w:t>whether the wallet to which the virtual asset is being transferred is a custodial wallet or a self</w:t>
      </w:r>
      <w:r w:rsidR="004A7589">
        <w:noBreakHyphen/>
      </w:r>
      <w:r w:rsidRPr="00C86CE6">
        <w:t>hosted wallet; and</w:t>
      </w:r>
    </w:p>
    <w:p w14:paraId="78D9235E" w14:textId="77777777" w:rsidR="00596AB4" w:rsidRPr="00C86CE6" w:rsidRDefault="00596AB4" w:rsidP="00596AB4">
      <w:pPr>
        <w:pStyle w:val="paragraphsub"/>
      </w:pPr>
      <w:r w:rsidRPr="00C86CE6">
        <w:tab/>
        <w:t>(ii)</w:t>
      </w:r>
      <w:r w:rsidRPr="00C86CE6">
        <w:tab/>
        <w:t>if the wallet is a custodial wallet—whether the person who controls the wallet is required to be licensed or registered under a law that gives effect to the FATF Recommendations, and, if the person is so required, whether the person is so licensed or registered;</w:t>
      </w:r>
    </w:p>
    <w:p w14:paraId="3D2EC6E9" w14:textId="50A9FF00" w:rsidR="00596AB4" w:rsidRPr="00C86CE6" w:rsidRDefault="00596AB4" w:rsidP="00596AB4">
      <w:pPr>
        <w:pStyle w:val="paragraph"/>
      </w:pPr>
      <w:r w:rsidRPr="00C86CE6">
        <w:tab/>
        <w:t>(b)</w:t>
      </w:r>
      <w:r w:rsidRPr="00C86CE6">
        <w:tab/>
        <w:t xml:space="preserve">if the person who controls the wallet is a person licensed or registered under a law that gives effect to the FATF </w:t>
      </w:r>
      <w:r w:rsidR="00B77985">
        <w:t>R</w:t>
      </w:r>
      <w:r w:rsidRPr="00C86CE6">
        <w:t>ecommendations, or a person not required to be so licensed or registered—how the reporting entity will determine whether the beneficiary institution is capable of:</w:t>
      </w:r>
    </w:p>
    <w:p w14:paraId="46919E1A" w14:textId="735F8FEC" w:rsidR="00596AB4" w:rsidRPr="00C86CE6" w:rsidRDefault="00596AB4" w:rsidP="00596AB4">
      <w:pPr>
        <w:pStyle w:val="paragraphsub"/>
      </w:pPr>
      <w:r w:rsidRPr="00C86CE6">
        <w:tab/>
        <w:t>(i)</w:t>
      </w:r>
      <w:r w:rsidRPr="00C86CE6">
        <w:tab/>
        <w:t xml:space="preserve">receiving the information that the reporting entity is required to pass on under </w:t>
      </w:r>
      <w:r w:rsidR="009B58BE" w:rsidRPr="00C86CE6">
        <w:t>subsection 6</w:t>
      </w:r>
      <w:r w:rsidRPr="00C86CE6">
        <w:t>4(3) of the Act securely; and</w:t>
      </w:r>
    </w:p>
    <w:p w14:paraId="5B6B33E5" w14:textId="77777777" w:rsidR="00596AB4" w:rsidRPr="00C86CE6" w:rsidRDefault="00596AB4" w:rsidP="00596AB4">
      <w:pPr>
        <w:pStyle w:val="paragraphsub"/>
      </w:pPr>
      <w:r w:rsidRPr="00C86CE6">
        <w:tab/>
        <w:t>(ii)</w:t>
      </w:r>
      <w:r w:rsidRPr="00C86CE6">
        <w:tab/>
        <w:t xml:space="preserve"> safeguarding the confidentiality of that information;</w:t>
      </w:r>
    </w:p>
    <w:p w14:paraId="3AB2B9F9" w14:textId="0698D222" w:rsidR="00596AB4" w:rsidRPr="00C86CE6" w:rsidRDefault="00596AB4" w:rsidP="00596AB4">
      <w:pPr>
        <w:pStyle w:val="paragraph"/>
      </w:pPr>
      <w:r w:rsidRPr="00C86CE6">
        <w:tab/>
        <w:t>(c)</w:t>
      </w:r>
      <w:r w:rsidRPr="00C86CE6">
        <w:tab/>
        <w:t>if the wallet is a self</w:t>
      </w:r>
      <w:r w:rsidR="004A7589">
        <w:noBreakHyphen/>
      </w:r>
      <w:r w:rsidRPr="00C86CE6">
        <w:t xml:space="preserve">hosted wallet—how the reporting entity will identify the payee and any steps the reporting entity will take to verify the </w:t>
      </w:r>
      <w:r w:rsidR="004E28A7" w:rsidRPr="00C86CE6">
        <w:t>person who controls</w:t>
      </w:r>
      <w:r w:rsidRPr="00C86CE6">
        <w:t xml:space="preserve"> the wallet;</w:t>
      </w:r>
    </w:p>
    <w:p w14:paraId="759560DE" w14:textId="77777777" w:rsidR="00596AB4" w:rsidRPr="00C86CE6" w:rsidRDefault="00596AB4" w:rsidP="00596AB4">
      <w:pPr>
        <w:pStyle w:val="paragraph"/>
      </w:pPr>
      <w:r w:rsidRPr="00C86CE6">
        <w:tab/>
        <w:t>(d)</w:t>
      </w:r>
      <w:r w:rsidRPr="00C86CE6">
        <w:tab/>
        <w:t>how the reporting entity will manage and mitigate the ML/TF risk of transferring the virtual asset if the person who controls the wallet is:</w:t>
      </w:r>
    </w:p>
    <w:p w14:paraId="7EB21590" w14:textId="77777777" w:rsidR="00596AB4" w:rsidRPr="00C86CE6" w:rsidRDefault="00596AB4" w:rsidP="00596AB4">
      <w:pPr>
        <w:pStyle w:val="paragraphsub"/>
      </w:pPr>
      <w:r w:rsidRPr="00C86CE6">
        <w:tab/>
        <w:t>(i)</w:t>
      </w:r>
      <w:r w:rsidRPr="00C86CE6">
        <w:tab/>
        <w:t xml:space="preserve">the payee in a case where </w:t>
      </w:r>
      <w:r w:rsidR="004D2CBA" w:rsidRPr="00C86CE6">
        <w:t>the person who controls</w:t>
      </w:r>
      <w:r w:rsidRPr="00C86CE6">
        <w:t xml:space="preserve"> the wallet has not been verified; or</w:t>
      </w:r>
    </w:p>
    <w:p w14:paraId="10F22B54" w14:textId="77777777" w:rsidR="00596AB4" w:rsidRPr="00C86CE6" w:rsidRDefault="00596AB4" w:rsidP="00596AB4">
      <w:pPr>
        <w:pStyle w:val="paragraphsub"/>
      </w:pPr>
      <w:r w:rsidRPr="00C86CE6">
        <w:tab/>
        <w:t>(ii)</w:t>
      </w:r>
      <w:r w:rsidRPr="00C86CE6">
        <w:tab/>
        <w:t>a person not required to be licensed or registered under a law that gives effect to the FATF Recommendations.</w:t>
      </w:r>
    </w:p>
    <w:p w14:paraId="3574EC4A" w14:textId="634ED6E5" w:rsidR="00596AB4" w:rsidRPr="00C86CE6" w:rsidRDefault="00596AB4" w:rsidP="00596AB4">
      <w:pPr>
        <w:pStyle w:val="notetext"/>
      </w:pPr>
      <w:r w:rsidRPr="00C86CE6">
        <w:t>Note:</w:t>
      </w:r>
      <w:r w:rsidRPr="00C86CE6">
        <w:tab/>
      </w:r>
      <w:r w:rsidR="009B58BE" w:rsidRPr="00C86CE6">
        <w:t>Subsection 6</w:t>
      </w:r>
      <w:r w:rsidRPr="00C86CE6">
        <w:t>6A(4) of the Act prohibits provision of the designated service if the transfer of value is to a person who is required to be licensed or registered under a law that gives effect to the FATF Recommendations, but is not so licensed or registered.</w:t>
      </w:r>
    </w:p>
    <w:p w14:paraId="6199A441" w14:textId="18A4D9E1" w:rsidR="00596AB4" w:rsidRPr="00C86CE6" w:rsidRDefault="00BC4A61" w:rsidP="00596AB4">
      <w:pPr>
        <w:pStyle w:val="ActHead5"/>
      </w:pPr>
      <w:bookmarkStart w:id="29" w:name="_Toc184727332"/>
      <w:r w:rsidRPr="004B21E2">
        <w:rPr>
          <w:rStyle w:val="CharSectno"/>
        </w:rPr>
        <w:t>21</w:t>
      </w:r>
      <w:r w:rsidR="00596AB4" w:rsidRPr="00C86CE6">
        <w:t xml:space="preserve">  Policies relating to the obligations of beneficiary institutions</w:t>
      </w:r>
      <w:bookmarkEnd w:id="29"/>
    </w:p>
    <w:p w14:paraId="5E3F357E" w14:textId="77777777" w:rsidR="00596AB4" w:rsidRPr="00C86CE6" w:rsidRDefault="00596AB4" w:rsidP="00596AB4">
      <w:pPr>
        <w:pStyle w:val="SubsectionHead"/>
      </w:pPr>
      <w:r w:rsidRPr="00C86CE6">
        <w:t>Policies relating to all transfers of value</w:t>
      </w:r>
    </w:p>
    <w:p w14:paraId="39F4017C" w14:textId="61B28CDA" w:rsidR="00596AB4" w:rsidRPr="00C86CE6" w:rsidRDefault="00596AB4" w:rsidP="00596AB4">
      <w:pPr>
        <w:pStyle w:val="subsection"/>
      </w:pPr>
      <w:r w:rsidRPr="00C86CE6">
        <w:tab/>
        <w:t>(1)</w:t>
      </w:r>
      <w:r w:rsidRPr="00C86CE6">
        <w:tab/>
        <w:t xml:space="preserve">For the purposes of </w:t>
      </w:r>
      <w:r w:rsidR="00A25E52" w:rsidRPr="00C86CE6">
        <w:t>paragraph 2</w:t>
      </w:r>
      <w:r w:rsidRPr="00C86CE6">
        <w:t xml:space="preserve">6F(3)(e) of the Act, the AML/CTF policies of a reporting entity must deal with the following if the reporting entity is to provide a designated service covered by </w:t>
      </w:r>
      <w:r w:rsidR="009B58BE" w:rsidRPr="00C86CE6">
        <w:t>item 3</w:t>
      </w:r>
      <w:r w:rsidRPr="00C86CE6">
        <w:t xml:space="preserve">0 of table 1 in </w:t>
      </w:r>
      <w:r w:rsidR="009B58BE" w:rsidRPr="00C86CE6">
        <w:t>section 6</w:t>
      </w:r>
      <w:r w:rsidRPr="00C86CE6">
        <w:t xml:space="preserve"> of the Act, as a beneficiary institution to a payee:</w:t>
      </w:r>
    </w:p>
    <w:p w14:paraId="60E9BC4D" w14:textId="77777777" w:rsidR="00596AB4" w:rsidRPr="00C86CE6" w:rsidRDefault="00596AB4" w:rsidP="00596AB4">
      <w:pPr>
        <w:pStyle w:val="paragraph"/>
      </w:pPr>
      <w:r w:rsidRPr="00C86CE6">
        <w:tab/>
        <w:t>(a)</w:t>
      </w:r>
      <w:r w:rsidRPr="00C86CE6">
        <w:tab/>
        <w:t>reasonable steps to monitor:</w:t>
      </w:r>
    </w:p>
    <w:p w14:paraId="01E9B00A" w14:textId="7E5E6B2B" w:rsidR="00596AB4" w:rsidRPr="00C86CE6" w:rsidRDefault="00596AB4" w:rsidP="00596AB4">
      <w:pPr>
        <w:pStyle w:val="paragraphsub"/>
      </w:pPr>
      <w:r w:rsidRPr="00C86CE6">
        <w:lastRenderedPageBreak/>
        <w:tab/>
        <w:t>(i)</w:t>
      </w:r>
      <w:r w:rsidRPr="00C86CE6">
        <w:tab/>
        <w:t xml:space="preserve">whether the reporting entity has received the information specified in the AML/CTF Rules for the purposes of </w:t>
      </w:r>
      <w:r w:rsidR="009B58BE" w:rsidRPr="00C86CE6">
        <w:t>subsection 6</w:t>
      </w:r>
      <w:r w:rsidRPr="00C86CE6">
        <w:t>5(2) of the Act relating to the transfer of value; and</w:t>
      </w:r>
    </w:p>
    <w:p w14:paraId="7D132FD8" w14:textId="77777777" w:rsidR="00596AB4" w:rsidRPr="00C86CE6" w:rsidRDefault="00596AB4" w:rsidP="00596AB4">
      <w:pPr>
        <w:pStyle w:val="paragraphsub"/>
      </w:pPr>
      <w:r w:rsidRPr="00C86CE6">
        <w:tab/>
        <w:t>(ii)</w:t>
      </w:r>
      <w:r w:rsidRPr="00C86CE6">
        <w:tab/>
        <w:t>whether the information received about the payee is accurate</w:t>
      </w:r>
      <w:r w:rsidR="0020657D" w:rsidRPr="00C86CE6">
        <w:t>;</w:t>
      </w:r>
    </w:p>
    <w:p w14:paraId="641F64DC" w14:textId="1551A9EB" w:rsidR="00596AB4" w:rsidRPr="00C86CE6" w:rsidRDefault="00596AB4" w:rsidP="00596AB4">
      <w:pPr>
        <w:pStyle w:val="paragraph"/>
      </w:pPr>
      <w:r w:rsidRPr="00C86CE6">
        <w:tab/>
        <w:t>(b)</w:t>
      </w:r>
      <w:r w:rsidRPr="00C86CE6">
        <w:tab/>
        <w:t xml:space="preserve">determining whether to make the transferred value available to the payee in the circumstances described in </w:t>
      </w:r>
      <w:r w:rsidR="009B58BE" w:rsidRPr="00C86CE6">
        <w:t>subsection 6</w:t>
      </w:r>
      <w:r w:rsidRPr="00C86CE6">
        <w:t>5(3) of the Act;</w:t>
      </w:r>
    </w:p>
    <w:p w14:paraId="236D325A" w14:textId="37509CB4" w:rsidR="00596AB4" w:rsidRPr="00C86CE6" w:rsidRDefault="00596AB4" w:rsidP="00596AB4">
      <w:pPr>
        <w:pStyle w:val="paragraph"/>
      </w:pPr>
      <w:r w:rsidRPr="00C86CE6">
        <w:tab/>
        <w:t>(c)</w:t>
      </w:r>
      <w:r w:rsidRPr="00C86CE6">
        <w:tab/>
        <w:t xml:space="preserve">determining whether to request further information from another institution in the value transfer chain in the circumstances described in </w:t>
      </w:r>
      <w:r w:rsidR="009B58BE" w:rsidRPr="00C86CE6">
        <w:t>subsection 6</w:t>
      </w:r>
      <w:r w:rsidRPr="00C86CE6">
        <w:t>5(3) of the Act.</w:t>
      </w:r>
    </w:p>
    <w:p w14:paraId="2F3165C9" w14:textId="551A2B30" w:rsidR="00596AB4" w:rsidRPr="00C86CE6" w:rsidRDefault="00596AB4" w:rsidP="00596AB4">
      <w:pPr>
        <w:pStyle w:val="notetext"/>
      </w:pPr>
      <w:r w:rsidRPr="00C86CE6">
        <w:t>Note:</w:t>
      </w:r>
      <w:r w:rsidRPr="00C86CE6">
        <w:tab/>
      </w:r>
      <w:r w:rsidR="009B58BE" w:rsidRPr="00C86CE6">
        <w:t>Subsection 6</w:t>
      </w:r>
      <w:r w:rsidRPr="00C86CE6">
        <w:t xml:space="preserve">6A(6) of the Act prohibits a beneficiary institution from providing the designated service in relation to the transfer of a virtual asset if it has not received all of the information, unless the exception in </w:t>
      </w:r>
      <w:r w:rsidR="009B58BE" w:rsidRPr="00C86CE6">
        <w:t>subsection 6</w:t>
      </w:r>
      <w:r w:rsidRPr="00C86CE6">
        <w:t>6A(10) applies.</w:t>
      </w:r>
    </w:p>
    <w:p w14:paraId="151AA79D" w14:textId="77777777" w:rsidR="00596AB4" w:rsidRPr="00C86CE6" w:rsidRDefault="00596AB4" w:rsidP="00596AB4">
      <w:pPr>
        <w:pStyle w:val="SubsectionHead"/>
      </w:pPr>
      <w:r w:rsidRPr="00C86CE6">
        <w:t>Policies relating to virtual asset transfers</w:t>
      </w:r>
    </w:p>
    <w:p w14:paraId="3A9CF279" w14:textId="77777777" w:rsidR="00596AB4" w:rsidRPr="00C86CE6" w:rsidRDefault="00596AB4" w:rsidP="00596AB4">
      <w:pPr>
        <w:pStyle w:val="subsection"/>
      </w:pPr>
      <w:r w:rsidRPr="00C86CE6">
        <w:tab/>
        <w:t>(2)</w:t>
      </w:r>
      <w:r w:rsidRPr="00C86CE6">
        <w:tab/>
        <w:t>The AML/CTF policies of the reporting entity must also deal with the following if the designated service is to be provided in relation to the transfer of a virtual asset:</w:t>
      </w:r>
    </w:p>
    <w:p w14:paraId="320EEDE4" w14:textId="77777777" w:rsidR="00596AB4" w:rsidRPr="00C86CE6" w:rsidRDefault="00596AB4" w:rsidP="00596AB4">
      <w:pPr>
        <w:pStyle w:val="paragraph"/>
      </w:pPr>
      <w:r w:rsidRPr="00C86CE6">
        <w:tab/>
        <w:t>(a)</w:t>
      </w:r>
      <w:r w:rsidRPr="00C86CE6">
        <w:tab/>
        <w:t>how the reporting entity will undertake due diligence to determine:</w:t>
      </w:r>
    </w:p>
    <w:p w14:paraId="01C906D1" w14:textId="42DDA26C" w:rsidR="00596AB4" w:rsidRPr="00C86CE6" w:rsidRDefault="00596AB4" w:rsidP="00596AB4">
      <w:pPr>
        <w:pStyle w:val="paragraphsub"/>
      </w:pPr>
      <w:r w:rsidRPr="00C86CE6">
        <w:tab/>
        <w:t>(i)</w:t>
      </w:r>
      <w:r w:rsidRPr="00C86CE6">
        <w:tab/>
        <w:t>whether the wallet from which the virtual asset is being transferred is a custodial wallet or a self</w:t>
      </w:r>
      <w:r w:rsidR="004A7589">
        <w:noBreakHyphen/>
      </w:r>
      <w:r w:rsidRPr="00C86CE6">
        <w:t>hosted wallet; and</w:t>
      </w:r>
    </w:p>
    <w:p w14:paraId="1817423D" w14:textId="77777777" w:rsidR="00596AB4" w:rsidRPr="00C86CE6" w:rsidRDefault="00596AB4" w:rsidP="00596AB4">
      <w:pPr>
        <w:pStyle w:val="paragraphsub"/>
      </w:pPr>
      <w:r w:rsidRPr="00C86CE6">
        <w:tab/>
        <w:t>(ii)</w:t>
      </w:r>
      <w:r w:rsidRPr="00C86CE6">
        <w:tab/>
        <w:t>if the wallet is a custodial wallet—whether the person who controls the wallet is required to be licensed or registered under a law that gives effect to the FATF Recommendations, and, if the person is so required, whether the person is so licensed or registered;</w:t>
      </w:r>
    </w:p>
    <w:p w14:paraId="4F54EE7C" w14:textId="2FCF6CD7" w:rsidR="00596AB4" w:rsidRPr="00C86CE6" w:rsidRDefault="00596AB4" w:rsidP="00596AB4">
      <w:pPr>
        <w:pStyle w:val="paragraph"/>
      </w:pPr>
      <w:r w:rsidRPr="00C86CE6">
        <w:tab/>
        <w:t>(b)</w:t>
      </w:r>
      <w:r w:rsidRPr="00C86CE6">
        <w:tab/>
        <w:t xml:space="preserve">if the person who controls the wallet is a person who is licensed or registered under a law that gives effect to the FATF Recommendations, or a person not required to be so licensed or registered—how the reporting entity will determine whether the ordering institution, and any intermediary institution, is capable of securely passing on the information specified in the AML/CTF Rules for the purposes of </w:t>
      </w:r>
      <w:r w:rsidR="009B58BE" w:rsidRPr="00C86CE6">
        <w:t>subsection 6</w:t>
      </w:r>
      <w:r w:rsidRPr="00C86CE6">
        <w:t>5(2) of the Act relating to the transfer of value;</w:t>
      </w:r>
    </w:p>
    <w:p w14:paraId="084DF11A" w14:textId="420347E9" w:rsidR="00596AB4" w:rsidRPr="00C86CE6" w:rsidRDefault="00596AB4" w:rsidP="00596AB4">
      <w:pPr>
        <w:pStyle w:val="paragraph"/>
      </w:pPr>
      <w:r w:rsidRPr="00C86CE6">
        <w:tab/>
        <w:t>(c)</w:t>
      </w:r>
      <w:r w:rsidRPr="00C86CE6">
        <w:tab/>
        <w:t>if the wallet is a self</w:t>
      </w:r>
      <w:r w:rsidR="004A7589">
        <w:noBreakHyphen/>
      </w:r>
      <w:r w:rsidRPr="00C86CE6">
        <w:t xml:space="preserve">hosted wallet—how the reporting entity will identify the payer and any steps the reporting entity will take to verify the </w:t>
      </w:r>
      <w:r w:rsidR="004D2CBA" w:rsidRPr="00C86CE6">
        <w:t>person who controls</w:t>
      </w:r>
      <w:r w:rsidRPr="00C86CE6">
        <w:t xml:space="preserve"> the wallet;</w:t>
      </w:r>
    </w:p>
    <w:p w14:paraId="3127350F" w14:textId="77777777" w:rsidR="00596AB4" w:rsidRPr="00C86CE6" w:rsidRDefault="00596AB4" w:rsidP="00596AB4">
      <w:pPr>
        <w:pStyle w:val="paragraph"/>
      </w:pPr>
      <w:r w:rsidRPr="00C86CE6">
        <w:tab/>
        <w:t>(d)</w:t>
      </w:r>
      <w:r w:rsidRPr="00C86CE6">
        <w:tab/>
        <w:t>how the reporting entity will manage and mitigate the ML/TF risk of transferring the virtual asset if the person who controls the wallet is:</w:t>
      </w:r>
    </w:p>
    <w:p w14:paraId="482B4648" w14:textId="77777777" w:rsidR="00596AB4" w:rsidRPr="00C86CE6" w:rsidRDefault="00596AB4" w:rsidP="00596AB4">
      <w:pPr>
        <w:pStyle w:val="paragraphsub"/>
      </w:pPr>
      <w:r w:rsidRPr="00C86CE6">
        <w:tab/>
        <w:t>(i)</w:t>
      </w:r>
      <w:r w:rsidRPr="00C86CE6">
        <w:tab/>
        <w:t xml:space="preserve">the payer in a case where </w:t>
      </w:r>
      <w:r w:rsidR="00E031B1" w:rsidRPr="00C86CE6">
        <w:t>the person who controls</w:t>
      </w:r>
      <w:r w:rsidRPr="00C86CE6">
        <w:t xml:space="preserve"> </w:t>
      </w:r>
      <w:r w:rsidR="00367243" w:rsidRPr="00C86CE6">
        <w:t xml:space="preserve">the </w:t>
      </w:r>
      <w:r w:rsidRPr="00C86CE6">
        <w:t>wallet has not been verified; or</w:t>
      </w:r>
    </w:p>
    <w:p w14:paraId="3F341D16" w14:textId="77777777" w:rsidR="00596AB4" w:rsidRPr="00C86CE6" w:rsidRDefault="00596AB4" w:rsidP="00596AB4">
      <w:pPr>
        <w:pStyle w:val="paragraphsub"/>
      </w:pPr>
      <w:r w:rsidRPr="00C86CE6">
        <w:tab/>
        <w:t>(ii)</w:t>
      </w:r>
      <w:r w:rsidRPr="00C86CE6">
        <w:tab/>
        <w:t>a person not required to be licensed or registered under a law that gives effect to the FATF Recommendations; or</w:t>
      </w:r>
    </w:p>
    <w:p w14:paraId="4D4CA22B" w14:textId="77777777" w:rsidR="00596AB4" w:rsidRPr="00C86CE6" w:rsidRDefault="00596AB4" w:rsidP="00596AB4">
      <w:pPr>
        <w:pStyle w:val="paragraphsub"/>
      </w:pPr>
      <w:r w:rsidRPr="00C86CE6">
        <w:tab/>
        <w:t>(iii)</w:t>
      </w:r>
      <w:r w:rsidRPr="00C86CE6">
        <w:tab/>
        <w:t>a person licensed or registered under a law that gives effect to the FATF Recommendations, in a case where the ordering institution or any intermediary institution is not capable of securely passing on information.</w:t>
      </w:r>
    </w:p>
    <w:p w14:paraId="0FF628E9" w14:textId="21D3A869" w:rsidR="00596AB4" w:rsidRPr="00C86CE6" w:rsidRDefault="00596AB4" w:rsidP="00596AB4">
      <w:pPr>
        <w:pStyle w:val="notetext"/>
      </w:pPr>
      <w:r w:rsidRPr="00C86CE6">
        <w:t>Note:</w:t>
      </w:r>
      <w:r w:rsidRPr="00C86CE6">
        <w:tab/>
      </w:r>
      <w:r w:rsidR="009B58BE" w:rsidRPr="00C86CE6">
        <w:t>Subsection 6</w:t>
      </w:r>
      <w:r w:rsidRPr="00C86CE6">
        <w:t>6A(7) of the Act prohibits provision of the service if the person who controls the wallet is required to be licensed or registered under a law that gives effect to the FATF Recommendations, but is not so licensed or registered.</w:t>
      </w:r>
    </w:p>
    <w:p w14:paraId="718C2B96" w14:textId="00305734" w:rsidR="00596AB4" w:rsidRPr="00C86CE6" w:rsidRDefault="00BC4A61" w:rsidP="00596AB4">
      <w:pPr>
        <w:pStyle w:val="ActHead5"/>
      </w:pPr>
      <w:bookmarkStart w:id="30" w:name="_Toc184727333"/>
      <w:r w:rsidRPr="004B21E2">
        <w:rPr>
          <w:rStyle w:val="CharSectno"/>
        </w:rPr>
        <w:lastRenderedPageBreak/>
        <w:t>22</w:t>
      </w:r>
      <w:r w:rsidR="00596AB4" w:rsidRPr="00C86CE6">
        <w:t xml:space="preserve">  Policies relating to the obligations of intermediary institutions</w:t>
      </w:r>
      <w:bookmarkEnd w:id="30"/>
    </w:p>
    <w:p w14:paraId="29711B7F" w14:textId="387F5552" w:rsidR="00596AB4" w:rsidRPr="00C86CE6" w:rsidRDefault="00596AB4" w:rsidP="00596AB4">
      <w:pPr>
        <w:pStyle w:val="subsection"/>
      </w:pPr>
      <w:r w:rsidRPr="00C86CE6">
        <w:tab/>
      </w:r>
      <w:r w:rsidRPr="00C86CE6">
        <w:tab/>
        <w:t xml:space="preserve">For the purposes of </w:t>
      </w:r>
      <w:r w:rsidR="00A25E52" w:rsidRPr="00C86CE6">
        <w:t>paragraph 2</w:t>
      </w:r>
      <w:r w:rsidRPr="00C86CE6">
        <w:t xml:space="preserve">6F(3)(e) of the Act, the AML/CTF policies of a reporting entity must deal with the following if the reporting entity is to provide a designated service covered by </w:t>
      </w:r>
      <w:r w:rsidR="009B58BE" w:rsidRPr="00C86CE6">
        <w:t>item 3</w:t>
      </w:r>
      <w:r w:rsidRPr="00C86CE6">
        <w:t xml:space="preserve">1 of table </w:t>
      </w:r>
      <w:r w:rsidR="00D124A3" w:rsidRPr="00C86CE6">
        <w:t xml:space="preserve">1 </w:t>
      </w:r>
      <w:r w:rsidRPr="00C86CE6">
        <w:t xml:space="preserve">in </w:t>
      </w:r>
      <w:r w:rsidR="009B58BE" w:rsidRPr="00C86CE6">
        <w:t>section 6</w:t>
      </w:r>
      <w:r w:rsidRPr="00C86CE6">
        <w:t xml:space="preserve"> of the Act, as an intermediary institution, in relation to a transfer of value:</w:t>
      </w:r>
    </w:p>
    <w:p w14:paraId="7338904E" w14:textId="6B40D37F" w:rsidR="00596AB4" w:rsidRPr="00C86CE6" w:rsidRDefault="00596AB4" w:rsidP="00596AB4">
      <w:pPr>
        <w:pStyle w:val="paragraph"/>
      </w:pPr>
      <w:r w:rsidRPr="00C86CE6">
        <w:tab/>
        <w:t>(a)</w:t>
      </w:r>
      <w:r w:rsidRPr="00C86CE6">
        <w:tab/>
        <w:t xml:space="preserve">reasonable steps to monitor whether the reporting entity has received the information specified in the AML/CTF Rules for the purposes of </w:t>
      </w:r>
      <w:r w:rsidR="009B58BE" w:rsidRPr="00C86CE6">
        <w:t>subsection 6</w:t>
      </w:r>
      <w:r w:rsidRPr="00C86CE6">
        <w:t>6(2) of the Act relating to the transfer of value;</w:t>
      </w:r>
    </w:p>
    <w:p w14:paraId="5C04F0E0" w14:textId="3600E9B3" w:rsidR="00596AB4" w:rsidRPr="00C86CE6" w:rsidRDefault="00596AB4" w:rsidP="00596AB4">
      <w:pPr>
        <w:pStyle w:val="paragraph"/>
      </w:pPr>
      <w:r w:rsidRPr="00C86CE6">
        <w:tab/>
        <w:t>(b)</w:t>
      </w:r>
      <w:r w:rsidRPr="00C86CE6">
        <w:tab/>
        <w:t xml:space="preserve">determining whether to pass on a transfer message for the transfer of value in the circumstances described in </w:t>
      </w:r>
      <w:r w:rsidR="009B58BE" w:rsidRPr="00C86CE6">
        <w:t>subsection 6</w:t>
      </w:r>
      <w:r w:rsidRPr="00C86CE6">
        <w:t>6(3) of the Act;</w:t>
      </w:r>
    </w:p>
    <w:p w14:paraId="4499BAFC" w14:textId="41D9517D" w:rsidR="00596AB4" w:rsidRPr="00C86CE6" w:rsidRDefault="00596AB4" w:rsidP="00D124A3">
      <w:pPr>
        <w:pStyle w:val="paragraph"/>
      </w:pPr>
      <w:r w:rsidRPr="00C86CE6">
        <w:tab/>
        <w:t>(c)</w:t>
      </w:r>
      <w:r w:rsidRPr="00C86CE6">
        <w:tab/>
        <w:t xml:space="preserve">determining whether to request further information from another institution in the value transfer chain in the circumstances described in </w:t>
      </w:r>
      <w:r w:rsidR="009B58BE" w:rsidRPr="00C86CE6">
        <w:t>subsection 6</w:t>
      </w:r>
      <w:r w:rsidRPr="00C86CE6">
        <w:t>6(3) of the Act.</w:t>
      </w:r>
    </w:p>
    <w:p w14:paraId="58A727D1" w14:textId="25FF332E" w:rsidR="00596AB4" w:rsidRPr="00C86CE6" w:rsidRDefault="00270E8B" w:rsidP="00596AB4">
      <w:pPr>
        <w:pStyle w:val="ActHead3"/>
        <w:pageBreakBefore/>
      </w:pPr>
      <w:bookmarkStart w:id="31" w:name="_Toc184727334"/>
      <w:r w:rsidRPr="004B21E2">
        <w:rPr>
          <w:rStyle w:val="CharDivNo"/>
        </w:rPr>
        <w:lastRenderedPageBreak/>
        <w:t>Division 3</w:t>
      </w:r>
      <w:r w:rsidR="00596AB4" w:rsidRPr="00C86CE6">
        <w:t>—</w:t>
      </w:r>
      <w:r w:rsidR="00596AB4" w:rsidRPr="004B21E2">
        <w:rPr>
          <w:rStyle w:val="CharDivText"/>
        </w:rPr>
        <w:t>AML/CTF compliance officers</w:t>
      </w:r>
      <w:bookmarkEnd w:id="31"/>
    </w:p>
    <w:p w14:paraId="1FAF67B3" w14:textId="41B71A61" w:rsidR="00596AB4" w:rsidRPr="00C86CE6" w:rsidRDefault="00BC4A61" w:rsidP="00596AB4">
      <w:pPr>
        <w:pStyle w:val="ActHead5"/>
      </w:pPr>
      <w:bookmarkStart w:id="32" w:name="_Toc184727335"/>
      <w:r w:rsidRPr="004B21E2">
        <w:rPr>
          <w:rStyle w:val="CharSectno"/>
        </w:rPr>
        <w:t>23</w:t>
      </w:r>
      <w:r w:rsidR="00596AB4" w:rsidRPr="00C86CE6">
        <w:t xml:space="preserve">  AML/CTF compliance officer requirements—matters to have regard to in determining whether a fit and proper person</w:t>
      </w:r>
      <w:bookmarkEnd w:id="32"/>
    </w:p>
    <w:p w14:paraId="272A11A6" w14:textId="030D0E50" w:rsidR="00596AB4" w:rsidRPr="00C86CE6" w:rsidRDefault="00596AB4" w:rsidP="00596AB4">
      <w:pPr>
        <w:pStyle w:val="subsection"/>
      </w:pPr>
      <w:r w:rsidRPr="00C86CE6">
        <w:tab/>
      </w:r>
      <w:r w:rsidRPr="00C86CE6">
        <w:tab/>
        <w:t xml:space="preserve">For the purposes of </w:t>
      </w:r>
      <w:r w:rsidR="00A25E52" w:rsidRPr="00C86CE6">
        <w:t>subsection 2</w:t>
      </w:r>
      <w:r w:rsidRPr="00C86CE6">
        <w:t xml:space="preserve">6J(4) of the Act, a reporting entity must have regard to the following matters in determining whether an individual is a fit and proper person for the purposes of </w:t>
      </w:r>
      <w:r w:rsidR="00A25E52" w:rsidRPr="00C86CE6">
        <w:t>paragraph 2</w:t>
      </w:r>
      <w:r w:rsidRPr="00C86CE6">
        <w:t>6J(3)(b) of the Act:</w:t>
      </w:r>
    </w:p>
    <w:p w14:paraId="13F3DC0F" w14:textId="77777777" w:rsidR="00596AB4" w:rsidRPr="00C86CE6" w:rsidRDefault="00596AB4" w:rsidP="00596AB4">
      <w:pPr>
        <w:pStyle w:val="paragraph"/>
      </w:pPr>
      <w:r w:rsidRPr="00C86CE6">
        <w:tab/>
        <w:t>(a)</w:t>
      </w:r>
      <w:r w:rsidRPr="00C86CE6">
        <w:tab/>
        <w:t>whether the individual possesses the competence, character, diligence, honesty, integrity and judgement to properly perform the duties of the AML/CTF compliance officer for the reporting entity;</w:t>
      </w:r>
    </w:p>
    <w:p w14:paraId="0D4DDB42" w14:textId="77777777" w:rsidR="00596AB4" w:rsidRPr="00C86CE6" w:rsidRDefault="00596AB4" w:rsidP="00596AB4">
      <w:pPr>
        <w:pStyle w:val="paragraph"/>
      </w:pPr>
      <w:r w:rsidRPr="00C86CE6">
        <w:tab/>
        <w:t>(b)</w:t>
      </w:r>
      <w:r w:rsidRPr="00C86CE6">
        <w:tab/>
        <w:t>whether the individual has been convicted of a serious offence;</w:t>
      </w:r>
    </w:p>
    <w:p w14:paraId="7EE1221A" w14:textId="77777777" w:rsidR="00596AB4" w:rsidRPr="00C86CE6" w:rsidRDefault="00596AB4" w:rsidP="00596AB4">
      <w:pPr>
        <w:pStyle w:val="paragraph"/>
      </w:pPr>
      <w:r w:rsidRPr="00C86CE6">
        <w:tab/>
        <w:t>(c)</w:t>
      </w:r>
      <w:r w:rsidRPr="00C86CE6">
        <w:tab/>
        <w:t>whether the individual has been the subject of adverse findings, or found to have engaged in serious misconduct, by a regulatory body in Australia or a foreign country;</w:t>
      </w:r>
    </w:p>
    <w:p w14:paraId="1DE64951" w14:textId="77777777" w:rsidR="00596AB4" w:rsidRPr="00C86CE6" w:rsidRDefault="00596AB4" w:rsidP="00596AB4">
      <w:pPr>
        <w:pStyle w:val="paragraph"/>
      </w:pPr>
      <w:r w:rsidRPr="00C86CE6">
        <w:tab/>
        <w:t>(d)</w:t>
      </w:r>
      <w:r w:rsidRPr="00C86CE6">
        <w:tab/>
        <w:t>whether the individual is an undischarged bankrupt under the law of Australia or a foreign country;</w:t>
      </w:r>
    </w:p>
    <w:p w14:paraId="2697644C" w14:textId="77777777" w:rsidR="00596AB4" w:rsidRPr="00C86CE6" w:rsidRDefault="00596AB4" w:rsidP="00596AB4">
      <w:pPr>
        <w:pStyle w:val="paragraph"/>
      </w:pPr>
      <w:r w:rsidRPr="00C86CE6">
        <w:tab/>
        <w:t>(e)</w:t>
      </w:r>
      <w:r w:rsidRPr="00C86CE6">
        <w:tab/>
        <w:t xml:space="preserve">whether the individual has executed a personal insolvency agreement under </w:t>
      </w:r>
      <w:r w:rsidR="00606BBD" w:rsidRPr="00C86CE6">
        <w:t>Part X</w:t>
      </w:r>
      <w:r w:rsidRPr="00C86CE6">
        <w:t xml:space="preserve"> of the </w:t>
      </w:r>
      <w:r w:rsidRPr="00C86CE6">
        <w:rPr>
          <w:i/>
        </w:rPr>
        <w:t>Bankruptcy Act 1966</w:t>
      </w:r>
      <w:r w:rsidRPr="00C86CE6">
        <w:t xml:space="preserve"> or a similar law of a foreign country;</w:t>
      </w:r>
    </w:p>
    <w:p w14:paraId="18EF701C" w14:textId="77777777" w:rsidR="00596AB4" w:rsidRPr="00C86CE6" w:rsidRDefault="00596AB4" w:rsidP="00596AB4">
      <w:pPr>
        <w:pStyle w:val="paragraph"/>
      </w:pPr>
      <w:r w:rsidRPr="00C86CE6">
        <w:tab/>
        <w:t>(f)</w:t>
      </w:r>
      <w:r w:rsidRPr="00C86CE6">
        <w:tab/>
        <w:t>whether the individual has a conflict of interest that will create a material risk that the individual will fail to properly perform the duties of the AML/CTF compliance officer for the reporting entity.</w:t>
      </w:r>
    </w:p>
    <w:p w14:paraId="34AC9400" w14:textId="77777777" w:rsidR="00596AB4" w:rsidRPr="00C86CE6" w:rsidRDefault="00596AB4" w:rsidP="00077E27">
      <w:pPr>
        <w:pStyle w:val="notetext"/>
      </w:pPr>
      <w:r w:rsidRPr="00C86CE6">
        <w:t>Note:</w:t>
      </w:r>
      <w:r w:rsidRPr="00C86CE6">
        <w:tab/>
      </w:r>
      <w:r w:rsidR="00606BBD" w:rsidRPr="00C86CE6">
        <w:t>Paragraph (</w:t>
      </w:r>
      <w:r w:rsidRPr="00C86CE6">
        <w:t xml:space="preserve">b) does not affect the operation of </w:t>
      </w:r>
      <w:r w:rsidR="00606BBD" w:rsidRPr="00C86CE6">
        <w:t>Part V</w:t>
      </w:r>
      <w:r w:rsidRPr="00C86CE6">
        <w:t xml:space="preserve">IIC of the </w:t>
      </w:r>
      <w:r w:rsidRPr="00C86CE6">
        <w:rPr>
          <w:i/>
        </w:rPr>
        <w:t>Crimes Act 1914</w:t>
      </w:r>
      <w:r w:rsidRPr="00C86CE6">
        <w:t>, which includes provisions that, in certain circumstances, relieve persons from the requirement to disclose spent convictions and require persons aware of such convictions to disregard them.</w:t>
      </w:r>
    </w:p>
    <w:p w14:paraId="5BB695D2" w14:textId="24099FF2" w:rsidR="00596AB4" w:rsidRPr="00C86CE6" w:rsidRDefault="00A25E52" w:rsidP="00596AB4">
      <w:pPr>
        <w:pStyle w:val="ActHead3"/>
        <w:pageBreakBefore/>
      </w:pPr>
      <w:bookmarkStart w:id="33" w:name="_Toc184727336"/>
      <w:r w:rsidRPr="004B21E2">
        <w:rPr>
          <w:rStyle w:val="CharDivNo"/>
        </w:rPr>
        <w:lastRenderedPageBreak/>
        <w:t>Division 4</w:t>
      </w:r>
      <w:r w:rsidR="00596AB4" w:rsidRPr="00C86CE6">
        <w:t>—</w:t>
      </w:r>
      <w:r w:rsidR="00596AB4" w:rsidRPr="004B21E2">
        <w:rPr>
          <w:rStyle w:val="CharDivText"/>
        </w:rPr>
        <w:t>AML/CTF program documentation</w:t>
      </w:r>
      <w:bookmarkEnd w:id="33"/>
    </w:p>
    <w:p w14:paraId="069E809E" w14:textId="71A0DCA9" w:rsidR="00596AB4" w:rsidRPr="00C86CE6" w:rsidRDefault="00BC4A61" w:rsidP="00596AB4">
      <w:pPr>
        <w:pStyle w:val="ActHead5"/>
      </w:pPr>
      <w:bookmarkStart w:id="34" w:name="_Toc184727337"/>
      <w:r w:rsidRPr="004B21E2">
        <w:rPr>
          <w:rStyle w:val="CharSectno"/>
        </w:rPr>
        <w:t>24</w:t>
      </w:r>
      <w:r w:rsidR="00596AB4" w:rsidRPr="00C86CE6">
        <w:t xml:space="preserve">  Time period for AML/CTF program documentation</w:t>
      </w:r>
      <w:bookmarkEnd w:id="34"/>
    </w:p>
    <w:p w14:paraId="09B8F363" w14:textId="150C4DA0" w:rsidR="00596AB4" w:rsidRPr="00C86CE6" w:rsidRDefault="00596AB4" w:rsidP="00596AB4">
      <w:pPr>
        <w:pStyle w:val="subsection"/>
      </w:pPr>
      <w:r w:rsidRPr="00C86CE6">
        <w:tab/>
        <w:t>(1)</w:t>
      </w:r>
      <w:r w:rsidRPr="00C86CE6">
        <w:tab/>
        <w:t xml:space="preserve">For the purposes of </w:t>
      </w:r>
      <w:r w:rsidR="00A25E52" w:rsidRPr="00C86CE6">
        <w:t>subsection 2</w:t>
      </w:r>
      <w:r w:rsidRPr="00C86CE6">
        <w:t>6N(1) of the Act, a reporting entity must document:</w:t>
      </w:r>
    </w:p>
    <w:p w14:paraId="175DC31B" w14:textId="1630C390" w:rsidR="00596AB4" w:rsidRPr="00C86CE6" w:rsidRDefault="00596AB4" w:rsidP="00596AB4">
      <w:pPr>
        <w:pStyle w:val="paragraph"/>
      </w:pPr>
      <w:r w:rsidRPr="00C86CE6">
        <w:tab/>
        <w:t>(a)</w:t>
      </w:r>
      <w:r w:rsidRPr="00C86CE6">
        <w:tab/>
        <w:t xml:space="preserve">the ML/TF risk assessment undertaken by the reporting entity under </w:t>
      </w:r>
      <w:r w:rsidR="00A25E52" w:rsidRPr="00C86CE6">
        <w:t>section 2</w:t>
      </w:r>
      <w:r w:rsidRPr="00C86CE6">
        <w:t>6C of the Act; and</w:t>
      </w:r>
    </w:p>
    <w:p w14:paraId="0312A7BF" w14:textId="796B5A64" w:rsidR="00596AB4" w:rsidRPr="00C86CE6" w:rsidRDefault="00596AB4" w:rsidP="00596AB4">
      <w:pPr>
        <w:pStyle w:val="paragraph"/>
      </w:pPr>
      <w:r w:rsidRPr="00C86CE6">
        <w:tab/>
        <w:t>(b)</w:t>
      </w:r>
      <w:r w:rsidRPr="00C86CE6">
        <w:tab/>
        <w:t xml:space="preserve">the AML/CTF policies developed by the reporting entity under </w:t>
      </w:r>
      <w:r w:rsidR="00A25E52" w:rsidRPr="00C86CE6">
        <w:t>section 2</w:t>
      </w:r>
      <w:r w:rsidRPr="00C86CE6">
        <w:t>6F of the Act;</w:t>
      </w:r>
    </w:p>
    <w:p w14:paraId="7DBA020E" w14:textId="77777777" w:rsidR="00596AB4" w:rsidRPr="00C86CE6" w:rsidRDefault="00596AB4" w:rsidP="00596AB4">
      <w:pPr>
        <w:pStyle w:val="subsection2"/>
      </w:pPr>
      <w:r w:rsidRPr="00C86CE6">
        <w:t>within the period ending immediately before the reporting entity first commences providing a designated service to a customer.</w:t>
      </w:r>
    </w:p>
    <w:p w14:paraId="63EDD1B7" w14:textId="77BA52B5" w:rsidR="00596AB4" w:rsidRPr="00C86CE6" w:rsidRDefault="00596AB4" w:rsidP="00596AB4">
      <w:pPr>
        <w:pStyle w:val="subsection"/>
      </w:pPr>
      <w:r w:rsidRPr="00C86CE6">
        <w:tab/>
        <w:t>(2)</w:t>
      </w:r>
      <w:r w:rsidRPr="00C86CE6">
        <w:tab/>
        <w:t xml:space="preserve">For the purposes of </w:t>
      </w:r>
      <w:r w:rsidR="00A25E52" w:rsidRPr="00C86CE6">
        <w:t>subsection 2</w:t>
      </w:r>
      <w:r w:rsidRPr="00C86CE6">
        <w:t>6N(1) of the Act, if a reporting entity:</w:t>
      </w:r>
    </w:p>
    <w:p w14:paraId="35934959" w14:textId="0FA442D5" w:rsidR="00596AB4" w:rsidRPr="00C86CE6" w:rsidRDefault="00596AB4" w:rsidP="00596AB4">
      <w:pPr>
        <w:pStyle w:val="paragraph"/>
      </w:pPr>
      <w:r w:rsidRPr="00C86CE6">
        <w:tab/>
        <w:t>(a)</w:t>
      </w:r>
      <w:r w:rsidRPr="00C86CE6">
        <w:tab/>
        <w:t xml:space="preserve">updates its ML/TF risk assessment under </w:t>
      </w:r>
      <w:r w:rsidR="00A25E52" w:rsidRPr="00C86CE6">
        <w:t>section 2</w:t>
      </w:r>
      <w:r w:rsidRPr="00C86CE6">
        <w:t>6D of the Act; or</w:t>
      </w:r>
    </w:p>
    <w:p w14:paraId="6E71BC70" w14:textId="77777777" w:rsidR="00596AB4" w:rsidRPr="00C86CE6" w:rsidRDefault="00596AB4" w:rsidP="00596AB4">
      <w:pPr>
        <w:pStyle w:val="paragraph"/>
      </w:pPr>
      <w:r w:rsidRPr="00C86CE6">
        <w:tab/>
        <w:t>(b)</w:t>
      </w:r>
      <w:r w:rsidRPr="00C86CE6">
        <w:tab/>
        <w:t>updates its AML/CTF policies;</w:t>
      </w:r>
    </w:p>
    <w:p w14:paraId="1C56FE1D" w14:textId="77777777" w:rsidR="00596AB4" w:rsidRPr="00C86CE6" w:rsidRDefault="00596AB4" w:rsidP="00596AB4">
      <w:pPr>
        <w:pStyle w:val="subsection2"/>
      </w:pPr>
      <w:r w:rsidRPr="00C86CE6">
        <w:t xml:space="preserve">the reporting entity must document its AML/CTF program (as updated) within </w:t>
      </w:r>
      <w:r w:rsidRPr="00C86CE6">
        <w:rPr>
          <w:i/>
        </w:rPr>
        <w:t>[to be drafted]</w:t>
      </w:r>
      <w:r w:rsidRPr="00C86CE6">
        <w:t xml:space="preserve"> after the update occurs.</w:t>
      </w:r>
    </w:p>
    <w:p w14:paraId="772168FF" w14:textId="1A06F553" w:rsidR="00D86399" w:rsidRPr="00C86CE6" w:rsidRDefault="00606BBD" w:rsidP="00D86399">
      <w:pPr>
        <w:pStyle w:val="ActHead2"/>
        <w:pageBreakBefore/>
      </w:pPr>
      <w:bookmarkStart w:id="35" w:name="_Toc184727338"/>
      <w:r w:rsidRPr="004B21E2">
        <w:rPr>
          <w:rStyle w:val="CharPartNo"/>
        </w:rPr>
        <w:lastRenderedPageBreak/>
        <w:t>Part </w:t>
      </w:r>
      <w:r w:rsidR="00AB693F" w:rsidRPr="004B21E2">
        <w:rPr>
          <w:rStyle w:val="CharPartNo"/>
        </w:rPr>
        <w:t>5</w:t>
      </w:r>
      <w:r w:rsidR="00D86399" w:rsidRPr="00C86CE6">
        <w:t>—</w:t>
      </w:r>
      <w:r w:rsidR="00D86399" w:rsidRPr="004B21E2">
        <w:rPr>
          <w:rStyle w:val="CharPartText"/>
        </w:rPr>
        <w:t>Customer due diligence</w:t>
      </w:r>
      <w:bookmarkEnd w:id="35"/>
    </w:p>
    <w:p w14:paraId="0A7BFB8B" w14:textId="29106F46" w:rsidR="00C42195" w:rsidRPr="00C86CE6" w:rsidRDefault="00270E8B" w:rsidP="00A25E52">
      <w:pPr>
        <w:pStyle w:val="ActHead3"/>
      </w:pPr>
      <w:bookmarkStart w:id="36" w:name="_Toc184727339"/>
      <w:r w:rsidRPr="004B21E2">
        <w:rPr>
          <w:rStyle w:val="CharDivNo"/>
        </w:rPr>
        <w:t>Division 1</w:t>
      </w:r>
      <w:r w:rsidR="00C42195" w:rsidRPr="00C86CE6">
        <w:t>—</w:t>
      </w:r>
      <w:r w:rsidR="000F52AC" w:rsidRPr="004B21E2">
        <w:rPr>
          <w:rStyle w:val="CharDivText"/>
        </w:rPr>
        <w:t>Matters to be established in initial customer due diligence</w:t>
      </w:r>
      <w:bookmarkEnd w:id="36"/>
    </w:p>
    <w:p w14:paraId="2E97E07A" w14:textId="6C1C6142" w:rsidR="00E56542" w:rsidRPr="00C86CE6" w:rsidRDefault="00BC4A61" w:rsidP="00EC20CD">
      <w:pPr>
        <w:pStyle w:val="ActHead5"/>
      </w:pPr>
      <w:bookmarkStart w:id="37" w:name="_Toc184727340"/>
      <w:r w:rsidRPr="004B21E2">
        <w:rPr>
          <w:rStyle w:val="CharSectno"/>
        </w:rPr>
        <w:t>25</w:t>
      </w:r>
      <w:r w:rsidR="00E56542" w:rsidRPr="00C86CE6">
        <w:t xml:space="preserve">  Establishing the identity of the customer—individuals</w:t>
      </w:r>
      <w:r w:rsidR="009B152C" w:rsidRPr="00C86CE6">
        <w:t xml:space="preserve"> (accounts and transfer of value)</w:t>
      </w:r>
      <w:bookmarkEnd w:id="37"/>
    </w:p>
    <w:p w14:paraId="3E52B2CA" w14:textId="00BB98F7" w:rsidR="00E56542" w:rsidRPr="00C86CE6" w:rsidRDefault="00E56542" w:rsidP="00E56542">
      <w:pPr>
        <w:pStyle w:val="subsection"/>
      </w:pPr>
      <w:r w:rsidRPr="00C86CE6">
        <w:tab/>
        <w:t>(1)</w:t>
      </w:r>
      <w:r w:rsidRPr="00C86CE6">
        <w:tab/>
        <w:t xml:space="preserve">For the purposes of </w:t>
      </w:r>
      <w:r w:rsidR="00A25E52" w:rsidRPr="00C86CE6">
        <w:t>paragraph 2</w:t>
      </w:r>
      <w:r w:rsidRPr="00C86CE6">
        <w:t xml:space="preserve">8(6)(a) of the Act, the requirements in this section apply in relation to a reporting entity establishing on reasonable grounds the matter in </w:t>
      </w:r>
      <w:r w:rsidR="00A25E52" w:rsidRPr="00C86CE6">
        <w:t>paragraph 2</w:t>
      </w:r>
      <w:r w:rsidRPr="00C86CE6">
        <w:t>8(2)(a) of the Act (the identity of the customer) if:</w:t>
      </w:r>
    </w:p>
    <w:p w14:paraId="7CB3B210" w14:textId="4C2E1F3A" w:rsidR="00E56542" w:rsidRPr="00C86CE6" w:rsidRDefault="00E56542" w:rsidP="00E56542">
      <w:pPr>
        <w:pStyle w:val="paragraph"/>
      </w:pPr>
      <w:r w:rsidRPr="00C86CE6">
        <w:tab/>
        <w:t>(a)</w:t>
      </w:r>
      <w:r w:rsidRPr="00C86CE6">
        <w:tab/>
        <w:t>the customer is an individual; and</w:t>
      </w:r>
    </w:p>
    <w:p w14:paraId="39F45668" w14:textId="1287169E" w:rsidR="00E56542" w:rsidRPr="00C86CE6" w:rsidRDefault="00E56542" w:rsidP="00E56542">
      <w:pPr>
        <w:pStyle w:val="paragraph"/>
      </w:pPr>
      <w:r w:rsidRPr="00C86CE6">
        <w:tab/>
        <w:t>(b)</w:t>
      </w:r>
      <w:r w:rsidRPr="00C86CE6">
        <w:tab/>
        <w:t xml:space="preserve">a designated service covered by </w:t>
      </w:r>
      <w:r w:rsidR="00A25E52" w:rsidRPr="00C86CE6">
        <w:t>item 1</w:t>
      </w:r>
      <w:r w:rsidRPr="00C86CE6">
        <w:t>, 3, 5</w:t>
      </w:r>
      <w:r w:rsidR="00376A9B" w:rsidRPr="00C86CE6">
        <w:t>,</w:t>
      </w:r>
      <w:r w:rsidRPr="00C86CE6">
        <w:t xml:space="preserve"> 29</w:t>
      </w:r>
      <w:r w:rsidR="00376A9B" w:rsidRPr="00C86CE6">
        <w:t xml:space="preserve"> or 30</w:t>
      </w:r>
      <w:r w:rsidRPr="00C86CE6">
        <w:t xml:space="preserve"> of table 1 in section 6 of the Act is proposed to be provided to the customer at or through a permanent establishment of the reporting entity in Australia.</w:t>
      </w:r>
    </w:p>
    <w:p w14:paraId="18097E81" w14:textId="0BFBF4D6" w:rsidR="00E56542" w:rsidRPr="00C86CE6" w:rsidRDefault="00E56542" w:rsidP="00E56542">
      <w:pPr>
        <w:pStyle w:val="subsection"/>
      </w:pPr>
      <w:r w:rsidRPr="00C86CE6">
        <w:tab/>
        <w:t>(2)</w:t>
      </w:r>
      <w:r w:rsidRPr="00C86CE6">
        <w:tab/>
        <w:t xml:space="preserve">The reporting entity must collect </w:t>
      </w:r>
      <w:r w:rsidR="00376A9B" w:rsidRPr="00C86CE6">
        <w:t xml:space="preserve">and verify </w:t>
      </w:r>
      <w:r w:rsidRPr="00C86CE6">
        <w:t>at least the following KYC information about the customer:</w:t>
      </w:r>
    </w:p>
    <w:p w14:paraId="021D77EE" w14:textId="3604ECBA" w:rsidR="00E56542" w:rsidRPr="00C86CE6" w:rsidRDefault="00E56542" w:rsidP="00E56542">
      <w:pPr>
        <w:pStyle w:val="paragraph"/>
      </w:pPr>
      <w:r w:rsidRPr="00C86CE6">
        <w:tab/>
        <w:t>(a)</w:t>
      </w:r>
      <w:r w:rsidRPr="00C86CE6">
        <w:tab/>
        <w:t>date of birth;</w:t>
      </w:r>
    </w:p>
    <w:p w14:paraId="2D2B5B61" w14:textId="7B0A7797" w:rsidR="00E56542" w:rsidRPr="00C86CE6" w:rsidRDefault="00E56542" w:rsidP="00E56542">
      <w:pPr>
        <w:pStyle w:val="paragraph"/>
      </w:pPr>
      <w:r w:rsidRPr="00C86CE6">
        <w:tab/>
        <w:t>(b)</w:t>
      </w:r>
      <w:r w:rsidRPr="00C86CE6">
        <w:tab/>
        <w:t>place of birth.</w:t>
      </w:r>
    </w:p>
    <w:p w14:paraId="5FA0A8F1" w14:textId="0308665B" w:rsidR="00EC20CD" w:rsidRPr="00C86CE6" w:rsidRDefault="00BC4A61" w:rsidP="00EC20CD">
      <w:pPr>
        <w:pStyle w:val="ActHead5"/>
      </w:pPr>
      <w:bookmarkStart w:id="38" w:name="_Toc184727341"/>
      <w:r w:rsidRPr="004B21E2">
        <w:rPr>
          <w:rStyle w:val="CharSectno"/>
        </w:rPr>
        <w:t>26</w:t>
      </w:r>
      <w:r w:rsidR="00EC20CD" w:rsidRPr="00C86CE6">
        <w:t xml:space="preserve">  Establishing the identity of the customer</w:t>
      </w:r>
      <w:r w:rsidR="00E56542" w:rsidRPr="00C86CE6">
        <w:t>—businesses</w:t>
      </w:r>
      <w:bookmarkEnd w:id="38"/>
    </w:p>
    <w:p w14:paraId="4163C3F0" w14:textId="7D028EE8" w:rsidR="00C812C7" w:rsidRPr="00C86CE6" w:rsidRDefault="00EC20CD" w:rsidP="00E56542">
      <w:pPr>
        <w:pStyle w:val="subsection"/>
      </w:pPr>
      <w:r w:rsidRPr="00C86CE6">
        <w:tab/>
        <w:t>(1)</w:t>
      </w:r>
      <w:r w:rsidRPr="00C86CE6">
        <w:tab/>
        <w:t xml:space="preserve">For the purposes of </w:t>
      </w:r>
      <w:r w:rsidR="00A25E52" w:rsidRPr="00C86CE6">
        <w:t>paragraph 2</w:t>
      </w:r>
      <w:r w:rsidRPr="00C86CE6">
        <w:t xml:space="preserve">8(6)(a) of the Act, </w:t>
      </w:r>
      <w:r w:rsidR="00C812C7" w:rsidRPr="00C86CE6">
        <w:t>the</w:t>
      </w:r>
      <w:r w:rsidRPr="00C86CE6">
        <w:t xml:space="preserve"> requirements</w:t>
      </w:r>
      <w:r w:rsidR="00C812C7" w:rsidRPr="00C86CE6">
        <w:t xml:space="preserve"> in this section apply</w:t>
      </w:r>
      <w:r w:rsidRPr="00C86CE6">
        <w:t xml:space="preserve"> in relation to </w:t>
      </w:r>
      <w:r w:rsidR="00E006EB" w:rsidRPr="00C86CE6">
        <w:t xml:space="preserve">a reporting entity </w:t>
      </w:r>
      <w:r w:rsidRPr="00C86CE6">
        <w:t xml:space="preserve">establishing on reasonable grounds the matter in </w:t>
      </w:r>
      <w:r w:rsidR="00A25E52" w:rsidRPr="00C86CE6">
        <w:t>paragraph 2</w:t>
      </w:r>
      <w:r w:rsidRPr="00C86CE6">
        <w:t>8(2)(a) of the Act (the identity of the customer)</w:t>
      </w:r>
      <w:r w:rsidR="00C812C7" w:rsidRPr="00C86CE6">
        <w:t xml:space="preserve"> if:</w:t>
      </w:r>
    </w:p>
    <w:p w14:paraId="09424BEC" w14:textId="5BF0F451" w:rsidR="00C812C7" w:rsidRPr="00C86CE6" w:rsidRDefault="00C812C7" w:rsidP="00C812C7">
      <w:pPr>
        <w:pStyle w:val="paragraph"/>
      </w:pPr>
      <w:r w:rsidRPr="00C86CE6">
        <w:tab/>
        <w:t>(</w:t>
      </w:r>
      <w:r w:rsidR="00E56542" w:rsidRPr="00C86CE6">
        <w:t>a</w:t>
      </w:r>
      <w:r w:rsidRPr="00C86CE6">
        <w:t>)</w:t>
      </w:r>
      <w:r w:rsidRPr="00C86CE6">
        <w:tab/>
        <w:t>either:</w:t>
      </w:r>
    </w:p>
    <w:p w14:paraId="26B4988A" w14:textId="77777777" w:rsidR="00C812C7" w:rsidRPr="00C86CE6" w:rsidRDefault="00C812C7" w:rsidP="00C812C7">
      <w:pPr>
        <w:pStyle w:val="paragraphsub"/>
      </w:pPr>
      <w:r w:rsidRPr="00C86CE6">
        <w:tab/>
        <w:t>(i)</w:t>
      </w:r>
      <w:r w:rsidRPr="00C86CE6">
        <w:tab/>
        <w:t>the customer is a person other than an individual; or</w:t>
      </w:r>
    </w:p>
    <w:p w14:paraId="54855068" w14:textId="5271CC77" w:rsidR="00C812C7" w:rsidRPr="00C86CE6" w:rsidRDefault="00C812C7" w:rsidP="00C812C7">
      <w:pPr>
        <w:pStyle w:val="paragraphsub"/>
      </w:pPr>
      <w:r w:rsidRPr="00C86CE6">
        <w:tab/>
        <w:t>(ii)</w:t>
      </w:r>
      <w:r w:rsidRPr="00C86CE6">
        <w:tab/>
        <w:t>the provision of a designated service is proposed to relate to the customer’s conduct of a business</w:t>
      </w:r>
      <w:r w:rsidR="00E56542" w:rsidRPr="00C86CE6">
        <w:t>; and</w:t>
      </w:r>
    </w:p>
    <w:p w14:paraId="5AFC89D4" w14:textId="727027B2" w:rsidR="00E56542" w:rsidRPr="00C86CE6" w:rsidRDefault="00E56542" w:rsidP="00E56542">
      <w:pPr>
        <w:pStyle w:val="paragraph"/>
      </w:pPr>
      <w:r w:rsidRPr="00C86CE6">
        <w:tab/>
        <w:t>(b)</w:t>
      </w:r>
      <w:r w:rsidRPr="00C86CE6">
        <w:tab/>
        <w:t>a designated service is proposed to be provided by the reporting entity to the customer at or through a permanent establishment of the reporting entity in Australia.</w:t>
      </w:r>
    </w:p>
    <w:p w14:paraId="49C9D05A" w14:textId="3C90328A" w:rsidR="00EC20CD" w:rsidRPr="00C86CE6" w:rsidRDefault="00C812C7" w:rsidP="00C812C7">
      <w:pPr>
        <w:pStyle w:val="subsection"/>
      </w:pPr>
      <w:r w:rsidRPr="00C86CE6">
        <w:tab/>
        <w:t>(2)</w:t>
      </w:r>
      <w:r w:rsidRPr="00C86CE6">
        <w:tab/>
        <w:t>T</w:t>
      </w:r>
      <w:r w:rsidR="00EC20CD" w:rsidRPr="00C86CE6">
        <w:t xml:space="preserve">he reporting entity must collect </w:t>
      </w:r>
      <w:r w:rsidR="00376A9B" w:rsidRPr="00C86CE6">
        <w:t xml:space="preserve">and verify </w:t>
      </w:r>
      <w:r w:rsidR="00EC20CD" w:rsidRPr="00C86CE6">
        <w:t>at least the following KYC information about the customer:</w:t>
      </w:r>
    </w:p>
    <w:p w14:paraId="5E4AF7D7" w14:textId="59626A85" w:rsidR="00EC20CD" w:rsidRPr="00C86CE6" w:rsidRDefault="00EC20CD" w:rsidP="00C812C7">
      <w:pPr>
        <w:pStyle w:val="paragraph"/>
      </w:pPr>
      <w:r w:rsidRPr="00C86CE6">
        <w:tab/>
        <w:t>(a)</w:t>
      </w:r>
      <w:r w:rsidRPr="00C86CE6">
        <w:tab/>
        <w:t>the customer’s name</w:t>
      </w:r>
      <w:r w:rsidR="00C812C7" w:rsidRPr="00C86CE6">
        <w:t xml:space="preserve">, </w:t>
      </w:r>
      <w:r w:rsidR="00B11711" w:rsidRPr="00C86CE6">
        <w:t>and</w:t>
      </w:r>
      <w:r w:rsidR="00C812C7" w:rsidRPr="00C86CE6">
        <w:t xml:space="preserve"> </w:t>
      </w:r>
      <w:r w:rsidRPr="00C86CE6">
        <w:t>any trading name or registered name</w:t>
      </w:r>
      <w:r w:rsidR="00E006EB" w:rsidRPr="00C86CE6">
        <w:t xml:space="preserve"> of the customer</w:t>
      </w:r>
      <w:r w:rsidRPr="00C86CE6">
        <w:t>;</w:t>
      </w:r>
    </w:p>
    <w:p w14:paraId="34D44F8C" w14:textId="7C44F760" w:rsidR="00376A9B" w:rsidRPr="00C86CE6" w:rsidRDefault="00C812C7" w:rsidP="00C812C7">
      <w:pPr>
        <w:pStyle w:val="paragraph"/>
      </w:pPr>
      <w:r w:rsidRPr="00C86CE6">
        <w:tab/>
        <w:t>(b)</w:t>
      </w:r>
      <w:r w:rsidRPr="00C86CE6">
        <w:tab/>
        <w:t>a unique identification number given to the</w:t>
      </w:r>
      <w:r w:rsidR="00B11711" w:rsidRPr="00C86CE6">
        <w:t xml:space="preserve"> customer</w:t>
      </w:r>
      <w:r w:rsidR="00376A9B" w:rsidRPr="00C86CE6">
        <w:t xml:space="preserve"> (if any has been given)</w:t>
      </w:r>
      <w:r w:rsidRPr="00C86CE6">
        <w:t xml:space="preserve"> by</w:t>
      </w:r>
      <w:r w:rsidR="00376A9B" w:rsidRPr="00C86CE6">
        <w:t>:</w:t>
      </w:r>
    </w:p>
    <w:p w14:paraId="71D99F8E" w14:textId="0222ACDD" w:rsidR="00C812C7" w:rsidRPr="00C86CE6" w:rsidRDefault="00376A9B" w:rsidP="00376A9B">
      <w:pPr>
        <w:pStyle w:val="paragraphsub"/>
      </w:pPr>
      <w:r w:rsidRPr="00C86CE6">
        <w:tab/>
        <w:t>(i)</w:t>
      </w:r>
      <w:r w:rsidRPr="00C86CE6">
        <w:tab/>
      </w:r>
      <w:r w:rsidR="00C812C7" w:rsidRPr="00C86CE6">
        <w:t>an Australian government body</w:t>
      </w:r>
      <w:r w:rsidRPr="00C86CE6">
        <w:t xml:space="preserve"> (but not including </w:t>
      </w:r>
      <w:r w:rsidR="00C812C7" w:rsidRPr="00C86CE6">
        <w:t xml:space="preserve">the payer’s tax file number </w:t>
      </w:r>
      <w:r w:rsidR="00CF2925">
        <w:t>(</w:t>
      </w:r>
      <w:r w:rsidR="00C812C7" w:rsidRPr="00C86CE6">
        <w:t xml:space="preserve">within the meaning of </w:t>
      </w:r>
      <w:r w:rsidR="00A25E52" w:rsidRPr="00C86CE6">
        <w:t>section 2</w:t>
      </w:r>
      <w:r w:rsidR="00C812C7" w:rsidRPr="00C86CE6">
        <w:t xml:space="preserve">02A of the </w:t>
      </w:r>
      <w:r w:rsidR="00C812C7" w:rsidRPr="00C86CE6">
        <w:rPr>
          <w:i/>
          <w:iCs/>
        </w:rPr>
        <w:t>Income Tax Assessment Act 1936</w:t>
      </w:r>
      <w:r w:rsidR="00C812C7" w:rsidRPr="00C86CE6">
        <w:t>)</w:t>
      </w:r>
      <w:r w:rsidR="00CF2925">
        <w:t>)</w:t>
      </w:r>
      <w:r w:rsidR="00C812C7" w:rsidRPr="00C86CE6">
        <w:t>;</w:t>
      </w:r>
      <w:r w:rsidRPr="00C86CE6">
        <w:t xml:space="preserve"> or</w:t>
      </w:r>
    </w:p>
    <w:p w14:paraId="44CAF56F" w14:textId="28214C96" w:rsidR="00C812C7" w:rsidRPr="00C86CE6" w:rsidRDefault="00376A9B" w:rsidP="00376A9B">
      <w:pPr>
        <w:pStyle w:val="paragraphsub"/>
      </w:pPr>
      <w:r w:rsidRPr="00C86CE6">
        <w:tab/>
        <w:t>(ii)</w:t>
      </w:r>
      <w:r w:rsidRPr="00C86CE6">
        <w:tab/>
      </w:r>
      <w:r w:rsidR="00C812C7" w:rsidRPr="00C86CE6">
        <w:t>the government of a foreign country;</w:t>
      </w:r>
      <w:r w:rsidRPr="00C86CE6">
        <w:t xml:space="preserve"> or</w:t>
      </w:r>
    </w:p>
    <w:p w14:paraId="7D12E990" w14:textId="616FC7EB" w:rsidR="00EC20CD" w:rsidRPr="00C86CE6" w:rsidRDefault="00376A9B" w:rsidP="00376A9B">
      <w:pPr>
        <w:pStyle w:val="paragraphsub"/>
      </w:pPr>
      <w:r w:rsidRPr="00C86CE6">
        <w:tab/>
        <w:t>(iii)</w:t>
      </w:r>
      <w:r w:rsidRPr="00C86CE6">
        <w:tab/>
      </w:r>
      <w:r w:rsidR="00C812C7" w:rsidRPr="00C86CE6">
        <w:t>an organisation accredited by the Global Legal Entity Identification Foundation;</w:t>
      </w:r>
    </w:p>
    <w:p w14:paraId="5997402F" w14:textId="77777777" w:rsidR="00EC20CD" w:rsidRPr="00C86CE6" w:rsidRDefault="00EC20CD" w:rsidP="00EC20CD">
      <w:pPr>
        <w:pStyle w:val="paragraph"/>
      </w:pPr>
      <w:r w:rsidRPr="00C86CE6">
        <w:tab/>
        <w:t>(c)</w:t>
      </w:r>
      <w:r w:rsidRPr="00C86CE6">
        <w:tab/>
        <w:t>the address of any registered office of the customer;</w:t>
      </w:r>
    </w:p>
    <w:p w14:paraId="1A86231E" w14:textId="77777777" w:rsidR="00EC20CD" w:rsidRPr="00C86CE6" w:rsidRDefault="00EC20CD" w:rsidP="00EC20CD">
      <w:pPr>
        <w:pStyle w:val="paragraph"/>
      </w:pPr>
      <w:r w:rsidRPr="00C86CE6">
        <w:lastRenderedPageBreak/>
        <w:tab/>
        <w:t>(d)</w:t>
      </w:r>
      <w:r w:rsidRPr="00C86CE6">
        <w:tab/>
        <w:t>the address of any principal place of business or operations of the customer.</w:t>
      </w:r>
    </w:p>
    <w:p w14:paraId="5CDAA1E4" w14:textId="77570FD6" w:rsidR="001C2BFE" w:rsidRPr="00C86CE6" w:rsidRDefault="001C2BFE" w:rsidP="001C2BFE">
      <w:pPr>
        <w:pStyle w:val="ActHead5"/>
      </w:pPr>
      <w:bookmarkStart w:id="39" w:name="_Toc184727342"/>
      <w:r w:rsidRPr="004B21E2">
        <w:rPr>
          <w:rStyle w:val="CharSectno"/>
        </w:rPr>
        <w:t>27</w:t>
      </w:r>
      <w:r w:rsidRPr="00C86CE6">
        <w:t xml:space="preserve">  Additional matters for initial customer due diligence</w:t>
      </w:r>
      <w:bookmarkEnd w:id="39"/>
    </w:p>
    <w:p w14:paraId="4A819D04" w14:textId="77777777" w:rsidR="001C2BFE" w:rsidRPr="00C86CE6" w:rsidRDefault="001C2BFE" w:rsidP="001C2BFE">
      <w:pPr>
        <w:pStyle w:val="SubsectionHead"/>
      </w:pPr>
      <w:r w:rsidRPr="00C86CE6">
        <w:t>Scope of section</w:t>
      </w:r>
    </w:p>
    <w:p w14:paraId="69717F96" w14:textId="77777777" w:rsidR="001C2BFE" w:rsidRPr="00C86CE6" w:rsidRDefault="001C2BFE" w:rsidP="001C2BFE">
      <w:pPr>
        <w:pStyle w:val="subsection"/>
      </w:pPr>
      <w:r w:rsidRPr="00C86CE6">
        <w:tab/>
        <w:t>(1)</w:t>
      </w:r>
      <w:r w:rsidRPr="00C86CE6">
        <w:tab/>
        <w:t>For the purposes of paragraph 28(2)(g) of the Act, this section specifies matters in relation to a customer if the reporting entity provides its designated services at or through a permanent establishment of the reporting entity in Australia.</w:t>
      </w:r>
    </w:p>
    <w:p w14:paraId="4238953A" w14:textId="77777777" w:rsidR="001C2BFE" w:rsidRPr="00C86CE6" w:rsidRDefault="001C2BFE" w:rsidP="001C2BFE">
      <w:pPr>
        <w:pStyle w:val="SubsectionHead"/>
      </w:pPr>
      <w:r w:rsidRPr="00C86CE6">
        <w:t>Business customers</w:t>
      </w:r>
    </w:p>
    <w:p w14:paraId="0FC1B5F4" w14:textId="77777777" w:rsidR="001C2BFE" w:rsidRPr="00C86CE6" w:rsidRDefault="001C2BFE" w:rsidP="001C2BFE">
      <w:pPr>
        <w:pStyle w:val="subsection"/>
      </w:pPr>
      <w:r w:rsidRPr="00C86CE6">
        <w:tab/>
        <w:t>(2)</w:t>
      </w:r>
      <w:r w:rsidRPr="00C86CE6">
        <w:tab/>
        <w:t>If the provision of a designated service is proposed to relate to the customer’s conduct of a business, a specified matter is the nature of the customer’s business.</w:t>
      </w:r>
    </w:p>
    <w:p w14:paraId="156E09FD" w14:textId="77777777" w:rsidR="001C2BFE" w:rsidRPr="00C86CE6" w:rsidRDefault="001C2BFE" w:rsidP="001C2BFE">
      <w:pPr>
        <w:pStyle w:val="SubsectionHead"/>
      </w:pPr>
      <w:r w:rsidRPr="00C86CE6">
        <w:t>Ownership and control etc.</w:t>
      </w:r>
    </w:p>
    <w:p w14:paraId="3981F92A" w14:textId="77777777" w:rsidR="001C2BFE" w:rsidRPr="00C86CE6" w:rsidRDefault="001C2BFE" w:rsidP="001C2BFE">
      <w:pPr>
        <w:pStyle w:val="subsection"/>
      </w:pPr>
      <w:r w:rsidRPr="00C86CE6">
        <w:tab/>
        <w:t>(3)</w:t>
      </w:r>
      <w:r w:rsidRPr="00C86CE6">
        <w:tab/>
        <w:t>For any customer other than an individual or a government body, the ownership, control and management structure of the customer is specified.</w:t>
      </w:r>
    </w:p>
    <w:p w14:paraId="4A409A52" w14:textId="77777777" w:rsidR="001C2BFE" w:rsidRPr="00C86CE6" w:rsidRDefault="001C2BFE" w:rsidP="001C2BFE">
      <w:pPr>
        <w:pStyle w:val="SubsectionHead"/>
      </w:pPr>
      <w:r w:rsidRPr="00C86CE6">
        <w:t>Legal or official documentation</w:t>
      </w:r>
    </w:p>
    <w:p w14:paraId="2B6D225E" w14:textId="77777777" w:rsidR="001C2BFE" w:rsidRPr="00C86CE6" w:rsidRDefault="001C2BFE" w:rsidP="001C2BFE">
      <w:pPr>
        <w:pStyle w:val="subsection"/>
      </w:pPr>
      <w:r w:rsidRPr="00C86CE6">
        <w:tab/>
        <w:t>(4)</w:t>
      </w:r>
      <w:r w:rsidRPr="00C86CE6">
        <w:tab/>
        <w:t>For any customer other than an individual acting on their own behalf or a government body, the legal or official documentation which demonstrates how the customer is regulated is specified.</w:t>
      </w:r>
    </w:p>
    <w:p w14:paraId="14CC3D2D" w14:textId="77777777" w:rsidR="001C2BFE" w:rsidRPr="00C86CE6" w:rsidRDefault="001C2BFE" w:rsidP="001C2BFE">
      <w:pPr>
        <w:pStyle w:val="notetext"/>
      </w:pPr>
      <w:r w:rsidRPr="00C86CE6">
        <w:t>Note:</w:t>
      </w:r>
      <w:r w:rsidRPr="00C86CE6">
        <w:tab/>
        <w:t>Examples include the constitution of a body corporate, a partnership agreement or a trust deed.</w:t>
      </w:r>
    </w:p>
    <w:p w14:paraId="7A53B6B2" w14:textId="77777777" w:rsidR="001C2BFE" w:rsidRPr="00C86CE6" w:rsidRDefault="001C2BFE" w:rsidP="001C2BFE">
      <w:pPr>
        <w:pStyle w:val="SubsectionHead"/>
      </w:pPr>
      <w:r w:rsidRPr="00C86CE6">
        <w:t>Trustees</w:t>
      </w:r>
    </w:p>
    <w:p w14:paraId="7894B236" w14:textId="77777777" w:rsidR="001C2BFE" w:rsidRPr="00C86CE6" w:rsidRDefault="001C2BFE" w:rsidP="001C2BFE">
      <w:pPr>
        <w:pStyle w:val="subsection"/>
      </w:pPr>
      <w:r w:rsidRPr="00C86CE6">
        <w:tab/>
        <w:t>(5)</w:t>
      </w:r>
      <w:r w:rsidRPr="00C86CE6">
        <w:tab/>
        <w:t>If the customer is a trustee, the following matters are specified:</w:t>
      </w:r>
    </w:p>
    <w:p w14:paraId="7B85C304" w14:textId="77777777" w:rsidR="001C2BFE" w:rsidRPr="00C86CE6" w:rsidRDefault="001C2BFE" w:rsidP="001C2BFE">
      <w:pPr>
        <w:pStyle w:val="paragraph"/>
      </w:pPr>
      <w:r w:rsidRPr="00C86CE6">
        <w:tab/>
        <w:t>(a)</w:t>
      </w:r>
      <w:r w:rsidRPr="00C86CE6">
        <w:tab/>
        <w:t>the type of trust (such as discretionary trust, bare trust, unit trust or implied trust);</w:t>
      </w:r>
    </w:p>
    <w:p w14:paraId="559764F7" w14:textId="77777777" w:rsidR="001C2BFE" w:rsidRPr="00C86CE6" w:rsidRDefault="001C2BFE" w:rsidP="001C2BFE">
      <w:pPr>
        <w:pStyle w:val="paragraph"/>
      </w:pPr>
      <w:r w:rsidRPr="00C86CE6">
        <w:tab/>
        <w:t>(b)</w:t>
      </w:r>
      <w:r w:rsidRPr="00C86CE6">
        <w:tab/>
        <w:t>the identity of the settlor of the trust;</w:t>
      </w:r>
    </w:p>
    <w:p w14:paraId="2C0942F4" w14:textId="77777777" w:rsidR="001C2BFE" w:rsidRPr="00C86CE6" w:rsidRDefault="001C2BFE" w:rsidP="001C2BFE">
      <w:pPr>
        <w:pStyle w:val="paragraph"/>
      </w:pPr>
      <w:r w:rsidRPr="00C86CE6">
        <w:tab/>
        <w:t>(c)</w:t>
      </w:r>
      <w:r w:rsidRPr="00C86CE6">
        <w:tab/>
        <w:t>the identity of any appointor, guardian or protector of the trust.</w:t>
      </w:r>
    </w:p>
    <w:p w14:paraId="5C8ABF64" w14:textId="7E347923" w:rsidR="00EC20CD" w:rsidRPr="00C86CE6" w:rsidRDefault="00BC4A61" w:rsidP="00EC20CD">
      <w:pPr>
        <w:pStyle w:val="ActHead5"/>
      </w:pPr>
      <w:bookmarkStart w:id="40" w:name="_Toc184727343"/>
      <w:r w:rsidRPr="004B21E2">
        <w:rPr>
          <w:rStyle w:val="CharSectno"/>
        </w:rPr>
        <w:t>2</w:t>
      </w:r>
      <w:r w:rsidR="001C2BFE" w:rsidRPr="004B21E2">
        <w:rPr>
          <w:rStyle w:val="CharSectno"/>
        </w:rPr>
        <w:t>8</w:t>
      </w:r>
      <w:r w:rsidR="00EC20CD" w:rsidRPr="00C86CE6">
        <w:t xml:space="preserve">  Establishing the identity of any person on whose behalf the customer is receiving the designated service</w:t>
      </w:r>
      <w:r w:rsidR="00376A9B" w:rsidRPr="00C86CE6">
        <w:t>—class of beneficiary</w:t>
      </w:r>
      <w:bookmarkEnd w:id="40"/>
    </w:p>
    <w:p w14:paraId="51DD3472" w14:textId="60BA5D4D" w:rsidR="00EC20CD" w:rsidRPr="00C86CE6" w:rsidRDefault="00EC20CD" w:rsidP="00EC20CD">
      <w:pPr>
        <w:pStyle w:val="subsection"/>
      </w:pPr>
      <w:r w:rsidRPr="00C86CE6">
        <w:tab/>
        <w:t>(1)</w:t>
      </w:r>
      <w:r w:rsidRPr="00C86CE6">
        <w:tab/>
        <w:t xml:space="preserve">For the purposes of </w:t>
      </w:r>
      <w:r w:rsidR="00A25E52" w:rsidRPr="00C86CE6">
        <w:t>paragraph 2</w:t>
      </w:r>
      <w:r w:rsidRPr="00C86CE6">
        <w:t xml:space="preserve">8(6)(a) of the Act, </w:t>
      </w:r>
      <w:r w:rsidR="00C812C7" w:rsidRPr="00C86CE6">
        <w:t>the requirements in this section apply</w:t>
      </w:r>
      <w:r w:rsidRPr="00C86CE6">
        <w:t xml:space="preserve"> in relation to establishing on reasonable grounds the matter in </w:t>
      </w:r>
      <w:r w:rsidR="00A25E52" w:rsidRPr="00C86CE6">
        <w:t>paragraph 2</w:t>
      </w:r>
      <w:r w:rsidRPr="00C86CE6">
        <w:t>8(2)(b) of the Act (the identity of any person on whose behalf the customer is receiving the designated service)</w:t>
      </w:r>
      <w:r w:rsidR="00C812C7" w:rsidRPr="00C86CE6">
        <w:t xml:space="preserve"> if:</w:t>
      </w:r>
    </w:p>
    <w:p w14:paraId="16D234AB" w14:textId="0D639046" w:rsidR="00EC20CD" w:rsidRPr="00C86CE6" w:rsidRDefault="00EC20CD" w:rsidP="00EC20CD">
      <w:pPr>
        <w:pStyle w:val="paragraph"/>
      </w:pPr>
      <w:r w:rsidRPr="00C86CE6">
        <w:tab/>
        <w:t>(a)</w:t>
      </w:r>
      <w:r w:rsidRPr="00C86CE6">
        <w:tab/>
      </w:r>
      <w:r w:rsidR="00FD5DB7" w:rsidRPr="00C86CE6">
        <w:t>a designated service is proposed to be provided by the reporting entity to the customer at or through a permanent establishment of the reporting entity in Australia</w:t>
      </w:r>
      <w:r w:rsidRPr="00C86CE6">
        <w:t>; and</w:t>
      </w:r>
    </w:p>
    <w:p w14:paraId="193B478F" w14:textId="77777777" w:rsidR="00EC20CD" w:rsidRPr="00C86CE6" w:rsidRDefault="00EC20CD" w:rsidP="00EC20CD">
      <w:pPr>
        <w:pStyle w:val="paragraph"/>
      </w:pPr>
      <w:r w:rsidRPr="00C86CE6">
        <w:tab/>
        <w:t>(b)</w:t>
      </w:r>
      <w:r w:rsidRPr="00C86CE6">
        <w:tab/>
        <w:t>the customer is a trustee; and</w:t>
      </w:r>
    </w:p>
    <w:p w14:paraId="1234FEB6" w14:textId="77777777" w:rsidR="00702D82" w:rsidRPr="00C86CE6" w:rsidRDefault="00EC20CD" w:rsidP="00E027FC">
      <w:pPr>
        <w:pStyle w:val="paragraph"/>
      </w:pPr>
      <w:r w:rsidRPr="00C86CE6">
        <w:tab/>
        <w:t>(c)</w:t>
      </w:r>
      <w:r w:rsidRPr="00C86CE6">
        <w:tab/>
        <w:t>it is not possible to identify each beneficiary of the trust because of the nature of the trust.</w:t>
      </w:r>
    </w:p>
    <w:p w14:paraId="2049304E" w14:textId="028721C2" w:rsidR="00FD5DB7" w:rsidRPr="00C86CE6" w:rsidRDefault="00FD5DB7" w:rsidP="00FD5DB7">
      <w:pPr>
        <w:pStyle w:val="notetext"/>
      </w:pPr>
      <w:r w:rsidRPr="00C86CE6">
        <w:lastRenderedPageBreak/>
        <w:t>Note:</w:t>
      </w:r>
      <w:r w:rsidRPr="00C86CE6">
        <w:tab/>
        <w:t xml:space="preserve">This section does not affect the requirement to establish the matter mentioned in </w:t>
      </w:r>
      <w:r w:rsidR="00A25E52" w:rsidRPr="00C86CE6">
        <w:t>paragraph 2</w:t>
      </w:r>
      <w:r w:rsidR="009B58BE" w:rsidRPr="00C86CE6">
        <w:t>8(2)(b) of the Act</w:t>
      </w:r>
      <w:r w:rsidRPr="00C86CE6">
        <w:t xml:space="preserve"> in other cases.</w:t>
      </w:r>
    </w:p>
    <w:p w14:paraId="161C43B8" w14:textId="559F6F69" w:rsidR="00EC20CD" w:rsidRPr="00C86CE6" w:rsidRDefault="00EC20CD" w:rsidP="00EC20CD">
      <w:pPr>
        <w:pStyle w:val="subsection"/>
      </w:pPr>
      <w:r w:rsidRPr="00C86CE6">
        <w:tab/>
        <w:t>(</w:t>
      </w:r>
      <w:r w:rsidR="00FD5DB7" w:rsidRPr="00C86CE6">
        <w:t>2</w:t>
      </w:r>
      <w:r w:rsidRPr="00C86CE6">
        <w:t>)</w:t>
      </w:r>
      <w:r w:rsidRPr="00C86CE6">
        <w:tab/>
        <w:t>The reporting entity must:</w:t>
      </w:r>
    </w:p>
    <w:p w14:paraId="555E94C7" w14:textId="77777777" w:rsidR="00EC20CD" w:rsidRPr="00C86CE6" w:rsidRDefault="00EC20CD" w:rsidP="00EC20CD">
      <w:pPr>
        <w:pStyle w:val="paragraph"/>
      </w:pPr>
      <w:r w:rsidRPr="00C86CE6">
        <w:tab/>
        <w:t>(a)</w:t>
      </w:r>
      <w:r w:rsidRPr="00C86CE6">
        <w:tab/>
        <w:t>establish on reasonable grounds a description of each class of beneficiary; and</w:t>
      </w:r>
    </w:p>
    <w:p w14:paraId="287E7335" w14:textId="77777777" w:rsidR="00EC20CD" w:rsidRPr="00C86CE6" w:rsidRDefault="00EC20CD" w:rsidP="00EC20CD">
      <w:pPr>
        <w:pStyle w:val="paragraph"/>
      </w:pPr>
      <w:r w:rsidRPr="00C86CE6">
        <w:tab/>
        <w:t>(b)</w:t>
      </w:r>
      <w:r w:rsidRPr="00C86CE6">
        <w:tab/>
        <w:t>collect sufficient information for the reporting entity to be satisfied that it will be able to establish the identity of beneficiaries when there is a distribution from the trust or when a beneficiary intends to exercise vested rights.</w:t>
      </w:r>
    </w:p>
    <w:p w14:paraId="4DDC4941" w14:textId="597A0565" w:rsidR="000F52AC" w:rsidRPr="00C86CE6" w:rsidRDefault="00BC4A61" w:rsidP="000F52AC">
      <w:pPr>
        <w:pStyle w:val="ActHead5"/>
      </w:pPr>
      <w:bookmarkStart w:id="41" w:name="_Toc184727344"/>
      <w:r w:rsidRPr="004B21E2">
        <w:rPr>
          <w:rStyle w:val="CharSectno"/>
        </w:rPr>
        <w:t>2</w:t>
      </w:r>
      <w:r w:rsidR="001C2BFE" w:rsidRPr="004B21E2">
        <w:rPr>
          <w:rStyle w:val="CharSectno"/>
        </w:rPr>
        <w:t>9</w:t>
      </w:r>
      <w:r w:rsidR="000F52AC" w:rsidRPr="00C86CE6">
        <w:t xml:space="preserve">  Establishing the identity of agents, beneficial owners etc.</w:t>
      </w:r>
      <w:bookmarkEnd w:id="41"/>
    </w:p>
    <w:p w14:paraId="16F32825" w14:textId="2C8EFE07" w:rsidR="000F52AC" w:rsidRPr="00C86CE6" w:rsidRDefault="000F52AC" w:rsidP="000F52AC">
      <w:pPr>
        <w:pStyle w:val="subsection"/>
      </w:pPr>
      <w:r w:rsidRPr="00C86CE6">
        <w:tab/>
        <w:t>(1)</w:t>
      </w:r>
      <w:r w:rsidRPr="00C86CE6">
        <w:tab/>
        <w:t xml:space="preserve">For the purposes of </w:t>
      </w:r>
      <w:r w:rsidR="00A25E52" w:rsidRPr="00C86CE6">
        <w:t>paragraph 2</w:t>
      </w:r>
      <w:r w:rsidRPr="00C86CE6">
        <w:t xml:space="preserve">8(6)(a) of the Act, this section specifies requirements in relation to establishing on reasonable grounds any of the matters in </w:t>
      </w:r>
      <w:r w:rsidR="00A25E52" w:rsidRPr="00C86CE6">
        <w:t>subsection 2</w:t>
      </w:r>
      <w:r w:rsidRPr="00C86CE6">
        <w:t xml:space="preserve">8(2) of the Act (including matters specified by the AML/CTF Rules under </w:t>
      </w:r>
      <w:r w:rsidR="00A25E52" w:rsidRPr="00C86CE6">
        <w:t>paragraph 2</w:t>
      </w:r>
      <w:r w:rsidRPr="00C86CE6">
        <w:t>8(2)(g) of the Act), if the matter involves establishing the identity of a person other than the customer.</w:t>
      </w:r>
    </w:p>
    <w:p w14:paraId="0957CBA4" w14:textId="77777777" w:rsidR="000F52AC" w:rsidRPr="00C86CE6" w:rsidRDefault="000F52AC" w:rsidP="000F52AC">
      <w:pPr>
        <w:pStyle w:val="notetext"/>
      </w:pPr>
      <w:r w:rsidRPr="00C86CE6">
        <w:t>Note:</w:t>
      </w:r>
      <w:r w:rsidRPr="00C86CE6">
        <w:tab/>
        <w:t>For example, establishing the identity of any person acting on behalf of the customer or of any beneficial owners.</w:t>
      </w:r>
    </w:p>
    <w:p w14:paraId="082C0EE6" w14:textId="77777777" w:rsidR="000F52AC" w:rsidRPr="00C86CE6" w:rsidRDefault="000F52AC" w:rsidP="000F52AC">
      <w:pPr>
        <w:pStyle w:val="subsection"/>
      </w:pPr>
      <w:r w:rsidRPr="00C86CE6">
        <w:tab/>
        <w:t>(2)</w:t>
      </w:r>
      <w:r w:rsidRPr="00C86CE6">
        <w:tab/>
        <w:t>A reporting entity must:</w:t>
      </w:r>
    </w:p>
    <w:p w14:paraId="1D444980" w14:textId="77777777" w:rsidR="000F52AC" w:rsidRPr="00C86CE6" w:rsidRDefault="000F52AC" w:rsidP="000F52AC">
      <w:pPr>
        <w:pStyle w:val="paragraph"/>
      </w:pPr>
      <w:r w:rsidRPr="00C86CE6">
        <w:tab/>
        <w:t>(a)</w:t>
      </w:r>
      <w:r w:rsidRPr="00C86CE6">
        <w:tab/>
        <w:t>collect the same information about the identity of the person that it would be required to collect in undertaking initial customer due diligence if the person were a customer; and</w:t>
      </w:r>
    </w:p>
    <w:p w14:paraId="5FC472F6" w14:textId="77777777" w:rsidR="000F52AC" w:rsidRPr="00C86CE6" w:rsidRDefault="000F52AC" w:rsidP="000F52AC">
      <w:pPr>
        <w:pStyle w:val="paragraph"/>
      </w:pPr>
      <w:r w:rsidRPr="00C86CE6">
        <w:tab/>
        <w:t>(b)</w:t>
      </w:r>
      <w:r w:rsidRPr="00C86CE6">
        <w:tab/>
        <w:t>verify information about the identity of the person in the same way that it would be required to if the person were a customer; and</w:t>
      </w:r>
    </w:p>
    <w:p w14:paraId="0E7B41CE" w14:textId="77777777" w:rsidR="000F52AC" w:rsidRPr="00C86CE6" w:rsidRDefault="000F52AC" w:rsidP="000F52AC">
      <w:pPr>
        <w:pStyle w:val="paragraph"/>
      </w:pPr>
      <w:r w:rsidRPr="00C86CE6">
        <w:tab/>
        <w:t>(c)</w:t>
      </w:r>
      <w:r w:rsidRPr="00C86CE6">
        <w:tab/>
        <w:t>apply the same AML/CTF policies in relation to identifying the person that it would apply in undertaking initial customer due diligence if the person were a customer.</w:t>
      </w:r>
    </w:p>
    <w:p w14:paraId="58DD7ADF" w14:textId="4D0ADDD3" w:rsidR="000F52AC" w:rsidRPr="00C86CE6" w:rsidRDefault="00270E8B" w:rsidP="00A25E52">
      <w:pPr>
        <w:pStyle w:val="ActHead3"/>
        <w:pageBreakBefore/>
      </w:pPr>
      <w:bookmarkStart w:id="42" w:name="_Toc184727345"/>
      <w:r w:rsidRPr="004B21E2">
        <w:rPr>
          <w:rStyle w:val="CharDivNo"/>
        </w:rPr>
        <w:lastRenderedPageBreak/>
        <w:t>Division 2</w:t>
      </w:r>
      <w:r w:rsidR="000F52AC" w:rsidRPr="00C86CE6">
        <w:t>—</w:t>
      </w:r>
      <w:r w:rsidR="000F52AC" w:rsidRPr="004B21E2">
        <w:rPr>
          <w:rStyle w:val="CharDivText"/>
        </w:rPr>
        <w:t>Exemptions from initial customer due diligence</w:t>
      </w:r>
      <w:bookmarkEnd w:id="42"/>
    </w:p>
    <w:p w14:paraId="764FB9C7" w14:textId="6E853602" w:rsidR="00EC20CD" w:rsidRPr="00C86CE6" w:rsidRDefault="00BC4A61" w:rsidP="008A4DE3">
      <w:pPr>
        <w:pStyle w:val="ActHead5"/>
      </w:pPr>
      <w:bookmarkStart w:id="43" w:name="_Toc184727346"/>
      <w:r w:rsidRPr="004B21E2">
        <w:rPr>
          <w:rStyle w:val="CharSectno"/>
        </w:rPr>
        <w:t>30</w:t>
      </w:r>
      <w:r w:rsidR="00EC20CD" w:rsidRPr="00C86CE6">
        <w:t xml:space="preserve">  Exemption from initial customer due diligence</w:t>
      </w:r>
      <w:r w:rsidR="008022C0" w:rsidRPr="00C86CE6">
        <w:t xml:space="preserve"> (delayed verification)</w:t>
      </w:r>
      <w:r w:rsidR="00EC20CD" w:rsidRPr="00C86CE6">
        <w:t>—</w:t>
      </w:r>
      <w:r w:rsidR="00A31101" w:rsidRPr="00C86CE6">
        <w:t>opening an account and deposit</w:t>
      </w:r>
      <w:bookmarkEnd w:id="43"/>
    </w:p>
    <w:p w14:paraId="6B96F8CF" w14:textId="0EE99A8C" w:rsidR="00EC20CD" w:rsidRPr="00C86CE6" w:rsidRDefault="00EC20CD" w:rsidP="00EC20CD">
      <w:pPr>
        <w:pStyle w:val="subsection"/>
      </w:pPr>
      <w:r w:rsidRPr="00C86CE6">
        <w:tab/>
        <w:t>(1)</w:t>
      </w:r>
      <w:r w:rsidRPr="00C86CE6">
        <w:tab/>
        <w:t xml:space="preserve">For the purposes of </w:t>
      </w:r>
      <w:r w:rsidR="00A25E52" w:rsidRPr="00C86CE6">
        <w:t>paragraph 2</w:t>
      </w:r>
      <w:r w:rsidRPr="00C86CE6">
        <w:t>9(a) of the Act, a reporting entity may commence to provide a designated service to a customer (subject to other requirements) if:</w:t>
      </w:r>
    </w:p>
    <w:p w14:paraId="19D3FE3C" w14:textId="0FCB1F5A" w:rsidR="00EC20CD" w:rsidRPr="00C86CE6" w:rsidRDefault="00EC20CD" w:rsidP="00EC20CD">
      <w:pPr>
        <w:pStyle w:val="paragraph"/>
      </w:pPr>
      <w:r w:rsidRPr="00C86CE6">
        <w:tab/>
        <w:t>(a)</w:t>
      </w:r>
      <w:r w:rsidRPr="00C86CE6">
        <w:tab/>
        <w:t xml:space="preserve">the designated service is covered by </w:t>
      </w:r>
      <w:r w:rsidR="00A25E52" w:rsidRPr="00C86CE6">
        <w:t>item 1</w:t>
      </w:r>
      <w:r w:rsidR="000A2AA1" w:rsidRPr="00C86CE6">
        <w:t xml:space="preserve"> </w:t>
      </w:r>
      <w:r w:rsidRPr="00C86CE6">
        <w:t xml:space="preserve">of table 1 in </w:t>
      </w:r>
      <w:r w:rsidR="009B58BE" w:rsidRPr="00C86CE6">
        <w:t>section 6</w:t>
      </w:r>
      <w:r w:rsidRPr="00C86CE6">
        <w:t xml:space="preserve"> of the Act; or</w:t>
      </w:r>
    </w:p>
    <w:p w14:paraId="74CCFFF6" w14:textId="706CF6CB" w:rsidR="000A2AA1" w:rsidRPr="00C86CE6" w:rsidRDefault="000A2AA1" w:rsidP="00EC20CD">
      <w:pPr>
        <w:pStyle w:val="paragraph"/>
      </w:pPr>
      <w:r w:rsidRPr="00C86CE6">
        <w:tab/>
        <w:t>(b)</w:t>
      </w:r>
      <w:r w:rsidRPr="00C86CE6">
        <w:tab/>
        <w:t xml:space="preserve">the designated service is covered by </w:t>
      </w:r>
      <w:r w:rsidR="009B58BE" w:rsidRPr="00C86CE6">
        <w:t>item 3</w:t>
      </w:r>
      <w:r w:rsidRPr="00C86CE6">
        <w:t xml:space="preserve"> of table 1 in </w:t>
      </w:r>
      <w:r w:rsidR="009B58BE" w:rsidRPr="00C86CE6">
        <w:t>section 6</w:t>
      </w:r>
      <w:r w:rsidRPr="00C86CE6">
        <w:t xml:space="preserve"> of the Act, and the transaction is a deposit made to the account; or</w:t>
      </w:r>
    </w:p>
    <w:p w14:paraId="32131F04" w14:textId="6E788360" w:rsidR="00EC20CD" w:rsidRPr="00C86CE6" w:rsidRDefault="00EC20CD" w:rsidP="008A4DE3">
      <w:pPr>
        <w:pStyle w:val="paragraph"/>
      </w:pPr>
      <w:r w:rsidRPr="00C86CE6">
        <w:tab/>
        <w:t>(</w:t>
      </w:r>
      <w:r w:rsidR="00DB3B0B" w:rsidRPr="00C86CE6">
        <w:t>c</w:t>
      </w:r>
      <w:r w:rsidRPr="00C86CE6">
        <w:t>)</w:t>
      </w:r>
      <w:r w:rsidRPr="00C86CE6">
        <w:tab/>
        <w:t xml:space="preserve">provision of the designated service is reasonably incidental to the provision of a designated service </w:t>
      </w:r>
      <w:r w:rsidR="00DB3B0B" w:rsidRPr="00C86CE6">
        <w:t xml:space="preserve">mentioned in </w:t>
      </w:r>
      <w:r w:rsidR="009B58BE" w:rsidRPr="00C86CE6">
        <w:t>paragraph (</w:t>
      </w:r>
      <w:r w:rsidR="00DB3B0B" w:rsidRPr="00C86CE6">
        <w:t>a) or (b)</w:t>
      </w:r>
      <w:r w:rsidR="00472275" w:rsidRPr="00C86CE6">
        <w:t xml:space="preserve"> of this subsection</w:t>
      </w:r>
      <w:r w:rsidR="00A31101" w:rsidRPr="00C86CE6">
        <w:t>.</w:t>
      </w:r>
    </w:p>
    <w:p w14:paraId="2299A848" w14:textId="26C0783F" w:rsidR="00EC20CD" w:rsidRPr="00C86CE6" w:rsidRDefault="00EC20CD" w:rsidP="00EC20CD">
      <w:pPr>
        <w:pStyle w:val="subsection"/>
      </w:pPr>
      <w:r w:rsidRPr="00C86CE6">
        <w:tab/>
        <w:t>(</w:t>
      </w:r>
      <w:r w:rsidR="00C256E4" w:rsidRPr="00C86CE6">
        <w:t>2</w:t>
      </w:r>
      <w:r w:rsidRPr="00C86CE6">
        <w:t>)</w:t>
      </w:r>
      <w:r w:rsidRPr="00C86CE6">
        <w:tab/>
        <w:t xml:space="preserve">For the purposes of </w:t>
      </w:r>
      <w:r w:rsidR="00A25E52" w:rsidRPr="00C86CE6">
        <w:t>paragraph 2</w:t>
      </w:r>
      <w:r w:rsidRPr="00C86CE6">
        <w:t xml:space="preserve">9(f) of the Act, a requirement in all of the circumstances mentioned in </w:t>
      </w:r>
      <w:r w:rsidR="00A25E52" w:rsidRPr="00C86CE6">
        <w:t>subsection (</w:t>
      </w:r>
      <w:r w:rsidRPr="00C86CE6">
        <w:t>1) of this section is that the reporting entity must do the following in relation to the customer to whom the designated service is to be provided:</w:t>
      </w:r>
    </w:p>
    <w:p w14:paraId="7BD9A519" w14:textId="77777777" w:rsidR="00EC20CD" w:rsidRPr="00C86CE6" w:rsidRDefault="00EC20CD" w:rsidP="00EC20CD">
      <w:pPr>
        <w:pStyle w:val="paragraph"/>
      </w:pPr>
      <w:r w:rsidRPr="00C86CE6">
        <w:tab/>
        <w:t>(a)</w:t>
      </w:r>
      <w:r w:rsidRPr="00C86CE6">
        <w:tab/>
        <w:t>if the customer is an individual—take reasonable steps to establish that the customer is the person the customer claims to be;</w:t>
      </w:r>
    </w:p>
    <w:p w14:paraId="679FB334" w14:textId="77777777" w:rsidR="00EC20CD" w:rsidRPr="00C86CE6" w:rsidRDefault="00EC20CD" w:rsidP="00EC20CD">
      <w:pPr>
        <w:pStyle w:val="paragraph"/>
      </w:pPr>
      <w:r w:rsidRPr="00C86CE6">
        <w:tab/>
        <w:t>(b)</w:t>
      </w:r>
      <w:r w:rsidRPr="00C86CE6">
        <w:tab/>
        <w:t>identify the ML/TF risk of the customer, based on KYC information about the customer that is reasonably available to the reporting entity before commencing to provide the designated service;</w:t>
      </w:r>
    </w:p>
    <w:p w14:paraId="74AACD4B" w14:textId="77777777" w:rsidR="00EC20CD" w:rsidRPr="00C86CE6" w:rsidRDefault="00EC20CD" w:rsidP="00EC20CD">
      <w:pPr>
        <w:pStyle w:val="paragraph"/>
      </w:pPr>
      <w:r w:rsidRPr="00C86CE6">
        <w:tab/>
        <w:t>(c)</w:t>
      </w:r>
      <w:r w:rsidRPr="00C86CE6">
        <w:tab/>
        <w:t>collect KYC information about the customer that is appropriate to the ML/TF risk of the customer.</w:t>
      </w:r>
    </w:p>
    <w:p w14:paraId="6F403DD2" w14:textId="23E6B8D8" w:rsidR="00A31101" w:rsidRPr="00C86CE6" w:rsidRDefault="00BC4A61" w:rsidP="00A31101">
      <w:pPr>
        <w:pStyle w:val="ActHead5"/>
      </w:pPr>
      <w:bookmarkStart w:id="44" w:name="_Toc184727347"/>
      <w:r w:rsidRPr="004B21E2">
        <w:rPr>
          <w:rStyle w:val="CharSectno"/>
        </w:rPr>
        <w:t>31</w:t>
      </w:r>
      <w:r w:rsidR="00A31101" w:rsidRPr="00C86CE6">
        <w:t xml:space="preserve">  Exemption from initial customer due diligence</w:t>
      </w:r>
      <w:r w:rsidR="008022C0" w:rsidRPr="00C86CE6">
        <w:t xml:space="preserve"> (delayed verification)</w:t>
      </w:r>
      <w:r w:rsidR="00A31101" w:rsidRPr="00C86CE6">
        <w:t>—certain financial markets transactions</w:t>
      </w:r>
      <w:bookmarkEnd w:id="44"/>
    </w:p>
    <w:p w14:paraId="0C6F898A" w14:textId="13347049" w:rsidR="00A31101" w:rsidRPr="00C86CE6" w:rsidRDefault="00A31101" w:rsidP="00A31101">
      <w:pPr>
        <w:pStyle w:val="SubsectionHead"/>
      </w:pPr>
      <w:r w:rsidRPr="00C86CE6">
        <w:t>Circumstances</w:t>
      </w:r>
    </w:p>
    <w:p w14:paraId="4C928D1D" w14:textId="08D41965" w:rsidR="00A31101" w:rsidRPr="00C86CE6" w:rsidRDefault="00A31101" w:rsidP="00A31101">
      <w:pPr>
        <w:pStyle w:val="subsection"/>
      </w:pPr>
      <w:r w:rsidRPr="00C86CE6">
        <w:tab/>
        <w:t>(1)</w:t>
      </w:r>
      <w:r w:rsidRPr="00C86CE6">
        <w:tab/>
        <w:t xml:space="preserve">For the purposes of </w:t>
      </w:r>
      <w:r w:rsidR="00A25E52" w:rsidRPr="00C86CE6">
        <w:t>paragraph 2</w:t>
      </w:r>
      <w:r w:rsidRPr="00C86CE6">
        <w:t>9(a) of the Act, a reporting entity may commence to provide a designated service to a customer (subject to other requirements) if:</w:t>
      </w:r>
    </w:p>
    <w:p w14:paraId="76015BE9" w14:textId="681453CF" w:rsidR="00A31101" w:rsidRPr="00C86CE6" w:rsidRDefault="00A31101" w:rsidP="00A31101">
      <w:pPr>
        <w:pStyle w:val="paragraph"/>
      </w:pPr>
      <w:r w:rsidRPr="00C86CE6">
        <w:tab/>
        <w:t>(a)</w:t>
      </w:r>
      <w:r w:rsidRPr="00C86CE6">
        <w:tab/>
        <w:t>the designated service is covered by item 33 of table 1 in section 6 of the Act; and</w:t>
      </w:r>
    </w:p>
    <w:p w14:paraId="2D2FEAB6" w14:textId="166C5B36" w:rsidR="00A31101" w:rsidRPr="00C86CE6" w:rsidRDefault="00A31101" w:rsidP="00A31101">
      <w:pPr>
        <w:pStyle w:val="paragraph"/>
      </w:pPr>
      <w:r w:rsidRPr="00C86CE6">
        <w:tab/>
        <w:t>(b)</w:t>
      </w:r>
      <w:r w:rsidRPr="00C86CE6">
        <w:tab/>
        <w:t xml:space="preserve">the acquisition or disposal is of a security, derivative or foreign exchange contract on a declared financial market (within the meaning of the </w:t>
      </w:r>
      <w:r w:rsidRPr="00C86CE6">
        <w:rPr>
          <w:i/>
        </w:rPr>
        <w:t>Corporations Act 2001</w:t>
      </w:r>
      <w:r w:rsidRPr="00C86CE6">
        <w:t>); and</w:t>
      </w:r>
    </w:p>
    <w:p w14:paraId="224C25B4" w14:textId="350CABD4" w:rsidR="00A31101" w:rsidRPr="00C86CE6" w:rsidRDefault="00A31101" w:rsidP="00A31101">
      <w:pPr>
        <w:pStyle w:val="paragraph"/>
      </w:pPr>
      <w:r w:rsidRPr="00C86CE6">
        <w:tab/>
        <w:t>(c)</w:t>
      </w:r>
      <w:r w:rsidRPr="00C86CE6">
        <w:tab/>
        <w:t>the acquisition or disposal must be performed rapidly due to financial market conditions relevant to the transaction.</w:t>
      </w:r>
    </w:p>
    <w:p w14:paraId="0DAEE435" w14:textId="1A44DD6A" w:rsidR="00A31101" w:rsidRPr="00C86CE6" w:rsidRDefault="00A31101" w:rsidP="00A31101">
      <w:pPr>
        <w:pStyle w:val="SubsectionHead"/>
      </w:pPr>
      <w:r w:rsidRPr="00C86CE6">
        <w:t>Specified period</w:t>
      </w:r>
    </w:p>
    <w:p w14:paraId="6DBE4010" w14:textId="4CB4E51B" w:rsidR="00A31101" w:rsidRPr="00C86CE6" w:rsidRDefault="00A31101" w:rsidP="00A31101">
      <w:pPr>
        <w:pStyle w:val="subsection"/>
      </w:pPr>
      <w:r w:rsidRPr="00C86CE6">
        <w:tab/>
        <w:t>(2)</w:t>
      </w:r>
      <w:r w:rsidRPr="00C86CE6">
        <w:tab/>
        <w:t>For the purposes of sub</w:t>
      </w:r>
      <w:r w:rsidR="00A25E52" w:rsidRPr="00C86CE6">
        <w:t>paragraph 2</w:t>
      </w:r>
      <w:r w:rsidRPr="00C86CE6">
        <w:t xml:space="preserve">9(c)(ii) of the Act, in the circumstances mentioned in </w:t>
      </w:r>
      <w:r w:rsidR="00A25E52" w:rsidRPr="00C86CE6">
        <w:t>subsection (</w:t>
      </w:r>
      <w:r w:rsidRPr="00C86CE6">
        <w:t>1) of this section the specified period is 5 business days.</w:t>
      </w:r>
    </w:p>
    <w:p w14:paraId="7B4685F5" w14:textId="66F8205D" w:rsidR="00A31101" w:rsidRPr="00C86CE6" w:rsidRDefault="00A31101" w:rsidP="00C256E4">
      <w:pPr>
        <w:pStyle w:val="SubsectionHead"/>
      </w:pPr>
      <w:r w:rsidRPr="00C86CE6">
        <w:lastRenderedPageBreak/>
        <w:t>Requirements</w:t>
      </w:r>
    </w:p>
    <w:p w14:paraId="32F898B3" w14:textId="171750AF" w:rsidR="00A31101" w:rsidRPr="00C86CE6" w:rsidRDefault="00A31101" w:rsidP="00A31101">
      <w:pPr>
        <w:pStyle w:val="subsection"/>
      </w:pPr>
      <w:r w:rsidRPr="00C86CE6">
        <w:tab/>
        <w:t>(3)</w:t>
      </w:r>
      <w:r w:rsidRPr="00C86CE6">
        <w:tab/>
        <w:t xml:space="preserve">For the purposes of </w:t>
      </w:r>
      <w:r w:rsidR="00A25E52" w:rsidRPr="00C86CE6">
        <w:t>paragraph 2</w:t>
      </w:r>
      <w:r w:rsidRPr="00C86CE6">
        <w:t xml:space="preserve">9(f) of the Act, a requirement in circumstances mentioned in </w:t>
      </w:r>
      <w:r w:rsidR="00A25E52" w:rsidRPr="00C86CE6">
        <w:t>subsection (</w:t>
      </w:r>
      <w:r w:rsidRPr="00C86CE6">
        <w:t>1) of this section is that the reporting entity must do the following in relation to the customer to whom the designated service is to be provided:</w:t>
      </w:r>
    </w:p>
    <w:p w14:paraId="0606EC5D" w14:textId="77777777" w:rsidR="00A31101" w:rsidRPr="00C86CE6" w:rsidRDefault="00A31101" w:rsidP="00A31101">
      <w:pPr>
        <w:pStyle w:val="paragraph"/>
      </w:pPr>
      <w:r w:rsidRPr="00C86CE6">
        <w:tab/>
        <w:t>(a)</w:t>
      </w:r>
      <w:r w:rsidRPr="00C86CE6">
        <w:tab/>
        <w:t>if the customer is an individual—take reasonable steps to establish that the customer is the person the customer claims to be;</w:t>
      </w:r>
    </w:p>
    <w:p w14:paraId="52A65D63" w14:textId="77777777" w:rsidR="00A31101" w:rsidRPr="00C86CE6" w:rsidRDefault="00A31101" w:rsidP="00A31101">
      <w:pPr>
        <w:pStyle w:val="paragraph"/>
      </w:pPr>
      <w:r w:rsidRPr="00C86CE6">
        <w:tab/>
        <w:t>(b)</w:t>
      </w:r>
      <w:r w:rsidRPr="00C86CE6">
        <w:tab/>
        <w:t>identify the ML/TF risk of the customer, based on KYC information about the customer that is reasonably available to the reporting entity before commencing to provide the designated service;</w:t>
      </w:r>
    </w:p>
    <w:p w14:paraId="5359823E" w14:textId="77777777" w:rsidR="00A31101" w:rsidRPr="00C86CE6" w:rsidRDefault="00A31101" w:rsidP="00A31101">
      <w:pPr>
        <w:pStyle w:val="paragraph"/>
      </w:pPr>
      <w:r w:rsidRPr="00C86CE6">
        <w:tab/>
        <w:t>(c)</w:t>
      </w:r>
      <w:r w:rsidRPr="00C86CE6">
        <w:tab/>
        <w:t>collect KYC information about the customer that is appropriate to the ML/TF risk of the customer.</w:t>
      </w:r>
    </w:p>
    <w:p w14:paraId="085FC8D6" w14:textId="46B32DE9" w:rsidR="00EC20CD" w:rsidRPr="00C86CE6" w:rsidRDefault="00A31101" w:rsidP="00A31101">
      <w:pPr>
        <w:pStyle w:val="subsection"/>
      </w:pPr>
      <w:r w:rsidRPr="00C86CE6">
        <w:tab/>
        <w:t>(4)</w:t>
      </w:r>
      <w:r w:rsidRPr="00C86CE6">
        <w:tab/>
        <w:t xml:space="preserve">For the purposes of </w:t>
      </w:r>
      <w:r w:rsidR="00A25E52" w:rsidRPr="00C86CE6">
        <w:t>paragraph 2</w:t>
      </w:r>
      <w:r w:rsidRPr="00C86CE6">
        <w:t xml:space="preserve">9(f) of the Act, </w:t>
      </w:r>
      <w:r w:rsidR="00EC20CD" w:rsidRPr="00C86CE6">
        <w:t xml:space="preserve">further requirements in the circumstances mentioned in </w:t>
      </w:r>
      <w:r w:rsidR="00A25E52" w:rsidRPr="00C86CE6">
        <w:t>subsection (</w:t>
      </w:r>
      <w:r w:rsidRPr="00C86CE6">
        <w:t>1)</w:t>
      </w:r>
      <w:r w:rsidR="00EC20CD" w:rsidRPr="00C86CE6">
        <w:t xml:space="preserve"> of this section are:</w:t>
      </w:r>
    </w:p>
    <w:p w14:paraId="5DA87875" w14:textId="77777777" w:rsidR="00EC20CD" w:rsidRPr="00C86CE6" w:rsidRDefault="00EC20CD" w:rsidP="00EC20CD">
      <w:pPr>
        <w:pStyle w:val="paragraph"/>
      </w:pPr>
      <w:r w:rsidRPr="00C86CE6">
        <w:tab/>
        <w:t>(a)</w:t>
      </w:r>
      <w:r w:rsidRPr="00C86CE6">
        <w:tab/>
        <w:t xml:space="preserve">the designated service must not involve the acquisition of an interest in a managed investment scheme to which </w:t>
      </w:r>
      <w:r w:rsidR="00606BBD" w:rsidRPr="00C86CE6">
        <w:t>section 1</w:t>
      </w:r>
      <w:r w:rsidRPr="00C86CE6">
        <w:t xml:space="preserve">019B of the </w:t>
      </w:r>
      <w:r w:rsidRPr="00C86CE6">
        <w:rPr>
          <w:i/>
        </w:rPr>
        <w:t>Corporations Act 2001</w:t>
      </w:r>
      <w:r w:rsidRPr="00C86CE6">
        <w:t xml:space="preserve"> applies; and</w:t>
      </w:r>
    </w:p>
    <w:p w14:paraId="2321FB9E" w14:textId="77777777" w:rsidR="00EC20CD" w:rsidRPr="00C86CE6" w:rsidRDefault="00EC20CD" w:rsidP="00EC20CD">
      <w:pPr>
        <w:pStyle w:val="paragraph"/>
      </w:pPr>
      <w:r w:rsidRPr="00C86CE6">
        <w:tab/>
        <w:t>(b)</w:t>
      </w:r>
      <w:r w:rsidRPr="00C86CE6">
        <w:tab/>
        <w:t>the reporting entity must not do any of the following:</w:t>
      </w:r>
    </w:p>
    <w:p w14:paraId="69BEB171" w14:textId="77777777" w:rsidR="00EC20CD" w:rsidRPr="00C86CE6" w:rsidRDefault="00EC20CD" w:rsidP="00EC20CD">
      <w:pPr>
        <w:pStyle w:val="paragraphsub"/>
      </w:pPr>
      <w:r w:rsidRPr="00C86CE6">
        <w:tab/>
        <w:t>(i)</w:t>
      </w:r>
      <w:r w:rsidRPr="00C86CE6">
        <w:tab/>
        <w:t>accept physical currency to fund the designated service;</w:t>
      </w:r>
    </w:p>
    <w:p w14:paraId="53AA1C1C" w14:textId="77777777" w:rsidR="00EC20CD" w:rsidRPr="00C86CE6" w:rsidRDefault="00EC20CD" w:rsidP="00EC20CD">
      <w:pPr>
        <w:pStyle w:val="paragraphsub"/>
      </w:pPr>
      <w:r w:rsidRPr="00C86CE6">
        <w:tab/>
        <w:t>(ii)</w:t>
      </w:r>
      <w:r w:rsidRPr="00C86CE6">
        <w:tab/>
        <w:t>permit the customer to transfer, or otherwise part with, proceeds from a disposal of a security, derivative or foreign exchange contract;</w:t>
      </w:r>
    </w:p>
    <w:p w14:paraId="400532C4" w14:textId="77777777" w:rsidR="00EC20CD" w:rsidRPr="00C86CE6" w:rsidRDefault="00EC20CD" w:rsidP="00EC20CD">
      <w:pPr>
        <w:pStyle w:val="paragraphsub"/>
      </w:pPr>
      <w:r w:rsidRPr="00C86CE6">
        <w:tab/>
        <w:t>(iii)</w:t>
      </w:r>
      <w:r w:rsidRPr="00C86CE6">
        <w:tab/>
        <w:t>resell, transfer, or otherwise part with a security, derivative or foreign exchange contract that has been acquired on behalf of the customer;</w:t>
      </w:r>
    </w:p>
    <w:p w14:paraId="227965D1" w14:textId="77777777" w:rsidR="00EC20CD" w:rsidRPr="00C86CE6" w:rsidRDefault="00EC20CD" w:rsidP="00EC20CD">
      <w:pPr>
        <w:pStyle w:val="paragraphsub"/>
      </w:pPr>
      <w:r w:rsidRPr="00C86CE6">
        <w:tab/>
        <w:t>(iv)</w:t>
      </w:r>
      <w:r w:rsidRPr="00C86CE6">
        <w:tab/>
        <w:t>allow the customer to be recredited with or obtain a refund of the purchase price.</w:t>
      </w:r>
    </w:p>
    <w:p w14:paraId="322D464A" w14:textId="689B9592" w:rsidR="008A4DE3" w:rsidRPr="00C86CE6" w:rsidRDefault="00BC4A61" w:rsidP="008A4DE3">
      <w:pPr>
        <w:pStyle w:val="ActHead5"/>
      </w:pPr>
      <w:bookmarkStart w:id="45" w:name="_Toc184727348"/>
      <w:r w:rsidRPr="004B21E2">
        <w:rPr>
          <w:rStyle w:val="CharSectno"/>
        </w:rPr>
        <w:t>32</w:t>
      </w:r>
      <w:r w:rsidR="00EC20CD" w:rsidRPr="00C86CE6">
        <w:t xml:space="preserve">  Exemption from initial customer due diligence</w:t>
      </w:r>
      <w:r w:rsidR="008022C0" w:rsidRPr="00C86CE6">
        <w:t xml:space="preserve"> (politically exposed persons and sanctions)</w:t>
      </w:r>
      <w:r w:rsidR="00EC20CD" w:rsidRPr="00C86CE6">
        <w:t>—</w:t>
      </w:r>
      <w:r w:rsidR="00A31101" w:rsidRPr="00C86CE6">
        <w:t xml:space="preserve">service </w:t>
      </w:r>
      <w:r w:rsidR="001C78F9" w:rsidRPr="00C86CE6">
        <w:t xml:space="preserve">provided </w:t>
      </w:r>
      <w:r w:rsidR="00A31101" w:rsidRPr="00C86CE6">
        <w:t>in Australia</w:t>
      </w:r>
      <w:bookmarkEnd w:id="45"/>
    </w:p>
    <w:p w14:paraId="11A4BD78" w14:textId="12C806CE" w:rsidR="00EC20CD" w:rsidRPr="00C86CE6" w:rsidRDefault="00EC20CD" w:rsidP="00EC20CD">
      <w:pPr>
        <w:pStyle w:val="subsection"/>
      </w:pPr>
      <w:r w:rsidRPr="00C86CE6">
        <w:tab/>
        <w:t>(1)</w:t>
      </w:r>
      <w:r w:rsidRPr="00C86CE6">
        <w:tab/>
        <w:t xml:space="preserve">For the purposes of </w:t>
      </w:r>
      <w:r w:rsidR="00A25E52" w:rsidRPr="00C86CE6">
        <w:t>paragraph 2</w:t>
      </w:r>
      <w:r w:rsidRPr="00C86CE6">
        <w:t>9(a) of the Act, a reporting entity may commence to provide a designated service to a customer (subject to other requirements) if the</w:t>
      </w:r>
      <w:r w:rsidR="008022C0" w:rsidRPr="00C86CE6">
        <w:t xml:space="preserve"> service is to be provided at or through a permanent establishment of the reporting entity in Australia</w:t>
      </w:r>
      <w:r w:rsidRPr="00C86CE6">
        <w:t>.</w:t>
      </w:r>
    </w:p>
    <w:p w14:paraId="78055A50" w14:textId="09E3B182" w:rsidR="00EC20CD" w:rsidRPr="00C86CE6" w:rsidRDefault="00EC20CD" w:rsidP="00EC20CD">
      <w:pPr>
        <w:pStyle w:val="subsection"/>
      </w:pPr>
      <w:r w:rsidRPr="00C86CE6">
        <w:tab/>
        <w:t>(2)</w:t>
      </w:r>
      <w:r w:rsidRPr="00C86CE6">
        <w:tab/>
        <w:t xml:space="preserve">For the purposes of </w:t>
      </w:r>
      <w:r w:rsidR="00A25E52" w:rsidRPr="00C86CE6">
        <w:t>paragraph 2</w:t>
      </w:r>
      <w:r w:rsidRPr="00C86CE6">
        <w:t xml:space="preserve">9(f) of the Act, a requirement in the circumstances mentioned in </w:t>
      </w:r>
      <w:r w:rsidR="00A25E52" w:rsidRPr="00C86CE6">
        <w:t>subsection (</w:t>
      </w:r>
      <w:r w:rsidRPr="00C86CE6">
        <w:t xml:space="preserve">1) of this section </w:t>
      </w:r>
      <w:r w:rsidR="000B6F44">
        <w:t xml:space="preserve">is </w:t>
      </w:r>
      <w:r w:rsidRPr="00C86CE6">
        <w:t xml:space="preserve">that the reporting entity has established each of the matters in </w:t>
      </w:r>
      <w:r w:rsidR="00A25E52" w:rsidRPr="00C86CE6">
        <w:t>subsection 2</w:t>
      </w:r>
      <w:r w:rsidRPr="00C86CE6">
        <w:t xml:space="preserve">8(2) of the Act except the matter in </w:t>
      </w:r>
      <w:r w:rsidR="00A25E52" w:rsidRPr="00C86CE6">
        <w:t>paragraph 2</w:t>
      </w:r>
      <w:r w:rsidRPr="00C86CE6">
        <w:t>8(2)(e).</w:t>
      </w:r>
    </w:p>
    <w:p w14:paraId="145CFACC" w14:textId="68642836" w:rsidR="008022C0" w:rsidRPr="00C86CE6" w:rsidRDefault="00BC4A61" w:rsidP="00EC20CD">
      <w:pPr>
        <w:pStyle w:val="ActHead5"/>
      </w:pPr>
      <w:bookmarkStart w:id="46" w:name="_Toc184727349"/>
      <w:r w:rsidRPr="004B21E2">
        <w:rPr>
          <w:rStyle w:val="CharSectno"/>
        </w:rPr>
        <w:t>33</w:t>
      </w:r>
      <w:r w:rsidR="008022C0" w:rsidRPr="00C86CE6">
        <w:t xml:space="preserve">  Exemption from initial customer due diligence (delayed verification)</w:t>
      </w:r>
      <w:r w:rsidR="008A4DE3" w:rsidRPr="00C86CE6">
        <w:t>—service</w:t>
      </w:r>
      <w:r w:rsidR="001C78F9" w:rsidRPr="00C86CE6">
        <w:t xml:space="preserve"> provided</w:t>
      </w:r>
      <w:r w:rsidR="008A4DE3" w:rsidRPr="00C86CE6">
        <w:t xml:space="preserve"> in foreign country</w:t>
      </w:r>
      <w:bookmarkEnd w:id="46"/>
    </w:p>
    <w:p w14:paraId="5EEEFD2E" w14:textId="1D285581" w:rsidR="008A4DE3" w:rsidRPr="00C86CE6" w:rsidRDefault="008A4DE3" w:rsidP="008A4DE3">
      <w:pPr>
        <w:pStyle w:val="subsection"/>
      </w:pPr>
      <w:r w:rsidRPr="00C86CE6">
        <w:tab/>
        <w:t>(1)</w:t>
      </w:r>
      <w:r w:rsidRPr="00C86CE6">
        <w:tab/>
        <w:t xml:space="preserve">For the purposes of </w:t>
      </w:r>
      <w:r w:rsidR="00A25E52" w:rsidRPr="00C86CE6">
        <w:t>paragraph 2</w:t>
      </w:r>
      <w:r w:rsidRPr="00C86CE6">
        <w:t>9(a) of the Act, a reporting entity may commence to provide a designated service to a customer (subject to other requirements) if:</w:t>
      </w:r>
    </w:p>
    <w:p w14:paraId="12220A9A" w14:textId="6EF39DAA" w:rsidR="008A4DE3" w:rsidRPr="00C86CE6" w:rsidRDefault="008A4DE3" w:rsidP="008A4DE3">
      <w:pPr>
        <w:pStyle w:val="paragraph"/>
      </w:pPr>
      <w:r w:rsidRPr="00C86CE6">
        <w:tab/>
        <w:t>(a)</w:t>
      </w:r>
      <w:r w:rsidRPr="00C86CE6">
        <w:tab/>
        <w:t>the service is to be provided at or through a permanent establishment of the reporting entity in a foreign country; and</w:t>
      </w:r>
    </w:p>
    <w:p w14:paraId="350CABD4" w14:textId="26BC25AD" w:rsidR="008A4DE3" w:rsidRPr="00C86CE6" w:rsidRDefault="008A4DE3" w:rsidP="008A4DE3">
      <w:pPr>
        <w:pStyle w:val="paragraph"/>
      </w:pPr>
      <w:r w:rsidRPr="00C86CE6">
        <w:lastRenderedPageBreak/>
        <w:tab/>
        <w:t>(b)</w:t>
      </w:r>
      <w:r w:rsidRPr="00C86CE6">
        <w:tab/>
        <w:t xml:space="preserve">the law of that country that gives effect to the FATF Recommendations permits </w:t>
      </w:r>
      <w:r w:rsidR="001D19E2" w:rsidRPr="00C86CE6">
        <w:t xml:space="preserve">the reporting entity </w:t>
      </w:r>
      <w:r w:rsidRPr="00C86CE6">
        <w:t xml:space="preserve">to establish a matter or matters in </w:t>
      </w:r>
      <w:r w:rsidR="00A25E52" w:rsidRPr="00C86CE6">
        <w:t>subsection 2</w:t>
      </w:r>
      <w:r w:rsidRPr="00C86CE6">
        <w:t>8(2) of the Act after providing the service.</w:t>
      </w:r>
    </w:p>
    <w:p w14:paraId="114D2924" w14:textId="29975AE5" w:rsidR="008A4DE3" w:rsidRPr="00C86CE6" w:rsidRDefault="008A4DE3" w:rsidP="008A4DE3">
      <w:pPr>
        <w:pStyle w:val="subsection"/>
      </w:pPr>
      <w:r w:rsidRPr="00C86CE6">
        <w:tab/>
        <w:t>(2)</w:t>
      </w:r>
      <w:r w:rsidRPr="00C86CE6">
        <w:tab/>
        <w:t xml:space="preserve">For the purposes of </w:t>
      </w:r>
      <w:r w:rsidR="00A25E52" w:rsidRPr="00C86CE6">
        <w:t>paragraph 2</w:t>
      </w:r>
      <w:r w:rsidRPr="00C86CE6">
        <w:t xml:space="preserve">9(f) of the Act, a requirement in circumstances mentioned in </w:t>
      </w:r>
      <w:r w:rsidR="00A25E52" w:rsidRPr="00C86CE6">
        <w:t>subsection (</w:t>
      </w:r>
      <w:r w:rsidRPr="00C86CE6">
        <w:t>1) of this section is that the reporting entity must do the following in relation to the customer to whom the designated service is to be provided:</w:t>
      </w:r>
    </w:p>
    <w:p w14:paraId="582FFEAD" w14:textId="77777777" w:rsidR="008A4DE3" w:rsidRPr="00C86CE6" w:rsidRDefault="008A4DE3" w:rsidP="008A4DE3">
      <w:pPr>
        <w:pStyle w:val="paragraph"/>
      </w:pPr>
      <w:r w:rsidRPr="00C86CE6">
        <w:tab/>
        <w:t>(a)</w:t>
      </w:r>
      <w:r w:rsidRPr="00C86CE6">
        <w:tab/>
        <w:t>if the customer is an individual—take reasonable steps to establish that the customer is the person the customer claims to be;</w:t>
      </w:r>
    </w:p>
    <w:p w14:paraId="444A2051" w14:textId="77777777" w:rsidR="008A4DE3" w:rsidRPr="00C86CE6" w:rsidRDefault="008A4DE3" w:rsidP="008A4DE3">
      <w:pPr>
        <w:pStyle w:val="paragraph"/>
      </w:pPr>
      <w:r w:rsidRPr="00C86CE6">
        <w:tab/>
        <w:t>(b)</w:t>
      </w:r>
      <w:r w:rsidRPr="00C86CE6">
        <w:tab/>
        <w:t>identify the ML/TF risk of the customer, based on KYC information about the customer that is reasonably available to the reporting entity before commencing to provide the designated service;</w:t>
      </w:r>
    </w:p>
    <w:p w14:paraId="6AC6ABB9" w14:textId="77777777" w:rsidR="008A4DE3" w:rsidRPr="00C86CE6" w:rsidRDefault="008A4DE3" w:rsidP="008A4DE3">
      <w:pPr>
        <w:pStyle w:val="paragraph"/>
      </w:pPr>
      <w:r w:rsidRPr="00C86CE6">
        <w:tab/>
        <w:t>(c)</w:t>
      </w:r>
      <w:r w:rsidRPr="00C86CE6">
        <w:tab/>
        <w:t>collect KYC information about the customer that is appropriate to the ML/TF risk of the customer.</w:t>
      </w:r>
    </w:p>
    <w:p w14:paraId="45778C87" w14:textId="0506633A" w:rsidR="009B152C" w:rsidRPr="00C86CE6" w:rsidRDefault="00270E8B" w:rsidP="009B152C">
      <w:pPr>
        <w:pStyle w:val="ActHead3"/>
        <w:pageBreakBefore/>
      </w:pPr>
      <w:bookmarkStart w:id="47" w:name="_Toc184727350"/>
      <w:r w:rsidRPr="004B21E2">
        <w:rPr>
          <w:rStyle w:val="CharDivNo"/>
        </w:rPr>
        <w:lastRenderedPageBreak/>
        <w:t>Division 3</w:t>
      </w:r>
      <w:r w:rsidR="009B152C" w:rsidRPr="00C86CE6">
        <w:t>—</w:t>
      </w:r>
      <w:r w:rsidR="009B152C" w:rsidRPr="004B21E2">
        <w:rPr>
          <w:rStyle w:val="CharDivText"/>
        </w:rPr>
        <w:t>Simplified and enhanced customer due diligence</w:t>
      </w:r>
      <w:bookmarkEnd w:id="47"/>
    </w:p>
    <w:p w14:paraId="1656F83A" w14:textId="677F6F18" w:rsidR="009B152C" w:rsidRPr="00C86CE6" w:rsidRDefault="00BC4A61" w:rsidP="009B152C">
      <w:pPr>
        <w:pStyle w:val="ActHead5"/>
      </w:pPr>
      <w:bookmarkStart w:id="48" w:name="_Toc184727351"/>
      <w:r w:rsidRPr="004B21E2">
        <w:rPr>
          <w:rStyle w:val="CharSectno"/>
        </w:rPr>
        <w:t>34</w:t>
      </w:r>
      <w:r w:rsidR="009B152C" w:rsidRPr="00C86CE6">
        <w:t xml:space="preserve">  Simplified customer due diligence requirements</w:t>
      </w:r>
      <w:bookmarkEnd w:id="48"/>
    </w:p>
    <w:p w14:paraId="217D931A" w14:textId="77777777" w:rsidR="009B152C" w:rsidRPr="00C86CE6" w:rsidRDefault="009B152C" w:rsidP="009B152C">
      <w:pPr>
        <w:pStyle w:val="subsection"/>
      </w:pPr>
      <w:r w:rsidRPr="00C86CE6">
        <w:tab/>
      </w:r>
      <w:r w:rsidRPr="00C86CE6">
        <w:tab/>
        <w:t>For the purposes of paragraph 31(c) of the Act, it is a requirement for a reporting entity to apply simplified customer due diligence measures that the AML/CTF policies of the reporting entity deal with the application of those measures.</w:t>
      </w:r>
    </w:p>
    <w:p w14:paraId="6981119A" w14:textId="6C7A3B29" w:rsidR="009B152C" w:rsidRPr="00C86CE6" w:rsidRDefault="00BC4A61" w:rsidP="009B152C">
      <w:pPr>
        <w:pStyle w:val="ActHead5"/>
      </w:pPr>
      <w:bookmarkStart w:id="49" w:name="_Toc184727352"/>
      <w:r w:rsidRPr="004B21E2">
        <w:rPr>
          <w:rStyle w:val="CharSectno"/>
        </w:rPr>
        <w:t>35</w:t>
      </w:r>
      <w:r w:rsidR="009B152C" w:rsidRPr="00C86CE6">
        <w:t xml:space="preserve">  Customers for whom enhanced customer due diligence is required</w:t>
      </w:r>
      <w:bookmarkEnd w:id="49"/>
    </w:p>
    <w:p w14:paraId="178D33E3" w14:textId="77777777" w:rsidR="009B152C" w:rsidRPr="00C86CE6" w:rsidRDefault="009B152C" w:rsidP="009B152C">
      <w:pPr>
        <w:pStyle w:val="subsection"/>
      </w:pPr>
      <w:r w:rsidRPr="00C86CE6">
        <w:tab/>
      </w:r>
      <w:r w:rsidRPr="00C86CE6">
        <w:tab/>
        <w:t>For the purposes of paragraph 32(f) of the Act, enhanced customer due diligence must be applied to a customer who seeks designated services that have no apparent economic or legal purpose, if the proposed provision of designated services would involve:</w:t>
      </w:r>
    </w:p>
    <w:p w14:paraId="1F0C575F" w14:textId="77777777" w:rsidR="009B152C" w:rsidRPr="00C86CE6" w:rsidRDefault="009B152C" w:rsidP="009B152C">
      <w:pPr>
        <w:pStyle w:val="paragraph"/>
      </w:pPr>
      <w:r w:rsidRPr="00C86CE6">
        <w:tab/>
        <w:t>(a)</w:t>
      </w:r>
      <w:r w:rsidRPr="00C86CE6">
        <w:tab/>
        <w:t>unusually complex or large transactions; or</w:t>
      </w:r>
    </w:p>
    <w:p w14:paraId="37808B10" w14:textId="77777777" w:rsidR="009B152C" w:rsidRPr="00C86CE6" w:rsidRDefault="009B152C" w:rsidP="009B152C">
      <w:pPr>
        <w:pStyle w:val="paragraph"/>
      </w:pPr>
      <w:r w:rsidRPr="00C86CE6">
        <w:tab/>
        <w:t>(b)</w:t>
      </w:r>
      <w:r w:rsidRPr="00C86CE6">
        <w:tab/>
        <w:t>an unusual pattern of transactions.</w:t>
      </w:r>
    </w:p>
    <w:p w14:paraId="2188F653" w14:textId="1DF9DAE4" w:rsidR="000F52AC" w:rsidRPr="00C86CE6" w:rsidRDefault="00A25E52" w:rsidP="00A25E52">
      <w:pPr>
        <w:pStyle w:val="ActHead3"/>
        <w:pageBreakBefore/>
      </w:pPr>
      <w:bookmarkStart w:id="50" w:name="_Toc184727353"/>
      <w:r w:rsidRPr="004B21E2">
        <w:rPr>
          <w:rStyle w:val="CharDivNo"/>
        </w:rPr>
        <w:lastRenderedPageBreak/>
        <w:t>Division </w:t>
      </w:r>
      <w:r w:rsidR="009B152C" w:rsidRPr="004B21E2">
        <w:rPr>
          <w:rStyle w:val="CharDivNo"/>
        </w:rPr>
        <w:t>4</w:t>
      </w:r>
      <w:r w:rsidR="000F52AC" w:rsidRPr="00C86CE6">
        <w:t>—</w:t>
      </w:r>
      <w:r w:rsidR="000F52AC" w:rsidRPr="004B21E2">
        <w:rPr>
          <w:rStyle w:val="CharDivText"/>
        </w:rPr>
        <w:t>Deemed compliance</w:t>
      </w:r>
      <w:bookmarkEnd w:id="50"/>
    </w:p>
    <w:p w14:paraId="1E5E93FD" w14:textId="5B9C0375" w:rsidR="000F52AC" w:rsidRPr="00C86CE6" w:rsidRDefault="00BC4A61" w:rsidP="000F52AC">
      <w:pPr>
        <w:pStyle w:val="ActHead5"/>
      </w:pPr>
      <w:bookmarkStart w:id="51" w:name="_Toc184727354"/>
      <w:r w:rsidRPr="004B21E2">
        <w:rPr>
          <w:rStyle w:val="CharSectno"/>
        </w:rPr>
        <w:t>36</w:t>
      </w:r>
      <w:r w:rsidR="000F52AC" w:rsidRPr="00C86CE6">
        <w:t xml:space="preserve">  Deemed compliance with initial customer due diligence—previous carrying out of applicable customer identification procedure</w:t>
      </w:r>
      <w:bookmarkEnd w:id="51"/>
    </w:p>
    <w:p w14:paraId="2D600F7A" w14:textId="26D2FE2E" w:rsidR="000F52AC" w:rsidRPr="00C86CE6" w:rsidRDefault="000F52AC" w:rsidP="000F52AC">
      <w:pPr>
        <w:pStyle w:val="subsection"/>
      </w:pPr>
      <w:r w:rsidRPr="00C86CE6">
        <w:tab/>
      </w:r>
      <w:r w:rsidRPr="00C86CE6">
        <w:tab/>
        <w:t xml:space="preserve">For the purposes of </w:t>
      </w:r>
      <w:r w:rsidR="00A25E52" w:rsidRPr="00C86CE6">
        <w:t>paragraph 2</w:t>
      </w:r>
      <w:r w:rsidRPr="00C86CE6">
        <w:t xml:space="preserve">8(6)(b) of the Act, a reporting entity is taken to have complied with each of the matters mentioned in </w:t>
      </w:r>
      <w:r w:rsidR="00A25E52" w:rsidRPr="00C86CE6">
        <w:t>subsection 2</w:t>
      </w:r>
      <w:r w:rsidRPr="00C86CE6">
        <w:t xml:space="preserve">8(2) in relation to a customer if the reporting entity had, before </w:t>
      </w:r>
      <w:r w:rsidR="00A25E52" w:rsidRPr="00C86CE6">
        <w:t>31 March</w:t>
      </w:r>
      <w:r w:rsidRPr="00C86CE6">
        <w:t xml:space="preserve"> 2026, carried out the applicable customer identification procedure in respect of that customer (within the meaning of the Act as in force immediately before that date).</w:t>
      </w:r>
    </w:p>
    <w:p w14:paraId="593E887F" w14:textId="17985BF4" w:rsidR="000F52AC" w:rsidRPr="00C86CE6" w:rsidRDefault="00BC4A61" w:rsidP="000F52AC">
      <w:pPr>
        <w:pStyle w:val="ActHead5"/>
      </w:pPr>
      <w:bookmarkStart w:id="52" w:name="_Toc184727355"/>
      <w:r w:rsidRPr="004B21E2">
        <w:rPr>
          <w:rStyle w:val="CharSectno"/>
        </w:rPr>
        <w:t>37</w:t>
      </w:r>
      <w:r w:rsidR="000F52AC" w:rsidRPr="00C86CE6">
        <w:t xml:space="preserve">  Deemed compliance with initial customer due diligence—previous compliance in a foreign country</w:t>
      </w:r>
      <w:bookmarkEnd w:id="52"/>
    </w:p>
    <w:p w14:paraId="4F074D6C" w14:textId="4567FF08" w:rsidR="000F52AC" w:rsidRPr="00C86CE6" w:rsidRDefault="000F52AC" w:rsidP="000F52AC">
      <w:pPr>
        <w:pStyle w:val="subsection"/>
      </w:pPr>
      <w:r w:rsidRPr="00C86CE6">
        <w:tab/>
      </w:r>
      <w:r w:rsidRPr="00C86CE6">
        <w:tab/>
        <w:t xml:space="preserve">For the purposes of </w:t>
      </w:r>
      <w:r w:rsidR="00A25E52" w:rsidRPr="00C86CE6">
        <w:t>paragraph 2</w:t>
      </w:r>
      <w:r w:rsidRPr="00C86CE6">
        <w:t xml:space="preserve">8(6)(b) of the Act, a reporting entity is taken to have complied with a matter mentioned in </w:t>
      </w:r>
      <w:r w:rsidR="00A25E52" w:rsidRPr="00C86CE6">
        <w:t>subsection 2</w:t>
      </w:r>
      <w:r w:rsidRPr="00C86CE6">
        <w:t>8(2) in relation to a customer if:</w:t>
      </w:r>
    </w:p>
    <w:p w14:paraId="6632078B" w14:textId="77777777" w:rsidR="000F52AC" w:rsidRPr="00C86CE6" w:rsidRDefault="000F52AC" w:rsidP="000F52AC">
      <w:pPr>
        <w:pStyle w:val="paragraph"/>
      </w:pPr>
      <w:r w:rsidRPr="00C86CE6">
        <w:tab/>
        <w:t>(a)</w:t>
      </w:r>
      <w:r w:rsidRPr="00C86CE6">
        <w:tab/>
        <w:t>the reporting entity or another member of the reporting group of the reporting entity has previously commenced to provide a service (whether or not a designated service) to the customer at or through a permanent establishment in a foreign country; and</w:t>
      </w:r>
    </w:p>
    <w:p w14:paraId="28583B23" w14:textId="4D022909" w:rsidR="000F52AC" w:rsidRPr="00C86CE6" w:rsidRDefault="000F52AC" w:rsidP="000F52AC">
      <w:pPr>
        <w:pStyle w:val="paragraph"/>
      </w:pPr>
      <w:r w:rsidRPr="00C86CE6">
        <w:tab/>
        <w:t>(b)</w:t>
      </w:r>
      <w:r w:rsidRPr="00C86CE6">
        <w:tab/>
        <w:t xml:space="preserve">if the service was provided by another member of the reporting group—the other member was regulated by one or more laws of a foreign country that give effect to the FATF </w:t>
      </w:r>
      <w:r w:rsidR="00B77985">
        <w:t>R</w:t>
      </w:r>
      <w:r w:rsidRPr="00C86CE6">
        <w:t>ecommendations relating to customer due diligence and record</w:t>
      </w:r>
      <w:r w:rsidR="004A7589">
        <w:noBreakHyphen/>
      </w:r>
      <w:r w:rsidRPr="00C86CE6">
        <w:t>keeping; and</w:t>
      </w:r>
    </w:p>
    <w:p w14:paraId="5BE166CF" w14:textId="77777777" w:rsidR="000F52AC" w:rsidRPr="00C86CE6" w:rsidRDefault="000F52AC" w:rsidP="000F52AC">
      <w:pPr>
        <w:pStyle w:val="paragraph"/>
      </w:pPr>
      <w:r w:rsidRPr="00C86CE6">
        <w:tab/>
        <w:t>(c)</w:t>
      </w:r>
      <w:r w:rsidRPr="00C86CE6">
        <w:tab/>
        <w:t>the reporting entity or the other member of the reporting group complied with the matter as it applied to the provision of the service at or through a permanent establishment in a foreign country; and</w:t>
      </w:r>
    </w:p>
    <w:p w14:paraId="7131FCC5" w14:textId="77777777" w:rsidR="000F52AC" w:rsidRPr="00C86CE6" w:rsidRDefault="000F52AC" w:rsidP="000F52AC">
      <w:pPr>
        <w:pStyle w:val="paragraph"/>
      </w:pPr>
      <w:r w:rsidRPr="00C86CE6">
        <w:tab/>
        <w:t>(d)</w:t>
      </w:r>
      <w:r w:rsidRPr="00C86CE6">
        <w:tab/>
        <w:t>either:</w:t>
      </w:r>
    </w:p>
    <w:p w14:paraId="25BB0F26" w14:textId="77777777" w:rsidR="000F52AC" w:rsidRPr="00C86CE6" w:rsidRDefault="000F52AC" w:rsidP="000F52AC">
      <w:pPr>
        <w:pStyle w:val="paragraphsub"/>
      </w:pPr>
      <w:r w:rsidRPr="00C86CE6">
        <w:tab/>
        <w:t>(i)</w:t>
      </w:r>
      <w:r w:rsidRPr="00C86CE6">
        <w:tab/>
        <w:t>the reporting entity holds the KYC information collected on the customer, and the reliable and independent data used to verify the KYC information, in connection with the provision of the service; or</w:t>
      </w:r>
    </w:p>
    <w:p w14:paraId="1440E8C5" w14:textId="77777777" w:rsidR="000F52AC" w:rsidRPr="00C86CE6" w:rsidRDefault="000F52AC" w:rsidP="000F52AC">
      <w:pPr>
        <w:pStyle w:val="paragraphsub"/>
      </w:pPr>
      <w:r w:rsidRPr="00C86CE6">
        <w:tab/>
        <w:t>(ii)</w:t>
      </w:r>
      <w:r w:rsidRPr="00C86CE6">
        <w:tab/>
        <w:t>the reporting entity has in place an arrangement permitting immediate access to the KYC information collected on the customer by the other member of the reporting group, and the reliable and independent data used to verify the KYC information, in connection with the provision of the service.</w:t>
      </w:r>
    </w:p>
    <w:p w14:paraId="192E7761" w14:textId="2257DB25" w:rsidR="000F52AC" w:rsidRPr="00C86CE6" w:rsidRDefault="00BC4A61" w:rsidP="000F52AC">
      <w:pPr>
        <w:pStyle w:val="ActHead5"/>
      </w:pPr>
      <w:bookmarkStart w:id="53" w:name="_Toc184727356"/>
      <w:r w:rsidRPr="004B21E2">
        <w:rPr>
          <w:rStyle w:val="CharSectno"/>
        </w:rPr>
        <w:t>38</w:t>
      </w:r>
      <w:r w:rsidR="000F52AC" w:rsidRPr="00C86CE6">
        <w:t xml:space="preserve">  Deemed compliance with initial customer due diligence—customer cannot provide satisfactory evidence</w:t>
      </w:r>
      <w:bookmarkEnd w:id="53"/>
    </w:p>
    <w:p w14:paraId="26A6855A" w14:textId="0D43750F" w:rsidR="000F52AC" w:rsidRPr="00C86CE6" w:rsidRDefault="000F52AC" w:rsidP="000F52AC">
      <w:pPr>
        <w:pStyle w:val="subsection"/>
      </w:pPr>
      <w:r w:rsidRPr="00C86CE6">
        <w:tab/>
      </w:r>
      <w:r w:rsidRPr="00C86CE6">
        <w:tab/>
        <w:t xml:space="preserve">For the purposes of </w:t>
      </w:r>
      <w:r w:rsidR="00A25E52" w:rsidRPr="00C86CE6">
        <w:t>paragraph 2</w:t>
      </w:r>
      <w:r w:rsidRPr="00C86CE6">
        <w:t xml:space="preserve">8(6)(b) of the Act, a reporting entity is taken to have complied with a matter mentioned in </w:t>
      </w:r>
      <w:r w:rsidR="00A25E52" w:rsidRPr="00C86CE6">
        <w:t>subsection 2</w:t>
      </w:r>
      <w:r w:rsidRPr="00C86CE6">
        <w:t>8(2) in relation to a customer if:</w:t>
      </w:r>
    </w:p>
    <w:p w14:paraId="5D56A19D" w14:textId="77777777" w:rsidR="000F52AC" w:rsidRPr="00C86CE6" w:rsidRDefault="000F52AC" w:rsidP="000F52AC">
      <w:pPr>
        <w:pStyle w:val="paragraph"/>
      </w:pPr>
      <w:r w:rsidRPr="00C86CE6">
        <w:tab/>
        <w:t>(a)</w:t>
      </w:r>
      <w:r w:rsidRPr="00C86CE6">
        <w:tab/>
        <w:t>the customer is an individual; and</w:t>
      </w:r>
    </w:p>
    <w:p w14:paraId="0549AD1F" w14:textId="3493E635" w:rsidR="001D19E2" w:rsidRPr="00C86CE6" w:rsidRDefault="000F52AC" w:rsidP="000F52AC">
      <w:pPr>
        <w:pStyle w:val="paragraph"/>
      </w:pPr>
      <w:r w:rsidRPr="00C86CE6">
        <w:tab/>
        <w:t>(b)</w:t>
      </w:r>
      <w:r w:rsidRPr="00C86CE6">
        <w:tab/>
      </w:r>
      <w:r w:rsidR="0057082B" w:rsidRPr="00C86CE6">
        <w:t>the customer is unable to provide the information or evidence of identity necessary for the reporting entity to establish the matter because:</w:t>
      </w:r>
    </w:p>
    <w:p w14:paraId="129AC263" w14:textId="3B7662D1" w:rsidR="0057082B" w:rsidRPr="00C86CE6" w:rsidRDefault="0057082B" w:rsidP="0057082B">
      <w:pPr>
        <w:pStyle w:val="paragraphsub"/>
      </w:pPr>
      <w:r w:rsidRPr="00C86CE6">
        <w:tab/>
        <w:t>(i)</w:t>
      </w:r>
      <w:r w:rsidRPr="00C86CE6">
        <w:tab/>
        <w:t>the customer is unable to obtain the information or evidence; or</w:t>
      </w:r>
    </w:p>
    <w:p w14:paraId="21DF960E" w14:textId="10C064B3" w:rsidR="0057082B" w:rsidRPr="00C86CE6" w:rsidRDefault="0057082B" w:rsidP="0057082B">
      <w:pPr>
        <w:pStyle w:val="paragraphsub"/>
      </w:pPr>
      <w:r w:rsidRPr="00C86CE6">
        <w:lastRenderedPageBreak/>
        <w:tab/>
        <w:t>(ii)</w:t>
      </w:r>
      <w:r w:rsidRPr="00C86CE6">
        <w:tab/>
        <w:t>the customer is unable to access the information or evidence due to circumstances beyond the customer’s control; and</w:t>
      </w:r>
    </w:p>
    <w:p w14:paraId="3D0A8F14" w14:textId="77777777" w:rsidR="000F52AC" w:rsidRPr="00C86CE6" w:rsidRDefault="000F52AC" w:rsidP="000F52AC">
      <w:pPr>
        <w:pStyle w:val="paragraph"/>
      </w:pPr>
      <w:r w:rsidRPr="00C86CE6">
        <w:tab/>
        <w:t>(c)</w:t>
      </w:r>
      <w:r w:rsidRPr="00C86CE6">
        <w:tab/>
        <w:t>the reporting entity has done all of the following:</w:t>
      </w:r>
    </w:p>
    <w:p w14:paraId="591FC942" w14:textId="77777777" w:rsidR="000F52AC" w:rsidRPr="00C86CE6" w:rsidRDefault="000F52AC" w:rsidP="000F52AC">
      <w:pPr>
        <w:pStyle w:val="paragraphsub"/>
      </w:pPr>
      <w:r w:rsidRPr="00C86CE6">
        <w:tab/>
        <w:t>(i)</w:t>
      </w:r>
      <w:r w:rsidRPr="00C86CE6">
        <w:tab/>
        <w:t>taken reasonable steps to establish that the customer is the person the customer claims to be;</w:t>
      </w:r>
    </w:p>
    <w:p w14:paraId="3378BE65" w14:textId="77777777" w:rsidR="000F52AC" w:rsidRPr="00C86CE6" w:rsidRDefault="000F52AC" w:rsidP="000F52AC">
      <w:pPr>
        <w:pStyle w:val="paragraphsub"/>
      </w:pPr>
      <w:r w:rsidRPr="00C86CE6">
        <w:tab/>
        <w:t>(ii)</w:t>
      </w:r>
      <w:r w:rsidRPr="00C86CE6">
        <w:tab/>
        <w:t>identified the ML/TF risk of the customer, based on KYC information about the customer that is reasonably available to the reporting entity before commencing to provide the designated service;</w:t>
      </w:r>
    </w:p>
    <w:p w14:paraId="3A2D053B" w14:textId="77777777" w:rsidR="000F52AC" w:rsidRPr="00C86CE6" w:rsidRDefault="000F52AC" w:rsidP="000F52AC">
      <w:pPr>
        <w:pStyle w:val="paragraphsub"/>
      </w:pPr>
      <w:r w:rsidRPr="00C86CE6">
        <w:tab/>
        <w:t>(iii)</w:t>
      </w:r>
      <w:r w:rsidRPr="00C86CE6">
        <w:tab/>
        <w:t>collected KYC information about the customer that is appropriate to the ML/TF risk of the customer;</w:t>
      </w:r>
    </w:p>
    <w:p w14:paraId="6C2E686C" w14:textId="77777777" w:rsidR="000F52AC" w:rsidRPr="00C86CE6" w:rsidRDefault="000F52AC" w:rsidP="000F52AC">
      <w:pPr>
        <w:pStyle w:val="paragraphsub"/>
      </w:pPr>
      <w:r w:rsidRPr="00C86CE6">
        <w:tab/>
        <w:t>(iv)</w:t>
      </w:r>
      <w:r w:rsidRPr="00C86CE6">
        <w:tab/>
        <w:t>taken reasonable steps to verify, using data reasonably available to the reporting entity, such of the KYC information referred to in subparagraph (iii) as is appropriate to the ML/TF risk of the customer; and</w:t>
      </w:r>
    </w:p>
    <w:p w14:paraId="4B68D5B8" w14:textId="0FF558EE" w:rsidR="000F52AC" w:rsidRPr="00C86CE6" w:rsidRDefault="000F52AC" w:rsidP="000F52AC">
      <w:pPr>
        <w:pStyle w:val="paragraph"/>
      </w:pPr>
      <w:r w:rsidRPr="00C86CE6">
        <w:tab/>
        <w:t>(d)</w:t>
      </w:r>
      <w:r w:rsidRPr="00C86CE6">
        <w:tab/>
        <w:t xml:space="preserve">the reporting entity has </w:t>
      </w:r>
      <w:r w:rsidR="001C2BFE">
        <w:t>AML/CTF policies</w:t>
      </w:r>
      <w:r w:rsidRPr="00C86CE6">
        <w:t xml:space="preserve"> to mitigate and manage any additional ML/TF risk arising from the lack of the information or evidence.</w:t>
      </w:r>
    </w:p>
    <w:p w14:paraId="0FDBCFA2" w14:textId="193DA85E" w:rsidR="000F52AC" w:rsidRPr="00C86CE6" w:rsidRDefault="00BC4A61" w:rsidP="000F52AC">
      <w:pPr>
        <w:pStyle w:val="ActHead5"/>
      </w:pPr>
      <w:bookmarkStart w:id="54" w:name="_Toc184727357"/>
      <w:r w:rsidRPr="004B21E2">
        <w:rPr>
          <w:rStyle w:val="CharSectno"/>
        </w:rPr>
        <w:t>39</w:t>
      </w:r>
      <w:r w:rsidR="000F52AC" w:rsidRPr="00C86CE6">
        <w:t xml:space="preserve">  Deemed compliance with ongoing customer due diligence—monitoring of transactions and behaviours</w:t>
      </w:r>
      <w:bookmarkEnd w:id="54"/>
    </w:p>
    <w:p w14:paraId="7EB940E1" w14:textId="44BE6184" w:rsidR="000F52AC" w:rsidRPr="00C86CE6" w:rsidRDefault="000F52AC" w:rsidP="000F52AC">
      <w:pPr>
        <w:pStyle w:val="subsection"/>
      </w:pPr>
      <w:r w:rsidRPr="00C86CE6">
        <w:tab/>
      </w:r>
      <w:r w:rsidRPr="00C86CE6">
        <w:tab/>
        <w:t xml:space="preserve">For the purposes of </w:t>
      </w:r>
      <w:r w:rsidR="00A25E52" w:rsidRPr="00C86CE6">
        <w:t>paragraph 3</w:t>
      </w:r>
      <w:r w:rsidRPr="00C86CE6">
        <w:t xml:space="preserve">0(3)(b) of the Act, a reporting entity is taken to comply with the requirement in </w:t>
      </w:r>
      <w:r w:rsidR="00A25E52" w:rsidRPr="00C86CE6">
        <w:t>paragraph 3</w:t>
      </w:r>
      <w:r w:rsidRPr="00C86CE6">
        <w:t>0(2)(a) of the Act, if:</w:t>
      </w:r>
    </w:p>
    <w:p w14:paraId="23FAFF6F" w14:textId="77777777" w:rsidR="000F52AC" w:rsidRPr="00C86CE6" w:rsidRDefault="000F52AC" w:rsidP="000F52AC">
      <w:pPr>
        <w:pStyle w:val="paragraph"/>
      </w:pPr>
      <w:r w:rsidRPr="00C86CE6">
        <w:tab/>
        <w:t>(a)</w:t>
      </w:r>
      <w:r w:rsidRPr="00C86CE6">
        <w:tab/>
        <w:t>the reporting entity monitors for unusual transactions and behaviours that may give rise to a suspicious reporting obligation because of the operation of paragraphs 41(1)(d) to (j) of the Act other than subparagraph 41(1)(f)(iii); and</w:t>
      </w:r>
    </w:p>
    <w:p w14:paraId="6F261D5D" w14:textId="77777777" w:rsidR="000F52AC" w:rsidRPr="00C86CE6" w:rsidRDefault="000F52AC" w:rsidP="000F52AC">
      <w:pPr>
        <w:pStyle w:val="paragraph"/>
      </w:pPr>
      <w:r w:rsidRPr="00C86CE6">
        <w:tab/>
        <w:t>(b)</w:t>
      </w:r>
      <w:r w:rsidRPr="00C86CE6">
        <w:tab/>
        <w:t>the reporting entity monitors for unusual transactions and behaviours that may give rise to a suspicious reporting obligation because of the operation of subparagraph 41(1)(f)(iii) of the Act in relation to an offence against a law of the Commonwealth or of a State or Territory of any of the following kinds:</w:t>
      </w:r>
    </w:p>
    <w:p w14:paraId="21E4816A" w14:textId="43E042A9" w:rsidR="001C78F9" w:rsidRPr="00C86CE6" w:rsidRDefault="000F52AC" w:rsidP="000F52AC">
      <w:pPr>
        <w:pStyle w:val="paragraphsub"/>
      </w:pPr>
      <w:r w:rsidRPr="00C86CE6">
        <w:tab/>
        <w:t>(i)</w:t>
      </w:r>
      <w:r w:rsidRPr="00C86CE6">
        <w:tab/>
      </w:r>
      <w:r w:rsidR="001C78F9" w:rsidRPr="00C86CE6">
        <w:t>money laundering;</w:t>
      </w:r>
    </w:p>
    <w:p w14:paraId="3DAAF2DC" w14:textId="11A6BB24" w:rsidR="001C78F9" w:rsidRPr="00C86CE6" w:rsidRDefault="001C78F9" w:rsidP="000F52AC">
      <w:pPr>
        <w:pStyle w:val="paragraphsub"/>
      </w:pPr>
      <w:r w:rsidRPr="00C86CE6">
        <w:tab/>
        <w:t>(ii)</w:t>
      </w:r>
      <w:r w:rsidRPr="00C86CE6">
        <w:tab/>
        <w:t>financing of terrorism;</w:t>
      </w:r>
    </w:p>
    <w:p w14:paraId="24416309" w14:textId="63BA65B2" w:rsidR="000F52AC" w:rsidRPr="00C86CE6" w:rsidRDefault="001C78F9" w:rsidP="000F52AC">
      <w:pPr>
        <w:pStyle w:val="paragraphsub"/>
      </w:pPr>
      <w:r w:rsidRPr="00C86CE6">
        <w:tab/>
        <w:t>(iii)</w:t>
      </w:r>
      <w:r w:rsidRPr="00C86CE6">
        <w:tab/>
      </w:r>
      <w:r w:rsidR="000F52AC" w:rsidRPr="00C86CE6">
        <w:t>proliferation financing</w:t>
      </w:r>
      <w:r w:rsidR="00C35AC3" w:rsidRPr="00C86CE6">
        <w:t xml:space="preserve"> and other offences relating to the breach of sanctions</w:t>
      </w:r>
      <w:r w:rsidR="000F52AC" w:rsidRPr="00C86CE6">
        <w:t>;</w:t>
      </w:r>
    </w:p>
    <w:p w14:paraId="7B81199F" w14:textId="767248F6" w:rsidR="000F52AC" w:rsidRPr="00C86CE6" w:rsidRDefault="000F52AC" w:rsidP="000F52AC">
      <w:pPr>
        <w:pStyle w:val="paragraphsub"/>
      </w:pPr>
      <w:r w:rsidRPr="00C86CE6">
        <w:tab/>
        <w:t>(i</w:t>
      </w:r>
      <w:r w:rsidR="001C78F9" w:rsidRPr="00C86CE6">
        <w:t>v</w:t>
      </w:r>
      <w:r w:rsidRPr="00C86CE6">
        <w:t>)</w:t>
      </w:r>
      <w:r w:rsidRPr="00C86CE6">
        <w:tab/>
        <w:t>participation in organised crime or racketeering;</w:t>
      </w:r>
    </w:p>
    <w:p w14:paraId="22C0E24C" w14:textId="081C5202" w:rsidR="000F52AC" w:rsidRPr="00C86CE6" w:rsidRDefault="000F52AC" w:rsidP="000F52AC">
      <w:pPr>
        <w:pStyle w:val="paragraphsub"/>
      </w:pPr>
      <w:r w:rsidRPr="00C86CE6">
        <w:tab/>
        <w:t>(</w:t>
      </w:r>
      <w:r w:rsidR="001C78F9" w:rsidRPr="00C86CE6">
        <w:t>v</w:t>
      </w:r>
      <w:r w:rsidRPr="00C86CE6">
        <w:t>)</w:t>
      </w:r>
      <w:r w:rsidRPr="00C86CE6">
        <w:tab/>
        <w:t>terrorism;</w:t>
      </w:r>
    </w:p>
    <w:p w14:paraId="5CB64910" w14:textId="6B994BCD" w:rsidR="000F52AC" w:rsidRPr="00C86CE6" w:rsidRDefault="000F52AC" w:rsidP="000F52AC">
      <w:pPr>
        <w:pStyle w:val="paragraphsub"/>
      </w:pPr>
      <w:r w:rsidRPr="00C86CE6">
        <w:tab/>
        <w:t>(</w:t>
      </w:r>
      <w:r w:rsidR="001C78F9" w:rsidRPr="00C86CE6">
        <w:t>vi</w:t>
      </w:r>
      <w:r w:rsidRPr="00C86CE6">
        <w:t>)</w:t>
      </w:r>
      <w:r w:rsidRPr="00C86CE6">
        <w:tab/>
        <w:t>human trafficking or people smuggling;</w:t>
      </w:r>
    </w:p>
    <w:p w14:paraId="581DC147" w14:textId="35784E31" w:rsidR="000F52AC" w:rsidRPr="00C86CE6" w:rsidRDefault="000F52AC" w:rsidP="000F52AC">
      <w:pPr>
        <w:pStyle w:val="paragraphsub"/>
      </w:pPr>
      <w:r w:rsidRPr="00C86CE6">
        <w:tab/>
        <w:t>(v</w:t>
      </w:r>
      <w:r w:rsidR="001C78F9" w:rsidRPr="00C86CE6">
        <w:t>ii</w:t>
      </w:r>
      <w:r w:rsidRPr="00C86CE6">
        <w:t>)</w:t>
      </w:r>
      <w:r w:rsidRPr="00C86CE6">
        <w:tab/>
        <w:t>sexual exploitation (including exploitation of children);</w:t>
      </w:r>
    </w:p>
    <w:p w14:paraId="088CB22A" w14:textId="1150413D" w:rsidR="000F52AC" w:rsidRPr="00C86CE6" w:rsidRDefault="000F52AC" w:rsidP="000F52AC">
      <w:pPr>
        <w:pStyle w:val="paragraphsub"/>
      </w:pPr>
      <w:r w:rsidRPr="00C86CE6">
        <w:tab/>
        <w:t>(vi</w:t>
      </w:r>
      <w:r w:rsidR="001C78F9" w:rsidRPr="00C86CE6">
        <w:t>ii</w:t>
      </w:r>
      <w:r w:rsidRPr="00C86CE6">
        <w:t>)</w:t>
      </w:r>
      <w:r w:rsidRPr="00C86CE6">
        <w:tab/>
        <w:t>trafficking of illicit substances;</w:t>
      </w:r>
    </w:p>
    <w:p w14:paraId="189BA1EB" w14:textId="7C34563D" w:rsidR="000F52AC" w:rsidRPr="00C86CE6" w:rsidRDefault="000F52AC" w:rsidP="000F52AC">
      <w:pPr>
        <w:pStyle w:val="paragraphsub"/>
      </w:pPr>
      <w:r w:rsidRPr="00C86CE6">
        <w:tab/>
        <w:t>(</w:t>
      </w:r>
      <w:r w:rsidR="001C78F9" w:rsidRPr="00C86CE6">
        <w:t>ix</w:t>
      </w:r>
      <w:r w:rsidRPr="00C86CE6">
        <w:t>)</w:t>
      </w:r>
      <w:r w:rsidRPr="00C86CE6">
        <w:tab/>
        <w:t>arms trafficking;</w:t>
      </w:r>
    </w:p>
    <w:p w14:paraId="259F71BD" w14:textId="0DE1E275" w:rsidR="000F52AC" w:rsidRPr="00C86CE6" w:rsidRDefault="000F52AC" w:rsidP="000F52AC">
      <w:pPr>
        <w:pStyle w:val="paragraphsub"/>
      </w:pPr>
      <w:r w:rsidRPr="00C86CE6">
        <w:tab/>
        <w:t>(</w:t>
      </w:r>
      <w:r w:rsidR="001C78F9" w:rsidRPr="00C86CE6">
        <w:t>x</w:t>
      </w:r>
      <w:r w:rsidRPr="00C86CE6">
        <w:t>)</w:t>
      </w:r>
      <w:r w:rsidRPr="00C86CE6">
        <w:tab/>
        <w:t>other goods trafficking (including stolen goods);</w:t>
      </w:r>
    </w:p>
    <w:p w14:paraId="70DB306E" w14:textId="02810CFE" w:rsidR="000F52AC" w:rsidRPr="00C86CE6" w:rsidRDefault="000F52AC" w:rsidP="000F52AC">
      <w:pPr>
        <w:pStyle w:val="paragraphsub"/>
      </w:pPr>
      <w:r w:rsidRPr="00C86CE6">
        <w:tab/>
        <w:t>(</w:t>
      </w:r>
      <w:r w:rsidR="001C78F9" w:rsidRPr="00C86CE6">
        <w:t>xi</w:t>
      </w:r>
      <w:r w:rsidRPr="00C86CE6">
        <w:t>)</w:t>
      </w:r>
      <w:r w:rsidRPr="00C86CE6">
        <w:tab/>
        <w:t>corruption;</w:t>
      </w:r>
    </w:p>
    <w:p w14:paraId="23DDE4D3" w14:textId="32C11B96" w:rsidR="000F52AC" w:rsidRPr="00C86CE6" w:rsidRDefault="000F52AC" w:rsidP="000F52AC">
      <w:pPr>
        <w:pStyle w:val="paragraphsub"/>
      </w:pPr>
      <w:r w:rsidRPr="00C86CE6">
        <w:tab/>
        <w:t>(x</w:t>
      </w:r>
      <w:r w:rsidR="001C78F9" w:rsidRPr="00C86CE6">
        <w:t>ii</w:t>
      </w:r>
      <w:r w:rsidRPr="00C86CE6">
        <w:t>)</w:t>
      </w:r>
      <w:r w:rsidRPr="00C86CE6">
        <w:tab/>
        <w:t>bribery;</w:t>
      </w:r>
    </w:p>
    <w:p w14:paraId="12A025AE" w14:textId="5BE082E8" w:rsidR="000F52AC" w:rsidRPr="00C86CE6" w:rsidRDefault="000F52AC" w:rsidP="000F52AC">
      <w:pPr>
        <w:pStyle w:val="paragraphsub"/>
      </w:pPr>
      <w:r w:rsidRPr="00C86CE6">
        <w:tab/>
        <w:t>(xi</w:t>
      </w:r>
      <w:r w:rsidR="001C78F9" w:rsidRPr="00C86CE6">
        <w:t>ii</w:t>
      </w:r>
      <w:r w:rsidRPr="00C86CE6">
        <w:t>)</w:t>
      </w:r>
      <w:r w:rsidRPr="00C86CE6">
        <w:tab/>
        <w:t>counterfeiting currency;</w:t>
      </w:r>
    </w:p>
    <w:p w14:paraId="24D25270" w14:textId="43D5A2BD" w:rsidR="000F52AC" w:rsidRPr="00C86CE6" w:rsidRDefault="000F52AC" w:rsidP="000F52AC">
      <w:pPr>
        <w:pStyle w:val="paragraphsub"/>
      </w:pPr>
      <w:r w:rsidRPr="00C86CE6">
        <w:tab/>
        <w:t>(xi</w:t>
      </w:r>
      <w:r w:rsidR="001C78F9" w:rsidRPr="00C86CE6">
        <w:t>v</w:t>
      </w:r>
      <w:r w:rsidRPr="00C86CE6">
        <w:t>)</w:t>
      </w:r>
      <w:r w:rsidRPr="00C86CE6">
        <w:tab/>
        <w:t>fraud (including scams);</w:t>
      </w:r>
    </w:p>
    <w:p w14:paraId="33B15E71" w14:textId="1109F5B7" w:rsidR="000F52AC" w:rsidRPr="00C86CE6" w:rsidRDefault="000F52AC" w:rsidP="000F52AC">
      <w:pPr>
        <w:pStyle w:val="paragraphsub"/>
      </w:pPr>
      <w:r w:rsidRPr="00C86CE6">
        <w:tab/>
        <w:t>(x</w:t>
      </w:r>
      <w:r w:rsidR="001C78F9" w:rsidRPr="00C86CE6">
        <w:t>v</w:t>
      </w:r>
      <w:r w:rsidRPr="00C86CE6">
        <w:t>)</w:t>
      </w:r>
      <w:r w:rsidRPr="00C86CE6">
        <w:tab/>
        <w:t>counterfeiting or piracy of products;</w:t>
      </w:r>
    </w:p>
    <w:p w14:paraId="4DEA500C" w14:textId="208BEFAA" w:rsidR="001C78F9" w:rsidRPr="00C86CE6" w:rsidRDefault="001C78F9" w:rsidP="000F52AC">
      <w:pPr>
        <w:pStyle w:val="paragraphsub"/>
      </w:pPr>
      <w:r w:rsidRPr="00C86CE6">
        <w:lastRenderedPageBreak/>
        <w:tab/>
        <w:t>(xvi)</w:t>
      </w:r>
      <w:r w:rsidRPr="00C86CE6">
        <w:tab/>
        <w:t>crimes relating to taxation;</w:t>
      </w:r>
    </w:p>
    <w:p w14:paraId="3680E107" w14:textId="24503783" w:rsidR="000F52AC" w:rsidRPr="00C86CE6" w:rsidRDefault="000F52AC" w:rsidP="000F52AC">
      <w:pPr>
        <w:pStyle w:val="paragraphsub"/>
      </w:pPr>
      <w:r w:rsidRPr="00C86CE6">
        <w:tab/>
        <w:t>(x</w:t>
      </w:r>
      <w:r w:rsidR="001C78F9" w:rsidRPr="00C86CE6">
        <w:t>vii</w:t>
      </w:r>
      <w:r w:rsidRPr="00C86CE6">
        <w:t>)</w:t>
      </w:r>
      <w:r w:rsidRPr="00C86CE6">
        <w:tab/>
        <w:t>extortion;</w:t>
      </w:r>
    </w:p>
    <w:p w14:paraId="0945AA6E" w14:textId="5D7FBA56" w:rsidR="000F52AC" w:rsidRPr="00C86CE6" w:rsidRDefault="000F52AC" w:rsidP="000F52AC">
      <w:pPr>
        <w:pStyle w:val="paragraphsub"/>
      </w:pPr>
      <w:r w:rsidRPr="00C86CE6">
        <w:tab/>
        <w:t>(xv</w:t>
      </w:r>
      <w:r w:rsidR="001C78F9" w:rsidRPr="00C86CE6">
        <w:t>iii</w:t>
      </w:r>
      <w:r w:rsidRPr="00C86CE6">
        <w:t>)</w:t>
      </w:r>
      <w:r w:rsidRPr="00C86CE6">
        <w:tab/>
        <w:t>forgery;</w:t>
      </w:r>
    </w:p>
    <w:p w14:paraId="50A7EC1E" w14:textId="7E43A8DE" w:rsidR="000F52AC" w:rsidRPr="00C86CE6" w:rsidRDefault="000F52AC" w:rsidP="000F52AC">
      <w:pPr>
        <w:pStyle w:val="paragraphsub"/>
      </w:pPr>
      <w:r w:rsidRPr="00C86CE6">
        <w:tab/>
        <w:t>(x</w:t>
      </w:r>
      <w:r w:rsidR="001C78F9" w:rsidRPr="00C86CE6">
        <w:t>ix</w:t>
      </w:r>
      <w:r w:rsidRPr="00C86CE6">
        <w:t>)</w:t>
      </w:r>
      <w:r w:rsidRPr="00C86CE6">
        <w:tab/>
        <w:t>piracy;</w:t>
      </w:r>
    </w:p>
    <w:p w14:paraId="551A108A" w14:textId="21A35CEA" w:rsidR="000F52AC" w:rsidRPr="00C86CE6" w:rsidRDefault="000F52AC" w:rsidP="000F52AC">
      <w:pPr>
        <w:pStyle w:val="paragraphsub"/>
      </w:pPr>
      <w:r w:rsidRPr="00C86CE6">
        <w:tab/>
        <w:t>(x</w:t>
      </w:r>
      <w:r w:rsidR="001C78F9" w:rsidRPr="00C86CE6">
        <w:t>x</w:t>
      </w:r>
      <w:r w:rsidRPr="00C86CE6">
        <w:t>)</w:t>
      </w:r>
      <w:r w:rsidRPr="00C86CE6">
        <w:tab/>
        <w:t>insider trading and market manipulation;</w:t>
      </w:r>
    </w:p>
    <w:p w14:paraId="63F96F93" w14:textId="4D36AEED" w:rsidR="000F52AC" w:rsidRPr="00C86CE6" w:rsidRDefault="000F52AC" w:rsidP="000F52AC">
      <w:pPr>
        <w:pStyle w:val="paragraphsub"/>
      </w:pPr>
      <w:r w:rsidRPr="00C86CE6">
        <w:tab/>
        <w:t>(x</w:t>
      </w:r>
      <w:r w:rsidR="001C78F9" w:rsidRPr="00C86CE6">
        <w:t>xi</w:t>
      </w:r>
      <w:r w:rsidRPr="00C86CE6">
        <w:t>)</w:t>
      </w:r>
      <w:r w:rsidRPr="00C86CE6">
        <w:tab/>
        <w:t>environmental crime;</w:t>
      </w:r>
    </w:p>
    <w:p w14:paraId="733A3463" w14:textId="136F7744" w:rsidR="000F52AC" w:rsidRPr="00C86CE6" w:rsidRDefault="000F52AC" w:rsidP="000F52AC">
      <w:pPr>
        <w:pStyle w:val="paragraphsub"/>
      </w:pPr>
      <w:r w:rsidRPr="00C86CE6">
        <w:tab/>
        <w:t>(x</w:t>
      </w:r>
      <w:r w:rsidR="001C78F9" w:rsidRPr="00C86CE6">
        <w:t>xii</w:t>
      </w:r>
      <w:r w:rsidRPr="00C86CE6">
        <w:t>)</w:t>
      </w:r>
      <w:r w:rsidRPr="00C86CE6">
        <w:tab/>
        <w:t>robbery or theft;</w:t>
      </w:r>
    </w:p>
    <w:p w14:paraId="1AF8BFF0" w14:textId="1430A1D4" w:rsidR="000F52AC" w:rsidRPr="00C86CE6" w:rsidRDefault="000F52AC" w:rsidP="000F52AC">
      <w:pPr>
        <w:pStyle w:val="paragraphsub"/>
      </w:pPr>
      <w:r w:rsidRPr="00C86CE6">
        <w:tab/>
        <w:t>(xx</w:t>
      </w:r>
      <w:r w:rsidR="001C78F9" w:rsidRPr="00C86CE6">
        <w:t>iii</w:t>
      </w:r>
      <w:r w:rsidRPr="00C86CE6">
        <w:t>)</w:t>
      </w:r>
      <w:r w:rsidRPr="00C86CE6">
        <w:tab/>
        <w:t>kidnapping, illegal restraint or taking hostages;</w:t>
      </w:r>
    </w:p>
    <w:p w14:paraId="53E82B55" w14:textId="7AC7A709" w:rsidR="000F52AC" w:rsidRPr="00C86CE6" w:rsidRDefault="000F52AC" w:rsidP="000F52AC">
      <w:pPr>
        <w:pStyle w:val="paragraphsub"/>
      </w:pPr>
      <w:r w:rsidRPr="00C86CE6">
        <w:tab/>
        <w:t>(xxi</w:t>
      </w:r>
      <w:r w:rsidR="001C78F9" w:rsidRPr="00C86CE6">
        <w:t>v</w:t>
      </w:r>
      <w:r w:rsidRPr="00C86CE6">
        <w:t>)</w:t>
      </w:r>
      <w:r w:rsidRPr="00C86CE6">
        <w:tab/>
        <w:t>smuggling (including offences in relation to customs and excise);</w:t>
      </w:r>
    </w:p>
    <w:p w14:paraId="0CD35138" w14:textId="5C131D40" w:rsidR="000F52AC" w:rsidRPr="00C86CE6" w:rsidRDefault="000F52AC" w:rsidP="000F52AC">
      <w:pPr>
        <w:pStyle w:val="paragraphsub"/>
      </w:pPr>
      <w:r w:rsidRPr="00C86CE6">
        <w:tab/>
        <w:t>(xx</w:t>
      </w:r>
      <w:r w:rsidR="001C78F9" w:rsidRPr="00C86CE6">
        <w:t>v</w:t>
      </w:r>
      <w:r w:rsidRPr="00C86CE6">
        <w:t>)</w:t>
      </w:r>
      <w:r w:rsidRPr="00C86CE6">
        <w:tab/>
        <w:t>murder or grievous bodily harm;</w:t>
      </w:r>
    </w:p>
    <w:p w14:paraId="5DAF7586" w14:textId="0E1A9C75" w:rsidR="001C78F9" w:rsidRPr="00C86CE6" w:rsidRDefault="000F52AC" w:rsidP="001C78F9">
      <w:pPr>
        <w:pStyle w:val="paragraphsub"/>
      </w:pPr>
      <w:r w:rsidRPr="00C86CE6">
        <w:tab/>
        <w:t>(xx</w:t>
      </w:r>
      <w:r w:rsidR="001C78F9" w:rsidRPr="00C86CE6">
        <w:t>vi</w:t>
      </w:r>
      <w:r w:rsidRPr="00C86CE6">
        <w:t>)</w:t>
      </w:r>
      <w:r w:rsidRPr="00C86CE6">
        <w:tab/>
        <w:t>cybercrime</w:t>
      </w:r>
      <w:r w:rsidR="00755CFD" w:rsidRPr="00C86CE6">
        <w:t>;</w:t>
      </w:r>
    </w:p>
    <w:p w14:paraId="70EF667C" w14:textId="6D6579A6" w:rsidR="00755CFD" w:rsidRPr="00C86CE6" w:rsidRDefault="00755CFD" w:rsidP="001C78F9">
      <w:pPr>
        <w:pStyle w:val="paragraphsub"/>
      </w:pPr>
      <w:r w:rsidRPr="00C86CE6">
        <w:tab/>
        <w:t>(xxvii)</w:t>
      </w:r>
      <w:r w:rsidRPr="00C86CE6">
        <w:tab/>
        <w:t>any other kind of offence that the reporting entity has identified in its ML/TF risk assessment as presenting a high risk in relation to the occurrence of money laundering.</w:t>
      </w:r>
    </w:p>
    <w:p w14:paraId="0825E8F3" w14:textId="42FD2CD7" w:rsidR="00C42195" w:rsidRPr="00C86CE6" w:rsidRDefault="000F52AC" w:rsidP="00914F3D">
      <w:pPr>
        <w:pStyle w:val="notetext"/>
      </w:pPr>
      <w:r w:rsidRPr="00C86CE6">
        <w:t>Note:</w:t>
      </w:r>
      <w:r w:rsidRPr="00C86CE6">
        <w:tab/>
        <w:t>Subparagraph 41(f)(iii) of the Act refers to the reporting entity suspecting on reasonable grounds that information it has may be relevant to investigation of, or prosecution of a person for, an offence against a law of the Commonwealth or of a State or Territory.</w:t>
      </w:r>
    </w:p>
    <w:p w14:paraId="3539FCF7" w14:textId="2BCF645C" w:rsidR="00C42195" w:rsidRPr="00C86CE6" w:rsidRDefault="00A25E52" w:rsidP="00A25E52">
      <w:pPr>
        <w:pStyle w:val="ActHead3"/>
        <w:pageBreakBefore/>
      </w:pPr>
      <w:bookmarkStart w:id="55" w:name="_Toc184727358"/>
      <w:r w:rsidRPr="004B21E2">
        <w:rPr>
          <w:rStyle w:val="CharDivNo"/>
        </w:rPr>
        <w:lastRenderedPageBreak/>
        <w:t>Division </w:t>
      </w:r>
      <w:r w:rsidR="009B152C" w:rsidRPr="004B21E2">
        <w:rPr>
          <w:rStyle w:val="CharDivNo"/>
        </w:rPr>
        <w:t>5</w:t>
      </w:r>
      <w:r w:rsidR="00C42195" w:rsidRPr="00C86CE6">
        <w:t>—</w:t>
      </w:r>
      <w:r w:rsidR="00C42195" w:rsidRPr="004B21E2">
        <w:rPr>
          <w:rStyle w:val="CharDivText"/>
        </w:rPr>
        <w:t>Politically exposed persons</w:t>
      </w:r>
      <w:bookmarkEnd w:id="55"/>
    </w:p>
    <w:p w14:paraId="5BA25A4A" w14:textId="66418719" w:rsidR="00C42195" w:rsidRPr="00C86CE6" w:rsidRDefault="00BC4A61" w:rsidP="00C42195">
      <w:pPr>
        <w:pStyle w:val="ActHead5"/>
      </w:pPr>
      <w:bookmarkStart w:id="56" w:name="_Toc184727359"/>
      <w:r w:rsidRPr="004B21E2">
        <w:rPr>
          <w:rStyle w:val="CharSectno"/>
        </w:rPr>
        <w:t>40</w:t>
      </w:r>
      <w:r w:rsidR="00C42195" w:rsidRPr="00C86CE6">
        <w:t xml:space="preserve">  Matters for initial customer due diligence—politically exposed person</w:t>
      </w:r>
      <w:bookmarkEnd w:id="56"/>
    </w:p>
    <w:p w14:paraId="7E6EC03D" w14:textId="06C90E5C" w:rsidR="00C42195" w:rsidRPr="00C86CE6" w:rsidRDefault="00C42195" w:rsidP="00C42195">
      <w:pPr>
        <w:pStyle w:val="subsection"/>
      </w:pPr>
      <w:r w:rsidRPr="00C86CE6">
        <w:tab/>
        <w:t>(1)</w:t>
      </w:r>
      <w:r w:rsidRPr="00C86CE6">
        <w:tab/>
        <w:t xml:space="preserve">For the purposes of </w:t>
      </w:r>
      <w:r w:rsidR="00A25E52" w:rsidRPr="00C86CE6">
        <w:t>paragraph 2</w:t>
      </w:r>
      <w:r w:rsidRPr="00C86CE6">
        <w:t xml:space="preserve">8(2)(g) of the Act, the matters in </w:t>
      </w:r>
      <w:r w:rsidR="00A25E52" w:rsidRPr="00C86CE6">
        <w:t>subsection (</w:t>
      </w:r>
      <w:r w:rsidRPr="00C86CE6">
        <w:t>2) of this section are specified in relation to a customer if:</w:t>
      </w:r>
    </w:p>
    <w:p w14:paraId="79D1F1EC" w14:textId="6CA12C1B" w:rsidR="00C42195" w:rsidRPr="00C86CE6" w:rsidRDefault="00C42195" w:rsidP="00C42195">
      <w:pPr>
        <w:pStyle w:val="paragraph"/>
      </w:pPr>
      <w:r w:rsidRPr="00C86CE6">
        <w:tab/>
        <w:t>(a)</w:t>
      </w:r>
      <w:r w:rsidRPr="00C86CE6">
        <w:tab/>
        <w:t>the customer, any beneficial owner of the customer or any person on whose behalf the customer is receiving the designated service is a foreign politically exposed person; or</w:t>
      </w:r>
    </w:p>
    <w:p w14:paraId="45BAD572" w14:textId="322DB78C" w:rsidR="00C42195" w:rsidRPr="00C86CE6" w:rsidRDefault="00C42195" w:rsidP="00C42195">
      <w:pPr>
        <w:pStyle w:val="paragraph"/>
      </w:pPr>
      <w:r w:rsidRPr="00C86CE6">
        <w:tab/>
        <w:t>(b)</w:t>
      </w:r>
      <w:r w:rsidRPr="00C86CE6">
        <w:tab/>
        <w:t>both:</w:t>
      </w:r>
    </w:p>
    <w:p w14:paraId="67B4B78C" w14:textId="45243A2F" w:rsidR="00C42195" w:rsidRPr="00C86CE6" w:rsidRDefault="00C42195" w:rsidP="00C42195">
      <w:pPr>
        <w:pStyle w:val="paragraphsub"/>
      </w:pPr>
      <w:r w:rsidRPr="00C86CE6">
        <w:tab/>
        <w:t>(i)</w:t>
      </w:r>
      <w:r w:rsidRPr="00C86CE6">
        <w:tab/>
        <w:t>the customer, any beneficial owner of the customer or any person on whose behalf the customer is receiving the designated service is a domestic politically exposed person; and</w:t>
      </w:r>
    </w:p>
    <w:p w14:paraId="41F8D495" w14:textId="6C18AD50" w:rsidR="00C42195" w:rsidRPr="00C86CE6" w:rsidRDefault="00C42195" w:rsidP="00C42195">
      <w:pPr>
        <w:pStyle w:val="paragraphsub"/>
      </w:pPr>
      <w:r w:rsidRPr="00C86CE6">
        <w:tab/>
        <w:t>(ii)</w:t>
      </w:r>
      <w:r w:rsidRPr="00C86CE6">
        <w:tab/>
        <w:t>the ML/TF risk of the customer is high; or</w:t>
      </w:r>
    </w:p>
    <w:p w14:paraId="0CB40CD5" w14:textId="0A74526B" w:rsidR="00C42195" w:rsidRPr="00C86CE6" w:rsidRDefault="00C42195" w:rsidP="00C42195">
      <w:pPr>
        <w:pStyle w:val="paragraph"/>
      </w:pPr>
      <w:r w:rsidRPr="00C86CE6">
        <w:tab/>
        <w:t>(c)</w:t>
      </w:r>
      <w:r w:rsidRPr="00C86CE6">
        <w:tab/>
        <w:t>both:</w:t>
      </w:r>
    </w:p>
    <w:p w14:paraId="1CEDFA7E" w14:textId="1FCC9C4B" w:rsidR="00C42195" w:rsidRPr="00C86CE6" w:rsidRDefault="00C42195" w:rsidP="00C42195">
      <w:pPr>
        <w:pStyle w:val="paragraphsub"/>
      </w:pPr>
      <w:r w:rsidRPr="00C86CE6">
        <w:tab/>
        <w:t>(i)</w:t>
      </w:r>
      <w:r w:rsidRPr="00C86CE6">
        <w:tab/>
        <w:t>the customer, any beneficial owner of the customer or any person on whose behalf the customer is receiving the designated service is an international organisation politically exposed person; and</w:t>
      </w:r>
    </w:p>
    <w:p w14:paraId="7E043694" w14:textId="4890B95D" w:rsidR="00C42195" w:rsidRPr="00C86CE6" w:rsidRDefault="00C42195" w:rsidP="00C42195">
      <w:pPr>
        <w:pStyle w:val="paragraphsub"/>
      </w:pPr>
      <w:r w:rsidRPr="00C86CE6">
        <w:tab/>
        <w:t>(ii)</w:t>
      </w:r>
      <w:r w:rsidRPr="00C86CE6">
        <w:tab/>
        <w:t>the ML/TF risk of the customer is high.</w:t>
      </w:r>
    </w:p>
    <w:p w14:paraId="5030495F" w14:textId="77777777" w:rsidR="00C42195" w:rsidRPr="00C86CE6" w:rsidRDefault="00C42195" w:rsidP="00C42195">
      <w:pPr>
        <w:pStyle w:val="subsection"/>
      </w:pPr>
      <w:r w:rsidRPr="00C86CE6">
        <w:tab/>
        <w:t>(2)</w:t>
      </w:r>
      <w:r w:rsidRPr="00C86CE6">
        <w:tab/>
        <w:t>The matters are:</w:t>
      </w:r>
    </w:p>
    <w:p w14:paraId="677B98A7" w14:textId="0D5949B0" w:rsidR="00C42195" w:rsidRPr="00C86CE6" w:rsidRDefault="00C42195" w:rsidP="00C42195">
      <w:pPr>
        <w:pStyle w:val="paragraph"/>
      </w:pPr>
      <w:r w:rsidRPr="00C86CE6">
        <w:tab/>
        <w:t>(a)</w:t>
      </w:r>
      <w:r w:rsidRPr="00C86CE6">
        <w:tab/>
        <w:t>the source of the politically exposed person’s wealth; and</w:t>
      </w:r>
    </w:p>
    <w:p w14:paraId="0B9C2207" w14:textId="7F67AFB4" w:rsidR="00C42195" w:rsidRPr="00C86CE6" w:rsidRDefault="00C42195" w:rsidP="00C42195">
      <w:pPr>
        <w:pStyle w:val="paragraph"/>
      </w:pPr>
      <w:r w:rsidRPr="00C86CE6">
        <w:tab/>
        <w:t>(b)</w:t>
      </w:r>
      <w:r w:rsidRPr="00C86CE6">
        <w:tab/>
        <w:t>the source of the politically exposed person’s funds.</w:t>
      </w:r>
    </w:p>
    <w:p w14:paraId="1A56B41A" w14:textId="3C83D120" w:rsidR="00C42195" w:rsidRPr="00C86CE6" w:rsidRDefault="00BC4A61" w:rsidP="00C42195">
      <w:pPr>
        <w:pStyle w:val="ActHead5"/>
      </w:pPr>
      <w:bookmarkStart w:id="57" w:name="_Toc184727360"/>
      <w:r w:rsidRPr="004B21E2">
        <w:rPr>
          <w:rStyle w:val="CharSectno"/>
        </w:rPr>
        <w:t>41</w:t>
      </w:r>
      <w:r w:rsidR="00C42195" w:rsidRPr="00C86CE6">
        <w:t xml:space="preserve">  Ongoing customer due diligence—politically exposed person</w:t>
      </w:r>
      <w:bookmarkEnd w:id="57"/>
    </w:p>
    <w:p w14:paraId="0B480A69" w14:textId="70F43B6D" w:rsidR="00C42195" w:rsidRPr="00C86CE6" w:rsidRDefault="00C42195" w:rsidP="00C42195">
      <w:pPr>
        <w:pStyle w:val="subsection"/>
      </w:pPr>
      <w:r w:rsidRPr="00C86CE6">
        <w:tab/>
      </w:r>
      <w:r w:rsidRPr="00C86CE6">
        <w:tab/>
        <w:t>For the purposes of sub</w:t>
      </w:r>
      <w:r w:rsidR="00A25E52" w:rsidRPr="00C86CE6">
        <w:t>paragraph 3</w:t>
      </w:r>
      <w:r w:rsidRPr="00C86CE6">
        <w:t>0(2)(c)(ii) of the Act, the reporting entity must review, and where appropriate, update and reverify KYC information relating to the customer if:</w:t>
      </w:r>
    </w:p>
    <w:p w14:paraId="65C42420" w14:textId="3963AF5F" w:rsidR="00C42195" w:rsidRPr="00C86CE6" w:rsidRDefault="00C42195" w:rsidP="00C42195">
      <w:pPr>
        <w:pStyle w:val="paragraph"/>
      </w:pPr>
      <w:r w:rsidRPr="00C86CE6">
        <w:tab/>
        <w:t>(a)</w:t>
      </w:r>
      <w:r w:rsidRPr="00C86CE6">
        <w:tab/>
        <w:t>the customer</w:t>
      </w:r>
      <w:r w:rsidR="0057082B" w:rsidRPr="00C86CE6">
        <w:t>, a beneficial owner of the customer or a person on whose behalf the customer is receiving the designated service</w:t>
      </w:r>
      <w:r w:rsidRPr="00C86CE6">
        <w:t xml:space="preserve"> becomes a foreign politically exposed person; or</w:t>
      </w:r>
    </w:p>
    <w:p w14:paraId="16B9ACF4" w14:textId="2A38F7B9" w:rsidR="0057082B" w:rsidRPr="00C86CE6" w:rsidRDefault="0057082B" w:rsidP="00C42195">
      <w:pPr>
        <w:pStyle w:val="paragraph"/>
      </w:pPr>
      <w:r w:rsidRPr="00C86CE6">
        <w:tab/>
        <w:t>(b)</w:t>
      </w:r>
      <w:r w:rsidRPr="00C86CE6">
        <w:tab/>
        <w:t>both:</w:t>
      </w:r>
    </w:p>
    <w:p w14:paraId="47750C8C" w14:textId="27173169" w:rsidR="0057082B" w:rsidRPr="00C86CE6" w:rsidRDefault="0057082B" w:rsidP="0057082B">
      <w:pPr>
        <w:pStyle w:val="paragraphsub"/>
      </w:pPr>
      <w:r w:rsidRPr="00C86CE6">
        <w:tab/>
        <w:t>(i)</w:t>
      </w:r>
      <w:r w:rsidRPr="00C86CE6">
        <w:tab/>
        <w:t>the customer, a beneficial owner of the customer or a person on whose behalf the customer is receiving the designated service becomes a domestic politically exposed person; and</w:t>
      </w:r>
    </w:p>
    <w:p w14:paraId="706F35DE" w14:textId="77777777" w:rsidR="0057082B" w:rsidRPr="00C86CE6" w:rsidRDefault="0057082B" w:rsidP="0057082B">
      <w:pPr>
        <w:pStyle w:val="paragraphsub"/>
      </w:pPr>
      <w:r w:rsidRPr="00C86CE6">
        <w:tab/>
        <w:t>(ii)</w:t>
      </w:r>
      <w:r w:rsidRPr="00C86CE6">
        <w:tab/>
        <w:t>the ML/TF risk of the customer is high; or</w:t>
      </w:r>
    </w:p>
    <w:p w14:paraId="75726BC6" w14:textId="77777777" w:rsidR="0057082B" w:rsidRPr="00C86CE6" w:rsidRDefault="0057082B" w:rsidP="0057082B">
      <w:pPr>
        <w:pStyle w:val="paragraph"/>
      </w:pPr>
      <w:r w:rsidRPr="00C86CE6">
        <w:tab/>
        <w:t>(c)</w:t>
      </w:r>
      <w:r w:rsidRPr="00C86CE6">
        <w:tab/>
        <w:t>both:</w:t>
      </w:r>
    </w:p>
    <w:p w14:paraId="419D7AF3" w14:textId="456C96C3" w:rsidR="0057082B" w:rsidRPr="00C86CE6" w:rsidRDefault="0057082B" w:rsidP="0057082B">
      <w:pPr>
        <w:pStyle w:val="paragraphsub"/>
      </w:pPr>
      <w:r w:rsidRPr="00C86CE6">
        <w:tab/>
        <w:t>(i)</w:t>
      </w:r>
      <w:r w:rsidRPr="00C86CE6">
        <w:tab/>
        <w:t>the customer, a beneficial owner of the customer or a person on whose behalf the customer is receiving the designated service becomes an international organisation politically exposed person; and</w:t>
      </w:r>
    </w:p>
    <w:p w14:paraId="6823E5B3" w14:textId="36A8DE1B" w:rsidR="00C42195" w:rsidRPr="00C86CE6" w:rsidRDefault="0057082B" w:rsidP="0057082B">
      <w:pPr>
        <w:pStyle w:val="paragraphsub"/>
      </w:pPr>
      <w:r w:rsidRPr="00C86CE6">
        <w:tab/>
        <w:t>(ii)</w:t>
      </w:r>
      <w:r w:rsidRPr="00C86CE6">
        <w:tab/>
        <w:t>the ML/TF risk of the customer is high.</w:t>
      </w:r>
    </w:p>
    <w:p w14:paraId="57C3B316" w14:textId="2A91E4F2" w:rsidR="009B152C" w:rsidRPr="00C86CE6" w:rsidRDefault="009B152C" w:rsidP="009B152C">
      <w:pPr>
        <w:pStyle w:val="ActHead3"/>
        <w:pageBreakBefore/>
      </w:pPr>
      <w:bookmarkStart w:id="58" w:name="_Toc184727361"/>
      <w:r w:rsidRPr="004B21E2">
        <w:rPr>
          <w:rStyle w:val="CharDivNo"/>
        </w:rPr>
        <w:lastRenderedPageBreak/>
        <w:t>Division 6</w:t>
      </w:r>
      <w:r w:rsidRPr="00C86CE6">
        <w:t>—</w:t>
      </w:r>
      <w:r w:rsidRPr="004B21E2">
        <w:rPr>
          <w:rStyle w:val="CharDivText"/>
        </w:rPr>
        <w:t>Nested service relationships</w:t>
      </w:r>
      <w:bookmarkEnd w:id="58"/>
    </w:p>
    <w:p w14:paraId="09BA2844" w14:textId="1E46DA64" w:rsidR="009B152C" w:rsidRPr="00C86CE6" w:rsidRDefault="00BC4A61" w:rsidP="009B152C">
      <w:pPr>
        <w:pStyle w:val="ActHead5"/>
      </w:pPr>
      <w:bookmarkStart w:id="59" w:name="_Toc184727362"/>
      <w:r w:rsidRPr="004B21E2">
        <w:rPr>
          <w:rStyle w:val="CharSectno"/>
        </w:rPr>
        <w:t>42</w:t>
      </w:r>
      <w:r w:rsidR="009B152C" w:rsidRPr="00C86CE6">
        <w:t xml:space="preserve">  Matters for initial customer due diligence—nested services relationship</w:t>
      </w:r>
      <w:bookmarkEnd w:id="59"/>
    </w:p>
    <w:p w14:paraId="45A760F1" w14:textId="77777777" w:rsidR="009B152C" w:rsidRPr="00C86CE6" w:rsidRDefault="009B152C" w:rsidP="009B152C">
      <w:pPr>
        <w:pStyle w:val="subsection"/>
      </w:pPr>
      <w:r w:rsidRPr="00C86CE6">
        <w:tab/>
      </w:r>
      <w:r w:rsidRPr="00C86CE6">
        <w:tab/>
        <w:t>For the purposes of paragraph 28(2)(g) of the Act, the following matters are specified in relation to a customer of a reporting entity when a designated service is proposed to be provided to the customer as part of a nested services relationship:</w:t>
      </w:r>
    </w:p>
    <w:p w14:paraId="413EC5C8" w14:textId="77777777" w:rsidR="009B152C" w:rsidRPr="00C86CE6" w:rsidRDefault="009B152C" w:rsidP="009B152C">
      <w:pPr>
        <w:pStyle w:val="paragraph"/>
      </w:pPr>
      <w:r w:rsidRPr="00C86CE6">
        <w:tab/>
        <w:t>(a)</w:t>
      </w:r>
      <w:r w:rsidRPr="00C86CE6">
        <w:tab/>
        <w:t>the ownership, control and management structures of:</w:t>
      </w:r>
    </w:p>
    <w:p w14:paraId="20366765" w14:textId="77777777" w:rsidR="009B152C" w:rsidRPr="00C86CE6" w:rsidRDefault="009B152C" w:rsidP="009B152C">
      <w:pPr>
        <w:pStyle w:val="paragraphsub"/>
      </w:pPr>
      <w:r w:rsidRPr="00C86CE6">
        <w:tab/>
        <w:t>(i)</w:t>
      </w:r>
      <w:r w:rsidRPr="00C86CE6">
        <w:tab/>
        <w:t>the customer; and</w:t>
      </w:r>
    </w:p>
    <w:p w14:paraId="62294A15" w14:textId="77777777" w:rsidR="009B152C" w:rsidRPr="00C86CE6" w:rsidRDefault="009B152C" w:rsidP="009B152C">
      <w:pPr>
        <w:pStyle w:val="paragraphsub"/>
      </w:pPr>
      <w:r w:rsidRPr="00C86CE6">
        <w:tab/>
        <w:t>(ii)</w:t>
      </w:r>
      <w:r w:rsidRPr="00C86CE6">
        <w:tab/>
        <w:t>the ultimate parent of the customer (if any);</w:t>
      </w:r>
    </w:p>
    <w:p w14:paraId="650BF0E7" w14:textId="77777777" w:rsidR="009B152C" w:rsidRPr="00C86CE6" w:rsidRDefault="009B152C" w:rsidP="009B152C">
      <w:pPr>
        <w:pStyle w:val="paragraph"/>
      </w:pPr>
      <w:r w:rsidRPr="00C86CE6">
        <w:tab/>
        <w:t>(b)</w:t>
      </w:r>
      <w:r w:rsidRPr="00C86CE6">
        <w:tab/>
        <w:t>the nature, size and complexity of the customer’s business, including:</w:t>
      </w:r>
    </w:p>
    <w:p w14:paraId="1625AFA1" w14:textId="77777777" w:rsidR="009B152C" w:rsidRPr="00C86CE6" w:rsidRDefault="009B152C" w:rsidP="009B152C">
      <w:pPr>
        <w:pStyle w:val="paragraphsub"/>
      </w:pPr>
      <w:r w:rsidRPr="00C86CE6">
        <w:tab/>
        <w:t>(i)</w:t>
      </w:r>
      <w:r w:rsidRPr="00C86CE6">
        <w:tab/>
        <w:t>the products and services offered by the customer, and the delivery channels by which it provides services; and</w:t>
      </w:r>
    </w:p>
    <w:p w14:paraId="3ECF6192" w14:textId="77777777" w:rsidR="009B152C" w:rsidRPr="00C86CE6" w:rsidRDefault="009B152C" w:rsidP="009B152C">
      <w:pPr>
        <w:pStyle w:val="paragraphsub"/>
      </w:pPr>
      <w:r w:rsidRPr="00C86CE6">
        <w:tab/>
        <w:t>(ii)</w:t>
      </w:r>
      <w:r w:rsidRPr="00C86CE6">
        <w:tab/>
        <w:t>the kinds of customers that the customer of the reporting entity has; and</w:t>
      </w:r>
    </w:p>
    <w:p w14:paraId="34DEECB7" w14:textId="77777777" w:rsidR="009B152C" w:rsidRPr="00C86CE6" w:rsidRDefault="009B152C" w:rsidP="009B152C">
      <w:pPr>
        <w:pStyle w:val="paragraphsub"/>
      </w:pPr>
      <w:r w:rsidRPr="00C86CE6">
        <w:tab/>
        <w:t>(iii)</w:t>
      </w:r>
      <w:r w:rsidRPr="00C86CE6">
        <w:tab/>
        <w:t>the kinds of transactions that would be carried out on behalf of the customer’s own customers as part of the nested services relationship and the services that would be provided to those customers that relate to such transactions;</w:t>
      </w:r>
    </w:p>
    <w:p w14:paraId="672BF7AD" w14:textId="77777777" w:rsidR="009B152C" w:rsidRPr="00C86CE6" w:rsidRDefault="009B152C" w:rsidP="009B152C">
      <w:pPr>
        <w:pStyle w:val="paragraph"/>
      </w:pPr>
      <w:r w:rsidRPr="00C86CE6">
        <w:tab/>
        <w:t>(c)</w:t>
      </w:r>
      <w:r w:rsidRPr="00C86CE6">
        <w:tab/>
        <w:t>the country or countries:</w:t>
      </w:r>
    </w:p>
    <w:p w14:paraId="1CC9A7D4" w14:textId="77777777" w:rsidR="009B152C" w:rsidRPr="00C86CE6" w:rsidRDefault="009B152C" w:rsidP="009B152C">
      <w:pPr>
        <w:pStyle w:val="paragraphsub"/>
      </w:pPr>
      <w:r w:rsidRPr="00C86CE6">
        <w:tab/>
        <w:t>(i)</w:t>
      </w:r>
      <w:r w:rsidRPr="00C86CE6">
        <w:tab/>
        <w:t>in which the customer operates or of which it is a resident; and</w:t>
      </w:r>
    </w:p>
    <w:p w14:paraId="7F382CC7" w14:textId="365B59A9" w:rsidR="009B152C" w:rsidRPr="00C86CE6" w:rsidRDefault="009B152C" w:rsidP="009B152C">
      <w:pPr>
        <w:pStyle w:val="paragraphsub"/>
      </w:pPr>
      <w:r w:rsidRPr="00C86CE6">
        <w:tab/>
        <w:t>(ii)</w:t>
      </w:r>
      <w:r w:rsidRPr="00C86CE6">
        <w:tab/>
        <w:t>if the ultimate parent of the customer (if any) has group</w:t>
      </w:r>
      <w:r w:rsidR="004A7589">
        <w:noBreakHyphen/>
      </w:r>
      <w:r w:rsidRPr="00C86CE6">
        <w:t>wide anti</w:t>
      </w:r>
      <w:r w:rsidR="004A7589">
        <w:noBreakHyphen/>
      </w:r>
      <w:r w:rsidRPr="00C86CE6">
        <w:t>money laundering and counter</w:t>
      </w:r>
      <w:r w:rsidR="004A7589">
        <w:noBreakHyphen/>
      </w:r>
      <w:r w:rsidRPr="00C86CE6">
        <w:t>terrorism financing systems and controls, and the customer operates within the requirements of those controls—in which the ultimate parent operates or of which it is a resident;</w:t>
      </w:r>
    </w:p>
    <w:p w14:paraId="291ADA69" w14:textId="763A8E66" w:rsidR="009B152C" w:rsidRPr="00C86CE6" w:rsidRDefault="009B152C" w:rsidP="009B152C">
      <w:pPr>
        <w:pStyle w:val="paragraph"/>
      </w:pPr>
      <w:r w:rsidRPr="00C86CE6">
        <w:tab/>
        <w:t>(d)</w:t>
      </w:r>
      <w:r w:rsidRPr="00C86CE6">
        <w:tab/>
        <w:t>the existence and quality of any anti</w:t>
      </w:r>
      <w:r w:rsidR="004A7589">
        <w:noBreakHyphen/>
      </w:r>
      <w:r w:rsidRPr="00C86CE6">
        <w:t>money laundering and counter</w:t>
      </w:r>
      <w:r w:rsidR="004A7589">
        <w:noBreakHyphen/>
      </w:r>
      <w:r w:rsidRPr="00C86CE6">
        <w:t>terrorism financing regulation and supervision in the country or countries identified under paragraph (c) and the customer’s compliance practices in relation to those regulations;</w:t>
      </w:r>
    </w:p>
    <w:p w14:paraId="0639BB66" w14:textId="34D30199" w:rsidR="009B152C" w:rsidRPr="00C86CE6" w:rsidRDefault="009B152C" w:rsidP="009B152C">
      <w:pPr>
        <w:pStyle w:val="paragraph"/>
      </w:pPr>
      <w:r w:rsidRPr="00C86CE6">
        <w:tab/>
        <w:t>(e)</w:t>
      </w:r>
      <w:r w:rsidRPr="00C86CE6">
        <w:tab/>
        <w:t>the appropriateness of the customer’s anti</w:t>
      </w:r>
      <w:r w:rsidR="004A7589">
        <w:noBreakHyphen/>
      </w:r>
      <w:r w:rsidRPr="00C86CE6">
        <w:t>money laundering and counter</w:t>
      </w:r>
      <w:r w:rsidR="004A7589">
        <w:noBreakHyphen/>
      </w:r>
      <w:r w:rsidRPr="00C86CE6">
        <w:t>terrorism financing systems and controls;</w:t>
      </w:r>
    </w:p>
    <w:p w14:paraId="6FD6F5F1" w14:textId="77777777" w:rsidR="009B152C" w:rsidRPr="00C86CE6" w:rsidRDefault="009B152C" w:rsidP="009B152C">
      <w:pPr>
        <w:pStyle w:val="paragraph"/>
      </w:pPr>
      <w:r w:rsidRPr="00C86CE6">
        <w:tab/>
        <w:t>(f)</w:t>
      </w:r>
      <w:r w:rsidRPr="00C86CE6">
        <w:tab/>
        <w:t>publicly available information relating to the reputation of the customer and the members of the business group of which the customer is a member (if any), including whether the customer or any members of the business group have been the subject of:</w:t>
      </w:r>
    </w:p>
    <w:p w14:paraId="24A6201B" w14:textId="7B5C4BF9" w:rsidR="009B152C" w:rsidRPr="00C86CE6" w:rsidRDefault="009B152C" w:rsidP="009B152C">
      <w:pPr>
        <w:pStyle w:val="paragraphsub"/>
      </w:pPr>
      <w:r w:rsidRPr="00C86CE6">
        <w:tab/>
        <w:t>(i)</w:t>
      </w:r>
      <w:r w:rsidRPr="00C86CE6">
        <w:tab/>
        <w:t>a regulatory investigation relating to implementation of anti</w:t>
      </w:r>
      <w:r w:rsidR="004A7589">
        <w:noBreakHyphen/>
      </w:r>
      <w:r w:rsidRPr="00C86CE6">
        <w:t>money laundering, counter</w:t>
      </w:r>
      <w:r w:rsidR="004A7589">
        <w:noBreakHyphen/>
      </w:r>
      <w:r w:rsidRPr="00C86CE6">
        <w:t>terrorism financing or sanctions obligations; or</w:t>
      </w:r>
    </w:p>
    <w:p w14:paraId="142A6189" w14:textId="3472E3F8" w:rsidR="009B152C" w:rsidRPr="00C86CE6" w:rsidRDefault="009B152C" w:rsidP="009B152C">
      <w:pPr>
        <w:pStyle w:val="paragraphsub"/>
      </w:pPr>
      <w:r w:rsidRPr="00C86CE6">
        <w:tab/>
        <w:t>(ii)</w:t>
      </w:r>
      <w:r w:rsidRPr="00C86CE6">
        <w:tab/>
        <w:t>adverse regulatory action relating to implementation of anti</w:t>
      </w:r>
      <w:r w:rsidR="004A7589">
        <w:noBreakHyphen/>
      </w:r>
      <w:r w:rsidRPr="00C86CE6">
        <w:t>money laundering, counter</w:t>
      </w:r>
      <w:r w:rsidR="004A7589">
        <w:noBreakHyphen/>
      </w:r>
      <w:r w:rsidRPr="00C86CE6">
        <w:t>terrorism financing or sanctions obligations; or</w:t>
      </w:r>
    </w:p>
    <w:p w14:paraId="38EC8150" w14:textId="77777777" w:rsidR="009B152C" w:rsidRPr="00C86CE6" w:rsidRDefault="009B152C" w:rsidP="009B152C">
      <w:pPr>
        <w:pStyle w:val="paragraphsub"/>
      </w:pPr>
      <w:r w:rsidRPr="00C86CE6">
        <w:tab/>
        <w:t>(iii)</w:t>
      </w:r>
      <w:r w:rsidRPr="00C86CE6">
        <w:tab/>
        <w:t>an investigation or criminal or civil proceedings relating to money laundering, financing of terrorism or other serious crimes;</w:t>
      </w:r>
    </w:p>
    <w:p w14:paraId="6429AAE9" w14:textId="77777777" w:rsidR="009B152C" w:rsidRPr="00C86CE6" w:rsidRDefault="009B152C" w:rsidP="009B152C">
      <w:pPr>
        <w:pStyle w:val="paragraph"/>
      </w:pPr>
      <w:r w:rsidRPr="00C86CE6">
        <w:tab/>
        <w:t>(g)</w:t>
      </w:r>
      <w:r w:rsidRPr="00C86CE6">
        <w:tab/>
        <w:t>whether the customer of the reporting entity:</w:t>
      </w:r>
    </w:p>
    <w:p w14:paraId="2D8E861C" w14:textId="77777777" w:rsidR="009B152C" w:rsidRPr="00C86CE6" w:rsidRDefault="009B152C" w:rsidP="009B152C">
      <w:pPr>
        <w:pStyle w:val="paragraphsub"/>
      </w:pPr>
      <w:r w:rsidRPr="00C86CE6">
        <w:lastRenderedPageBreak/>
        <w:tab/>
        <w:t>(i)</w:t>
      </w:r>
      <w:r w:rsidRPr="00C86CE6">
        <w:tab/>
        <w:t>would undertake initial customer due diligence and ongoing customer due diligence in relation to its own customers who would be provided services as part of the nested services relationship; and</w:t>
      </w:r>
    </w:p>
    <w:p w14:paraId="4FBBB55D" w14:textId="77777777" w:rsidR="009B152C" w:rsidRPr="00C86CE6" w:rsidRDefault="009B152C" w:rsidP="009B152C">
      <w:pPr>
        <w:pStyle w:val="paragraphsub"/>
      </w:pPr>
      <w:r w:rsidRPr="00C86CE6">
        <w:tab/>
        <w:t>(ii)</w:t>
      </w:r>
      <w:r w:rsidRPr="00C86CE6">
        <w:tab/>
        <w:t>would be able to provide to the reporting entity, on request, information collected when the customer undertakes initial customer due diligence and ongoing customer due diligence in relation to those customers and the reliable and independent data used to verify the information;</w:t>
      </w:r>
    </w:p>
    <w:p w14:paraId="6F299EC7" w14:textId="77777777" w:rsidR="009B152C" w:rsidRPr="00C86CE6" w:rsidRDefault="009B152C" w:rsidP="009B152C">
      <w:pPr>
        <w:pStyle w:val="paragraph"/>
      </w:pPr>
      <w:r w:rsidRPr="00C86CE6">
        <w:tab/>
        <w:t>(h)</w:t>
      </w:r>
      <w:r w:rsidRPr="00C86CE6">
        <w:tab/>
        <w:t>whether the customer allows shell banks to receive services;</w:t>
      </w:r>
    </w:p>
    <w:p w14:paraId="2ABD2B03" w14:textId="77777777" w:rsidR="009B152C" w:rsidRPr="00C86CE6" w:rsidRDefault="009B152C" w:rsidP="009B152C">
      <w:pPr>
        <w:pStyle w:val="paragraph"/>
      </w:pPr>
      <w:r w:rsidRPr="00C86CE6">
        <w:tab/>
        <w:t>(i)</w:t>
      </w:r>
      <w:r w:rsidRPr="00C86CE6">
        <w:tab/>
        <w:t>whether the customer of the reporting entity ensures that it does not provide services to its own customers in circumstances where those customers have a nested service relationship or correspondent banking relationship with a shell bank.</w:t>
      </w:r>
    </w:p>
    <w:p w14:paraId="3627C92A" w14:textId="37E6F12C" w:rsidR="009B152C" w:rsidRPr="00C86CE6" w:rsidRDefault="00BC4A61" w:rsidP="009B152C">
      <w:pPr>
        <w:pStyle w:val="ActHead5"/>
      </w:pPr>
      <w:bookmarkStart w:id="60" w:name="_Toc184727363"/>
      <w:r w:rsidRPr="004B21E2">
        <w:rPr>
          <w:rStyle w:val="CharSectno"/>
        </w:rPr>
        <w:t>43</w:t>
      </w:r>
      <w:r w:rsidR="009B152C" w:rsidRPr="00C86CE6">
        <w:t xml:space="preserve">  Ongoing customer due diligence—nested services relationship</w:t>
      </w:r>
      <w:bookmarkEnd w:id="60"/>
    </w:p>
    <w:p w14:paraId="2F5D1724" w14:textId="77777777" w:rsidR="009B152C" w:rsidRPr="00C86CE6" w:rsidRDefault="009B152C" w:rsidP="009B152C">
      <w:pPr>
        <w:pStyle w:val="subsection"/>
      </w:pPr>
      <w:r w:rsidRPr="00C86CE6">
        <w:tab/>
        <w:t>(1)</w:t>
      </w:r>
      <w:r w:rsidRPr="00C86CE6">
        <w:tab/>
        <w:t>For the purposes of subparagraph 30(2)(b)(iii) of the Act, if the reporting entity provides designated services to a customer as part of a nested services relationship, the reporting entity must review and, where appropriate, update the reporting entity’s identification and assessment of the ML/TF risk of the customer no less than once every 2 years.</w:t>
      </w:r>
    </w:p>
    <w:p w14:paraId="214D937A" w14:textId="77777777" w:rsidR="009B152C" w:rsidRPr="00C86CE6" w:rsidRDefault="009B152C" w:rsidP="009B152C">
      <w:pPr>
        <w:pStyle w:val="subsection"/>
      </w:pPr>
      <w:r w:rsidRPr="00C86CE6">
        <w:tab/>
        <w:t>(2)</w:t>
      </w:r>
      <w:r w:rsidRPr="00C86CE6">
        <w:tab/>
        <w:t>For the purposes of subparagraph 30(2)(c)(ii) of the Act, if the reporting entity provides designated services to a customer as part of a nested services relationship, the reporting entity must review and, where appropriate, update and reverify KYC information relating to the customer no less than once every 2 years.</w:t>
      </w:r>
    </w:p>
    <w:p w14:paraId="39B523E7" w14:textId="381F692A" w:rsidR="009B152C" w:rsidRPr="00C86CE6" w:rsidRDefault="009B152C" w:rsidP="009B152C">
      <w:pPr>
        <w:pStyle w:val="subsection"/>
      </w:pPr>
      <w:r w:rsidRPr="00C86CE6">
        <w:tab/>
        <w:t>(3)</w:t>
      </w:r>
      <w:r w:rsidRPr="00C86CE6">
        <w:tab/>
        <w:t>For the purposes of subparagraph 30(2)(c)(ii) of the Act, the reporting entity must review, and where appropriate, update and reverify KYC information relating to the customer if the reporting entity commences to provide a designated service to the customer as part of a nested services relationship.</w:t>
      </w:r>
    </w:p>
    <w:p w14:paraId="22CCF2CF" w14:textId="34584754" w:rsidR="000E48FD" w:rsidRPr="00C86CE6" w:rsidRDefault="00A25E52" w:rsidP="00A25E52">
      <w:pPr>
        <w:pStyle w:val="ActHead3"/>
        <w:pageBreakBefore/>
      </w:pPr>
      <w:bookmarkStart w:id="61" w:name="_Toc184727364"/>
      <w:r w:rsidRPr="004B21E2">
        <w:rPr>
          <w:rStyle w:val="CharDivNo"/>
        </w:rPr>
        <w:lastRenderedPageBreak/>
        <w:t>Division 7</w:t>
      </w:r>
      <w:r w:rsidR="000E48FD" w:rsidRPr="00C86CE6">
        <w:t>—</w:t>
      </w:r>
      <w:r w:rsidR="000E48FD" w:rsidRPr="004B21E2">
        <w:rPr>
          <w:rStyle w:val="CharDivText"/>
        </w:rPr>
        <w:t>Reliance on collection and verification of KYC information</w:t>
      </w:r>
      <w:bookmarkEnd w:id="61"/>
    </w:p>
    <w:p w14:paraId="1C2574E0" w14:textId="3648C67D" w:rsidR="000E48FD" w:rsidRPr="00C86CE6" w:rsidRDefault="00BC4A61" w:rsidP="000E48FD">
      <w:pPr>
        <w:pStyle w:val="ActHead5"/>
      </w:pPr>
      <w:bookmarkStart w:id="62" w:name="_Toc184727365"/>
      <w:r w:rsidRPr="004B21E2">
        <w:rPr>
          <w:rStyle w:val="CharSectno"/>
        </w:rPr>
        <w:t>44</w:t>
      </w:r>
      <w:r w:rsidR="000E48FD" w:rsidRPr="00C86CE6">
        <w:t xml:space="preserve">  Requirements for agreement or arrangement on collection and verification of KYC information</w:t>
      </w:r>
      <w:bookmarkEnd w:id="62"/>
    </w:p>
    <w:p w14:paraId="64018579" w14:textId="77446E6A" w:rsidR="000E48FD" w:rsidRPr="00C86CE6" w:rsidRDefault="000E48FD" w:rsidP="000E48FD">
      <w:pPr>
        <w:pStyle w:val="subsection"/>
      </w:pPr>
      <w:r w:rsidRPr="00C86CE6">
        <w:tab/>
        <w:t>(1)</w:t>
      </w:r>
      <w:r w:rsidRPr="00C86CE6">
        <w:tab/>
        <w:t xml:space="preserve">For the purposes of </w:t>
      </w:r>
      <w:r w:rsidR="00A25E52" w:rsidRPr="00C86CE6">
        <w:t>paragraph 3</w:t>
      </w:r>
      <w:r w:rsidRPr="00C86CE6">
        <w:t xml:space="preserve">7A(1)(b) of the Act, the following requirements are prescribed in relation to an agreement or arrangement of the kind referred to in </w:t>
      </w:r>
      <w:r w:rsidR="00A25E52" w:rsidRPr="00C86CE6">
        <w:t>paragraph 3</w:t>
      </w:r>
      <w:r w:rsidRPr="00C86CE6">
        <w:t>7A(1)(a) of the Act:</w:t>
      </w:r>
    </w:p>
    <w:p w14:paraId="296A5377" w14:textId="77777777" w:rsidR="000E48FD" w:rsidRPr="00C86CE6" w:rsidRDefault="000E48FD" w:rsidP="000E48FD">
      <w:pPr>
        <w:pStyle w:val="paragraph"/>
      </w:pPr>
      <w:r w:rsidRPr="00C86CE6">
        <w:tab/>
        <w:t>(a)</w:t>
      </w:r>
      <w:r w:rsidRPr="00C86CE6">
        <w:tab/>
        <w:t>the other party to the agreement or arrangement must be:</w:t>
      </w:r>
    </w:p>
    <w:p w14:paraId="6F10D445" w14:textId="77777777" w:rsidR="000E48FD" w:rsidRPr="00C86CE6" w:rsidRDefault="000E48FD" w:rsidP="000E48FD">
      <w:pPr>
        <w:pStyle w:val="paragraphsub"/>
      </w:pPr>
      <w:r w:rsidRPr="00C86CE6">
        <w:tab/>
        <w:t>(i)</w:t>
      </w:r>
      <w:r w:rsidRPr="00C86CE6">
        <w:tab/>
        <w:t>a reporting entity; or</w:t>
      </w:r>
    </w:p>
    <w:p w14:paraId="73AC4550" w14:textId="431DB114" w:rsidR="000E48FD" w:rsidRPr="00C86CE6" w:rsidRDefault="000E48FD" w:rsidP="000E48FD">
      <w:pPr>
        <w:pStyle w:val="paragraphsub"/>
      </w:pPr>
      <w:r w:rsidRPr="00C86CE6">
        <w:tab/>
        <w:t>(ii)</w:t>
      </w:r>
      <w:r w:rsidRPr="00C86CE6">
        <w:tab/>
        <w:t xml:space="preserve">a person regulated by one or more laws of a foreign country that give effect to the FATF </w:t>
      </w:r>
      <w:r w:rsidR="00B77985">
        <w:t>R</w:t>
      </w:r>
      <w:r w:rsidRPr="00C86CE6">
        <w:t>ecommendations relating to customer due diligence and record</w:t>
      </w:r>
      <w:r w:rsidR="004A7589">
        <w:noBreakHyphen/>
      </w:r>
      <w:r w:rsidRPr="00C86CE6">
        <w:t>keeping;</w:t>
      </w:r>
    </w:p>
    <w:p w14:paraId="32EBFDC8" w14:textId="154BEB8B" w:rsidR="000E48FD" w:rsidRPr="00C86CE6" w:rsidRDefault="000E48FD" w:rsidP="000E48FD">
      <w:pPr>
        <w:pStyle w:val="paragraph"/>
      </w:pPr>
      <w:r w:rsidRPr="00C86CE6">
        <w:tab/>
        <w:t>(b)</w:t>
      </w:r>
      <w:r w:rsidRPr="00C86CE6">
        <w:tab/>
        <w:t xml:space="preserve">the agreement or arrangement must be appropriate to the risks of money laundering, financing of terrorism and proliferation financing that the first entity may reasonably face in providing its designated services, taking into account the matters mentioned in </w:t>
      </w:r>
      <w:r w:rsidR="00A25E52" w:rsidRPr="00C86CE6">
        <w:t>subsection (</w:t>
      </w:r>
      <w:r w:rsidRPr="00C86CE6">
        <w:t>2) of this section;</w:t>
      </w:r>
    </w:p>
    <w:p w14:paraId="2273B4E7" w14:textId="7FCA6AC8" w:rsidR="000E48FD" w:rsidRPr="00C86CE6" w:rsidRDefault="000E48FD" w:rsidP="000E48FD">
      <w:pPr>
        <w:pStyle w:val="paragraph"/>
        <w:rPr>
          <w:i/>
        </w:rPr>
      </w:pPr>
      <w:r w:rsidRPr="00C86CE6">
        <w:tab/>
        <w:t>(c)</w:t>
      </w:r>
      <w:r w:rsidRPr="00C86CE6">
        <w:tab/>
        <w:t xml:space="preserve">the agreement or arrangement must enable the first entity to obtain all of the KYC information collected by the other person in accordance with </w:t>
      </w:r>
      <w:r w:rsidR="00A25E52" w:rsidRPr="00C86CE6">
        <w:t>paragraph 2</w:t>
      </w:r>
      <w:r w:rsidRPr="00C86CE6">
        <w:t>8(3)(c) of the Act:</w:t>
      </w:r>
    </w:p>
    <w:p w14:paraId="4BEFD430" w14:textId="77777777" w:rsidR="000E48FD" w:rsidRPr="00C86CE6" w:rsidRDefault="000E48FD" w:rsidP="000E48FD">
      <w:pPr>
        <w:pStyle w:val="paragraphsub"/>
      </w:pPr>
      <w:r w:rsidRPr="00C86CE6">
        <w:tab/>
        <w:t>(i)</w:t>
      </w:r>
      <w:r w:rsidRPr="00C86CE6">
        <w:tab/>
        <w:t>before the first entity commences to provide a designated service; or</w:t>
      </w:r>
    </w:p>
    <w:p w14:paraId="4AAC2036" w14:textId="1A58B733" w:rsidR="000E48FD" w:rsidRPr="00C86CE6" w:rsidRDefault="000E48FD" w:rsidP="000E48FD">
      <w:pPr>
        <w:pStyle w:val="paragraphsub"/>
      </w:pPr>
      <w:r w:rsidRPr="00C86CE6">
        <w:tab/>
        <w:t>(ii)</w:t>
      </w:r>
      <w:r w:rsidRPr="00C86CE6">
        <w:tab/>
        <w:t xml:space="preserve">if </w:t>
      </w:r>
      <w:r w:rsidR="00A25E52" w:rsidRPr="00C86CE6">
        <w:t>section 2</w:t>
      </w:r>
      <w:r w:rsidRPr="00C86CE6">
        <w:t xml:space="preserve">9 of the Act applies to the provision of a designated service—within the period mentioned in </w:t>
      </w:r>
      <w:r w:rsidR="00A25E52" w:rsidRPr="00C86CE6">
        <w:t>paragraph 2</w:t>
      </w:r>
      <w:r w:rsidRPr="00C86CE6">
        <w:t>9(c) of the Act;</w:t>
      </w:r>
    </w:p>
    <w:p w14:paraId="485C8B3D" w14:textId="32A1E20E" w:rsidR="000E48FD" w:rsidRPr="00C86CE6" w:rsidRDefault="000E48FD" w:rsidP="000E48FD">
      <w:pPr>
        <w:pStyle w:val="paragraph"/>
      </w:pPr>
      <w:r w:rsidRPr="00C86CE6">
        <w:tab/>
        <w:t>(d)</w:t>
      </w:r>
      <w:r w:rsidRPr="00C86CE6">
        <w:tab/>
        <w:t xml:space="preserve">the agreement or arrangement must enable the first entity to obtain copies of the data used by the other person to verify KYC information in accordance with </w:t>
      </w:r>
      <w:r w:rsidR="00A25E52" w:rsidRPr="00C86CE6">
        <w:t>paragraph 2</w:t>
      </w:r>
      <w:r w:rsidRPr="00C86CE6">
        <w:t>8(3)(d) of the Act immediately or as soon as practicable following a request from the first entity;</w:t>
      </w:r>
    </w:p>
    <w:p w14:paraId="215671E9" w14:textId="75761D74" w:rsidR="000E48FD" w:rsidRPr="00C86CE6" w:rsidRDefault="000E48FD" w:rsidP="000E48FD">
      <w:pPr>
        <w:pStyle w:val="paragraph"/>
        <w:rPr>
          <w:iCs/>
        </w:rPr>
      </w:pPr>
      <w:r w:rsidRPr="00C86CE6">
        <w:tab/>
        <w:t>(e)</w:t>
      </w:r>
      <w:r w:rsidRPr="00C86CE6">
        <w:tab/>
        <w:t>the agreement or arrangement must document the responsibilities of each party, including responsibilities for record</w:t>
      </w:r>
      <w:r w:rsidR="004A7589">
        <w:noBreakHyphen/>
      </w:r>
      <w:r w:rsidRPr="00C86CE6">
        <w:t>keeping.</w:t>
      </w:r>
    </w:p>
    <w:p w14:paraId="0C5CCDD1" w14:textId="77777777" w:rsidR="000E48FD" w:rsidRPr="00C86CE6" w:rsidRDefault="000E48FD" w:rsidP="000E48FD">
      <w:pPr>
        <w:pStyle w:val="subsection"/>
      </w:pPr>
      <w:r w:rsidRPr="00C86CE6">
        <w:tab/>
        <w:t>(2)</w:t>
      </w:r>
      <w:r w:rsidRPr="00C86CE6">
        <w:tab/>
        <w:t>For the purposes of paragraph (1)(b), the matters are as follows:</w:t>
      </w:r>
    </w:p>
    <w:p w14:paraId="5F507A0E" w14:textId="77777777" w:rsidR="000E48FD" w:rsidRPr="00C86CE6" w:rsidRDefault="000E48FD" w:rsidP="000E48FD">
      <w:pPr>
        <w:pStyle w:val="paragraph"/>
      </w:pPr>
      <w:r w:rsidRPr="00C86CE6">
        <w:tab/>
        <w:t>(a)</w:t>
      </w:r>
      <w:r w:rsidRPr="00C86CE6">
        <w:tab/>
        <w:t>the nature, size and complexity of the other person’s business, including:</w:t>
      </w:r>
    </w:p>
    <w:p w14:paraId="2D674E98" w14:textId="77777777" w:rsidR="000E48FD" w:rsidRPr="00C86CE6" w:rsidRDefault="000E48FD" w:rsidP="000E48FD">
      <w:pPr>
        <w:pStyle w:val="paragraphsub"/>
      </w:pPr>
      <w:r w:rsidRPr="00C86CE6">
        <w:tab/>
        <w:t>(i)</w:t>
      </w:r>
      <w:r w:rsidRPr="00C86CE6">
        <w:tab/>
        <w:t>the products and services offered by the other person, and the delivery channels by which it provides services; and</w:t>
      </w:r>
    </w:p>
    <w:p w14:paraId="6F3ED915" w14:textId="77777777" w:rsidR="000E48FD" w:rsidRPr="00C86CE6" w:rsidRDefault="000E48FD" w:rsidP="000E48FD">
      <w:pPr>
        <w:pStyle w:val="paragraphsub"/>
      </w:pPr>
      <w:r w:rsidRPr="00C86CE6">
        <w:tab/>
        <w:t>(ii)</w:t>
      </w:r>
      <w:r w:rsidRPr="00C86CE6">
        <w:tab/>
        <w:t>the kinds of customers that the other person has;</w:t>
      </w:r>
    </w:p>
    <w:p w14:paraId="591AFFDA" w14:textId="77777777" w:rsidR="000E48FD" w:rsidRPr="00C86CE6" w:rsidRDefault="000E48FD" w:rsidP="000E48FD">
      <w:pPr>
        <w:pStyle w:val="paragraph"/>
      </w:pPr>
      <w:r w:rsidRPr="00C86CE6">
        <w:tab/>
        <w:t>(b)</w:t>
      </w:r>
      <w:r w:rsidRPr="00C86CE6">
        <w:tab/>
        <w:t>the country or countries in which the other person operates or of which the other person is a resident.</w:t>
      </w:r>
    </w:p>
    <w:p w14:paraId="7BD62688" w14:textId="267BDB00" w:rsidR="000E48FD" w:rsidRPr="00C86CE6" w:rsidRDefault="00BC4A61" w:rsidP="000E48FD">
      <w:pPr>
        <w:pStyle w:val="ActHead5"/>
      </w:pPr>
      <w:bookmarkStart w:id="63" w:name="_Toc184727366"/>
      <w:r w:rsidRPr="004B21E2">
        <w:rPr>
          <w:rStyle w:val="CharSectno"/>
        </w:rPr>
        <w:t>45</w:t>
      </w:r>
      <w:r w:rsidR="000E48FD" w:rsidRPr="00C86CE6">
        <w:t xml:space="preserve">  Requirements for reliance on collection and verification of KYC information</w:t>
      </w:r>
      <w:bookmarkEnd w:id="63"/>
    </w:p>
    <w:p w14:paraId="61913587" w14:textId="77DB0A0A" w:rsidR="000E48FD" w:rsidRPr="00C86CE6" w:rsidRDefault="000E48FD" w:rsidP="000E48FD">
      <w:pPr>
        <w:pStyle w:val="subsection"/>
      </w:pPr>
      <w:r w:rsidRPr="00C86CE6">
        <w:tab/>
      </w:r>
      <w:r w:rsidRPr="00C86CE6">
        <w:tab/>
        <w:t xml:space="preserve">For the purposes of </w:t>
      </w:r>
      <w:r w:rsidR="00A25E52" w:rsidRPr="00C86CE6">
        <w:t>paragraph 3</w:t>
      </w:r>
      <w:r w:rsidRPr="00C86CE6">
        <w:t>8(e) of the Act, the following requirements are prescribed:</w:t>
      </w:r>
    </w:p>
    <w:p w14:paraId="1ABF5B48" w14:textId="77777777" w:rsidR="000E48FD" w:rsidRPr="00C86CE6" w:rsidRDefault="000E48FD" w:rsidP="000E48FD">
      <w:pPr>
        <w:pStyle w:val="paragraph"/>
      </w:pPr>
      <w:r w:rsidRPr="00C86CE6">
        <w:tab/>
        <w:t>(a)</w:t>
      </w:r>
      <w:r w:rsidRPr="00C86CE6">
        <w:tab/>
        <w:t>the other person must be:</w:t>
      </w:r>
    </w:p>
    <w:p w14:paraId="3A1D8776" w14:textId="77777777" w:rsidR="000E48FD" w:rsidRPr="00C86CE6" w:rsidRDefault="000E48FD" w:rsidP="000E48FD">
      <w:pPr>
        <w:pStyle w:val="paragraphsub"/>
      </w:pPr>
      <w:r w:rsidRPr="00C86CE6">
        <w:tab/>
        <w:t>(i)</w:t>
      </w:r>
      <w:r w:rsidRPr="00C86CE6">
        <w:tab/>
        <w:t>a reporting entity; or</w:t>
      </w:r>
    </w:p>
    <w:p w14:paraId="19E29D73" w14:textId="075F8619" w:rsidR="000E48FD" w:rsidRPr="00C86CE6" w:rsidRDefault="000E48FD" w:rsidP="000E48FD">
      <w:pPr>
        <w:pStyle w:val="paragraphsub"/>
      </w:pPr>
      <w:r w:rsidRPr="00C86CE6">
        <w:lastRenderedPageBreak/>
        <w:tab/>
        <w:t>(ii)</w:t>
      </w:r>
      <w:r w:rsidRPr="00C86CE6">
        <w:tab/>
        <w:t xml:space="preserve">a person regulated by one or more laws of a foreign country that give effect to the FATF </w:t>
      </w:r>
      <w:r w:rsidR="00B77985">
        <w:t>R</w:t>
      </w:r>
      <w:r w:rsidRPr="00C86CE6">
        <w:t>ecommendations relating to customer due diligence and record</w:t>
      </w:r>
      <w:r w:rsidR="004A7589">
        <w:noBreakHyphen/>
      </w:r>
      <w:r w:rsidRPr="00C86CE6">
        <w:t>keeping;</w:t>
      </w:r>
    </w:p>
    <w:p w14:paraId="25BF079E" w14:textId="77777777" w:rsidR="000E48FD" w:rsidRPr="00C86CE6" w:rsidRDefault="000E48FD" w:rsidP="000E48FD">
      <w:pPr>
        <w:pStyle w:val="paragraph"/>
      </w:pPr>
      <w:r w:rsidRPr="00C86CE6">
        <w:tab/>
        <w:t>(b)</w:t>
      </w:r>
      <w:r w:rsidRPr="00C86CE6">
        <w:tab/>
        <w:t>reliance on that procedure must be appropriate to the risks of money laundering, financing of terrorism and proliferation financing that the first entity may reasonably face in providing its designated services, taking into account:</w:t>
      </w:r>
    </w:p>
    <w:p w14:paraId="2C93ECC6" w14:textId="77777777" w:rsidR="000E48FD" w:rsidRPr="00C86CE6" w:rsidRDefault="000E48FD" w:rsidP="000E48FD">
      <w:pPr>
        <w:pStyle w:val="paragraphsub"/>
      </w:pPr>
      <w:r w:rsidRPr="00C86CE6">
        <w:tab/>
        <w:t>(i)</w:t>
      </w:r>
      <w:r w:rsidRPr="00C86CE6">
        <w:tab/>
        <w:t>the nature, size and complexity of the other person’s business; and</w:t>
      </w:r>
    </w:p>
    <w:p w14:paraId="41EF407F" w14:textId="77777777" w:rsidR="000E48FD" w:rsidRPr="00C86CE6" w:rsidRDefault="000E48FD" w:rsidP="000E48FD">
      <w:pPr>
        <w:pStyle w:val="paragraphsub"/>
      </w:pPr>
      <w:r w:rsidRPr="00C86CE6">
        <w:tab/>
        <w:t>(ii)</w:t>
      </w:r>
      <w:r w:rsidRPr="00C86CE6">
        <w:tab/>
        <w:t>the kinds of services provided by the other person; and</w:t>
      </w:r>
    </w:p>
    <w:p w14:paraId="128A1671" w14:textId="77777777" w:rsidR="000E48FD" w:rsidRPr="00C86CE6" w:rsidRDefault="000E48FD" w:rsidP="000E48FD">
      <w:pPr>
        <w:pStyle w:val="paragraphsub"/>
      </w:pPr>
      <w:r w:rsidRPr="00C86CE6">
        <w:tab/>
        <w:t>(iii)</w:t>
      </w:r>
      <w:r w:rsidRPr="00C86CE6">
        <w:tab/>
        <w:t>the kinds of customers to whom the other person’s services are provided; and</w:t>
      </w:r>
    </w:p>
    <w:p w14:paraId="568B9968" w14:textId="77777777" w:rsidR="000E48FD" w:rsidRPr="00C86CE6" w:rsidRDefault="000E48FD" w:rsidP="000E48FD">
      <w:pPr>
        <w:pStyle w:val="paragraphsub"/>
      </w:pPr>
      <w:r w:rsidRPr="00C86CE6">
        <w:tab/>
        <w:t>(iv)</w:t>
      </w:r>
      <w:r w:rsidRPr="00C86CE6">
        <w:tab/>
        <w:t>the delivery channels by which the other person’s services are provided; and</w:t>
      </w:r>
    </w:p>
    <w:p w14:paraId="44891900" w14:textId="77777777" w:rsidR="000E48FD" w:rsidRPr="00C86CE6" w:rsidRDefault="000E48FD" w:rsidP="000E48FD">
      <w:pPr>
        <w:pStyle w:val="paragraphsub"/>
      </w:pPr>
      <w:r w:rsidRPr="00C86CE6">
        <w:tab/>
        <w:t>(v)</w:t>
      </w:r>
      <w:r w:rsidRPr="00C86CE6">
        <w:tab/>
        <w:t>the level of the risks of money laundering, financing of terrorism and proliferation financing in the country or countries in which the other person operates or of which the other person is a resident;</w:t>
      </w:r>
    </w:p>
    <w:p w14:paraId="5A90F641" w14:textId="0AC68E8A" w:rsidR="000E48FD" w:rsidRPr="00C86CE6" w:rsidRDefault="000E48FD" w:rsidP="000E48FD">
      <w:pPr>
        <w:pStyle w:val="paragraph"/>
      </w:pPr>
      <w:r w:rsidRPr="00C86CE6">
        <w:tab/>
        <w:t>(c)</w:t>
      </w:r>
      <w:r w:rsidRPr="00C86CE6">
        <w:tab/>
        <w:t xml:space="preserve">for compliance with </w:t>
      </w:r>
      <w:r w:rsidR="00A25E52" w:rsidRPr="00C86CE6">
        <w:t>paragraph 2</w:t>
      </w:r>
      <w:r w:rsidRPr="00C86CE6">
        <w:t>8(3)(c) of the Act—the first entity has reasonable grounds to believe that it can obtain all of the KYC information collected by the other person in accordance with that paragraph:</w:t>
      </w:r>
    </w:p>
    <w:p w14:paraId="064412FA" w14:textId="77777777" w:rsidR="000E48FD" w:rsidRPr="00C86CE6" w:rsidRDefault="000E48FD" w:rsidP="000E48FD">
      <w:pPr>
        <w:pStyle w:val="paragraphsub"/>
      </w:pPr>
      <w:r w:rsidRPr="00C86CE6">
        <w:tab/>
        <w:t>(i)</w:t>
      </w:r>
      <w:r w:rsidRPr="00C86CE6">
        <w:tab/>
        <w:t>before the first entity commences to provide a designated service; or</w:t>
      </w:r>
    </w:p>
    <w:p w14:paraId="7C98C1DB" w14:textId="30B642D8" w:rsidR="000E48FD" w:rsidRPr="00C86CE6" w:rsidRDefault="000E48FD" w:rsidP="000E48FD">
      <w:pPr>
        <w:pStyle w:val="paragraphsub"/>
      </w:pPr>
      <w:r w:rsidRPr="00C86CE6">
        <w:tab/>
        <w:t>(ii)</w:t>
      </w:r>
      <w:r w:rsidRPr="00C86CE6">
        <w:tab/>
        <w:t xml:space="preserve">if </w:t>
      </w:r>
      <w:r w:rsidR="00A25E52" w:rsidRPr="00C86CE6">
        <w:t>section 2</w:t>
      </w:r>
      <w:r w:rsidRPr="00C86CE6">
        <w:t xml:space="preserve">9 of the Act applies to the provision of a designated service—within the period mentioned in </w:t>
      </w:r>
      <w:r w:rsidR="00A25E52" w:rsidRPr="00C86CE6">
        <w:t>paragraph 2</w:t>
      </w:r>
      <w:r w:rsidRPr="00C86CE6">
        <w:t>9(c) of the Act;</w:t>
      </w:r>
    </w:p>
    <w:p w14:paraId="0B51E1E0" w14:textId="241D6106" w:rsidR="000E48FD" w:rsidRPr="00C86CE6" w:rsidRDefault="000E48FD" w:rsidP="000E48FD">
      <w:pPr>
        <w:pStyle w:val="paragraph"/>
      </w:pPr>
      <w:r w:rsidRPr="00C86CE6">
        <w:tab/>
        <w:t>(d)</w:t>
      </w:r>
      <w:r w:rsidRPr="00C86CE6">
        <w:tab/>
        <w:t xml:space="preserve">for compliance with </w:t>
      </w:r>
      <w:r w:rsidR="00A25E52" w:rsidRPr="00C86CE6">
        <w:t>paragraph 2</w:t>
      </w:r>
      <w:r w:rsidRPr="00C86CE6">
        <w:t>8(3)(d) of the Act—the first entity has reasonable grounds to believe that it can obtain copies of the data used by the other person to verify KYC information in accordance with that paragraph immediately or as soon as practicable following a request from the first entity;</w:t>
      </w:r>
    </w:p>
    <w:p w14:paraId="77A34F69" w14:textId="3DE91FD3" w:rsidR="00C42195" w:rsidRPr="00C86CE6" w:rsidRDefault="000E48FD" w:rsidP="002468B3">
      <w:pPr>
        <w:pStyle w:val="paragraph"/>
      </w:pPr>
      <w:r w:rsidRPr="00C86CE6">
        <w:tab/>
        <w:t>(e)</w:t>
      </w:r>
      <w:r w:rsidRPr="00C86CE6">
        <w:tab/>
        <w:t xml:space="preserve">the first entity documents the reasons for the first entity concluding that the requirements of paragraphs (b) to (d) </w:t>
      </w:r>
      <w:r w:rsidR="000B6F44">
        <w:t xml:space="preserve">of this section </w:t>
      </w:r>
      <w:r w:rsidRPr="00C86CE6">
        <w:t>are met.</w:t>
      </w:r>
    </w:p>
    <w:p w14:paraId="518313A6" w14:textId="1D27B954" w:rsidR="00291129" w:rsidRPr="00C86CE6" w:rsidRDefault="00606BBD" w:rsidP="00291129">
      <w:pPr>
        <w:pStyle w:val="ActHead3"/>
        <w:pageBreakBefore/>
      </w:pPr>
      <w:bookmarkStart w:id="64" w:name="_Toc184727367"/>
      <w:r w:rsidRPr="004B21E2">
        <w:rPr>
          <w:rStyle w:val="CharDivNo"/>
        </w:rPr>
        <w:lastRenderedPageBreak/>
        <w:t>Division </w:t>
      </w:r>
      <w:r w:rsidR="00A25E52" w:rsidRPr="004B21E2">
        <w:rPr>
          <w:rStyle w:val="CharDivNo"/>
        </w:rPr>
        <w:t>8</w:t>
      </w:r>
      <w:r w:rsidR="00291129" w:rsidRPr="00C86CE6">
        <w:t>—</w:t>
      </w:r>
      <w:r w:rsidR="00291129" w:rsidRPr="004B21E2">
        <w:rPr>
          <w:rStyle w:val="CharDivText"/>
        </w:rPr>
        <w:t>Keep open notices</w:t>
      </w:r>
      <w:bookmarkEnd w:id="64"/>
    </w:p>
    <w:p w14:paraId="2C95B7D9" w14:textId="2988294B" w:rsidR="001039FE" w:rsidRPr="00C86CE6" w:rsidRDefault="00BC4A61" w:rsidP="001039FE">
      <w:pPr>
        <w:pStyle w:val="ActHead5"/>
      </w:pPr>
      <w:bookmarkStart w:id="65" w:name="_Toc184727368"/>
      <w:r w:rsidRPr="004B21E2">
        <w:rPr>
          <w:rStyle w:val="CharSectno"/>
        </w:rPr>
        <w:t>46</w:t>
      </w:r>
      <w:r w:rsidR="001039FE" w:rsidRPr="00C86CE6">
        <w:t xml:space="preserve">  Form of keep open notice</w:t>
      </w:r>
      <w:bookmarkEnd w:id="65"/>
    </w:p>
    <w:p w14:paraId="06BAD2EE" w14:textId="5C7A0E24" w:rsidR="001039FE" w:rsidRPr="00C86CE6" w:rsidRDefault="001039FE" w:rsidP="001039FE">
      <w:pPr>
        <w:pStyle w:val="subsection"/>
      </w:pPr>
      <w:r w:rsidRPr="00C86CE6">
        <w:tab/>
      </w:r>
      <w:r w:rsidRPr="00C86CE6">
        <w:tab/>
        <w:t xml:space="preserve">For the purposes of </w:t>
      </w:r>
      <w:r w:rsidR="00A25E52" w:rsidRPr="00C86CE6">
        <w:t>paragraph 3</w:t>
      </w:r>
      <w:r w:rsidRPr="00C86CE6">
        <w:t xml:space="preserve">9B(5)(a) of the Act, Form 1 in </w:t>
      </w:r>
      <w:r w:rsidR="00606BBD" w:rsidRPr="00C86CE6">
        <w:t>Schedule 1</w:t>
      </w:r>
      <w:r w:rsidRPr="00C86CE6">
        <w:t xml:space="preserve"> to this instrument is prescribed as the form for a keep open notice.</w:t>
      </w:r>
    </w:p>
    <w:p w14:paraId="483AB8CC" w14:textId="701E0F82" w:rsidR="001039FE" w:rsidRPr="00C86CE6" w:rsidRDefault="00BC4A61" w:rsidP="001039FE">
      <w:pPr>
        <w:pStyle w:val="ActHead5"/>
      </w:pPr>
      <w:bookmarkStart w:id="66" w:name="_Toc184727369"/>
      <w:r w:rsidRPr="004B21E2">
        <w:rPr>
          <w:rStyle w:val="CharSectno"/>
        </w:rPr>
        <w:t>47</w:t>
      </w:r>
      <w:r w:rsidR="001039FE" w:rsidRPr="00C86CE6">
        <w:t xml:space="preserve">  Information and documents required to be contained in or to accompany keep open notice</w:t>
      </w:r>
      <w:bookmarkEnd w:id="66"/>
    </w:p>
    <w:p w14:paraId="0FD036C4" w14:textId="53D00345" w:rsidR="001039FE" w:rsidRPr="00C86CE6" w:rsidRDefault="001039FE" w:rsidP="001039FE">
      <w:pPr>
        <w:pStyle w:val="subsection"/>
      </w:pPr>
      <w:r w:rsidRPr="00C86CE6">
        <w:tab/>
        <w:t>(1)</w:t>
      </w:r>
      <w:r w:rsidRPr="00C86CE6">
        <w:tab/>
        <w:t xml:space="preserve">For the purposes of </w:t>
      </w:r>
      <w:r w:rsidR="00A25E52" w:rsidRPr="00C86CE6">
        <w:t>paragraph 3</w:t>
      </w:r>
      <w:r w:rsidRPr="00C86CE6">
        <w:t xml:space="preserve">9B(5)(b) of the Act, this section sets out the information required to be contained in, and the documents required to accompany, a keep open notice issued by a senior member of an agency mentioned in </w:t>
      </w:r>
      <w:r w:rsidR="00606BBD" w:rsidRPr="00C86CE6">
        <w:t>subsection 3</w:t>
      </w:r>
      <w:r w:rsidRPr="00C86CE6">
        <w:t>9B(4) of the Act to a reporting entity.</w:t>
      </w:r>
    </w:p>
    <w:p w14:paraId="41D1A9B6" w14:textId="77777777" w:rsidR="001039FE" w:rsidRPr="00C86CE6" w:rsidRDefault="001039FE" w:rsidP="001039FE">
      <w:pPr>
        <w:pStyle w:val="subsection"/>
      </w:pPr>
      <w:r w:rsidRPr="00C86CE6">
        <w:tab/>
        <w:t>(2)</w:t>
      </w:r>
      <w:r w:rsidRPr="00C86CE6">
        <w:tab/>
        <w:t>The keep open notice must contain the following information:</w:t>
      </w:r>
    </w:p>
    <w:p w14:paraId="236880EA" w14:textId="77777777" w:rsidR="001039FE" w:rsidRPr="00C86CE6" w:rsidRDefault="001039FE" w:rsidP="001039FE">
      <w:pPr>
        <w:pStyle w:val="paragraph"/>
      </w:pPr>
      <w:r w:rsidRPr="00C86CE6">
        <w:tab/>
        <w:t>(a)</w:t>
      </w:r>
      <w:r w:rsidRPr="00C86CE6">
        <w:tab/>
        <w:t>the name of the agency;</w:t>
      </w:r>
    </w:p>
    <w:p w14:paraId="7B2643A8" w14:textId="77777777" w:rsidR="001039FE" w:rsidRPr="00C86CE6" w:rsidRDefault="001039FE" w:rsidP="001039FE">
      <w:pPr>
        <w:pStyle w:val="paragraph"/>
      </w:pPr>
      <w:r w:rsidRPr="00C86CE6">
        <w:tab/>
        <w:t>(b)</w:t>
      </w:r>
      <w:r w:rsidRPr="00C86CE6">
        <w:tab/>
      </w:r>
      <w:bookmarkStart w:id="67" w:name="_Hlk181617914"/>
      <w:r w:rsidRPr="00C86CE6">
        <w:t>the senior member’s full name and position</w:t>
      </w:r>
      <w:bookmarkEnd w:id="67"/>
      <w:r w:rsidRPr="00C86CE6">
        <w:t>;</w:t>
      </w:r>
    </w:p>
    <w:p w14:paraId="05FE7C25" w14:textId="77777777" w:rsidR="001039FE" w:rsidRPr="00C86CE6" w:rsidRDefault="001039FE" w:rsidP="001039FE">
      <w:pPr>
        <w:pStyle w:val="paragraph"/>
      </w:pPr>
      <w:r w:rsidRPr="00C86CE6">
        <w:tab/>
        <w:t>(c)</w:t>
      </w:r>
      <w:r w:rsidRPr="00C86CE6">
        <w:tab/>
        <w:t>the full name of the reporting entity;</w:t>
      </w:r>
    </w:p>
    <w:p w14:paraId="0EED5184" w14:textId="77777777" w:rsidR="001039FE" w:rsidRPr="00C86CE6" w:rsidRDefault="001039FE" w:rsidP="001039FE">
      <w:pPr>
        <w:pStyle w:val="paragraph"/>
      </w:pPr>
      <w:r w:rsidRPr="00C86CE6">
        <w:tab/>
        <w:t>(d)</w:t>
      </w:r>
      <w:r w:rsidRPr="00C86CE6">
        <w:tab/>
        <w:t>for each customer in relation to whom the keep open notice is issued:</w:t>
      </w:r>
    </w:p>
    <w:p w14:paraId="415CDFAA" w14:textId="77777777" w:rsidR="001039FE" w:rsidRPr="00C86CE6" w:rsidRDefault="001039FE" w:rsidP="001039FE">
      <w:pPr>
        <w:pStyle w:val="paragraphsub"/>
      </w:pPr>
      <w:r w:rsidRPr="00C86CE6">
        <w:tab/>
        <w:t>(i)</w:t>
      </w:r>
      <w:r w:rsidRPr="00C86CE6">
        <w:tab/>
        <w:t>the customer’s full name; and</w:t>
      </w:r>
    </w:p>
    <w:p w14:paraId="22FD44C4" w14:textId="77777777" w:rsidR="001039FE" w:rsidRPr="00C86CE6" w:rsidRDefault="001039FE" w:rsidP="001039FE">
      <w:pPr>
        <w:pStyle w:val="paragraphsub"/>
      </w:pPr>
      <w:r w:rsidRPr="00C86CE6">
        <w:tab/>
        <w:t>(ii)</w:t>
      </w:r>
      <w:r w:rsidRPr="00C86CE6">
        <w:tab/>
        <w:t>the customer’s date of birth, or an ACN or ABN of the customer, if known; and</w:t>
      </w:r>
    </w:p>
    <w:p w14:paraId="6943DC08" w14:textId="77777777" w:rsidR="001039FE" w:rsidRPr="00C86CE6" w:rsidRDefault="001039FE" w:rsidP="001039FE">
      <w:pPr>
        <w:pStyle w:val="paragraphsub"/>
      </w:pPr>
      <w:r w:rsidRPr="00C86CE6">
        <w:tab/>
        <w:t>(iii)</w:t>
      </w:r>
      <w:r w:rsidRPr="00C86CE6">
        <w:tab/>
        <w:t>any other known details of the customer that the senior member considers are necessary to provide to assist the reporting entity to identify the customer;</w:t>
      </w:r>
    </w:p>
    <w:p w14:paraId="6B5D0E06" w14:textId="02F1ADB0" w:rsidR="001039FE" w:rsidRPr="00C86CE6" w:rsidRDefault="001039FE" w:rsidP="001039FE">
      <w:pPr>
        <w:pStyle w:val="paragraph"/>
      </w:pPr>
      <w:r w:rsidRPr="00C86CE6">
        <w:tab/>
        <w:t>(e)</w:t>
      </w:r>
      <w:r w:rsidRPr="00C86CE6">
        <w:tab/>
        <w:t xml:space="preserve">a day specified for the purposes of </w:t>
      </w:r>
      <w:r w:rsidR="00A25E52" w:rsidRPr="00C86CE6">
        <w:t>paragraph 3</w:t>
      </w:r>
      <w:r w:rsidRPr="00C86CE6">
        <w:t>9B(6)(a) of the Act as the day on which the notice commences;</w:t>
      </w:r>
    </w:p>
    <w:p w14:paraId="6BEFE454" w14:textId="77777777" w:rsidR="001039FE" w:rsidRPr="00C86CE6" w:rsidRDefault="001039FE" w:rsidP="001039FE">
      <w:pPr>
        <w:pStyle w:val="paragraph"/>
      </w:pPr>
      <w:r w:rsidRPr="00C86CE6">
        <w:tab/>
        <w:t>(f)</w:t>
      </w:r>
      <w:r w:rsidRPr="00C86CE6">
        <w:tab/>
        <w:t>a declaration by the senior member stating that the senior member reasonably believe</w:t>
      </w:r>
      <w:r w:rsidR="00606BBD" w:rsidRPr="00C86CE6">
        <w:t>s</w:t>
      </w:r>
      <w:r w:rsidRPr="00C86CE6">
        <w:t xml:space="preserve"> that the provision of a designated service by the reporting entity to the customer or customers would assist in the investigation by the agency of a serious offence.</w:t>
      </w:r>
    </w:p>
    <w:p w14:paraId="6D1756EF" w14:textId="4EB2224B" w:rsidR="001039FE" w:rsidRPr="00C86CE6" w:rsidRDefault="001039FE" w:rsidP="001039FE">
      <w:pPr>
        <w:pStyle w:val="notetext"/>
      </w:pPr>
      <w:r w:rsidRPr="00C86CE6">
        <w:t>Note:</w:t>
      </w:r>
      <w:r w:rsidRPr="00C86CE6">
        <w:tab/>
        <w:t xml:space="preserve">For </w:t>
      </w:r>
      <w:r w:rsidR="009B58BE" w:rsidRPr="00C86CE6">
        <w:t>subparagraph (</w:t>
      </w:r>
      <w:r w:rsidRPr="00C86CE6">
        <w:t>d)(iii), details that may assist the reporting entity to identify the customer could include:</w:t>
      </w:r>
    </w:p>
    <w:p w14:paraId="336F08BC" w14:textId="77777777" w:rsidR="001039FE" w:rsidRPr="00C86CE6" w:rsidRDefault="001039FE" w:rsidP="001039FE">
      <w:pPr>
        <w:pStyle w:val="notepara"/>
      </w:pPr>
      <w:r w:rsidRPr="00C86CE6">
        <w:t>(a)</w:t>
      </w:r>
      <w:r w:rsidRPr="00C86CE6">
        <w:tab/>
        <w:t>the customer’s address; and</w:t>
      </w:r>
    </w:p>
    <w:p w14:paraId="45AEDC27" w14:textId="77777777" w:rsidR="001039FE" w:rsidRPr="00C86CE6" w:rsidRDefault="001039FE" w:rsidP="001039FE">
      <w:pPr>
        <w:pStyle w:val="notepara"/>
      </w:pPr>
      <w:r w:rsidRPr="00C86CE6">
        <w:t>(b)</w:t>
      </w:r>
      <w:r w:rsidRPr="00C86CE6">
        <w:tab/>
        <w:t>bank account details of the customer.</w:t>
      </w:r>
    </w:p>
    <w:p w14:paraId="6040A56C" w14:textId="77777777" w:rsidR="001039FE" w:rsidRPr="00C86CE6" w:rsidRDefault="001039FE" w:rsidP="001039FE">
      <w:pPr>
        <w:pStyle w:val="subsection"/>
      </w:pPr>
      <w:r w:rsidRPr="00C86CE6">
        <w:tab/>
      </w:r>
      <w:bookmarkStart w:id="68" w:name="_Hlk182928078"/>
      <w:r w:rsidRPr="00C86CE6">
        <w:t>(3)</w:t>
      </w:r>
      <w:r w:rsidRPr="00C86CE6">
        <w:tab/>
        <w:t>The keep open notice must be accompanied by any documents that the senior member considers are necessary to provide to assist the reporting entity to identify the customer or customers.</w:t>
      </w:r>
    </w:p>
    <w:p w14:paraId="2B171799" w14:textId="63E7E80B" w:rsidR="001039FE" w:rsidRPr="00C86CE6" w:rsidRDefault="00BC4A61" w:rsidP="001039FE">
      <w:pPr>
        <w:pStyle w:val="ActHead5"/>
      </w:pPr>
      <w:bookmarkStart w:id="69" w:name="_Toc184727370"/>
      <w:bookmarkEnd w:id="68"/>
      <w:r w:rsidRPr="004B21E2">
        <w:rPr>
          <w:rStyle w:val="CharSectno"/>
        </w:rPr>
        <w:t>48</w:t>
      </w:r>
      <w:r w:rsidR="001039FE" w:rsidRPr="00C86CE6">
        <w:t xml:space="preserve">  Extension notices</w:t>
      </w:r>
      <w:bookmarkEnd w:id="69"/>
    </w:p>
    <w:p w14:paraId="2FF1099F" w14:textId="77777777" w:rsidR="001039FE" w:rsidRPr="00C86CE6" w:rsidRDefault="001039FE" w:rsidP="001039FE">
      <w:pPr>
        <w:pStyle w:val="subsection"/>
      </w:pPr>
      <w:r w:rsidRPr="00C86CE6">
        <w:tab/>
      </w:r>
      <w:r w:rsidRPr="00C86CE6">
        <w:tab/>
        <w:t xml:space="preserve">For the purposes of </w:t>
      </w:r>
      <w:r w:rsidR="00606BBD" w:rsidRPr="00C86CE6">
        <w:t>subsection 3</w:t>
      </w:r>
      <w:r w:rsidRPr="00C86CE6">
        <w:t xml:space="preserve">9B(7) of the Act, Form 2 in </w:t>
      </w:r>
      <w:r w:rsidR="00606BBD" w:rsidRPr="00C86CE6">
        <w:t>Schedule 1</w:t>
      </w:r>
      <w:r w:rsidRPr="00C86CE6">
        <w:t xml:space="preserve"> to this instrument is prescribed as the form for an extension notice.</w:t>
      </w:r>
    </w:p>
    <w:p w14:paraId="4D0AE5B6" w14:textId="339494FF" w:rsidR="001039FE" w:rsidRPr="00C86CE6" w:rsidRDefault="00BC4A61" w:rsidP="001039FE">
      <w:pPr>
        <w:pStyle w:val="ActHead5"/>
      </w:pPr>
      <w:bookmarkStart w:id="70" w:name="_Toc184727371"/>
      <w:r w:rsidRPr="004B21E2">
        <w:rPr>
          <w:rStyle w:val="CharSectno"/>
        </w:rPr>
        <w:lastRenderedPageBreak/>
        <w:t>49</w:t>
      </w:r>
      <w:r w:rsidR="001039FE" w:rsidRPr="00C86CE6">
        <w:t xml:space="preserve">  Further extension application</w:t>
      </w:r>
      <w:bookmarkEnd w:id="70"/>
    </w:p>
    <w:p w14:paraId="361B65DD" w14:textId="0A724460" w:rsidR="00291129" w:rsidRPr="00C86CE6" w:rsidRDefault="001039FE" w:rsidP="001039FE">
      <w:pPr>
        <w:pStyle w:val="subsection"/>
      </w:pPr>
      <w:r w:rsidRPr="00C86CE6">
        <w:tab/>
      </w:r>
      <w:r w:rsidRPr="00C86CE6">
        <w:tab/>
        <w:t xml:space="preserve">For the purposes of </w:t>
      </w:r>
      <w:r w:rsidR="00A25E52" w:rsidRPr="00C86CE6">
        <w:t>paragraph 3</w:t>
      </w:r>
      <w:r w:rsidRPr="00C86CE6">
        <w:t xml:space="preserve">9B(8)(b) of the Act, Form 3 in </w:t>
      </w:r>
      <w:r w:rsidR="00606BBD" w:rsidRPr="00C86CE6">
        <w:t>Schedule 1</w:t>
      </w:r>
      <w:r w:rsidRPr="00C86CE6">
        <w:t xml:space="preserve"> to this instrument is prescribed as the form of an application to the AUSTRAC CEO for a notice under </w:t>
      </w:r>
      <w:r w:rsidR="00A25E52" w:rsidRPr="00C86CE6">
        <w:t>paragraph 3</w:t>
      </w:r>
      <w:r w:rsidRPr="00C86CE6">
        <w:t>9B(8)(d).</w:t>
      </w:r>
    </w:p>
    <w:p w14:paraId="541F9498" w14:textId="41DDFF3F" w:rsidR="00B42B42" w:rsidRPr="00C86CE6" w:rsidRDefault="00606BBD" w:rsidP="00693FC4">
      <w:pPr>
        <w:pStyle w:val="ActHead2"/>
        <w:pageBreakBefore/>
      </w:pPr>
      <w:bookmarkStart w:id="71" w:name="_Toc184727372"/>
      <w:r w:rsidRPr="004B21E2">
        <w:rPr>
          <w:rStyle w:val="CharPartNo"/>
        </w:rPr>
        <w:lastRenderedPageBreak/>
        <w:t>Part </w:t>
      </w:r>
      <w:r w:rsidR="00AB693F" w:rsidRPr="004B21E2">
        <w:rPr>
          <w:rStyle w:val="CharPartNo"/>
        </w:rPr>
        <w:t>6</w:t>
      </w:r>
      <w:r w:rsidR="00D86399" w:rsidRPr="00C86CE6">
        <w:t>—</w:t>
      </w:r>
      <w:r w:rsidR="00D86399" w:rsidRPr="004B21E2">
        <w:rPr>
          <w:rStyle w:val="CharPartText"/>
        </w:rPr>
        <w:t>Correspondent banking</w:t>
      </w:r>
      <w:bookmarkEnd w:id="71"/>
    </w:p>
    <w:p w14:paraId="5A9465BB" w14:textId="3DB6B6DE" w:rsidR="00E5103B" w:rsidRPr="00C86CE6" w:rsidRDefault="00270E8B" w:rsidP="00E5103B">
      <w:pPr>
        <w:pStyle w:val="ActHead3"/>
      </w:pPr>
      <w:bookmarkStart w:id="72" w:name="_Toc184727373"/>
      <w:r w:rsidRPr="004B21E2">
        <w:rPr>
          <w:rStyle w:val="CharDivNo"/>
        </w:rPr>
        <w:t>Division 1</w:t>
      </w:r>
      <w:r w:rsidR="00E5103B" w:rsidRPr="00C86CE6">
        <w:t>—</w:t>
      </w:r>
      <w:r w:rsidR="00793D96" w:rsidRPr="004B21E2">
        <w:rPr>
          <w:rStyle w:val="CharDivText"/>
        </w:rPr>
        <w:t>D</w:t>
      </w:r>
      <w:r w:rsidR="000969B1" w:rsidRPr="004B21E2">
        <w:rPr>
          <w:rStyle w:val="CharDivText"/>
        </w:rPr>
        <w:t>ue diligence assessment</w:t>
      </w:r>
      <w:r w:rsidR="00403C1B" w:rsidRPr="004B21E2">
        <w:rPr>
          <w:rStyle w:val="CharDivText"/>
        </w:rPr>
        <w:t xml:space="preserve"> for entry into correspondent banking relationship</w:t>
      </w:r>
      <w:bookmarkEnd w:id="72"/>
    </w:p>
    <w:p w14:paraId="0A0FA0F6" w14:textId="2BBCEE31" w:rsidR="00693FC4" w:rsidRPr="00C86CE6" w:rsidRDefault="00BC4A61" w:rsidP="00693FC4">
      <w:pPr>
        <w:pStyle w:val="ActHead5"/>
      </w:pPr>
      <w:bookmarkStart w:id="73" w:name="_Toc184727374"/>
      <w:r w:rsidRPr="004B21E2">
        <w:rPr>
          <w:rStyle w:val="CharSectno"/>
        </w:rPr>
        <w:t>50</w:t>
      </w:r>
      <w:r w:rsidR="00693FC4" w:rsidRPr="00C86CE6">
        <w:t xml:space="preserve">  </w:t>
      </w:r>
      <w:r w:rsidR="00A46813" w:rsidRPr="00C86CE6">
        <w:t xml:space="preserve">Requirements for </w:t>
      </w:r>
      <w:r w:rsidR="00466884" w:rsidRPr="00C86CE6">
        <w:t>due diligence assessment</w:t>
      </w:r>
      <w:bookmarkEnd w:id="73"/>
    </w:p>
    <w:p w14:paraId="149EB1AC" w14:textId="77777777" w:rsidR="00693FC4" w:rsidRPr="00C86CE6" w:rsidRDefault="00693FC4" w:rsidP="00931C44">
      <w:pPr>
        <w:pStyle w:val="subsection"/>
      </w:pPr>
      <w:r w:rsidRPr="00C86CE6">
        <w:tab/>
        <w:t>(1)</w:t>
      </w:r>
      <w:r w:rsidRPr="00C86CE6">
        <w:tab/>
      </w:r>
      <w:r w:rsidR="000636C9" w:rsidRPr="00C86CE6">
        <w:t xml:space="preserve">For the purposes of </w:t>
      </w:r>
      <w:r w:rsidR="00F1490F" w:rsidRPr="00C86CE6">
        <w:t>paragraph 9</w:t>
      </w:r>
      <w:r w:rsidRPr="00C86CE6">
        <w:t>6(1)</w:t>
      </w:r>
      <w:r w:rsidR="00321F0F" w:rsidRPr="00C86CE6">
        <w:t xml:space="preserve">(a) </w:t>
      </w:r>
      <w:r w:rsidRPr="00C86CE6">
        <w:t>of the Act</w:t>
      </w:r>
      <w:r w:rsidR="00361431" w:rsidRPr="00C86CE6">
        <w:t xml:space="preserve">, this section </w:t>
      </w:r>
      <w:r w:rsidR="00214264" w:rsidRPr="00C86CE6">
        <w:t xml:space="preserve">sets out requirements for the due diligence assessment to be carried out by a financial institution (the </w:t>
      </w:r>
      <w:r w:rsidR="008E4634" w:rsidRPr="00C86CE6">
        <w:rPr>
          <w:b/>
          <w:i/>
        </w:rPr>
        <w:t>correspondent</w:t>
      </w:r>
      <w:r w:rsidR="00214264" w:rsidRPr="00C86CE6">
        <w:t xml:space="preserve">) in relation to an entry into a correspondent banking relationship with another financial institution </w:t>
      </w:r>
      <w:r w:rsidR="00487453" w:rsidRPr="00C86CE6">
        <w:t xml:space="preserve">(the </w:t>
      </w:r>
      <w:r w:rsidR="00487453" w:rsidRPr="00C86CE6">
        <w:rPr>
          <w:b/>
          <w:i/>
        </w:rPr>
        <w:t>respondent</w:t>
      </w:r>
      <w:r w:rsidR="00487453" w:rsidRPr="00C86CE6">
        <w:t xml:space="preserve">) </w:t>
      </w:r>
      <w:r w:rsidR="00214264" w:rsidRPr="00C86CE6">
        <w:t>that will involve a vostro account</w:t>
      </w:r>
      <w:r w:rsidRPr="00C86CE6">
        <w:t>.</w:t>
      </w:r>
    </w:p>
    <w:p w14:paraId="2712BEB8" w14:textId="77777777" w:rsidR="00122561" w:rsidRPr="00C86CE6" w:rsidRDefault="00693FC4" w:rsidP="00487453">
      <w:pPr>
        <w:pStyle w:val="subsection"/>
      </w:pPr>
      <w:r w:rsidRPr="00C86CE6">
        <w:tab/>
        <w:t>(2)</w:t>
      </w:r>
      <w:r w:rsidRPr="00C86CE6">
        <w:tab/>
      </w:r>
      <w:r w:rsidR="00931C44" w:rsidRPr="00C86CE6">
        <w:t>The</w:t>
      </w:r>
      <w:r w:rsidRPr="00C86CE6">
        <w:t xml:space="preserve"> due diligence </w:t>
      </w:r>
      <w:r w:rsidR="00931C44" w:rsidRPr="00C86CE6">
        <w:t xml:space="preserve">assessment required </w:t>
      </w:r>
      <w:r w:rsidRPr="00C86CE6">
        <w:t xml:space="preserve">to </w:t>
      </w:r>
      <w:r w:rsidR="00931C44" w:rsidRPr="00C86CE6">
        <w:t>be carried out is a</w:t>
      </w:r>
      <w:r w:rsidR="00937950" w:rsidRPr="00C86CE6">
        <w:t>n</w:t>
      </w:r>
      <w:r w:rsidR="00931C44" w:rsidRPr="00C86CE6">
        <w:t xml:space="preserve"> assessment of the </w:t>
      </w:r>
      <w:r w:rsidR="005D0253" w:rsidRPr="00C86CE6">
        <w:t xml:space="preserve">risks of </w:t>
      </w:r>
      <w:r w:rsidRPr="00C86CE6">
        <w:t>money laundering, financing of terrorism</w:t>
      </w:r>
      <w:r w:rsidR="00B779BF" w:rsidRPr="00C86CE6">
        <w:t>, proliferation financing</w:t>
      </w:r>
      <w:r w:rsidRPr="00C86CE6">
        <w:t xml:space="preserve"> </w:t>
      </w:r>
      <w:r w:rsidR="00E16EBC" w:rsidRPr="00C86CE6">
        <w:t>and</w:t>
      </w:r>
      <w:r w:rsidRPr="00C86CE6">
        <w:t xml:space="preserve"> other serious crime</w:t>
      </w:r>
      <w:r w:rsidR="00B72363" w:rsidRPr="00C86CE6">
        <w:t>s</w:t>
      </w:r>
      <w:r w:rsidRPr="00C86CE6">
        <w:t xml:space="preserve"> associated with </w:t>
      </w:r>
      <w:r w:rsidR="009A14FA" w:rsidRPr="00C86CE6">
        <w:t xml:space="preserve">the </w:t>
      </w:r>
      <w:r w:rsidRPr="00C86CE6">
        <w:t xml:space="preserve">entry into </w:t>
      </w:r>
      <w:r w:rsidR="00701212" w:rsidRPr="00C86CE6">
        <w:t>the</w:t>
      </w:r>
      <w:r w:rsidRPr="00C86CE6">
        <w:t xml:space="preserve"> correspondent banking relationship.</w:t>
      </w:r>
    </w:p>
    <w:p w14:paraId="152B6B45" w14:textId="77777777" w:rsidR="00693FC4" w:rsidRPr="00C86CE6" w:rsidRDefault="00693FC4" w:rsidP="00693FC4">
      <w:pPr>
        <w:pStyle w:val="subsection"/>
      </w:pPr>
      <w:r w:rsidRPr="00C86CE6">
        <w:tab/>
        <w:t>(3)</w:t>
      </w:r>
      <w:r w:rsidRPr="00C86CE6">
        <w:tab/>
      </w:r>
      <w:r w:rsidR="00E750AA" w:rsidRPr="00C86CE6">
        <w:t>In</w:t>
      </w:r>
      <w:r w:rsidR="00DE1EEF" w:rsidRPr="00C86CE6">
        <w:t xml:space="preserve"> </w:t>
      </w:r>
      <w:r w:rsidR="009661BB" w:rsidRPr="00C86CE6">
        <w:t xml:space="preserve">carrying out </w:t>
      </w:r>
      <w:r w:rsidR="005337A2" w:rsidRPr="00C86CE6">
        <w:t>the</w:t>
      </w:r>
      <w:r w:rsidR="009661BB" w:rsidRPr="00C86CE6">
        <w:t xml:space="preserve"> due diligence </w:t>
      </w:r>
      <w:r w:rsidRPr="00C86CE6">
        <w:t>assess</w:t>
      </w:r>
      <w:r w:rsidR="009661BB" w:rsidRPr="00C86CE6">
        <w:t>ment</w:t>
      </w:r>
      <w:r w:rsidR="00DB3958" w:rsidRPr="00C86CE6">
        <w:t xml:space="preserve">, the </w:t>
      </w:r>
      <w:r w:rsidR="009F506B" w:rsidRPr="00C86CE6">
        <w:t>correspondent</w:t>
      </w:r>
      <w:r w:rsidR="00DB3958" w:rsidRPr="00C86CE6">
        <w:t xml:space="preserve"> must consider the following matters</w:t>
      </w:r>
      <w:r w:rsidRPr="00C86CE6">
        <w:t>:</w:t>
      </w:r>
    </w:p>
    <w:p w14:paraId="3DBEE20D" w14:textId="77777777" w:rsidR="00693FC4" w:rsidRPr="00C86CE6" w:rsidRDefault="00693FC4" w:rsidP="00693FC4">
      <w:pPr>
        <w:pStyle w:val="paragraph"/>
      </w:pPr>
      <w:r w:rsidRPr="00C86CE6">
        <w:tab/>
        <w:t>(a)</w:t>
      </w:r>
      <w:r w:rsidRPr="00C86CE6">
        <w:tab/>
        <w:t>the ownership, control and management structures of:</w:t>
      </w:r>
    </w:p>
    <w:p w14:paraId="5EF2D819" w14:textId="77777777" w:rsidR="00693FC4" w:rsidRPr="00C86CE6" w:rsidRDefault="00693FC4" w:rsidP="00693FC4">
      <w:pPr>
        <w:pStyle w:val="paragraphsub"/>
      </w:pPr>
      <w:r w:rsidRPr="00C86CE6">
        <w:tab/>
        <w:t>(i)</w:t>
      </w:r>
      <w:r w:rsidRPr="00C86CE6">
        <w:tab/>
        <w:t xml:space="preserve">the </w:t>
      </w:r>
      <w:r w:rsidR="004B0E81" w:rsidRPr="00C86CE6">
        <w:t>respondent</w:t>
      </w:r>
      <w:r w:rsidRPr="00C86CE6">
        <w:t>; and</w:t>
      </w:r>
    </w:p>
    <w:p w14:paraId="25592CF2" w14:textId="77777777" w:rsidR="00221B12" w:rsidRPr="00C86CE6" w:rsidRDefault="00693FC4" w:rsidP="001D2C38">
      <w:pPr>
        <w:pStyle w:val="paragraphsub"/>
      </w:pPr>
      <w:r w:rsidRPr="00C86CE6">
        <w:tab/>
        <w:t>(ii)</w:t>
      </w:r>
      <w:r w:rsidRPr="00C86CE6">
        <w:tab/>
        <w:t xml:space="preserve">the ultimate parent of the </w:t>
      </w:r>
      <w:r w:rsidR="004B0E81" w:rsidRPr="00C86CE6">
        <w:t>respondent</w:t>
      </w:r>
      <w:r w:rsidR="00000758" w:rsidRPr="00C86CE6">
        <w:t xml:space="preserve"> (</w:t>
      </w:r>
      <w:r w:rsidRPr="00C86CE6">
        <w:t>if any</w:t>
      </w:r>
      <w:r w:rsidR="00000758" w:rsidRPr="00C86CE6">
        <w:t>)</w:t>
      </w:r>
      <w:r w:rsidRPr="00C86CE6">
        <w:t>;</w:t>
      </w:r>
    </w:p>
    <w:p w14:paraId="691E0F09" w14:textId="77777777" w:rsidR="00693FC4" w:rsidRPr="00C86CE6" w:rsidRDefault="00693FC4" w:rsidP="00693FC4">
      <w:pPr>
        <w:pStyle w:val="paragraph"/>
      </w:pPr>
      <w:r w:rsidRPr="00C86CE6">
        <w:tab/>
        <w:t>(b)</w:t>
      </w:r>
      <w:r w:rsidRPr="00C86CE6">
        <w:tab/>
        <w:t xml:space="preserve">the nature, size, and complexity of the </w:t>
      </w:r>
      <w:r w:rsidR="009D1249" w:rsidRPr="00C86CE6">
        <w:t>respondent</w:t>
      </w:r>
      <w:r w:rsidRPr="00C86CE6">
        <w:t>’s business, including:</w:t>
      </w:r>
    </w:p>
    <w:p w14:paraId="4133C547" w14:textId="77777777" w:rsidR="00EF6599" w:rsidRPr="00C86CE6" w:rsidRDefault="00693FC4" w:rsidP="00EF6599">
      <w:pPr>
        <w:pStyle w:val="paragraphsub"/>
      </w:pPr>
      <w:r w:rsidRPr="00C86CE6">
        <w:tab/>
        <w:t>(i)</w:t>
      </w:r>
      <w:r w:rsidRPr="00C86CE6">
        <w:tab/>
      </w:r>
      <w:r w:rsidR="00EF6599" w:rsidRPr="00C86CE6">
        <w:t xml:space="preserve">the products and services offered by the </w:t>
      </w:r>
      <w:r w:rsidR="0020190B" w:rsidRPr="00C86CE6">
        <w:t>respondent</w:t>
      </w:r>
      <w:r w:rsidR="00EF6599" w:rsidRPr="00C86CE6">
        <w:t>, and the delivery channels by which it provides services; and</w:t>
      </w:r>
    </w:p>
    <w:p w14:paraId="7A241C0A" w14:textId="77777777" w:rsidR="004D0F6D" w:rsidRPr="00C86CE6" w:rsidRDefault="00EF6599" w:rsidP="00E343F0">
      <w:pPr>
        <w:pStyle w:val="paragraphsub"/>
      </w:pPr>
      <w:r w:rsidRPr="00C86CE6">
        <w:tab/>
        <w:t>(ii)</w:t>
      </w:r>
      <w:r w:rsidRPr="00C86CE6">
        <w:tab/>
        <w:t xml:space="preserve">the kinds of customers that the </w:t>
      </w:r>
      <w:r w:rsidR="0020190B" w:rsidRPr="00C86CE6">
        <w:t>respondent</w:t>
      </w:r>
      <w:r w:rsidRPr="00C86CE6">
        <w:t xml:space="preserve"> has</w:t>
      </w:r>
      <w:r w:rsidR="00FE7EF3" w:rsidRPr="00C86CE6">
        <w:t>; and</w:t>
      </w:r>
    </w:p>
    <w:p w14:paraId="5654B75F" w14:textId="77777777" w:rsidR="00B179CB" w:rsidRPr="00C86CE6" w:rsidRDefault="00693FC4" w:rsidP="00CC7404">
      <w:pPr>
        <w:pStyle w:val="paragraphsub"/>
      </w:pPr>
      <w:r w:rsidRPr="00C86CE6">
        <w:tab/>
        <w:t>(</w:t>
      </w:r>
      <w:r w:rsidR="00FE7EF3" w:rsidRPr="00C86CE6">
        <w:t>i</w:t>
      </w:r>
      <w:r w:rsidRPr="00C86CE6">
        <w:t>ii)</w:t>
      </w:r>
      <w:r w:rsidRPr="00C86CE6">
        <w:tab/>
        <w:t>the</w:t>
      </w:r>
      <w:r w:rsidR="004E6A27" w:rsidRPr="00C86CE6">
        <w:t xml:space="preserve"> kinds</w:t>
      </w:r>
      <w:r w:rsidRPr="00C86CE6">
        <w:t xml:space="preserve"> of transactions </w:t>
      </w:r>
      <w:r w:rsidR="00A6639F" w:rsidRPr="00C86CE6">
        <w:t xml:space="preserve">that would be </w:t>
      </w:r>
      <w:r w:rsidRPr="00C86CE6">
        <w:t xml:space="preserve">carried out on behalf of </w:t>
      </w:r>
      <w:r w:rsidR="00363CAC" w:rsidRPr="00C86CE6">
        <w:t>the respondent’s</w:t>
      </w:r>
      <w:r w:rsidR="008830BF" w:rsidRPr="00C86CE6">
        <w:t xml:space="preserve"> customers</w:t>
      </w:r>
      <w:r w:rsidRPr="00C86CE6">
        <w:t xml:space="preserve"> as part of the correspondent banking relationship and the services</w:t>
      </w:r>
      <w:r w:rsidR="00A46813" w:rsidRPr="00C86CE6">
        <w:t xml:space="preserve"> </w:t>
      </w:r>
      <w:r w:rsidR="00B01EF1" w:rsidRPr="00C86CE6">
        <w:t xml:space="preserve">that would be </w:t>
      </w:r>
      <w:r w:rsidRPr="00C86CE6">
        <w:t xml:space="preserve">provided to </w:t>
      </w:r>
      <w:r w:rsidR="00363CAC" w:rsidRPr="00C86CE6">
        <w:t>the respondent’s customers</w:t>
      </w:r>
      <w:r w:rsidRPr="00C86CE6">
        <w:t xml:space="preserve"> that relate to such transactions;</w:t>
      </w:r>
    </w:p>
    <w:p w14:paraId="0B0BAE94" w14:textId="77777777" w:rsidR="00693FC4" w:rsidRPr="00C86CE6" w:rsidRDefault="00693FC4" w:rsidP="00693FC4">
      <w:pPr>
        <w:pStyle w:val="paragraph"/>
      </w:pPr>
      <w:r w:rsidRPr="00C86CE6">
        <w:tab/>
        <w:t>(c)</w:t>
      </w:r>
      <w:r w:rsidRPr="00C86CE6">
        <w:tab/>
        <w:t>the country or countries:</w:t>
      </w:r>
    </w:p>
    <w:p w14:paraId="5A3508EE" w14:textId="77777777" w:rsidR="00693FC4" w:rsidRPr="00C86CE6" w:rsidRDefault="00693FC4" w:rsidP="00693FC4">
      <w:pPr>
        <w:pStyle w:val="paragraphsub"/>
      </w:pPr>
      <w:r w:rsidRPr="00C86CE6">
        <w:tab/>
        <w:t>(i)</w:t>
      </w:r>
      <w:r w:rsidRPr="00C86CE6">
        <w:tab/>
      </w:r>
      <w:r w:rsidR="000D1E4E" w:rsidRPr="00C86CE6">
        <w:t xml:space="preserve">in which </w:t>
      </w:r>
      <w:r w:rsidR="005E51EB" w:rsidRPr="00C86CE6">
        <w:t xml:space="preserve">the respondent </w:t>
      </w:r>
      <w:r w:rsidR="000E137C" w:rsidRPr="00C86CE6">
        <w:t xml:space="preserve">operates or </w:t>
      </w:r>
      <w:r w:rsidR="000D1E4E" w:rsidRPr="00C86CE6">
        <w:t xml:space="preserve">of which </w:t>
      </w:r>
      <w:r w:rsidR="008A6813" w:rsidRPr="00C86CE6">
        <w:t xml:space="preserve">it </w:t>
      </w:r>
      <w:r w:rsidR="003609F4" w:rsidRPr="00C86CE6">
        <w:t xml:space="preserve">is </w:t>
      </w:r>
      <w:r w:rsidR="0071565C" w:rsidRPr="00C86CE6">
        <w:t xml:space="preserve">a </w:t>
      </w:r>
      <w:r w:rsidR="003609F4" w:rsidRPr="00C86CE6">
        <w:t>resident</w:t>
      </w:r>
      <w:r w:rsidRPr="00C86CE6">
        <w:t>;</w:t>
      </w:r>
      <w:r w:rsidR="003609F4" w:rsidRPr="00C86CE6">
        <w:t xml:space="preserve"> </w:t>
      </w:r>
      <w:r w:rsidRPr="00C86CE6">
        <w:t>and</w:t>
      </w:r>
    </w:p>
    <w:p w14:paraId="3FA46FE6" w14:textId="487AC25D" w:rsidR="00AC79DD" w:rsidRPr="00C86CE6" w:rsidRDefault="00693FC4" w:rsidP="00CF0684">
      <w:pPr>
        <w:pStyle w:val="paragraphsub"/>
      </w:pPr>
      <w:r w:rsidRPr="00C86CE6">
        <w:tab/>
        <w:t>(ii)</w:t>
      </w:r>
      <w:r w:rsidRPr="00C86CE6">
        <w:tab/>
        <w:t xml:space="preserve">if the ultimate parent of the </w:t>
      </w:r>
      <w:r w:rsidR="009D1249" w:rsidRPr="00C86CE6">
        <w:t>respondent</w:t>
      </w:r>
      <w:r w:rsidRPr="00C86CE6">
        <w:t xml:space="preserve"> </w:t>
      </w:r>
      <w:r w:rsidR="0044277E" w:rsidRPr="00C86CE6">
        <w:t xml:space="preserve">(if any) </w:t>
      </w:r>
      <w:r w:rsidRPr="00C86CE6">
        <w:t>has group</w:t>
      </w:r>
      <w:r w:rsidR="004A7589">
        <w:noBreakHyphen/>
      </w:r>
      <w:r w:rsidRPr="00C86CE6">
        <w:t>wide anti</w:t>
      </w:r>
      <w:r w:rsidR="004A7589">
        <w:noBreakHyphen/>
      </w:r>
      <w:r w:rsidRPr="00C86CE6">
        <w:t>money laundering and counter</w:t>
      </w:r>
      <w:r w:rsidR="004A7589">
        <w:noBreakHyphen/>
      </w:r>
      <w:r w:rsidRPr="00C86CE6">
        <w:t xml:space="preserve">terrorism financing systems and controls, and the </w:t>
      </w:r>
      <w:r w:rsidR="009D1249" w:rsidRPr="00C86CE6">
        <w:t>respondent</w:t>
      </w:r>
      <w:r w:rsidRPr="00C86CE6">
        <w:t xml:space="preserve"> operates within the requirements of those controls—</w:t>
      </w:r>
      <w:r w:rsidR="008A6813" w:rsidRPr="00C86CE6">
        <w:t xml:space="preserve">in which </w:t>
      </w:r>
      <w:r w:rsidRPr="00C86CE6">
        <w:t xml:space="preserve">the ultimate parent </w:t>
      </w:r>
      <w:r w:rsidR="00AC79DD" w:rsidRPr="00C86CE6">
        <w:t xml:space="preserve">operates or </w:t>
      </w:r>
      <w:r w:rsidR="008A6813" w:rsidRPr="00C86CE6">
        <w:t xml:space="preserve">of which it </w:t>
      </w:r>
      <w:r w:rsidR="003609F4" w:rsidRPr="00C86CE6">
        <w:t xml:space="preserve">is </w:t>
      </w:r>
      <w:r w:rsidR="0071565C" w:rsidRPr="00C86CE6">
        <w:t xml:space="preserve">a </w:t>
      </w:r>
      <w:r w:rsidR="00AC79DD" w:rsidRPr="00C86CE6">
        <w:t>reside</w:t>
      </w:r>
      <w:r w:rsidR="003609F4" w:rsidRPr="00C86CE6">
        <w:t>nt</w:t>
      </w:r>
      <w:r w:rsidRPr="00C86CE6">
        <w:t>;</w:t>
      </w:r>
    </w:p>
    <w:p w14:paraId="22659170" w14:textId="694DCF5D" w:rsidR="000F7250" w:rsidRPr="00C86CE6" w:rsidRDefault="000F7250" w:rsidP="007F403F">
      <w:pPr>
        <w:pStyle w:val="paragraph"/>
      </w:pPr>
      <w:r w:rsidRPr="00C86CE6">
        <w:tab/>
        <w:t>(</w:t>
      </w:r>
      <w:r w:rsidR="007F403F" w:rsidRPr="00C86CE6">
        <w:t>d</w:t>
      </w:r>
      <w:r w:rsidRPr="00C86CE6">
        <w:t>)</w:t>
      </w:r>
      <w:r w:rsidRPr="00C86CE6">
        <w:tab/>
      </w:r>
      <w:r w:rsidR="00693FC4" w:rsidRPr="00C86CE6">
        <w:t>the existence and quality of any anti</w:t>
      </w:r>
      <w:r w:rsidR="004A7589">
        <w:noBreakHyphen/>
      </w:r>
      <w:r w:rsidR="00693FC4" w:rsidRPr="00C86CE6">
        <w:t>money laundering and counter</w:t>
      </w:r>
      <w:r w:rsidR="004A7589">
        <w:noBreakHyphen/>
      </w:r>
      <w:r w:rsidR="00693FC4" w:rsidRPr="00C86CE6">
        <w:t xml:space="preserve">terrorism financing regulation and supervision in the country or countries identified under </w:t>
      </w:r>
      <w:r w:rsidR="009B58BE" w:rsidRPr="00C86CE6">
        <w:t>paragraph (</w:t>
      </w:r>
      <w:r w:rsidR="005E3469" w:rsidRPr="00C86CE6">
        <w:t>c</w:t>
      </w:r>
      <w:r w:rsidR="00693FC4" w:rsidRPr="00C86CE6">
        <w:t xml:space="preserve">) and the </w:t>
      </w:r>
      <w:r w:rsidR="009D1249" w:rsidRPr="00C86CE6">
        <w:t>respondent</w:t>
      </w:r>
      <w:r w:rsidR="00693FC4" w:rsidRPr="00C86CE6">
        <w:t>’s compliance practices in relation to those regulations;</w:t>
      </w:r>
    </w:p>
    <w:p w14:paraId="2D894916" w14:textId="6492DDD7" w:rsidR="000F7250" w:rsidRPr="00C86CE6" w:rsidRDefault="000F7250" w:rsidP="007F403F">
      <w:pPr>
        <w:pStyle w:val="paragraph"/>
      </w:pPr>
      <w:r w:rsidRPr="00C86CE6">
        <w:tab/>
        <w:t>(</w:t>
      </w:r>
      <w:r w:rsidR="007F403F" w:rsidRPr="00C86CE6">
        <w:t>e</w:t>
      </w:r>
      <w:r w:rsidRPr="00C86CE6">
        <w:t>)</w:t>
      </w:r>
      <w:r w:rsidRPr="00C86CE6">
        <w:tab/>
      </w:r>
      <w:r w:rsidR="00693FC4" w:rsidRPr="00C86CE6">
        <w:t xml:space="preserve">the </w:t>
      </w:r>
      <w:r w:rsidR="00A65323" w:rsidRPr="00C86CE6">
        <w:t>appropriateness</w:t>
      </w:r>
      <w:r w:rsidR="00693FC4" w:rsidRPr="00C86CE6">
        <w:t xml:space="preserve"> of the </w:t>
      </w:r>
      <w:r w:rsidR="009D1249" w:rsidRPr="00C86CE6">
        <w:t>respondent</w:t>
      </w:r>
      <w:r w:rsidR="00693FC4" w:rsidRPr="00C86CE6">
        <w:t>’s anti</w:t>
      </w:r>
      <w:r w:rsidR="004A7589">
        <w:noBreakHyphen/>
      </w:r>
      <w:r w:rsidR="00693FC4" w:rsidRPr="00C86CE6">
        <w:t>money laundering and counter</w:t>
      </w:r>
      <w:r w:rsidR="004A7589">
        <w:noBreakHyphen/>
      </w:r>
      <w:r w:rsidR="00693FC4" w:rsidRPr="00C86CE6">
        <w:t>terrorism financing systems and controls;</w:t>
      </w:r>
    </w:p>
    <w:p w14:paraId="06C58AD7" w14:textId="77777777" w:rsidR="009738E0" w:rsidRPr="00C86CE6" w:rsidRDefault="000F7250" w:rsidP="00F6022F">
      <w:pPr>
        <w:pStyle w:val="paragraph"/>
      </w:pPr>
      <w:r w:rsidRPr="00C86CE6">
        <w:tab/>
        <w:t>(</w:t>
      </w:r>
      <w:r w:rsidR="007F403F" w:rsidRPr="00C86CE6">
        <w:t>f</w:t>
      </w:r>
      <w:r w:rsidRPr="00C86CE6">
        <w:t>)</w:t>
      </w:r>
      <w:r w:rsidRPr="00C86CE6">
        <w:tab/>
      </w:r>
      <w:r w:rsidR="00693FC4" w:rsidRPr="00C86CE6">
        <w:t>publicly</w:t>
      </w:r>
      <w:r w:rsidR="00CF107D" w:rsidRPr="00C86CE6">
        <w:t xml:space="preserve"> </w:t>
      </w:r>
      <w:r w:rsidR="00693FC4" w:rsidRPr="00C86CE6">
        <w:t xml:space="preserve">available information relating to the reputation of the </w:t>
      </w:r>
      <w:r w:rsidR="009D1249" w:rsidRPr="00C86CE6">
        <w:t>respondent</w:t>
      </w:r>
      <w:r w:rsidR="00693FC4" w:rsidRPr="00C86CE6">
        <w:t xml:space="preserve"> and </w:t>
      </w:r>
      <w:r w:rsidR="00B973E2" w:rsidRPr="00C86CE6">
        <w:t>the</w:t>
      </w:r>
      <w:r w:rsidR="009360F3" w:rsidRPr="00C86CE6">
        <w:t xml:space="preserve"> </w:t>
      </w:r>
      <w:r w:rsidR="002B2FF1" w:rsidRPr="00C86CE6">
        <w:t xml:space="preserve">members of </w:t>
      </w:r>
      <w:r w:rsidR="002D5FC8" w:rsidRPr="00C86CE6">
        <w:t xml:space="preserve">the business group </w:t>
      </w:r>
      <w:r w:rsidR="00F26E55" w:rsidRPr="00C86CE6">
        <w:t>of</w:t>
      </w:r>
      <w:r w:rsidR="002D5FC8" w:rsidRPr="00C86CE6">
        <w:t xml:space="preserve"> which the respondent is a </w:t>
      </w:r>
      <w:r w:rsidR="002D5FC8" w:rsidRPr="00C86CE6">
        <w:lastRenderedPageBreak/>
        <w:t>member</w:t>
      </w:r>
      <w:r w:rsidR="00B973E2" w:rsidRPr="00C86CE6">
        <w:t xml:space="preserve"> (if any)</w:t>
      </w:r>
      <w:r w:rsidR="00693FC4" w:rsidRPr="00C86CE6">
        <w:t xml:space="preserve">, including whether the </w:t>
      </w:r>
      <w:r w:rsidR="009D1249" w:rsidRPr="00C86CE6">
        <w:t>respondent</w:t>
      </w:r>
      <w:r w:rsidR="0041387C" w:rsidRPr="00C86CE6">
        <w:t xml:space="preserve"> </w:t>
      </w:r>
      <w:r w:rsidR="006B2C97" w:rsidRPr="00C86CE6">
        <w:t xml:space="preserve">or </w:t>
      </w:r>
      <w:r w:rsidR="0041387C" w:rsidRPr="00C86CE6">
        <w:t xml:space="preserve">any </w:t>
      </w:r>
      <w:r w:rsidR="008C70EF" w:rsidRPr="00C86CE6">
        <w:t>members of the business group</w:t>
      </w:r>
      <w:r w:rsidR="0041387C" w:rsidRPr="00C86CE6">
        <w:t xml:space="preserve"> have</w:t>
      </w:r>
      <w:r w:rsidR="00693FC4" w:rsidRPr="00C86CE6">
        <w:t xml:space="preserve"> been the subject of:</w:t>
      </w:r>
    </w:p>
    <w:p w14:paraId="636C1645" w14:textId="20BB0A68" w:rsidR="00693FC4" w:rsidRPr="00C86CE6" w:rsidRDefault="000F7250" w:rsidP="000F7250">
      <w:pPr>
        <w:pStyle w:val="paragraphsub"/>
      </w:pPr>
      <w:r w:rsidRPr="00C86CE6">
        <w:tab/>
        <w:t>(i)</w:t>
      </w:r>
      <w:r w:rsidRPr="00C86CE6">
        <w:tab/>
      </w:r>
      <w:r w:rsidR="00693FC4" w:rsidRPr="00C86CE6">
        <w:t>a regulatory investigation relating to implementation of anti</w:t>
      </w:r>
      <w:r w:rsidR="004A7589">
        <w:noBreakHyphen/>
      </w:r>
      <w:r w:rsidR="00693FC4" w:rsidRPr="00C86CE6">
        <w:t>money laundering, counter</w:t>
      </w:r>
      <w:r w:rsidR="004A7589">
        <w:noBreakHyphen/>
      </w:r>
      <w:r w:rsidR="00693FC4" w:rsidRPr="00C86CE6">
        <w:t>terrorism financing or sanctions obligations; or</w:t>
      </w:r>
    </w:p>
    <w:p w14:paraId="449F4FCD" w14:textId="7F355140" w:rsidR="00693FC4" w:rsidRPr="00C86CE6" w:rsidRDefault="000F7250" w:rsidP="000F7250">
      <w:pPr>
        <w:pStyle w:val="paragraphsub"/>
      </w:pPr>
      <w:r w:rsidRPr="00C86CE6">
        <w:tab/>
        <w:t>(ii)</w:t>
      </w:r>
      <w:r w:rsidRPr="00C86CE6">
        <w:tab/>
      </w:r>
      <w:r w:rsidR="00693FC4" w:rsidRPr="00C86CE6">
        <w:t>adverse regulatory action relating to implementation of anti</w:t>
      </w:r>
      <w:r w:rsidR="004A7589">
        <w:noBreakHyphen/>
      </w:r>
      <w:r w:rsidR="00693FC4" w:rsidRPr="00C86CE6">
        <w:t>money laundering, counter</w:t>
      </w:r>
      <w:r w:rsidR="004A7589">
        <w:noBreakHyphen/>
      </w:r>
      <w:r w:rsidR="00693FC4" w:rsidRPr="00C86CE6">
        <w:t>terrorism financing or sanctions obligations; or</w:t>
      </w:r>
    </w:p>
    <w:p w14:paraId="2EC5332E" w14:textId="77777777" w:rsidR="00E24409" w:rsidRPr="00C86CE6" w:rsidRDefault="000F7250" w:rsidP="009738E0">
      <w:pPr>
        <w:pStyle w:val="paragraphsub"/>
      </w:pPr>
      <w:r w:rsidRPr="00C86CE6">
        <w:tab/>
        <w:t>(iii)</w:t>
      </w:r>
      <w:r w:rsidRPr="00C86CE6">
        <w:tab/>
      </w:r>
      <w:r w:rsidR="00693FC4" w:rsidRPr="00C86CE6">
        <w:t>an investigation or criminal or civil proceedings relating to money laundering, financing of terrorism or other serious crimes;</w:t>
      </w:r>
    </w:p>
    <w:p w14:paraId="5E493F08" w14:textId="7866D378" w:rsidR="00693FC4" w:rsidRPr="00C86CE6" w:rsidRDefault="000F7250" w:rsidP="000F7250">
      <w:pPr>
        <w:pStyle w:val="paragraph"/>
      </w:pPr>
      <w:r w:rsidRPr="00C86CE6">
        <w:tab/>
        <w:t>(</w:t>
      </w:r>
      <w:r w:rsidR="007F403F" w:rsidRPr="00C86CE6">
        <w:t>g</w:t>
      </w:r>
      <w:r w:rsidRPr="00C86CE6">
        <w:t>)</w:t>
      </w:r>
      <w:r w:rsidRPr="00C86CE6">
        <w:tab/>
      </w:r>
      <w:r w:rsidR="00693FC4" w:rsidRPr="00C86CE6">
        <w:t xml:space="preserve">if the </w:t>
      </w:r>
      <w:r w:rsidR="00D92E91" w:rsidRPr="00C86CE6">
        <w:t>correspondent</w:t>
      </w:r>
      <w:r w:rsidR="0074057C" w:rsidRPr="00C86CE6">
        <w:t xml:space="preserve"> </w:t>
      </w:r>
      <w:r w:rsidR="00B11D48" w:rsidRPr="00C86CE6">
        <w:t>is to</w:t>
      </w:r>
      <w:r w:rsidR="00C929DC" w:rsidRPr="00C86CE6">
        <w:t xml:space="preserve"> </w:t>
      </w:r>
      <w:r w:rsidR="00693FC4" w:rsidRPr="00C86CE6">
        <w:t>maintain vostro accounts that</w:t>
      </w:r>
      <w:r w:rsidR="00B01509" w:rsidRPr="00C86CE6">
        <w:t xml:space="preserve"> </w:t>
      </w:r>
      <w:r w:rsidR="004968B1" w:rsidRPr="00C86CE6">
        <w:t>can</w:t>
      </w:r>
      <w:r w:rsidR="00693FC4" w:rsidRPr="00C86CE6">
        <w:t xml:space="preserve"> be accessed directly by the customers of the </w:t>
      </w:r>
      <w:r w:rsidR="0051188C" w:rsidRPr="00C86CE6">
        <w:t>respondent</w:t>
      </w:r>
      <w:r w:rsidR="003E4CDB" w:rsidRPr="00C86CE6">
        <w:t xml:space="preserve"> (</w:t>
      </w:r>
      <w:r w:rsidR="003E4CDB" w:rsidRPr="00C86CE6">
        <w:rPr>
          <w:b/>
          <w:i/>
        </w:rPr>
        <w:t>payable</w:t>
      </w:r>
      <w:r w:rsidR="004A7589">
        <w:rPr>
          <w:b/>
          <w:i/>
        </w:rPr>
        <w:noBreakHyphen/>
      </w:r>
      <w:r w:rsidR="003E4CDB" w:rsidRPr="00C86CE6">
        <w:rPr>
          <w:b/>
          <w:i/>
        </w:rPr>
        <w:t>through accounts</w:t>
      </w:r>
      <w:r w:rsidR="003E4CDB" w:rsidRPr="00C86CE6">
        <w:t>)</w:t>
      </w:r>
      <w:r w:rsidR="00693FC4" w:rsidRPr="00C86CE6">
        <w:t>—</w:t>
      </w:r>
      <w:r w:rsidR="002B47E0" w:rsidRPr="00C86CE6">
        <w:t xml:space="preserve">whether </w:t>
      </w:r>
      <w:r w:rsidR="00693FC4" w:rsidRPr="00C86CE6">
        <w:t xml:space="preserve">the </w:t>
      </w:r>
      <w:r w:rsidR="0051188C" w:rsidRPr="00C86CE6">
        <w:t>respondent</w:t>
      </w:r>
      <w:r w:rsidR="00693FC4" w:rsidRPr="00C86CE6">
        <w:t>:</w:t>
      </w:r>
    </w:p>
    <w:p w14:paraId="3B03EF25" w14:textId="77777777" w:rsidR="00693FC4" w:rsidRPr="00C86CE6" w:rsidRDefault="000F7250" w:rsidP="000F7250">
      <w:pPr>
        <w:pStyle w:val="paragraphsub"/>
      </w:pPr>
      <w:r w:rsidRPr="00C86CE6">
        <w:tab/>
        <w:t>(i)</w:t>
      </w:r>
      <w:r w:rsidRPr="00C86CE6">
        <w:tab/>
      </w:r>
      <w:r w:rsidR="004968B1" w:rsidRPr="00C86CE6">
        <w:t xml:space="preserve">would </w:t>
      </w:r>
      <w:r w:rsidR="007F537D" w:rsidRPr="00C86CE6">
        <w:t>undertake</w:t>
      </w:r>
      <w:r w:rsidR="00E05C63" w:rsidRPr="00C86CE6">
        <w:t xml:space="preserve"> </w:t>
      </w:r>
      <w:r w:rsidR="007144D8" w:rsidRPr="00C86CE6">
        <w:t xml:space="preserve">initial </w:t>
      </w:r>
      <w:r w:rsidR="00693FC4" w:rsidRPr="00C86CE6">
        <w:t>customer due diligence and ongoing customer due diligence in relation to those customers; and</w:t>
      </w:r>
    </w:p>
    <w:p w14:paraId="20FA4518" w14:textId="77777777" w:rsidR="00ED77FF" w:rsidRPr="00C86CE6" w:rsidRDefault="000F7250" w:rsidP="004968B1">
      <w:pPr>
        <w:pStyle w:val="paragraphsub"/>
      </w:pPr>
      <w:r w:rsidRPr="00C86CE6">
        <w:tab/>
        <w:t>(ii)</w:t>
      </w:r>
      <w:r w:rsidRPr="00C86CE6">
        <w:tab/>
      </w:r>
      <w:r w:rsidR="000C3955" w:rsidRPr="00C86CE6">
        <w:t>would be</w:t>
      </w:r>
      <w:r w:rsidR="00693FC4" w:rsidRPr="00C86CE6">
        <w:t xml:space="preserve"> able to provide to the</w:t>
      </w:r>
      <w:r w:rsidR="00547DAE" w:rsidRPr="00C86CE6">
        <w:t xml:space="preserve"> </w:t>
      </w:r>
      <w:r w:rsidR="00D92E91" w:rsidRPr="00C86CE6">
        <w:t>correspondent</w:t>
      </w:r>
      <w:r w:rsidR="00693FC4" w:rsidRPr="00C86CE6">
        <w:t>, on request,</w:t>
      </w:r>
      <w:r w:rsidR="00DA35E9" w:rsidRPr="00C86CE6">
        <w:t xml:space="preserve"> </w:t>
      </w:r>
      <w:r w:rsidR="003E573E" w:rsidRPr="00C86CE6">
        <w:t>information collected</w:t>
      </w:r>
      <w:r w:rsidR="00693FC4" w:rsidRPr="00C86CE6">
        <w:t xml:space="preserve"> when </w:t>
      </w:r>
      <w:r w:rsidR="00832ED8" w:rsidRPr="00C86CE6">
        <w:t xml:space="preserve">the </w:t>
      </w:r>
      <w:r w:rsidR="0051188C" w:rsidRPr="00C86CE6">
        <w:t>respondent</w:t>
      </w:r>
      <w:r w:rsidR="00832ED8" w:rsidRPr="00C86CE6">
        <w:t xml:space="preserve"> </w:t>
      </w:r>
      <w:r w:rsidR="007F537D" w:rsidRPr="00C86CE6">
        <w:t>undertakes</w:t>
      </w:r>
      <w:r w:rsidR="00693FC4" w:rsidRPr="00C86CE6">
        <w:t xml:space="preserve"> </w:t>
      </w:r>
      <w:r w:rsidR="007F537D" w:rsidRPr="00C86CE6">
        <w:t xml:space="preserve">initial </w:t>
      </w:r>
      <w:r w:rsidR="00693FC4" w:rsidRPr="00C86CE6">
        <w:t>customer due diligence and ongoing customer due diligence in relation to those customers</w:t>
      </w:r>
      <w:r w:rsidR="00A62627" w:rsidRPr="00C86CE6">
        <w:t xml:space="preserve"> and the reliable and independent data used to verify th</w:t>
      </w:r>
      <w:r w:rsidR="008234EE" w:rsidRPr="00C86CE6">
        <w:t>e</w:t>
      </w:r>
      <w:r w:rsidR="00DA35E9" w:rsidRPr="00C86CE6">
        <w:t xml:space="preserve"> </w:t>
      </w:r>
      <w:r w:rsidR="00A62627" w:rsidRPr="00C86CE6">
        <w:t>information</w:t>
      </w:r>
      <w:r w:rsidR="00693FC4" w:rsidRPr="00C86CE6">
        <w:t>.</w:t>
      </w:r>
    </w:p>
    <w:p w14:paraId="3C397DB7" w14:textId="31A71BF7" w:rsidR="00693FC4" w:rsidRPr="00C86CE6" w:rsidRDefault="00BC4A61" w:rsidP="00466884">
      <w:pPr>
        <w:pStyle w:val="ActHead5"/>
      </w:pPr>
      <w:bookmarkStart w:id="74" w:name="_Toc184727375"/>
      <w:r w:rsidRPr="004B21E2">
        <w:rPr>
          <w:rStyle w:val="CharSectno"/>
        </w:rPr>
        <w:t>51</w:t>
      </w:r>
      <w:r w:rsidR="002A2E38" w:rsidRPr="00C86CE6">
        <w:t xml:space="preserve">  </w:t>
      </w:r>
      <w:r w:rsidR="00421672" w:rsidRPr="00C86CE6">
        <w:t>Matters to which a senior officer must have regard before giving</w:t>
      </w:r>
      <w:r w:rsidR="00693FC4" w:rsidRPr="00C86CE6">
        <w:t xml:space="preserve"> approval</w:t>
      </w:r>
      <w:bookmarkEnd w:id="74"/>
    </w:p>
    <w:p w14:paraId="0498A0B6" w14:textId="77777777" w:rsidR="001A48FE" w:rsidRPr="00C86CE6" w:rsidRDefault="000F7250" w:rsidP="00DA3FDC">
      <w:pPr>
        <w:pStyle w:val="subsection"/>
      </w:pPr>
      <w:r w:rsidRPr="00C86CE6">
        <w:tab/>
        <w:t>(</w:t>
      </w:r>
      <w:r w:rsidR="002A2E38" w:rsidRPr="00C86CE6">
        <w:t>1</w:t>
      </w:r>
      <w:r w:rsidRPr="00C86CE6">
        <w:t>)</w:t>
      </w:r>
      <w:r w:rsidRPr="00C86CE6">
        <w:tab/>
      </w:r>
      <w:r w:rsidR="00912858" w:rsidRPr="00C86CE6">
        <w:t xml:space="preserve">For the purposes of </w:t>
      </w:r>
      <w:r w:rsidR="00F1490F" w:rsidRPr="00C86CE6">
        <w:t>paragraph 9</w:t>
      </w:r>
      <w:r w:rsidR="00912858" w:rsidRPr="00C86CE6">
        <w:t>6(1)(</w:t>
      </w:r>
      <w:r w:rsidR="003A0177" w:rsidRPr="00C86CE6">
        <w:t>b</w:t>
      </w:r>
      <w:r w:rsidR="00912858" w:rsidRPr="00C86CE6">
        <w:t xml:space="preserve">) of the Act, this section sets </w:t>
      </w:r>
      <w:r w:rsidR="00DA3FDC" w:rsidRPr="00C86CE6">
        <w:t xml:space="preserve">out </w:t>
      </w:r>
      <w:r w:rsidR="00CD24DA" w:rsidRPr="00C86CE6">
        <w:t>the matters that a senior officer of</w:t>
      </w:r>
      <w:r w:rsidR="001A48FE" w:rsidRPr="00C86CE6">
        <w:t xml:space="preserve"> a financial institution (the </w:t>
      </w:r>
      <w:r w:rsidR="00A3674E" w:rsidRPr="00C86CE6">
        <w:rPr>
          <w:b/>
          <w:i/>
        </w:rPr>
        <w:t>correspondent</w:t>
      </w:r>
      <w:r w:rsidR="001A48FE" w:rsidRPr="00C86CE6">
        <w:t xml:space="preserve">) </w:t>
      </w:r>
      <w:r w:rsidR="00DA3FDC" w:rsidRPr="00C86CE6">
        <w:t xml:space="preserve">must have regard to </w:t>
      </w:r>
      <w:r w:rsidR="00563C1C" w:rsidRPr="00C86CE6">
        <w:t xml:space="preserve">before approving </w:t>
      </w:r>
      <w:r w:rsidR="003C10EC" w:rsidRPr="00C86CE6">
        <w:t>the</w:t>
      </w:r>
      <w:r w:rsidR="001A48FE" w:rsidRPr="00C86CE6">
        <w:t xml:space="preserve"> entry </w:t>
      </w:r>
      <w:r w:rsidR="003C10EC" w:rsidRPr="00C86CE6">
        <w:t xml:space="preserve">by the </w:t>
      </w:r>
      <w:r w:rsidR="00A3674E" w:rsidRPr="00C86CE6">
        <w:t>correspondent</w:t>
      </w:r>
      <w:r w:rsidR="003C10EC" w:rsidRPr="00C86CE6">
        <w:t xml:space="preserve"> </w:t>
      </w:r>
      <w:r w:rsidR="001A48FE" w:rsidRPr="00C86CE6">
        <w:t xml:space="preserve">into a correspondent banking relationship with another financial institution </w:t>
      </w:r>
      <w:r w:rsidR="009C480C" w:rsidRPr="00C86CE6">
        <w:t xml:space="preserve">(the </w:t>
      </w:r>
      <w:r w:rsidR="009C480C" w:rsidRPr="00C86CE6">
        <w:rPr>
          <w:b/>
          <w:i/>
        </w:rPr>
        <w:t>respondent</w:t>
      </w:r>
      <w:r w:rsidR="009C480C" w:rsidRPr="00C86CE6">
        <w:t xml:space="preserve">) </w:t>
      </w:r>
      <w:r w:rsidR="001A48FE" w:rsidRPr="00C86CE6">
        <w:t>that will involve a vostro account</w:t>
      </w:r>
      <w:r w:rsidR="003C10EC" w:rsidRPr="00C86CE6">
        <w:t>.</w:t>
      </w:r>
    </w:p>
    <w:p w14:paraId="6E5A27AD" w14:textId="77777777" w:rsidR="00693FC4" w:rsidRPr="00C86CE6" w:rsidRDefault="008F31D2" w:rsidP="000F7250">
      <w:pPr>
        <w:pStyle w:val="subsection"/>
      </w:pPr>
      <w:r w:rsidRPr="00C86CE6">
        <w:tab/>
        <w:t>(2)</w:t>
      </w:r>
      <w:r w:rsidRPr="00C86CE6">
        <w:tab/>
      </w:r>
      <w:r w:rsidR="005847C0" w:rsidRPr="00C86CE6">
        <w:t>T</w:t>
      </w:r>
      <w:r w:rsidR="008C12B9" w:rsidRPr="00C86CE6">
        <w:t>he</w:t>
      </w:r>
      <w:r w:rsidR="00693FC4" w:rsidRPr="00C86CE6">
        <w:t xml:space="preserve"> senior officer must have regard to:</w:t>
      </w:r>
    </w:p>
    <w:p w14:paraId="13B11595" w14:textId="77777777" w:rsidR="00693FC4" w:rsidRPr="00C86CE6" w:rsidRDefault="000F7250" w:rsidP="000F7250">
      <w:pPr>
        <w:pStyle w:val="paragraph"/>
      </w:pPr>
      <w:r w:rsidRPr="00C86CE6">
        <w:tab/>
        <w:t>(a)</w:t>
      </w:r>
      <w:r w:rsidRPr="00C86CE6">
        <w:tab/>
      </w:r>
      <w:r w:rsidR="00693FC4" w:rsidRPr="00C86CE6">
        <w:t xml:space="preserve">the </w:t>
      </w:r>
      <w:r w:rsidR="008447A4" w:rsidRPr="00C86CE6">
        <w:t xml:space="preserve">risks of </w:t>
      </w:r>
      <w:r w:rsidR="00693FC4" w:rsidRPr="00C86CE6">
        <w:t>money laundering, financing of terrorism</w:t>
      </w:r>
      <w:r w:rsidR="004B3F89" w:rsidRPr="00C86CE6">
        <w:t>, proliferation financing</w:t>
      </w:r>
      <w:r w:rsidR="00693FC4" w:rsidRPr="00C86CE6">
        <w:t xml:space="preserve"> </w:t>
      </w:r>
      <w:r w:rsidR="00070B79" w:rsidRPr="00C86CE6">
        <w:t>and</w:t>
      </w:r>
      <w:r w:rsidR="00693FC4" w:rsidRPr="00C86CE6">
        <w:t xml:space="preserve"> other serious crime</w:t>
      </w:r>
      <w:r w:rsidR="00233FC5" w:rsidRPr="00C86CE6">
        <w:t>s</w:t>
      </w:r>
      <w:r w:rsidR="00693FC4" w:rsidRPr="00C86CE6">
        <w:t xml:space="preserve"> assessed in the written record of the due diligence assessment</w:t>
      </w:r>
      <w:r w:rsidR="00A42818" w:rsidRPr="00C86CE6">
        <w:t xml:space="preserve"> carried out</w:t>
      </w:r>
      <w:r w:rsidR="00130FEC" w:rsidRPr="00C86CE6">
        <w:t xml:space="preserve"> in relation to the entry </w:t>
      </w:r>
      <w:r w:rsidR="00DC62C3" w:rsidRPr="00C86CE6">
        <w:t>into the correspondent banking relationship</w:t>
      </w:r>
      <w:r w:rsidR="00693FC4" w:rsidRPr="00C86CE6">
        <w:t>; and</w:t>
      </w:r>
    </w:p>
    <w:p w14:paraId="0B95A0D1" w14:textId="77777777" w:rsidR="00B01DD0" w:rsidRPr="00C86CE6" w:rsidRDefault="000F7250" w:rsidP="00514D82">
      <w:pPr>
        <w:pStyle w:val="paragraph"/>
      </w:pPr>
      <w:r w:rsidRPr="00C86CE6">
        <w:tab/>
        <w:t>(b)</w:t>
      </w:r>
      <w:r w:rsidRPr="00C86CE6">
        <w:tab/>
      </w:r>
      <w:r w:rsidR="00693FC4" w:rsidRPr="00C86CE6">
        <w:t xml:space="preserve">the </w:t>
      </w:r>
      <w:r w:rsidR="00A62627" w:rsidRPr="00C86CE6">
        <w:t>appropriateness</w:t>
      </w:r>
      <w:r w:rsidR="00693FC4" w:rsidRPr="00C86CE6">
        <w:t xml:space="preserve"> of the </w:t>
      </w:r>
      <w:r w:rsidR="00A3674E" w:rsidRPr="00C86CE6">
        <w:t>correspondent</w:t>
      </w:r>
      <w:r w:rsidR="00693FC4" w:rsidRPr="00C86CE6">
        <w:t xml:space="preserve">’s </w:t>
      </w:r>
      <w:r w:rsidR="00103EEA" w:rsidRPr="00C86CE6">
        <w:t>AML/CTF</w:t>
      </w:r>
      <w:r w:rsidR="00693FC4" w:rsidRPr="00C86CE6">
        <w:t xml:space="preserve"> program to manage</w:t>
      </w:r>
      <w:r w:rsidR="001732AA" w:rsidRPr="00C86CE6">
        <w:t xml:space="preserve"> and mitigate</w:t>
      </w:r>
      <w:r w:rsidR="00693FC4" w:rsidRPr="00C86CE6">
        <w:t xml:space="preserve"> those risks.</w:t>
      </w:r>
    </w:p>
    <w:p w14:paraId="0647216F" w14:textId="6DAFE3C0" w:rsidR="00693FC4" w:rsidRPr="00C86CE6" w:rsidRDefault="000F7250" w:rsidP="000F7250">
      <w:pPr>
        <w:pStyle w:val="subsection"/>
      </w:pPr>
      <w:r w:rsidRPr="00C86CE6">
        <w:tab/>
        <w:t>(</w:t>
      </w:r>
      <w:r w:rsidR="00AE2A7F" w:rsidRPr="00C86CE6">
        <w:t>3</w:t>
      </w:r>
      <w:r w:rsidRPr="00C86CE6">
        <w:t>)</w:t>
      </w:r>
      <w:r w:rsidRPr="00C86CE6">
        <w:tab/>
      </w:r>
      <w:r w:rsidR="00693FC4" w:rsidRPr="00C86CE6">
        <w:t xml:space="preserve">If the </w:t>
      </w:r>
      <w:r w:rsidR="00A3674E" w:rsidRPr="00C86CE6">
        <w:t>correspondent</w:t>
      </w:r>
      <w:r w:rsidR="00693FC4" w:rsidRPr="00C86CE6">
        <w:t xml:space="preserve"> </w:t>
      </w:r>
      <w:r w:rsidR="006F2ABD" w:rsidRPr="00C86CE6">
        <w:t xml:space="preserve">is to </w:t>
      </w:r>
      <w:r w:rsidR="00693FC4" w:rsidRPr="00C86CE6">
        <w:t xml:space="preserve">maintain </w:t>
      </w:r>
      <w:r w:rsidR="00D86E27" w:rsidRPr="00C86CE6">
        <w:t>payable</w:t>
      </w:r>
      <w:r w:rsidR="004A7589">
        <w:noBreakHyphen/>
      </w:r>
      <w:r w:rsidR="00D86E27" w:rsidRPr="00C86CE6">
        <w:t>through accounts</w:t>
      </w:r>
      <w:r w:rsidR="00693FC4" w:rsidRPr="00C86CE6">
        <w:t xml:space="preserve">, the senior officer must </w:t>
      </w:r>
      <w:r w:rsidR="00994CBD" w:rsidRPr="00C86CE6">
        <w:t xml:space="preserve">also </w:t>
      </w:r>
      <w:r w:rsidR="00B14ACD" w:rsidRPr="00C86CE6">
        <w:t>have regard to the following</w:t>
      </w:r>
      <w:r w:rsidR="00693FC4" w:rsidRPr="00C86CE6">
        <w:t>:</w:t>
      </w:r>
    </w:p>
    <w:p w14:paraId="71DA58F1" w14:textId="7E9D8463" w:rsidR="00693FC4" w:rsidRPr="00C86CE6" w:rsidRDefault="000F7250" w:rsidP="000F7250">
      <w:pPr>
        <w:pStyle w:val="paragraph"/>
      </w:pPr>
      <w:r w:rsidRPr="00C86CE6">
        <w:tab/>
        <w:t>(a)</w:t>
      </w:r>
      <w:r w:rsidRPr="00C86CE6">
        <w:tab/>
      </w:r>
      <w:r w:rsidR="00B14ACD" w:rsidRPr="00C86CE6">
        <w:t xml:space="preserve">whether </w:t>
      </w:r>
      <w:r w:rsidR="00B74CB8" w:rsidRPr="00C86CE6">
        <w:t xml:space="preserve">the senior officer is satisfied that </w:t>
      </w:r>
      <w:r w:rsidR="00B14ACD" w:rsidRPr="00C86CE6">
        <w:t xml:space="preserve">the </w:t>
      </w:r>
      <w:r w:rsidR="009C480C" w:rsidRPr="00C86CE6">
        <w:t>respondent</w:t>
      </w:r>
      <w:r w:rsidR="00816EBC" w:rsidRPr="00C86CE6">
        <w:t xml:space="preserve"> will</w:t>
      </w:r>
      <w:r w:rsidR="00B14ACD" w:rsidRPr="00C86CE6">
        <w:t xml:space="preserve"> </w:t>
      </w:r>
      <w:r w:rsidR="00A65323" w:rsidRPr="00C86CE6">
        <w:t>undertake</w:t>
      </w:r>
      <w:r w:rsidR="00C06F0F" w:rsidRPr="00C86CE6">
        <w:t xml:space="preserve"> </w:t>
      </w:r>
      <w:r w:rsidR="00A65323" w:rsidRPr="00C86CE6">
        <w:t xml:space="preserve">initial </w:t>
      </w:r>
      <w:r w:rsidR="00C06F0F" w:rsidRPr="00C86CE6">
        <w:t xml:space="preserve">customer due diligence and </w:t>
      </w:r>
      <w:r w:rsidR="00693FC4" w:rsidRPr="00C86CE6">
        <w:t xml:space="preserve">ongoing customer due diligence in relation to customers </w:t>
      </w:r>
      <w:r w:rsidR="0093202F" w:rsidRPr="00C86CE6">
        <w:t>that</w:t>
      </w:r>
      <w:r w:rsidR="00693FC4" w:rsidRPr="00C86CE6">
        <w:t xml:space="preserve"> have access to the </w:t>
      </w:r>
      <w:r w:rsidR="00FD09FC" w:rsidRPr="00C86CE6">
        <w:t>payable</w:t>
      </w:r>
      <w:r w:rsidR="004A7589">
        <w:noBreakHyphen/>
      </w:r>
      <w:r w:rsidR="00FD09FC" w:rsidRPr="00C86CE6">
        <w:t xml:space="preserve">through </w:t>
      </w:r>
      <w:r w:rsidR="00693FC4" w:rsidRPr="00C86CE6">
        <w:t>accounts;</w:t>
      </w:r>
    </w:p>
    <w:p w14:paraId="6093098A" w14:textId="46EC3BBE" w:rsidR="000043A6" w:rsidRPr="00C86CE6" w:rsidRDefault="000F7250" w:rsidP="001A74CC">
      <w:pPr>
        <w:pStyle w:val="paragraph"/>
      </w:pPr>
      <w:r w:rsidRPr="00C86CE6">
        <w:tab/>
        <w:t>(b)</w:t>
      </w:r>
      <w:r w:rsidRPr="00C86CE6">
        <w:tab/>
      </w:r>
      <w:r w:rsidR="00DA7C79" w:rsidRPr="00C86CE6">
        <w:t xml:space="preserve">whether the </w:t>
      </w:r>
      <w:r w:rsidR="00B74CB8" w:rsidRPr="00C86CE6">
        <w:t xml:space="preserve">senior officer is satisfied that the </w:t>
      </w:r>
      <w:r w:rsidR="009C480C" w:rsidRPr="00C86CE6">
        <w:t>respondent</w:t>
      </w:r>
      <w:r w:rsidR="00DA7C79" w:rsidRPr="00C86CE6">
        <w:t xml:space="preserve"> </w:t>
      </w:r>
      <w:r w:rsidR="00152A33" w:rsidRPr="00C86CE6">
        <w:t>would be</w:t>
      </w:r>
      <w:r w:rsidR="00693FC4" w:rsidRPr="00C86CE6">
        <w:t xml:space="preserve"> able to provide </w:t>
      </w:r>
      <w:r w:rsidR="003C1FAF" w:rsidRPr="00C86CE6">
        <w:t xml:space="preserve">the </w:t>
      </w:r>
      <w:r w:rsidR="00A3674E" w:rsidRPr="00C86CE6">
        <w:t>correspondent</w:t>
      </w:r>
      <w:r w:rsidR="00693FC4" w:rsidRPr="00C86CE6">
        <w:t>, on request,</w:t>
      </w:r>
      <w:r w:rsidR="00810E7C" w:rsidRPr="00C86CE6">
        <w:t xml:space="preserve"> information collected </w:t>
      </w:r>
      <w:r w:rsidR="0051427F" w:rsidRPr="00C86CE6">
        <w:t>when the respondent undertakes</w:t>
      </w:r>
      <w:r w:rsidR="00810E7C" w:rsidRPr="00C86CE6">
        <w:t xml:space="preserve"> initial</w:t>
      </w:r>
      <w:r w:rsidR="009B2CDB" w:rsidRPr="00C86CE6">
        <w:t xml:space="preserve"> customer due diligence</w:t>
      </w:r>
      <w:r w:rsidR="0004291D" w:rsidRPr="00C86CE6">
        <w:t xml:space="preserve"> and</w:t>
      </w:r>
      <w:r w:rsidR="00693FC4" w:rsidRPr="00C86CE6">
        <w:t xml:space="preserve"> ongoing customer due diligence in relation to the customers that have access to </w:t>
      </w:r>
      <w:r w:rsidR="00FD09FC" w:rsidRPr="00C86CE6">
        <w:t>the payable</w:t>
      </w:r>
      <w:r w:rsidR="004A7589">
        <w:noBreakHyphen/>
      </w:r>
      <w:r w:rsidR="00FD09FC" w:rsidRPr="00C86CE6">
        <w:t>through accounts</w:t>
      </w:r>
      <w:r w:rsidR="00810E7C" w:rsidRPr="00C86CE6">
        <w:t xml:space="preserve"> and the reliable and independent data used to verify th</w:t>
      </w:r>
      <w:r w:rsidR="00313BD3" w:rsidRPr="00C86CE6">
        <w:t>e</w:t>
      </w:r>
      <w:r w:rsidR="00810E7C" w:rsidRPr="00C86CE6">
        <w:t xml:space="preserve"> information</w:t>
      </w:r>
      <w:r w:rsidR="009A13C6" w:rsidRPr="00C86CE6">
        <w:t>.</w:t>
      </w:r>
    </w:p>
    <w:p w14:paraId="03E1D3DF" w14:textId="6B6D33AF" w:rsidR="004A6C00" w:rsidRPr="00C86CE6" w:rsidRDefault="00270E8B" w:rsidP="004A6C00">
      <w:pPr>
        <w:pStyle w:val="ActHead3"/>
        <w:pageBreakBefore/>
      </w:pPr>
      <w:bookmarkStart w:id="75" w:name="_Toc184727376"/>
      <w:r w:rsidRPr="004B21E2">
        <w:rPr>
          <w:rStyle w:val="CharDivNo"/>
        </w:rPr>
        <w:lastRenderedPageBreak/>
        <w:t>Division 2</w:t>
      </w:r>
      <w:r w:rsidR="004A6C00" w:rsidRPr="00C86CE6">
        <w:t>—</w:t>
      </w:r>
      <w:r w:rsidR="00845A39" w:rsidRPr="004B21E2">
        <w:rPr>
          <w:rStyle w:val="CharDivText"/>
        </w:rPr>
        <w:t>Requirements for o</w:t>
      </w:r>
      <w:r w:rsidR="004A6C00" w:rsidRPr="004B21E2">
        <w:rPr>
          <w:rStyle w:val="CharDivText"/>
        </w:rPr>
        <w:t xml:space="preserve">ngoing </w:t>
      </w:r>
      <w:r w:rsidR="00845A39" w:rsidRPr="004B21E2">
        <w:rPr>
          <w:rStyle w:val="CharDivText"/>
        </w:rPr>
        <w:t xml:space="preserve">due diligence </w:t>
      </w:r>
      <w:r w:rsidR="004A6C00" w:rsidRPr="004B21E2">
        <w:rPr>
          <w:rStyle w:val="CharDivText"/>
        </w:rPr>
        <w:t>assessment</w:t>
      </w:r>
      <w:r w:rsidR="00845A39" w:rsidRPr="004B21E2">
        <w:rPr>
          <w:rStyle w:val="CharDivText"/>
        </w:rPr>
        <w:t>s</w:t>
      </w:r>
      <w:bookmarkEnd w:id="75"/>
    </w:p>
    <w:p w14:paraId="0989B23C" w14:textId="4351A676" w:rsidR="00693FC4" w:rsidRPr="00C86CE6" w:rsidRDefault="00BC4A61" w:rsidP="000F7250">
      <w:pPr>
        <w:pStyle w:val="ActHead5"/>
      </w:pPr>
      <w:bookmarkStart w:id="76" w:name="_Toc184727377"/>
      <w:r w:rsidRPr="004B21E2">
        <w:rPr>
          <w:rStyle w:val="CharSectno"/>
        </w:rPr>
        <w:t>52</w:t>
      </w:r>
      <w:r w:rsidR="000F7250" w:rsidRPr="00C86CE6">
        <w:t xml:space="preserve">  </w:t>
      </w:r>
      <w:r w:rsidR="00845A39" w:rsidRPr="00C86CE6">
        <w:t>Requirements for o</w:t>
      </w:r>
      <w:r w:rsidR="00693FC4" w:rsidRPr="00C86CE6">
        <w:t xml:space="preserve">ngoing </w:t>
      </w:r>
      <w:r w:rsidR="00845A39" w:rsidRPr="00C86CE6">
        <w:t xml:space="preserve">due diligence </w:t>
      </w:r>
      <w:r w:rsidR="00693FC4" w:rsidRPr="00C86CE6">
        <w:t>assessment</w:t>
      </w:r>
      <w:r w:rsidR="00845A39" w:rsidRPr="00C86CE6">
        <w:t>s</w:t>
      </w:r>
      <w:bookmarkEnd w:id="76"/>
    </w:p>
    <w:p w14:paraId="02875F53" w14:textId="77777777" w:rsidR="0051372F" w:rsidRPr="00C86CE6" w:rsidRDefault="000F7250" w:rsidP="004F605A">
      <w:pPr>
        <w:pStyle w:val="subsection"/>
      </w:pPr>
      <w:r w:rsidRPr="00C86CE6">
        <w:tab/>
        <w:t>(1)</w:t>
      </w:r>
      <w:r w:rsidRPr="00C86CE6">
        <w:tab/>
      </w:r>
      <w:r w:rsidR="002A5DD7" w:rsidRPr="00C86CE6">
        <w:t xml:space="preserve">For the purposes of </w:t>
      </w:r>
      <w:r w:rsidR="00F1490F" w:rsidRPr="00C86CE6">
        <w:t>paragraph 9</w:t>
      </w:r>
      <w:r w:rsidR="00693FC4" w:rsidRPr="00C86CE6">
        <w:t>6(3)</w:t>
      </w:r>
      <w:r w:rsidR="0024183E" w:rsidRPr="00C86CE6">
        <w:t>(a)</w:t>
      </w:r>
      <w:r w:rsidR="00693FC4" w:rsidRPr="00C86CE6">
        <w:t xml:space="preserve"> of the Act</w:t>
      </w:r>
      <w:r w:rsidR="003A0177" w:rsidRPr="00C86CE6">
        <w:t xml:space="preserve">, this section sets out the </w:t>
      </w:r>
      <w:r w:rsidR="00B62591" w:rsidRPr="00C86CE6">
        <w:t>requirements for</w:t>
      </w:r>
      <w:r w:rsidR="00C85D10" w:rsidRPr="00C86CE6">
        <w:t xml:space="preserve"> the </w:t>
      </w:r>
      <w:r w:rsidR="00F95524" w:rsidRPr="00C86CE6">
        <w:t>due diligence assessments that a financial institution</w:t>
      </w:r>
      <w:r w:rsidR="004F605A" w:rsidRPr="00C86CE6">
        <w:t xml:space="preserve"> (the </w:t>
      </w:r>
      <w:r w:rsidR="00C421C0" w:rsidRPr="00C86CE6">
        <w:rPr>
          <w:b/>
          <w:i/>
        </w:rPr>
        <w:t>correspondent</w:t>
      </w:r>
      <w:r w:rsidR="004F605A" w:rsidRPr="00C86CE6">
        <w:t>)</w:t>
      </w:r>
      <w:r w:rsidR="00693FC4" w:rsidRPr="00C86CE6">
        <w:t xml:space="preserve"> must </w:t>
      </w:r>
      <w:r w:rsidR="00563A6B" w:rsidRPr="00C86CE6">
        <w:t>carry out</w:t>
      </w:r>
      <w:r w:rsidR="00693FC4" w:rsidRPr="00C86CE6">
        <w:t xml:space="preserve"> </w:t>
      </w:r>
      <w:r w:rsidR="0051372F" w:rsidRPr="00C86CE6">
        <w:t xml:space="preserve">if </w:t>
      </w:r>
      <w:r w:rsidR="00883EFD" w:rsidRPr="00C86CE6">
        <w:t>it is</w:t>
      </w:r>
      <w:r w:rsidR="0051372F" w:rsidRPr="00C86CE6">
        <w:t xml:space="preserve"> in a correspondent banking relationship with another financial institution </w:t>
      </w:r>
      <w:r w:rsidR="009C480C" w:rsidRPr="00C86CE6">
        <w:t xml:space="preserve">(the </w:t>
      </w:r>
      <w:r w:rsidR="009C480C" w:rsidRPr="00C86CE6">
        <w:rPr>
          <w:b/>
          <w:i/>
        </w:rPr>
        <w:t>respondent</w:t>
      </w:r>
      <w:r w:rsidR="009C480C" w:rsidRPr="00C86CE6">
        <w:t xml:space="preserve">) </w:t>
      </w:r>
      <w:r w:rsidR="0051372F" w:rsidRPr="00C86CE6">
        <w:t>that involves a vostro account</w:t>
      </w:r>
      <w:r w:rsidR="00883EFD" w:rsidRPr="00C86CE6">
        <w:t>.</w:t>
      </w:r>
    </w:p>
    <w:p w14:paraId="1E60971F" w14:textId="77777777" w:rsidR="000F7250" w:rsidRPr="00C86CE6" w:rsidRDefault="00883EFD" w:rsidP="004F605A">
      <w:pPr>
        <w:pStyle w:val="subsection"/>
      </w:pPr>
      <w:r w:rsidRPr="00C86CE6">
        <w:tab/>
        <w:t>(2)</w:t>
      </w:r>
      <w:r w:rsidRPr="00C86CE6">
        <w:tab/>
      </w:r>
      <w:r w:rsidR="001D3FBB" w:rsidRPr="00C86CE6">
        <w:t>The due diligence assessment</w:t>
      </w:r>
      <w:r w:rsidR="00C85D10" w:rsidRPr="00C86CE6">
        <w:t>s</w:t>
      </w:r>
      <w:r w:rsidR="001D3FBB" w:rsidRPr="00C86CE6">
        <w:t xml:space="preserve"> required to be carried out </w:t>
      </w:r>
      <w:r w:rsidR="00C85D10" w:rsidRPr="00C86CE6">
        <w:t>are</w:t>
      </w:r>
      <w:r w:rsidR="001D3FBB" w:rsidRPr="00C86CE6">
        <w:t xml:space="preserve"> assessment</w:t>
      </w:r>
      <w:r w:rsidR="00C85D10" w:rsidRPr="00C86CE6">
        <w:t>s</w:t>
      </w:r>
      <w:r w:rsidR="001D3FBB" w:rsidRPr="00C86CE6">
        <w:t xml:space="preserve"> of the</w:t>
      </w:r>
      <w:r w:rsidR="00FF5A4A" w:rsidRPr="00C86CE6">
        <w:t xml:space="preserve"> risks of</w:t>
      </w:r>
      <w:r w:rsidR="001D3FBB" w:rsidRPr="00C86CE6">
        <w:t xml:space="preserve"> money laundering, financing of terrorism</w:t>
      </w:r>
      <w:r w:rsidR="006A6C83" w:rsidRPr="00C86CE6">
        <w:t>, proliferation financing</w:t>
      </w:r>
      <w:r w:rsidR="001D3FBB" w:rsidRPr="00C86CE6">
        <w:t xml:space="preserve"> and other serious crime</w:t>
      </w:r>
      <w:r w:rsidR="00FF5A4A" w:rsidRPr="00C86CE6">
        <w:t xml:space="preserve">s </w:t>
      </w:r>
      <w:r w:rsidR="001D3FBB" w:rsidRPr="00C86CE6">
        <w:t>associated with the correspondent banking relationship</w:t>
      </w:r>
      <w:r w:rsidR="00693FC4" w:rsidRPr="00C86CE6">
        <w:t>.</w:t>
      </w:r>
    </w:p>
    <w:p w14:paraId="7A923AEE" w14:textId="79EB265B" w:rsidR="00E85292" w:rsidRPr="00C86CE6" w:rsidRDefault="000F7250" w:rsidP="002D0993">
      <w:pPr>
        <w:pStyle w:val="subsection"/>
      </w:pPr>
      <w:r w:rsidRPr="00C86CE6">
        <w:tab/>
        <w:t>(3)</w:t>
      </w:r>
      <w:r w:rsidRPr="00C86CE6">
        <w:tab/>
      </w:r>
      <w:r w:rsidR="003B3D8E" w:rsidRPr="00C86CE6">
        <w:t xml:space="preserve">In </w:t>
      </w:r>
      <w:r w:rsidR="0087303A" w:rsidRPr="00C86CE6">
        <w:t>carrying out the due diligence assessments, t</w:t>
      </w:r>
      <w:r w:rsidR="00693FC4" w:rsidRPr="00C86CE6">
        <w:t xml:space="preserve">he </w:t>
      </w:r>
      <w:r w:rsidR="00C421C0" w:rsidRPr="00C86CE6">
        <w:t>correspondent</w:t>
      </w:r>
      <w:r w:rsidR="00693FC4" w:rsidRPr="00C86CE6">
        <w:t xml:space="preserve"> must consider</w:t>
      </w:r>
      <w:r w:rsidR="00EF3E06" w:rsidRPr="00C86CE6">
        <w:t xml:space="preserve"> </w:t>
      </w:r>
      <w:r w:rsidR="00CD4981" w:rsidRPr="00C86CE6">
        <w:t>the matters set out in paragraph</w:t>
      </w:r>
      <w:r w:rsidR="003134D4" w:rsidRPr="00C86CE6">
        <w:t>s</w:t>
      </w:r>
      <w:r w:rsidR="00CD4981" w:rsidRPr="00C86CE6">
        <w:t xml:space="preserve"> </w:t>
      </w:r>
      <w:r w:rsidR="00BC4A61" w:rsidRPr="00C86CE6">
        <w:t>50</w:t>
      </w:r>
      <w:r w:rsidR="00DC5C37" w:rsidRPr="00C86CE6">
        <w:t>(3)</w:t>
      </w:r>
      <w:r w:rsidR="00CD4981" w:rsidRPr="00C86CE6">
        <w:t>(a)</w:t>
      </w:r>
      <w:r w:rsidR="00EF3E06" w:rsidRPr="00C86CE6">
        <w:t xml:space="preserve"> to (g).</w:t>
      </w:r>
    </w:p>
    <w:p w14:paraId="56EBB5EB" w14:textId="4D2B5AEF" w:rsidR="006179B8" w:rsidRPr="00C86CE6" w:rsidRDefault="00DE38F4" w:rsidP="00DE38F4">
      <w:pPr>
        <w:pStyle w:val="notetext"/>
      </w:pPr>
      <w:r w:rsidRPr="00C86CE6">
        <w:t>Note:</w:t>
      </w:r>
      <w:r w:rsidRPr="00C86CE6">
        <w:tab/>
        <w:t xml:space="preserve">Paragraphs </w:t>
      </w:r>
      <w:r w:rsidR="00BC4A61" w:rsidRPr="00C86CE6">
        <w:t>50</w:t>
      </w:r>
      <w:r w:rsidRPr="00C86CE6">
        <w:t xml:space="preserve">(3)(a) to (g) set out matters that </w:t>
      </w:r>
      <w:r w:rsidR="002B3EBF" w:rsidRPr="00C86CE6">
        <w:t xml:space="preserve">the correspondent </w:t>
      </w:r>
      <w:r w:rsidRPr="00C86CE6">
        <w:t xml:space="preserve">must consider </w:t>
      </w:r>
      <w:r w:rsidR="00EE688C" w:rsidRPr="00C86CE6">
        <w:t xml:space="preserve">in carrying out a due diligence assessment </w:t>
      </w:r>
      <w:r w:rsidR="00225128" w:rsidRPr="00C86CE6">
        <w:t>in relation to an entry into a correspondent banking relationship with the respondent that will involve a vostro account</w:t>
      </w:r>
      <w:r w:rsidR="002C7802" w:rsidRPr="00C86CE6">
        <w:t>.</w:t>
      </w:r>
    </w:p>
    <w:p w14:paraId="2BAEE325" w14:textId="134C4FA1" w:rsidR="00693FC4" w:rsidRPr="00C86CE6" w:rsidRDefault="00BC4A61" w:rsidP="00BE4B2E">
      <w:pPr>
        <w:pStyle w:val="ActHead5"/>
      </w:pPr>
      <w:bookmarkStart w:id="77" w:name="_Toc184727378"/>
      <w:r w:rsidRPr="004B21E2">
        <w:rPr>
          <w:rStyle w:val="CharSectno"/>
        </w:rPr>
        <w:t>53</w:t>
      </w:r>
      <w:r w:rsidR="00BE4B2E" w:rsidRPr="00C86CE6">
        <w:t xml:space="preserve">  </w:t>
      </w:r>
      <w:r w:rsidR="00693FC4" w:rsidRPr="00C86CE6">
        <w:t xml:space="preserve">Timing of ongoing </w:t>
      </w:r>
      <w:r w:rsidR="00965423" w:rsidRPr="00C86CE6">
        <w:t xml:space="preserve">due diligence </w:t>
      </w:r>
      <w:r w:rsidR="00693FC4" w:rsidRPr="00C86CE6">
        <w:t>assessments</w:t>
      </w:r>
      <w:bookmarkEnd w:id="77"/>
    </w:p>
    <w:p w14:paraId="6F4CD60F" w14:textId="77777777" w:rsidR="000B6153" w:rsidRPr="00C86CE6" w:rsidRDefault="000F7250" w:rsidP="000F7250">
      <w:pPr>
        <w:pStyle w:val="subsection"/>
      </w:pPr>
      <w:r w:rsidRPr="00C86CE6">
        <w:tab/>
        <w:t>(</w:t>
      </w:r>
      <w:r w:rsidR="000B6153" w:rsidRPr="00C86CE6">
        <w:t>1</w:t>
      </w:r>
      <w:r w:rsidRPr="00C86CE6">
        <w:t>)</w:t>
      </w:r>
      <w:r w:rsidRPr="00C86CE6">
        <w:tab/>
      </w:r>
      <w:r w:rsidR="000B6153" w:rsidRPr="00C86CE6">
        <w:t xml:space="preserve">For the purposes of </w:t>
      </w:r>
      <w:r w:rsidR="00F1490F" w:rsidRPr="00C86CE6">
        <w:t>paragraph 9</w:t>
      </w:r>
      <w:r w:rsidR="000B6153" w:rsidRPr="00C86CE6">
        <w:t xml:space="preserve">6(3)(b), this section sets out when </w:t>
      </w:r>
      <w:r w:rsidR="002C23F0" w:rsidRPr="00C86CE6">
        <w:t xml:space="preserve">a financial institution (the </w:t>
      </w:r>
      <w:r w:rsidR="00C421C0" w:rsidRPr="00C86CE6">
        <w:rPr>
          <w:b/>
          <w:i/>
        </w:rPr>
        <w:t>correspondent</w:t>
      </w:r>
      <w:r w:rsidR="002C23F0" w:rsidRPr="00C86CE6">
        <w:t>) must carry out due diligence assessments if it is in a correspondent banking relationship with another financial institution that involves a vostro account.</w:t>
      </w:r>
    </w:p>
    <w:p w14:paraId="71BCF28F" w14:textId="77777777" w:rsidR="002F1880" w:rsidRPr="00C86CE6" w:rsidRDefault="002C23F0" w:rsidP="000F7250">
      <w:pPr>
        <w:pStyle w:val="subsection"/>
      </w:pPr>
      <w:r w:rsidRPr="00C86CE6">
        <w:tab/>
        <w:t>(2)</w:t>
      </w:r>
      <w:r w:rsidRPr="00C86CE6">
        <w:tab/>
      </w:r>
      <w:r w:rsidR="00693FC4" w:rsidRPr="00C86CE6">
        <w:t xml:space="preserve">The </w:t>
      </w:r>
      <w:r w:rsidR="00C421C0" w:rsidRPr="00C86CE6">
        <w:t>correspondent</w:t>
      </w:r>
      <w:r w:rsidR="007874F9" w:rsidRPr="00C86CE6">
        <w:t xml:space="preserve"> </w:t>
      </w:r>
      <w:r w:rsidR="00693FC4" w:rsidRPr="00C86CE6">
        <w:t xml:space="preserve">must </w:t>
      </w:r>
      <w:r w:rsidR="00563A6B" w:rsidRPr="00C86CE6">
        <w:t>carry out</w:t>
      </w:r>
      <w:r w:rsidR="00693FC4" w:rsidRPr="00C86CE6">
        <w:t xml:space="preserve"> </w:t>
      </w:r>
      <w:r w:rsidR="00541242" w:rsidRPr="00C86CE6">
        <w:t xml:space="preserve">due diligence </w:t>
      </w:r>
      <w:r w:rsidR="00693FC4" w:rsidRPr="00C86CE6">
        <w:t>assessments</w:t>
      </w:r>
      <w:r w:rsidR="009F66A4" w:rsidRPr="00C86CE6">
        <w:t>:</w:t>
      </w:r>
    </w:p>
    <w:p w14:paraId="78B2548D" w14:textId="77777777" w:rsidR="00693FC4" w:rsidRPr="00C86CE6" w:rsidRDefault="002F1880" w:rsidP="002F1880">
      <w:pPr>
        <w:pStyle w:val="paragraph"/>
      </w:pPr>
      <w:r w:rsidRPr="00C86CE6">
        <w:tab/>
        <w:t>(a)</w:t>
      </w:r>
      <w:r w:rsidRPr="00C86CE6">
        <w:tab/>
      </w:r>
      <w:r w:rsidR="00693FC4" w:rsidRPr="00C86CE6">
        <w:t xml:space="preserve">at times determined appropriate by the </w:t>
      </w:r>
      <w:r w:rsidR="00C421C0" w:rsidRPr="00C86CE6">
        <w:t>correspondent</w:t>
      </w:r>
      <w:r w:rsidR="00693FC4" w:rsidRPr="00C86CE6">
        <w:t>, based on consideration of:</w:t>
      </w:r>
    </w:p>
    <w:p w14:paraId="6C62A81F" w14:textId="77777777" w:rsidR="000F7250" w:rsidRPr="00C86CE6" w:rsidRDefault="000F7250" w:rsidP="002F1880">
      <w:pPr>
        <w:pStyle w:val="paragraphsub"/>
      </w:pPr>
      <w:r w:rsidRPr="00C86CE6">
        <w:tab/>
        <w:t>(</w:t>
      </w:r>
      <w:r w:rsidR="002F1880" w:rsidRPr="00C86CE6">
        <w:t>i</w:t>
      </w:r>
      <w:r w:rsidRPr="00C86CE6">
        <w:t>)</w:t>
      </w:r>
      <w:r w:rsidRPr="00C86CE6">
        <w:tab/>
      </w:r>
      <w:r w:rsidR="00693FC4" w:rsidRPr="00C86CE6">
        <w:t xml:space="preserve">the level of </w:t>
      </w:r>
      <w:r w:rsidR="00233FC5" w:rsidRPr="00C86CE6">
        <w:t xml:space="preserve">risk of </w:t>
      </w:r>
      <w:r w:rsidR="00693FC4" w:rsidRPr="00C86CE6">
        <w:t>money laundering, financing of terrorism</w:t>
      </w:r>
      <w:r w:rsidR="00BB6D37" w:rsidRPr="00C86CE6">
        <w:t>, proliferation financing</w:t>
      </w:r>
      <w:r w:rsidR="00693FC4" w:rsidRPr="00C86CE6">
        <w:t xml:space="preserve"> </w:t>
      </w:r>
      <w:r w:rsidR="00541242" w:rsidRPr="00C86CE6">
        <w:t>and</w:t>
      </w:r>
      <w:r w:rsidR="00693FC4" w:rsidRPr="00C86CE6">
        <w:t xml:space="preserve"> other serious crime</w:t>
      </w:r>
      <w:r w:rsidR="00F8682A" w:rsidRPr="00C86CE6">
        <w:t>s</w:t>
      </w:r>
      <w:r w:rsidR="00693FC4" w:rsidRPr="00C86CE6">
        <w:t xml:space="preserve"> </w:t>
      </w:r>
      <w:r w:rsidR="009B3D13" w:rsidRPr="00C86CE6">
        <w:t>associated with</w:t>
      </w:r>
      <w:r w:rsidR="00693FC4" w:rsidRPr="00C86CE6">
        <w:t xml:space="preserve"> the correspondent banking relationship; and</w:t>
      </w:r>
    </w:p>
    <w:p w14:paraId="1FD893B1" w14:textId="77777777" w:rsidR="00693FC4" w:rsidRPr="00C86CE6" w:rsidRDefault="000F7250" w:rsidP="002F1880">
      <w:pPr>
        <w:pStyle w:val="paragraphsub"/>
      </w:pPr>
      <w:r w:rsidRPr="00C86CE6">
        <w:tab/>
        <w:t>(</w:t>
      </w:r>
      <w:r w:rsidR="002F1880" w:rsidRPr="00C86CE6">
        <w:t>ii</w:t>
      </w:r>
      <w:r w:rsidRPr="00C86CE6">
        <w:t>)</w:t>
      </w:r>
      <w:r w:rsidRPr="00C86CE6">
        <w:tab/>
      </w:r>
      <w:r w:rsidR="00693FC4" w:rsidRPr="00C86CE6">
        <w:t>any material change in respect of those risks;</w:t>
      </w:r>
      <w:r w:rsidR="002F1880" w:rsidRPr="00C86CE6">
        <w:t xml:space="preserve"> and</w:t>
      </w:r>
    </w:p>
    <w:p w14:paraId="52A6AC77" w14:textId="77777777" w:rsidR="00B42B42" w:rsidRPr="00C86CE6" w:rsidRDefault="002F1880" w:rsidP="002F1880">
      <w:pPr>
        <w:pStyle w:val="paragraph"/>
      </w:pPr>
      <w:r w:rsidRPr="00C86CE6">
        <w:tab/>
        <w:t>(b)</w:t>
      </w:r>
      <w:r w:rsidRPr="00C86CE6">
        <w:tab/>
        <w:t>in any event—</w:t>
      </w:r>
      <w:r w:rsidR="00693FC4" w:rsidRPr="00C86CE6">
        <w:t xml:space="preserve">at least every </w:t>
      </w:r>
      <w:r w:rsidR="00DC119F" w:rsidRPr="00C86CE6">
        <w:t>2</w:t>
      </w:r>
      <w:r w:rsidR="00693FC4" w:rsidRPr="00C86CE6">
        <w:t xml:space="preserve"> years</w:t>
      </w:r>
      <w:r w:rsidR="000F7250" w:rsidRPr="00C86CE6">
        <w:t>.</w:t>
      </w:r>
    </w:p>
    <w:p w14:paraId="5F332FCA" w14:textId="31FA5B5F" w:rsidR="0038773C" w:rsidRPr="00C86CE6" w:rsidRDefault="00606BBD" w:rsidP="00D86399">
      <w:pPr>
        <w:pStyle w:val="ActHead2"/>
        <w:pageBreakBefore/>
      </w:pPr>
      <w:bookmarkStart w:id="78" w:name="_Toc184727379"/>
      <w:r w:rsidRPr="004B21E2">
        <w:rPr>
          <w:rStyle w:val="CharPartNo"/>
        </w:rPr>
        <w:lastRenderedPageBreak/>
        <w:t>Part </w:t>
      </w:r>
      <w:r w:rsidR="00AB693F" w:rsidRPr="004B21E2">
        <w:rPr>
          <w:rStyle w:val="CharPartNo"/>
        </w:rPr>
        <w:t>7</w:t>
      </w:r>
      <w:r w:rsidR="0038773C" w:rsidRPr="00C86CE6">
        <w:t>—</w:t>
      </w:r>
      <w:r w:rsidR="0038773C" w:rsidRPr="004B21E2">
        <w:rPr>
          <w:rStyle w:val="CharPartText"/>
        </w:rPr>
        <w:t>Transfers of value</w:t>
      </w:r>
      <w:bookmarkEnd w:id="78"/>
    </w:p>
    <w:p w14:paraId="49BD3B10" w14:textId="2923E557" w:rsidR="00F47DAA" w:rsidRPr="00C86CE6" w:rsidRDefault="00270E8B" w:rsidP="008117D4">
      <w:pPr>
        <w:pStyle w:val="ActHead3"/>
      </w:pPr>
      <w:bookmarkStart w:id="79" w:name="_Toc184727380"/>
      <w:r w:rsidRPr="004B21E2">
        <w:rPr>
          <w:rStyle w:val="CharDivNo"/>
        </w:rPr>
        <w:t>Division 1</w:t>
      </w:r>
      <w:r w:rsidR="00F47DAA" w:rsidRPr="00C86CE6">
        <w:t>—</w:t>
      </w:r>
      <w:r w:rsidR="00F47DAA" w:rsidRPr="004B21E2">
        <w:rPr>
          <w:rStyle w:val="CharDivText"/>
        </w:rPr>
        <w:t>Ordering institutions and beneficiary institutions</w:t>
      </w:r>
      <w:bookmarkEnd w:id="79"/>
    </w:p>
    <w:p w14:paraId="7B8FB71D" w14:textId="111BA9FE" w:rsidR="00F47DAA" w:rsidRPr="00C86CE6" w:rsidRDefault="00BC4A61" w:rsidP="00F47DAA">
      <w:pPr>
        <w:pStyle w:val="ActHead5"/>
      </w:pPr>
      <w:bookmarkStart w:id="80" w:name="_Toc184727381"/>
      <w:r w:rsidRPr="004B21E2">
        <w:rPr>
          <w:rStyle w:val="CharSectno"/>
        </w:rPr>
        <w:t>54</w:t>
      </w:r>
      <w:r w:rsidR="00F47DAA" w:rsidRPr="00C86CE6">
        <w:t xml:space="preserve">  </w:t>
      </w:r>
      <w:r w:rsidR="00440C37" w:rsidRPr="00C86CE6">
        <w:t xml:space="preserve">Determination of </w:t>
      </w:r>
      <w:r w:rsidR="006E0307" w:rsidRPr="00C86CE6">
        <w:t>who is</w:t>
      </w:r>
      <w:r w:rsidR="00440C37" w:rsidRPr="00C86CE6">
        <w:t xml:space="preserve"> an </w:t>
      </w:r>
      <w:r w:rsidR="00440C37" w:rsidRPr="00C86CE6">
        <w:rPr>
          <w:i/>
        </w:rPr>
        <w:t>ordering institution</w:t>
      </w:r>
      <w:bookmarkEnd w:id="80"/>
    </w:p>
    <w:p w14:paraId="5370DFBA" w14:textId="3B0C6C8D" w:rsidR="00440C37" w:rsidRPr="00C86CE6" w:rsidRDefault="00440C37" w:rsidP="00440C37">
      <w:pPr>
        <w:pStyle w:val="subsection"/>
      </w:pPr>
      <w:r w:rsidRPr="00C86CE6">
        <w:tab/>
        <w:t>(1)</w:t>
      </w:r>
      <w:r w:rsidRPr="00C86CE6">
        <w:tab/>
        <w:t xml:space="preserve">For the purposes of </w:t>
      </w:r>
      <w:r w:rsidR="009B58BE" w:rsidRPr="00C86CE6">
        <w:t>subsection 6</w:t>
      </w:r>
      <w:r w:rsidRPr="00C86CE6">
        <w:t xml:space="preserve">3A(1) of the Act, this section provides for the determination of whether a person is an </w:t>
      </w:r>
      <w:r w:rsidRPr="00C86CE6">
        <w:rPr>
          <w:b/>
          <w:i/>
        </w:rPr>
        <w:t>ordering institution</w:t>
      </w:r>
      <w:r w:rsidRPr="00C86CE6">
        <w:t>.</w:t>
      </w:r>
    </w:p>
    <w:p w14:paraId="2C43B6B7" w14:textId="5782FC6C" w:rsidR="0057412B" w:rsidRPr="00C86CE6" w:rsidRDefault="0057412B" w:rsidP="0057412B">
      <w:pPr>
        <w:pStyle w:val="notetext"/>
      </w:pPr>
      <w:r w:rsidRPr="00C86CE6">
        <w:t>Note:</w:t>
      </w:r>
      <w:r w:rsidRPr="00C86CE6">
        <w:tab/>
      </w:r>
      <w:r w:rsidR="009B58BE" w:rsidRPr="00C86CE6">
        <w:t>Subsection 6</w:t>
      </w:r>
      <w:r w:rsidRPr="00C86CE6">
        <w:t xml:space="preserve">3A(4) </w:t>
      </w:r>
      <w:r w:rsidR="00AD29E5" w:rsidRPr="00C86CE6">
        <w:t xml:space="preserve">of the Act </w:t>
      </w:r>
      <w:r w:rsidR="00183453" w:rsidRPr="00C86CE6">
        <w:t xml:space="preserve">sets out circumstances in which a person is not </w:t>
      </w:r>
      <w:r w:rsidR="001E1899" w:rsidRPr="00C86CE6">
        <w:t xml:space="preserve">an </w:t>
      </w:r>
      <w:r w:rsidR="001E1899" w:rsidRPr="00C86CE6">
        <w:rPr>
          <w:b/>
          <w:i/>
        </w:rPr>
        <w:t>ordering institution</w:t>
      </w:r>
      <w:r w:rsidR="001E1899" w:rsidRPr="00C86CE6">
        <w:t>.</w:t>
      </w:r>
    </w:p>
    <w:p w14:paraId="3CC563A5" w14:textId="77777777" w:rsidR="00440C37" w:rsidRPr="00C86CE6" w:rsidRDefault="00440C37" w:rsidP="00440C37">
      <w:pPr>
        <w:pStyle w:val="subsection"/>
      </w:pPr>
      <w:r w:rsidRPr="00C86CE6">
        <w:tab/>
        <w:t>(2)</w:t>
      </w:r>
      <w:r w:rsidRPr="00C86CE6">
        <w:tab/>
        <w:t xml:space="preserve">A person is an </w:t>
      </w:r>
      <w:r w:rsidRPr="00C86CE6">
        <w:rPr>
          <w:b/>
          <w:i/>
        </w:rPr>
        <w:t>ordering institution</w:t>
      </w:r>
      <w:r w:rsidRPr="00C86CE6">
        <w:t xml:space="preserve"> if:</w:t>
      </w:r>
    </w:p>
    <w:p w14:paraId="7B8C909F" w14:textId="0B92E3FA" w:rsidR="00440C37" w:rsidRPr="00C86CE6" w:rsidRDefault="00440C37" w:rsidP="00440C37">
      <w:pPr>
        <w:pStyle w:val="paragraph"/>
      </w:pPr>
      <w:r w:rsidRPr="00C86CE6">
        <w:tab/>
        <w:t>(a)</w:t>
      </w:r>
      <w:r w:rsidRPr="00C86CE6">
        <w:tab/>
        <w:t xml:space="preserve">in the course of carrying on a business, the person is the first person to satisfy one of the criteria in </w:t>
      </w:r>
      <w:r w:rsidR="00A25E52" w:rsidRPr="00C86CE6">
        <w:t>subsection (</w:t>
      </w:r>
      <w:r w:rsidRPr="00C86CE6">
        <w:t>3) in relation to a transfer of value; and</w:t>
      </w:r>
    </w:p>
    <w:p w14:paraId="5A95223D" w14:textId="77777777" w:rsidR="00440C37" w:rsidRPr="00C86CE6" w:rsidRDefault="00440C37" w:rsidP="00440C37">
      <w:pPr>
        <w:pStyle w:val="paragraph"/>
      </w:pPr>
      <w:r w:rsidRPr="00C86CE6">
        <w:tab/>
        <w:t>(b)</w:t>
      </w:r>
      <w:r w:rsidRPr="00C86CE6">
        <w:tab/>
        <w:t>the criterion satisfied has a higher priority than any other criterion in that subsection that is satisfied by any other person in relation to the transfer.</w:t>
      </w:r>
    </w:p>
    <w:p w14:paraId="264F6F61" w14:textId="77777777" w:rsidR="00440C37" w:rsidRPr="00C86CE6" w:rsidRDefault="00440C37" w:rsidP="00440C37">
      <w:pPr>
        <w:pStyle w:val="subsection"/>
      </w:pPr>
      <w:r w:rsidRPr="00C86CE6">
        <w:tab/>
        <w:t>(3)</w:t>
      </w:r>
      <w:r w:rsidRPr="00C86CE6">
        <w:tab/>
        <w:t>The criteria (in descending order of priority) are as follows:</w:t>
      </w:r>
    </w:p>
    <w:p w14:paraId="5070A152" w14:textId="77777777" w:rsidR="00440C37" w:rsidRPr="00C86CE6" w:rsidRDefault="00440C37" w:rsidP="00440C37">
      <w:pPr>
        <w:pStyle w:val="paragraph"/>
      </w:pPr>
      <w:r w:rsidRPr="00C86CE6">
        <w:tab/>
        <w:t>(a)</w:t>
      </w:r>
      <w:r w:rsidRPr="00C86CE6">
        <w:tab/>
        <w:t>the person arranges for the transfer of value from the payer under an offsetting arrangement with the beneficiary institution;</w:t>
      </w:r>
    </w:p>
    <w:p w14:paraId="0BE9B2C4" w14:textId="77777777" w:rsidR="00440C37" w:rsidRPr="00C86CE6" w:rsidRDefault="00440C37" w:rsidP="00440C37">
      <w:pPr>
        <w:pStyle w:val="paragraph"/>
      </w:pPr>
      <w:r w:rsidRPr="00C86CE6">
        <w:tab/>
        <w:t>(b)</w:t>
      </w:r>
      <w:r w:rsidRPr="00C86CE6">
        <w:tab/>
        <w:t>the person is authorised under an arrangement with the payer to transfer the value from another source;</w:t>
      </w:r>
    </w:p>
    <w:p w14:paraId="1F7BB2DE" w14:textId="77777777" w:rsidR="00440C37" w:rsidRPr="00C86CE6" w:rsidRDefault="00440C37" w:rsidP="00440C37">
      <w:pPr>
        <w:pStyle w:val="paragraph"/>
      </w:pPr>
      <w:r w:rsidRPr="00C86CE6">
        <w:tab/>
        <w:t>(c)</w:t>
      </w:r>
      <w:r w:rsidRPr="00C86CE6">
        <w:tab/>
        <w:t>the person holds the value to be transferred in an account provided to the payer or otherwise on deposit from the payer (including in a virtual asset wallet);</w:t>
      </w:r>
    </w:p>
    <w:p w14:paraId="6789A1D3" w14:textId="77777777" w:rsidR="00440C37" w:rsidRPr="00C86CE6" w:rsidRDefault="00440C37" w:rsidP="00440C37">
      <w:pPr>
        <w:pStyle w:val="paragraph"/>
      </w:pPr>
      <w:r w:rsidRPr="00C86CE6">
        <w:tab/>
        <w:t>(d)</w:t>
      </w:r>
      <w:r w:rsidRPr="00C86CE6">
        <w:tab/>
        <w:t>the person receives from the payer, or a person acting on behalf of the payer, the value that is to be transferred</w:t>
      </w:r>
      <w:r w:rsidR="002F6D28" w:rsidRPr="00C86CE6">
        <w:t>.</w:t>
      </w:r>
    </w:p>
    <w:p w14:paraId="2611F7D1" w14:textId="55D784FF" w:rsidR="006E0307" w:rsidRPr="00C86CE6" w:rsidRDefault="00BC4A61" w:rsidP="006E0307">
      <w:pPr>
        <w:pStyle w:val="ActHead5"/>
      </w:pPr>
      <w:bookmarkStart w:id="81" w:name="_Toc184727382"/>
      <w:r w:rsidRPr="004B21E2">
        <w:rPr>
          <w:rStyle w:val="CharSectno"/>
        </w:rPr>
        <w:t>55</w:t>
      </w:r>
      <w:r w:rsidR="006E0307" w:rsidRPr="00C86CE6">
        <w:t xml:space="preserve">  Determination of who is a </w:t>
      </w:r>
      <w:r w:rsidR="006E0307" w:rsidRPr="00C86CE6">
        <w:rPr>
          <w:i/>
        </w:rPr>
        <w:t>beneficiary institution</w:t>
      </w:r>
      <w:bookmarkEnd w:id="81"/>
    </w:p>
    <w:p w14:paraId="1A5CD070" w14:textId="1AB979EE" w:rsidR="0057412B" w:rsidRPr="00C86CE6" w:rsidRDefault="00AD29E5" w:rsidP="00AD29E5">
      <w:pPr>
        <w:pStyle w:val="subsection"/>
      </w:pPr>
      <w:r w:rsidRPr="00C86CE6">
        <w:tab/>
        <w:t>(1)</w:t>
      </w:r>
      <w:r w:rsidRPr="00C86CE6">
        <w:tab/>
        <w:t xml:space="preserve">For the purposes of </w:t>
      </w:r>
      <w:r w:rsidR="009B58BE" w:rsidRPr="00C86CE6">
        <w:t>subsection 6</w:t>
      </w:r>
      <w:r w:rsidRPr="00C86CE6">
        <w:t xml:space="preserve">3A(5) of the Act, this section provides for the determination of whether a person is a </w:t>
      </w:r>
      <w:r w:rsidRPr="00C86CE6">
        <w:rPr>
          <w:b/>
          <w:i/>
        </w:rPr>
        <w:t>beneficiary institution</w:t>
      </w:r>
      <w:r w:rsidRPr="00C86CE6">
        <w:t>.</w:t>
      </w:r>
    </w:p>
    <w:p w14:paraId="75B52569" w14:textId="359E7FFE" w:rsidR="00C605A2" w:rsidRPr="00C86CE6" w:rsidRDefault="00C605A2" w:rsidP="00C605A2">
      <w:pPr>
        <w:pStyle w:val="notetext"/>
      </w:pPr>
      <w:r w:rsidRPr="00C86CE6">
        <w:t>Note:</w:t>
      </w:r>
      <w:r w:rsidRPr="00C86CE6">
        <w:tab/>
      </w:r>
      <w:r w:rsidR="009B58BE" w:rsidRPr="00C86CE6">
        <w:t>Subsection 6</w:t>
      </w:r>
      <w:r w:rsidRPr="00C86CE6">
        <w:t xml:space="preserve">3A(8) of the Act sets out circumstances in which a person is not a </w:t>
      </w:r>
      <w:r w:rsidRPr="00C86CE6">
        <w:rPr>
          <w:b/>
          <w:i/>
        </w:rPr>
        <w:t>beneficiary institution</w:t>
      </w:r>
      <w:r w:rsidRPr="00C86CE6">
        <w:t>.</w:t>
      </w:r>
    </w:p>
    <w:p w14:paraId="41692D59" w14:textId="77777777" w:rsidR="0057412B" w:rsidRPr="00C86CE6" w:rsidRDefault="00AD29E5" w:rsidP="0057412B">
      <w:pPr>
        <w:pStyle w:val="subsection"/>
      </w:pPr>
      <w:r w:rsidRPr="00C86CE6">
        <w:tab/>
        <w:t>(2)</w:t>
      </w:r>
      <w:r w:rsidRPr="00C86CE6">
        <w:tab/>
      </w:r>
      <w:r w:rsidR="0057412B" w:rsidRPr="00C86CE6">
        <w:t xml:space="preserve">A person is a </w:t>
      </w:r>
      <w:r w:rsidR="0057412B" w:rsidRPr="00C86CE6">
        <w:rPr>
          <w:b/>
          <w:i/>
        </w:rPr>
        <w:t>beneficiary institution</w:t>
      </w:r>
      <w:r w:rsidR="0057412B" w:rsidRPr="00C86CE6">
        <w:t xml:space="preserve"> if:</w:t>
      </w:r>
    </w:p>
    <w:p w14:paraId="7AFD8113" w14:textId="52D7B986" w:rsidR="0057412B" w:rsidRPr="00C86CE6" w:rsidRDefault="0057412B" w:rsidP="00C605A2">
      <w:pPr>
        <w:pStyle w:val="paragraph"/>
      </w:pPr>
      <w:r w:rsidRPr="00C86CE6">
        <w:tab/>
        <w:t>(a)</w:t>
      </w:r>
      <w:r w:rsidRPr="00C86CE6">
        <w:tab/>
        <w:t xml:space="preserve">in the course of carrying on a business, the person is the first person to satisfy one of the criteria in </w:t>
      </w:r>
      <w:r w:rsidR="00A25E52" w:rsidRPr="00C86CE6">
        <w:t>subsection (</w:t>
      </w:r>
      <w:r w:rsidR="00917746" w:rsidRPr="00C86CE6">
        <w:t>3</w:t>
      </w:r>
      <w:r w:rsidRPr="00C86CE6">
        <w:t>) in relation to a transfer of value; and</w:t>
      </w:r>
    </w:p>
    <w:p w14:paraId="6A4DBC9F" w14:textId="77777777" w:rsidR="0057412B" w:rsidRPr="00C86CE6" w:rsidRDefault="0057412B" w:rsidP="00C605A2">
      <w:pPr>
        <w:pStyle w:val="paragraph"/>
      </w:pPr>
      <w:r w:rsidRPr="00C86CE6">
        <w:tab/>
        <w:t>(b)</w:t>
      </w:r>
      <w:r w:rsidRPr="00C86CE6">
        <w:tab/>
        <w:t>the criterion satisfied has a higher priority than any other criterion in that subsection that is satisfied by any other person in relation to the transfer.</w:t>
      </w:r>
    </w:p>
    <w:p w14:paraId="434A1061" w14:textId="77777777" w:rsidR="0057412B" w:rsidRPr="00C86CE6" w:rsidRDefault="0057412B" w:rsidP="0057412B">
      <w:pPr>
        <w:pStyle w:val="subsection"/>
      </w:pPr>
      <w:r w:rsidRPr="00C86CE6">
        <w:tab/>
        <w:t>(</w:t>
      </w:r>
      <w:r w:rsidR="00917746" w:rsidRPr="00C86CE6">
        <w:t>3</w:t>
      </w:r>
      <w:r w:rsidRPr="00C86CE6">
        <w:t>)</w:t>
      </w:r>
      <w:r w:rsidRPr="00C86CE6">
        <w:tab/>
      </w:r>
      <w:r w:rsidR="00917746" w:rsidRPr="00C86CE6">
        <w:t>T</w:t>
      </w:r>
      <w:r w:rsidRPr="00C86CE6">
        <w:t>he criteria (in descending order of priority) are as follows:</w:t>
      </w:r>
    </w:p>
    <w:p w14:paraId="0B63334E" w14:textId="77777777" w:rsidR="0057412B" w:rsidRPr="00C86CE6" w:rsidRDefault="0057412B" w:rsidP="00917746">
      <w:pPr>
        <w:pStyle w:val="paragraph"/>
      </w:pPr>
      <w:r w:rsidRPr="00C86CE6">
        <w:tab/>
        <w:t>(a)</w:t>
      </w:r>
      <w:r w:rsidRPr="00C86CE6">
        <w:tab/>
        <w:t>the person arranges for the transferred value to be made available to the payee under an offsetting arrangement with the ordering institution;</w:t>
      </w:r>
    </w:p>
    <w:p w14:paraId="77B3F78C" w14:textId="16CE0B7B" w:rsidR="0057412B" w:rsidRPr="00C86CE6" w:rsidRDefault="0057412B" w:rsidP="00917746">
      <w:pPr>
        <w:pStyle w:val="paragraph"/>
      </w:pPr>
      <w:r w:rsidRPr="00C86CE6">
        <w:lastRenderedPageBreak/>
        <w:tab/>
        <w:t>(b)</w:t>
      </w:r>
      <w:r w:rsidRPr="00C86CE6">
        <w:tab/>
        <w:t>the person makes the transferred value available to the payee, under an arrangement with the payee, by depositing the value with a third</w:t>
      </w:r>
      <w:r w:rsidR="004A7589">
        <w:noBreakHyphen/>
      </w:r>
      <w:r w:rsidRPr="00C86CE6">
        <w:t>party deposit</w:t>
      </w:r>
      <w:r w:rsidR="004A7589">
        <w:noBreakHyphen/>
      </w:r>
      <w:r w:rsidRPr="00C86CE6">
        <w:t>taker;</w:t>
      </w:r>
    </w:p>
    <w:p w14:paraId="4E2CA940" w14:textId="77777777" w:rsidR="0057412B" w:rsidRPr="00C86CE6" w:rsidRDefault="0057412B" w:rsidP="00917746">
      <w:pPr>
        <w:pStyle w:val="paragraph"/>
      </w:pPr>
      <w:r w:rsidRPr="00C86CE6">
        <w:tab/>
        <w:t>(c)</w:t>
      </w:r>
      <w:r w:rsidRPr="00C86CE6">
        <w:tab/>
        <w:t>the person makes the transferred value available to the payee by depositing the value into an account held by the payee with the person, or otherwise holding the value on deposit for the payee;</w:t>
      </w:r>
    </w:p>
    <w:p w14:paraId="2265CB9A" w14:textId="77777777" w:rsidR="00440C37" w:rsidRDefault="0057412B" w:rsidP="00917746">
      <w:pPr>
        <w:pStyle w:val="paragraph"/>
      </w:pPr>
      <w:r w:rsidRPr="00C86CE6">
        <w:tab/>
        <w:t>(d)</w:t>
      </w:r>
      <w:r w:rsidRPr="00C86CE6">
        <w:tab/>
        <w:t>the person makes the transferred value available to the payee directly, or to a person acting on behalf of the payee</w:t>
      </w:r>
      <w:r w:rsidR="00C605A2" w:rsidRPr="00C86CE6">
        <w:t>.</w:t>
      </w:r>
    </w:p>
    <w:p w14:paraId="36F8E57A" w14:textId="7F470012" w:rsidR="000B6F44" w:rsidRDefault="000B6F44">
      <w:pPr>
        <w:spacing w:line="240" w:lineRule="auto"/>
        <w:rPr>
          <w:rFonts w:eastAsia="Times New Roman" w:cs="Times New Roman"/>
          <w:lang w:eastAsia="en-AU"/>
        </w:rPr>
      </w:pPr>
      <w:r>
        <w:br w:type="page"/>
      </w:r>
    </w:p>
    <w:p w14:paraId="36409422" w14:textId="027F185A" w:rsidR="008117D4" w:rsidRPr="00C86CE6" w:rsidRDefault="00270E8B" w:rsidP="008117D4">
      <w:pPr>
        <w:pStyle w:val="ActHead3"/>
      </w:pPr>
      <w:bookmarkStart w:id="82" w:name="_Toc184727383"/>
      <w:r w:rsidRPr="004B21E2">
        <w:rPr>
          <w:rStyle w:val="CharDivNo"/>
        </w:rPr>
        <w:lastRenderedPageBreak/>
        <w:t>Division 2</w:t>
      </w:r>
      <w:r w:rsidR="008117D4" w:rsidRPr="00C86CE6">
        <w:t>—</w:t>
      </w:r>
      <w:r w:rsidR="008117D4" w:rsidRPr="004B21E2">
        <w:rPr>
          <w:rStyle w:val="CharDivText"/>
        </w:rPr>
        <w:t>Transfers of value</w:t>
      </w:r>
      <w:bookmarkEnd w:id="82"/>
    </w:p>
    <w:p w14:paraId="667FB73D" w14:textId="06C19AB4" w:rsidR="008117D4" w:rsidRPr="00C86CE6" w:rsidRDefault="00BC4A61" w:rsidP="008117D4">
      <w:pPr>
        <w:pStyle w:val="ActHead5"/>
      </w:pPr>
      <w:bookmarkStart w:id="83" w:name="_Toc184727384"/>
      <w:r w:rsidRPr="004B21E2">
        <w:rPr>
          <w:rStyle w:val="CharSectno"/>
        </w:rPr>
        <w:t>56</w:t>
      </w:r>
      <w:r w:rsidR="008117D4" w:rsidRPr="00C86CE6">
        <w:t xml:space="preserve">  Obligations of ordering institutions—collecting, verifying and passing on information</w:t>
      </w:r>
      <w:bookmarkEnd w:id="83"/>
    </w:p>
    <w:p w14:paraId="4CA585A9" w14:textId="77777777" w:rsidR="008117D4" w:rsidRPr="00C86CE6" w:rsidRDefault="008117D4" w:rsidP="008117D4">
      <w:pPr>
        <w:pStyle w:val="subsection"/>
      </w:pPr>
      <w:r w:rsidRPr="00C86CE6">
        <w:tab/>
      </w:r>
      <w:r w:rsidRPr="00C86CE6">
        <w:tab/>
        <w:t>If the circumstances mentioned in column 1 of an item in the following table apply in relation to a transfer of value:</w:t>
      </w:r>
    </w:p>
    <w:p w14:paraId="050590D2" w14:textId="77777777" w:rsidR="008117D4" w:rsidRPr="00C86CE6" w:rsidRDefault="008117D4" w:rsidP="008117D4">
      <w:pPr>
        <w:pStyle w:val="paragraph"/>
      </w:pPr>
      <w:r w:rsidRPr="00C86CE6">
        <w:tab/>
        <w:t>(a)</w:t>
      </w:r>
      <w:r w:rsidRPr="00C86CE6">
        <w:tab/>
        <w:t xml:space="preserve">for the purposes of </w:t>
      </w:r>
      <w:r w:rsidR="00606BBD" w:rsidRPr="00C86CE6">
        <w:t>paragraph 6</w:t>
      </w:r>
      <w:r w:rsidRPr="00C86CE6">
        <w:t>4(2)(a) of the Act, the information that the ordering institution must collect is such information as is set out in column 2 of the item; and</w:t>
      </w:r>
    </w:p>
    <w:p w14:paraId="41917565" w14:textId="279273A2" w:rsidR="008117D4" w:rsidRPr="00C86CE6" w:rsidRDefault="008117D4" w:rsidP="008117D4">
      <w:pPr>
        <w:pStyle w:val="paragraph"/>
      </w:pPr>
      <w:r w:rsidRPr="00C86CE6">
        <w:tab/>
        <w:t>(b)</w:t>
      </w:r>
      <w:r w:rsidRPr="00C86CE6">
        <w:tab/>
        <w:t xml:space="preserve">for the purposes of </w:t>
      </w:r>
      <w:r w:rsidR="00606BBD" w:rsidRPr="00C86CE6">
        <w:t>paragraph 6</w:t>
      </w:r>
      <w:r w:rsidRPr="00C86CE6">
        <w:t xml:space="preserve">4(2)(b) of the Act, the ordering institution must verify such information as is set out in column 3 of the item in accordance with </w:t>
      </w:r>
      <w:r w:rsidR="009B58BE" w:rsidRPr="00C86CE6">
        <w:t>sections 2</w:t>
      </w:r>
      <w:r w:rsidRPr="00C86CE6">
        <w:t>8 and 30 of the Act (as applicable); and</w:t>
      </w:r>
    </w:p>
    <w:p w14:paraId="04518ADF" w14:textId="5ED84111" w:rsidR="008117D4" w:rsidRPr="00C86CE6" w:rsidRDefault="008117D4" w:rsidP="008117D4">
      <w:pPr>
        <w:pStyle w:val="paragraph"/>
      </w:pPr>
      <w:r w:rsidRPr="00C86CE6">
        <w:tab/>
        <w:t>(c)</w:t>
      </w:r>
      <w:r w:rsidRPr="00C86CE6">
        <w:tab/>
        <w:t xml:space="preserve">for the purposes of </w:t>
      </w:r>
      <w:r w:rsidR="009B58BE" w:rsidRPr="00C86CE6">
        <w:t>subsection 6</w:t>
      </w:r>
      <w:r w:rsidRPr="00C86CE6">
        <w:t>4(3) of the Act, the information that the ordering institution must pass on to the next institution in the value transfer chain is such information as is set out in column 4 of the item.</w:t>
      </w:r>
    </w:p>
    <w:p w14:paraId="4749450F" w14:textId="77777777" w:rsidR="008117D4" w:rsidRPr="00C86CE6" w:rsidRDefault="008117D4" w:rsidP="008117D4">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833"/>
        <w:gridCol w:w="1843"/>
        <w:gridCol w:w="1842"/>
        <w:gridCol w:w="2127"/>
      </w:tblGrid>
      <w:tr w:rsidR="008117D4" w:rsidRPr="00C86CE6" w14:paraId="41334269" w14:textId="77777777" w:rsidTr="00B11DA4">
        <w:trPr>
          <w:tblHeader/>
        </w:trPr>
        <w:tc>
          <w:tcPr>
            <w:tcW w:w="6232" w:type="dxa"/>
            <w:gridSpan w:val="4"/>
            <w:tcBorders>
              <w:top w:val="single" w:sz="12" w:space="0" w:color="auto"/>
              <w:bottom w:val="single" w:sz="6" w:space="0" w:color="auto"/>
            </w:tcBorders>
            <w:shd w:val="clear" w:color="auto" w:fill="auto"/>
          </w:tcPr>
          <w:p w14:paraId="60EB2531" w14:textId="77777777" w:rsidR="008117D4" w:rsidRPr="00C86CE6" w:rsidRDefault="008117D4" w:rsidP="00B11DA4">
            <w:pPr>
              <w:pStyle w:val="TableHeading"/>
            </w:pPr>
            <w:r w:rsidRPr="00C86CE6">
              <w:t>Obligations of ordering institutions—collecting, verifying and passing on information</w:t>
            </w:r>
          </w:p>
        </w:tc>
        <w:tc>
          <w:tcPr>
            <w:tcW w:w="2127" w:type="dxa"/>
            <w:tcBorders>
              <w:top w:val="single" w:sz="12" w:space="0" w:color="auto"/>
              <w:bottom w:val="single" w:sz="6" w:space="0" w:color="auto"/>
            </w:tcBorders>
            <w:shd w:val="clear" w:color="auto" w:fill="auto"/>
          </w:tcPr>
          <w:p w14:paraId="37FEB35A" w14:textId="77777777" w:rsidR="008117D4" w:rsidRPr="00C86CE6" w:rsidRDefault="008117D4" w:rsidP="00B11DA4">
            <w:pPr>
              <w:pStyle w:val="TableHeading"/>
            </w:pPr>
          </w:p>
        </w:tc>
      </w:tr>
      <w:tr w:rsidR="008117D4" w:rsidRPr="00C86CE6" w14:paraId="5B3896A4" w14:textId="77777777" w:rsidTr="00B11DA4">
        <w:trPr>
          <w:tblHeader/>
        </w:trPr>
        <w:tc>
          <w:tcPr>
            <w:tcW w:w="714" w:type="dxa"/>
            <w:tcBorders>
              <w:top w:val="single" w:sz="6" w:space="0" w:color="auto"/>
              <w:bottom w:val="nil"/>
            </w:tcBorders>
            <w:shd w:val="clear" w:color="auto" w:fill="auto"/>
          </w:tcPr>
          <w:p w14:paraId="66879141" w14:textId="77777777" w:rsidR="008117D4" w:rsidRPr="00C86CE6" w:rsidRDefault="008117D4" w:rsidP="00B11DA4">
            <w:pPr>
              <w:pStyle w:val="TableHeading"/>
            </w:pPr>
            <w:r w:rsidRPr="00C86CE6">
              <w:t>Item</w:t>
            </w:r>
          </w:p>
        </w:tc>
        <w:tc>
          <w:tcPr>
            <w:tcW w:w="1833" w:type="dxa"/>
            <w:tcBorders>
              <w:top w:val="single" w:sz="6" w:space="0" w:color="auto"/>
              <w:bottom w:val="nil"/>
            </w:tcBorders>
            <w:shd w:val="clear" w:color="auto" w:fill="auto"/>
          </w:tcPr>
          <w:p w14:paraId="79DC6604" w14:textId="77777777" w:rsidR="008117D4" w:rsidRPr="00C86CE6" w:rsidRDefault="008117D4" w:rsidP="00B11DA4">
            <w:pPr>
              <w:pStyle w:val="TableHeading"/>
            </w:pPr>
            <w:r w:rsidRPr="00C86CE6">
              <w:t>Column 1</w:t>
            </w:r>
          </w:p>
        </w:tc>
        <w:tc>
          <w:tcPr>
            <w:tcW w:w="1843" w:type="dxa"/>
            <w:tcBorders>
              <w:top w:val="single" w:sz="6" w:space="0" w:color="auto"/>
              <w:bottom w:val="nil"/>
            </w:tcBorders>
            <w:shd w:val="clear" w:color="auto" w:fill="auto"/>
          </w:tcPr>
          <w:p w14:paraId="1742ADE1" w14:textId="77777777" w:rsidR="008117D4" w:rsidRPr="00C86CE6" w:rsidRDefault="008117D4" w:rsidP="00B11DA4">
            <w:pPr>
              <w:pStyle w:val="TableHeading"/>
            </w:pPr>
            <w:r w:rsidRPr="00C86CE6">
              <w:t>Column 2</w:t>
            </w:r>
          </w:p>
        </w:tc>
        <w:tc>
          <w:tcPr>
            <w:tcW w:w="1842" w:type="dxa"/>
            <w:tcBorders>
              <w:top w:val="single" w:sz="6" w:space="0" w:color="auto"/>
              <w:bottom w:val="nil"/>
            </w:tcBorders>
            <w:shd w:val="clear" w:color="auto" w:fill="auto"/>
          </w:tcPr>
          <w:p w14:paraId="74153F1E" w14:textId="77777777" w:rsidR="008117D4" w:rsidRPr="00C86CE6" w:rsidRDefault="008117D4" w:rsidP="00B11DA4">
            <w:pPr>
              <w:pStyle w:val="TableHeading"/>
            </w:pPr>
            <w:r w:rsidRPr="00C86CE6">
              <w:t>Column 3</w:t>
            </w:r>
          </w:p>
        </w:tc>
        <w:tc>
          <w:tcPr>
            <w:tcW w:w="2127" w:type="dxa"/>
            <w:tcBorders>
              <w:top w:val="single" w:sz="6" w:space="0" w:color="auto"/>
              <w:bottom w:val="nil"/>
            </w:tcBorders>
            <w:shd w:val="clear" w:color="auto" w:fill="auto"/>
          </w:tcPr>
          <w:p w14:paraId="6E234C72" w14:textId="77777777" w:rsidR="008117D4" w:rsidRPr="00C86CE6" w:rsidRDefault="008117D4" w:rsidP="00B11DA4">
            <w:pPr>
              <w:pStyle w:val="TableHeading"/>
            </w:pPr>
            <w:r w:rsidRPr="00C86CE6">
              <w:t>Column 4</w:t>
            </w:r>
          </w:p>
        </w:tc>
      </w:tr>
      <w:tr w:rsidR="008117D4" w:rsidRPr="00C86CE6" w14:paraId="06FAD798" w14:textId="77777777" w:rsidTr="00B11DA4">
        <w:trPr>
          <w:tblHeader/>
        </w:trPr>
        <w:tc>
          <w:tcPr>
            <w:tcW w:w="714" w:type="dxa"/>
            <w:tcBorders>
              <w:top w:val="nil"/>
              <w:bottom w:val="single" w:sz="12" w:space="0" w:color="auto"/>
            </w:tcBorders>
            <w:shd w:val="clear" w:color="auto" w:fill="auto"/>
          </w:tcPr>
          <w:p w14:paraId="24F7FAB4" w14:textId="77777777" w:rsidR="008117D4" w:rsidRPr="00C86CE6" w:rsidRDefault="008117D4" w:rsidP="00B11DA4">
            <w:pPr>
              <w:pStyle w:val="TableHeading"/>
            </w:pPr>
          </w:p>
        </w:tc>
        <w:tc>
          <w:tcPr>
            <w:tcW w:w="1833" w:type="dxa"/>
            <w:tcBorders>
              <w:top w:val="nil"/>
              <w:bottom w:val="single" w:sz="12" w:space="0" w:color="auto"/>
            </w:tcBorders>
            <w:shd w:val="clear" w:color="auto" w:fill="auto"/>
          </w:tcPr>
          <w:p w14:paraId="58599F29" w14:textId="77777777" w:rsidR="008117D4" w:rsidRPr="00C86CE6" w:rsidRDefault="008117D4" w:rsidP="00B11DA4">
            <w:pPr>
              <w:pStyle w:val="TableHeading"/>
            </w:pPr>
            <w:r w:rsidRPr="00C86CE6">
              <w:t>Circumstances</w:t>
            </w:r>
          </w:p>
        </w:tc>
        <w:tc>
          <w:tcPr>
            <w:tcW w:w="1843" w:type="dxa"/>
            <w:tcBorders>
              <w:top w:val="nil"/>
              <w:bottom w:val="single" w:sz="12" w:space="0" w:color="auto"/>
            </w:tcBorders>
            <w:shd w:val="clear" w:color="auto" w:fill="auto"/>
          </w:tcPr>
          <w:p w14:paraId="013BC496" w14:textId="77777777" w:rsidR="008117D4" w:rsidRPr="00C86CE6" w:rsidRDefault="008117D4" w:rsidP="00B11DA4">
            <w:pPr>
              <w:pStyle w:val="TableHeading"/>
            </w:pPr>
            <w:r w:rsidRPr="00C86CE6">
              <w:t>Information to be collected</w:t>
            </w:r>
          </w:p>
        </w:tc>
        <w:tc>
          <w:tcPr>
            <w:tcW w:w="1842" w:type="dxa"/>
            <w:tcBorders>
              <w:top w:val="nil"/>
              <w:bottom w:val="single" w:sz="12" w:space="0" w:color="auto"/>
            </w:tcBorders>
            <w:shd w:val="clear" w:color="auto" w:fill="auto"/>
          </w:tcPr>
          <w:p w14:paraId="6CF1560D" w14:textId="77777777" w:rsidR="008117D4" w:rsidRPr="00C86CE6" w:rsidRDefault="008117D4" w:rsidP="00B11DA4">
            <w:pPr>
              <w:pStyle w:val="TableHeading"/>
            </w:pPr>
            <w:r w:rsidRPr="00C86CE6">
              <w:t>Information to be verified</w:t>
            </w:r>
          </w:p>
        </w:tc>
        <w:tc>
          <w:tcPr>
            <w:tcW w:w="2127" w:type="dxa"/>
            <w:tcBorders>
              <w:top w:val="nil"/>
              <w:bottom w:val="single" w:sz="12" w:space="0" w:color="auto"/>
            </w:tcBorders>
            <w:shd w:val="clear" w:color="auto" w:fill="auto"/>
          </w:tcPr>
          <w:p w14:paraId="017F2D55" w14:textId="77777777" w:rsidR="008117D4" w:rsidRPr="00C86CE6" w:rsidRDefault="008117D4" w:rsidP="00B11DA4">
            <w:pPr>
              <w:pStyle w:val="TableHeading"/>
            </w:pPr>
            <w:r w:rsidRPr="00C86CE6">
              <w:t>Information to be passed on</w:t>
            </w:r>
          </w:p>
        </w:tc>
      </w:tr>
      <w:tr w:rsidR="008117D4" w:rsidRPr="00C86CE6" w14:paraId="77621567" w14:textId="77777777" w:rsidTr="00B11DA4">
        <w:tc>
          <w:tcPr>
            <w:tcW w:w="714" w:type="dxa"/>
            <w:tcBorders>
              <w:top w:val="single" w:sz="12" w:space="0" w:color="auto"/>
            </w:tcBorders>
            <w:shd w:val="clear" w:color="auto" w:fill="auto"/>
          </w:tcPr>
          <w:p w14:paraId="602DA128" w14:textId="77777777" w:rsidR="008117D4" w:rsidRPr="00C86CE6" w:rsidRDefault="008117D4" w:rsidP="00B11DA4">
            <w:pPr>
              <w:pStyle w:val="Tabletext"/>
            </w:pPr>
            <w:r w:rsidRPr="00C86CE6">
              <w:t>1</w:t>
            </w:r>
          </w:p>
        </w:tc>
        <w:tc>
          <w:tcPr>
            <w:tcW w:w="1833" w:type="dxa"/>
            <w:tcBorders>
              <w:top w:val="single" w:sz="12" w:space="0" w:color="auto"/>
            </w:tcBorders>
            <w:shd w:val="clear" w:color="auto" w:fill="auto"/>
          </w:tcPr>
          <w:p w14:paraId="518C770D" w14:textId="77777777" w:rsidR="008117D4" w:rsidRPr="00C86CE6" w:rsidRDefault="008117D4" w:rsidP="00B11DA4">
            <w:pPr>
              <w:pStyle w:val="Tabletext"/>
            </w:pPr>
            <w:r w:rsidRPr="00C86CE6">
              <w:t xml:space="preserve">none of the circumstances mentioned in </w:t>
            </w:r>
            <w:r w:rsidR="00606BBD" w:rsidRPr="00C86CE6">
              <w:t>items 2</w:t>
            </w:r>
            <w:r w:rsidRPr="00C86CE6">
              <w:t xml:space="preserve"> to 7 apply</w:t>
            </w:r>
          </w:p>
        </w:tc>
        <w:tc>
          <w:tcPr>
            <w:tcW w:w="1843" w:type="dxa"/>
            <w:tcBorders>
              <w:top w:val="single" w:sz="12" w:space="0" w:color="auto"/>
            </w:tcBorders>
            <w:shd w:val="clear" w:color="auto" w:fill="auto"/>
          </w:tcPr>
          <w:p w14:paraId="14C00518" w14:textId="77777777" w:rsidR="008117D4" w:rsidRPr="00C86CE6" w:rsidRDefault="008117D4" w:rsidP="00B11DA4">
            <w:pPr>
              <w:pStyle w:val="Tablea"/>
            </w:pPr>
            <w:r w:rsidRPr="00C86CE6">
              <w:t>(a) payer information; and</w:t>
            </w:r>
          </w:p>
          <w:p w14:paraId="25901541" w14:textId="77777777" w:rsidR="008117D4" w:rsidRPr="00C86CE6" w:rsidRDefault="008117D4" w:rsidP="00B11DA4">
            <w:pPr>
              <w:pStyle w:val="Tablea"/>
            </w:pPr>
            <w:r w:rsidRPr="00C86CE6">
              <w:t>(b) payee information</w:t>
            </w:r>
          </w:p>
        </w:tc>
        <w:tc>
          <w:tcPr>
            <w:tcW w:w="1842" w:type="dxa"/>
            <w:tcBorders>
              <w:top w:val="single" w:sz="12" w:space="0" w:color="auto"/>
            </w:tcBorders>
            <w:shd w:val="clear" w:color="auto" w:fill="auto"/>
          </w:tcPr>
          <w:p w14:paraId="238C268C" w14:textId="77777777" w:rsidR="008117D4" w:rsidRPr="00C86CE6" w:rsidRDefault="008117D4" w:rsidP="00B11DA4">
            <w:pPr>
              <w:pStyle w:val="Tabletext"/>
            </w:pPr>
            <w:r w:rsidRPr="00C86CE6">
              <w:t>payer information</w:t>
            </w:r>
          </w:p>
        </w:tc>
        <w:tc>
          <w:tcPr>
            <w:tcW w:w="2127" w:type="dxa"/>
            <w:tcBorders>
              <w:top w:val="single" w:sz="12" w:space="0" w:color="auto"/>
            </w:tcBorders>
            <w:shd w:val="clear" w:color="auto" w:fill="auto"/>
          </w:tcPr>
          <w:p w14:paraId="52AF8AB8" w14:textId="77777777" w:rsidR="008117D4" w:rsidRPr="00C86CE6" w:rsidRDefault="008117D4" w:rsidP="00B11DA4">
            <w:pPr>
              <w:pStyle w:val="Tablea"/>
            </w:pPr>
            <w:r w:rsidRPr="00C86CE6">
              <w:t>(a) payer information; and</w:t>
            </w:r>
          </w:p>
          <w:p w14:paraId="3369A816" w14:textId="77777777" w:rsidR="008117D4" w:rsidRPr="00C86CE6" w:rsidRDefault="008117D4" w:rsidP="00B11DA4">
            <w:pPr>
              <w:pStyle w:val="Tabletext"/>
            </w:pPr>
            <w:r w:rsidRPr="00C86CE6">
              <w:t>(b) payee information</w:t>
            </w:r>
          </w:p>
        </w:tc>
      </w:tr>
      <w:tr w:rsidR="008117D4" w:rsidRPr="00C86CE6" w14:paraId="1DC3AC3B" w14:textId="77777777" w:rsidTr="00B11DA4">
        <w:tc>
          <w:tcPr>
            <w:tcW w:w="714" w:type="dxa"/>
            <w:shd w:val="clear" w:color="auto" w:fill="auto"/>
          </w:tcPr>
          <w:p w14:paraId="08DC0037" w14:textId="77777777" w:rsidR="008117D4" w:rsidRPr="00C86CE6" w:rsidRDefault="008117D4" w:rsidP="00B11DA4">
            <w:pPr>
              <w:pStyle w:val="Tabletext"/>
            </w:pPr>
            <w:r w:rsidRPr="00C86CE6">
              <w:t>2</w:t>
            </w:r>
          </w:p>
        </w:tc>
        <w:tc>
          <w:tcPr>
            <w:tcW w:w="1833" w:type="dxa"/>
            <w:shd w:val="clear" w:color="auto" w:fill="auto"/>
          </w:tcPr>
          <w:p w14:paraId="7B00F1C1" w14:textId="77777777" w:rsidR="008117D4" w:rsidRPr="00C86CE6" w:rsidRDefault="008117D4" w:rsidP="00B11DA4">
            <w:pPr>
              <w:pStyle w:val="Tablea"/>
            </w:pPr>
            <w:r w:rsidRPr="00C86CE6">
              <w:t>(a) the transfer of value is a domestic transfer of value; and</w:t>
            </w:r>
          </w:p>
          <w:p w14:paraId="6E4766A8" w14:textId="77777777" w:rsidR="008117D4" w:rsidRPr="00C86CE6" w:rsidRDefault="008117D4" w:rsidP="00B11DA4">
            <w:pPr>
              <w:pStyle w:val="Tablea"/>
            </w:pPr>
            <w:r w:rsidRPr="00C86CE6">
              <w:t>(b) the ordering institution passes on the transfer message for the transfer of value through BECS</w:t>
            </w:r>
          </w:p>
        </w:tc>
        <w:tc>
          <w:tcPr>
            <w:tcW w:w="1843" w:type="dxa"/>
            <w:shd w:val="clear" w:color="auto" w:fill="auto"/>
          </w:tcPr>
          <w:p w14:paraId="443A2A73" w14:textId="77777777" w:rsidR="008117D4" w:rsidRPr="00C86CE6" w:rsidRDefault="008117D4" w:rsidP="00B11DA4">
            <w:pPr>
              <w:pStyle w:val="Tablea"/>
            </w:pPr>
            <w:r w:rsidRPr="00C86CE6">
              <w:t>(a) payer information; and</w:t>
            </w:r>
          </w:p>
          <w:p w14:paraId="067B5B84" w14:textId="77777777" w:rsidR="008117D4" w:rsidRPr="00C86CE6" w:rsidRDefault="008117D4" w:rsidP="00B11DA4">
            <w:pPr>
              <w:pStyle w:val="Tablea"/>
            </w:pPr>
            <w:r w:rsidRPr="00C86CE6">
              <w:t>(b) payee information</w:t>
            </w:r>
          </w:p>
        </w:tc>
        <w:tc>
          <w:tcPr>
            <w:tcW w:w="1842" w:type="dxa"/>
            <w:shd w:val="clear" w:color="auto" w:fill="auto"/>
          </w:tcPr>
          <w:p w14:paraId="45729358" w14:textId="77777777" w:rsidR="008117D4" w:rsidRPr="00C86CE6" w:rsidRDefault="008117D4" w:rsidP="00B11DA4">
            <w:pPr>
              <w:pStyle w:val="Tabletext"/>
            </w:pPr>
            <w:r w:rsidRPr="00C86CE6">
              <w:t>payer information</w:t>
            </w:r>
          </w:p>
        </w:tc>
        <w:tc>
          <w:tcPr>
            <w:tcW w:w="2127" w:type="dxa"/>
            <w:shd w:val="clear" w:color="auto" w:fill="auto"/>
          </w:tcPr>
          <w:p w14:paraId="578B803E" w14:textId="77777777" w:rsidR="008117D4" w:rsidRPr="00C86CE6" w:rsidRDefault="008117D4" w:rsidP="00B11DA4">
            <w:pPr>
              <w:pStyle w:val="Tabletext"/>
            </w:pPr>
            <w:r w:rsidRPr="00C86CE6">
              <w:t>tracing information</w:t>
            </w:r>
          </w:p>
        </w:tc>
      </w:tr>
      <w:tr w:rsidR="008117D4" w:rsidRPr="00C86CE6" w14:paraId="359DC1A5" w14:textId="77777777" w:rsidTr="00B11DA4">
        <w:tc>
          <w:tcPr>
            <w:tcW w:w="714" w:type="dxa"/>
            <w:shd w:val="clear" w:color="auto" w:fill="auto"/>
          </w:tcPr>
          <w:p w14:paraId="76B327E0" w14:textId="77777777" w:rsidR="008117D4" w:rsidRPr="00C86CE6" w:rsidRDefault="008117D4" w:rsidP="00B11DA4">
            <w:pPr>
              <w:pStyle w:val="Tabletext"/>
            </w:pPr>
            <w:r w:rsidRPr="00C86CE6">
              <w:t>3</w:t>
            </w:r>
          </w:p>
        </w:tc>
        <w:tc>
          <w:tcPr>
            <w:tcW w:w="1833" w:type="dxa"/>
            <w:shd w:val="clear" w:color="auto" w:fill="auto"/>
          </w:tcPr>
          <w:p w14:paraId="520DB16A" w14:textId="77777777" w:rsidR="008117D4" w:rsidRPr="00C86CE6" w:rsidRDefault="008117D4" w:rsidP="00B11DA4">
            <w:pPr>
              <w:pStyle w:val="Tablea"/>
            </w:pPr>
            <w:r w:rsidRPr="00C86CE6">
              <w:t>(a) the transfer of value is a domestic transfer of value; and</w:t>
            </w:r>
          </w:p>
          <w:p w14:paraId="725BFEDB" w14:textId="520014C9" w:rsidR="008117D4" w:rsidRPr="00C86CE6" w:rsidRDefault="008117D4" w:rsidP="00B11DA4">
            <w:pPr>
              <w:pStyle w:val="Tablea"/>
            </w:pPr>
            <w:r w:rsidRPr="00C86CE6">
              <w:t xml:space="preserve">(b) the ordering institution passes on the transfer message for the transfer of value through an </w:t>
            </w:r>
            <w:r w:rsidRPr="00C86CE6">
              <w:lastRenderedPageBreak/>
              <w:t>approved third</w:t>
            </w:r>
            <w:r w:rsidR="004A7589">
              <w:noBreakHyphen/>
            </w:r>
            <w:r w:rsidRPr="00C86CE6">
              <w:t>party bill payment system</w:t>
            </w:r>
          </w:p>
        </w:tc>
        <w:tc>
          <w:tcPr>
            <w:tcW w:w="1843" w:type="dxa"/>
            <w:shd w:val="clear" w:color="auto" w:fill="auto"/>
          </w:tcPr>
          <w:p w14:paraId="4E4CFF1C" w14:textId="77777777" w:rsidR="008117D4" w:rsidRPr="00C86CE6" w:rsidRDefault="008117D4" w:rsidP="00B11DA4">
            <w:pPr>
              <w:pStyle w:val="Tablea"/>
            </w:pPr>
            <w:r w:rsidRPr="00C86CE6">
              <w:lastRenderedPageBreak/>
              <w:t>(a) payer information; and</w:t>
            </w:r>
          </w:p>
          <w:p w14:paraId="7AE3B035" w14:textId="77777777" w:rsidR="008117D4" w:rsidRPr="00C86CE6" w:rsidRDefault="008117D4" w:rsidP="00B11DA4">
            <w:pPr>
              <w:pStyle w:val="Tablea"/>
            </w:pPr>
            <w:r w:rsidRPr="00C86CE6">
              <w:t>(b) payee information</w:t>
            </w:r>
          </w:p>
        </w:tc>
        <w:tc>
          <w:tcPr>
            <w:tcW w:w="1842" w:type="dxa"/>
            <w:shd w:val="clear" w:color="auto" w:fill="auto"/>
          </w:tcPr>
          <w:p w14:paraId="0BEBD5B2" w14:textId="77777777" w:rsidR="008117D4" w:rsidRPr="00C86CE6" w:rsidRDefault="008117D4" w:rsidP="00B11DA4">
            <w:pPr>
              <w:pStyle w:val="Tabletext"/>
            </w:pPr>
            <w:r w:rsidRPr="00C86CE6">
              <w:t>payer information</w:t>
            </w:r>
          </w:p>
        </w:tc>
        <w:tc>
          <w:tcPr>
            <w:tcW w:w="2127" w:type="dxa"/>
            <w:shd w:val="clear" w:color="auto" w:fill="auto"/>
          </w:tcPr>
          <w:p w14:paraId="7171CBA1" w14:textId="77777777" w:rsidR="008117D4" w:rsidRPr="00C86CE6" w:rsidRDefault="008117D4" w:rsidP="00B11DA4">
            <w:pPr>
              <w:pStyle w:val="Tabletext"/>
            </w:pPr>
            <w:r w:rsidRPr="00C86CE6">
              <w:t>tracing information</w:t>
            </w:r>
          </w:p>
        </w:tc>
      </w:tr>
      <w:tr w:rsidR="008117D4" w:rsidRPr="00C86CE6" w14:paraId="20D803BB" w14:textId="77777777" w:rsidTr="00B11DA4">
        <w:tc>
          <w:tcPr>
            <w:tcW w:w="714" w:type="dxa"/>
            <w:shd w:val="clear" w:color="auto" w:fill="auto"/>
          </w:tcPr>
          <w:p w14:paraId="001AAEFD" w14:textId="77777777" w:rsidR="008117D4" w:rsidRPr="00C86CE6" w:rsidRDefault="008117D4" w:rsidP="00B11DA4">
            <w:pPr>
              <w:pStyle w:val="Tabletext"/>
            </w:pPr>
            <w:r w:rsidRPr="00C86CE6">
              <w:t>4</w:t>
            </w:r>
          </w:p>
        </w:tc>
        <w:tc>
          <w:tcPr>
            <w:tcW w:w="1833" w:type="dxa"/>
            <w:shd w:val="clear" w:color="auto" w:fill="auto"/>
          </w:tcPr>
          <w:p w14:paraId="1AB7BD6F" w14:textId="77777777" w:rsidR="008117D4" w:rsidRPr="00C86CE6" w:rsidRDefault="008117D4" w:rsidP="00B11DA4">
            <w:pPr>
              <w:pStyle w:val="Tabletext"/>
              <w:rPr>
                <w:highlight w:val="yellow"/>
              </w:rPr>
            </w:pPr>
            <w:r w:rsidRPr="00C86CE6">
              <w:t>the transfer message for the transfer of value contains information relating to multiple transfers of value from a payer</w:t>
            </w:r>
          </w:p>
        </w:tc>
        <w:tc>
          <w:tcPr>
            <w:tcW w:w="1843" w:type="dxa"/>
            <w:shd w:val="clear" w:color="auto" w:fill="auto"/>
          </w:tcPr>
          <w:p w14:paraId="15EB1489" w14:textId="77777777" w:rsidR="008117D4" w:rsidRPr="00C86CE6" w:rsidRDefault="008117D4" w:rsidP="00B11DA4">
            <w:pPr>
              <w:pStyle w:val="Tablea"/>
            </w:pPr>
            <w:r w:rsidRPr="00C86CE6">
              <w:t>(a) payer information; and</w:t>
            </w:r>
          </w:p>
          <w:p w14:paraId="767F7906" w14:textId="77777777" w:rsidR="008117D4" w:rsidRPr="00C86CE6" w:rsidRDefault="008117D4" w:rsidP="00B11DA4">
            <w:pPr>
              <w:pStyle w:val="Tablea"/>
            </w:pPr>
            <w:r w:rsidRPr="00C86CE6">
              <w:t>(b) payee information</w:t>
            </w:r>
          </w:p>
        </w:tc>
        <w:tc>
          <w:tcPr>
            <w:tcW w:w="1842" w:type="dxa"/>
            <w:shd w:val="clear" w:color="auto" w:fill="auto"/>
          </w:tcPr>
          <w:p w14:paraId="1352D04C" w14:textId="77777777" w:rsidR="008117D4" w:rsidRPr="00C86CE6" w:rsidRDefault="008117D4" w:rsidP="00B11DA4">
            <w:pPr>
              <w:pStyle w:val="Tabletext"/>
            </w:pPr>
            <w:r w:rsidRPr="00C86CE6">
              <w:t>payer information</w:t>
            </w:r>
          </w:p>
        </w:tc>
        <w:tc>
          <w:tcPr>
            <w:tcW w:w="2127" w:type="dxa"/>
            <w:shd w:val="clear" w:color="auto" w:fill="auto"/>
          </w:tcPr>
          <w:p w14:paraId="6B0DA37C" w14:textId="77777777" w:rsidR="008117D4" w:rsidRPr="00C86CE6" w:rsidRDefault="008117D4" w:rsidP="00B11DA4">
            <w:pPr>
              <w:pStyle w:val="Tablea"/>
            </w:pPr>
            <w:r w:rsidRPr="00C86CE6">
              <w:t>(a) payer information; and</w:t>
            </w:r>
          </w:p>
          <w:p w14:paraId="0545CEE0" w14:textId="77777777" w:rsidR="008117D4" w:rsidRPr="00C86CE6" w:rsidRDefault="008117D4" w:rsidP="00B11DA4">
            <w:pPr>
              <w:pStyle w:val="Tablea"/>
            </w:pPr>
            <w:r w:rsidRPr="00C86CE6">
              <w:t>(b) for each transfer of value in the transfer message:</w:t>
            </w:r>
          </w:p>
          <w:p w14:paraId="621E208B" w14:textId="77777777" w:rsidR="008117D4" w:rsidRPr="00C86CE6" w:rsidRDefault="008117D4" w:rsidP="00B11DA4">
            <w:pPr>
              <w:pStyle w:val="Tablei"/>
            </w:pPr>
            <w:r w:rsidRPr="00C86CE6">
              <w:t>(i) tracing information; and</w:t>
            </w:r>
          </w:p>
          <w:p w14:paraId="38D3650A" w14:textId="77777777" w:rsidR="008117D4" w:rsidRPr="00C86CE6" w:rsidRDefault="008117D4" w:rsidP="00B11DA4">
            <w:pPr>
              <w:pStyle w:val="Tablei"/>
            </w:pPr>
            <w:r w:rsidRPr="00C86CE6">
              <w:t>(ii) payee information</w:t>
            </w:r>
          </w:p>
        </w:tc>
      </w:tr>
      <w:tr w:rsidR="008117D4" w:rsidRPr="00C86CE6" w14:paraId="00FFD02A" w14:textId="77777777" w:rsidTr="00B11DA4">
        <w:tc>
          <w:tcPr>
            <w:tcW w:w="714" w:type="dxa"/>
            <w:tcBorders>
              <w:bottom w:val="single" w:sz="2" w:space="0" w:color="auto"/>
            </w:tcBorders>
            <w:shd w:val="clear" w:color="auto" w:fill="auto"/>
          </w:tcPr>
          <w:p w14:paraId="1A13E145" w14:textId="77777777" w:rsidR="008117D4" w:rsidRPr="00C86CE6" w:rsidRDefault="008117D4" w:rsidP="00B11DA4">
            <w:pPr>
              <w:pStyle w:val="Tabletext"/>
            </w:pPr>
            <w:r w:rsidRPr="00C86CE6">
              <w:t>5</w:t>
            </w:r>
          </w:p>
        </w:tc>
        <w:tc>
          <w:tcPr>
            <w:tcW w:w="1833" w:type="dxa"/>
            <w:tcBorders>
              <w:bottom w:val="single" w:sz="2" w:space="0" w:color="auto"/>
            </w:tcBorders>
            <w:shd w:val="clear" w:color="auto" w:fill="auto"/>
          </w:tcPr>
          <w:p w14:paraId="07B5E0B9" w14:textId="39DA79A9" w:rsidR="008117D4" w:rsidRPr="00C86CE6" w:rsidRDefault="008117D4" w:rsidP="00B11DA4">
            <w:pPr>
              <w:pStyle w:val="Tabletext"/>
            </w:pPr>
            <w:r w:rsidRPr="00C86CE6">
              <w:t>the transfer of value is a card</w:t>
            </w:r>
            <w:r w:rsidR="004A7589">
              <w:noBreakHyphen/>
            </w:r>
            <w:r w:rsidRPr="00C86CE6">
              <w:t>based pull payment</w:t>
            </w:r>
          </w:p>
        </w:tc>
        <w:tc>
          <w:tcPr>
            <w:tcW w:w="1843" w:type="dxa"/>
            <w:tcBorders>
              <w:bottom w:val="single" w:sz="2" w:space="0" w:color="auto"/>
            </w:tcBorders>
            <w:shd w:val="clear" w:color="auto" w:fill="auto"/>
          </w:tcPr>
          <w:p w14:paraId="677AC5B6" w14:textId="77777777" w:rsidR="008117D4" w:rsidRPr="00C86CE6" w:rsidRDefault="008117D4" w:rsidP="00B11DA4">
            <w:pPr>
              <w:pStyle w:val="Tabletext"/>
            </w:pPr>
            <w:r w:rsidRPr="00C86CE6">
              <w:t>not applicable</w:t>
            </w:r>
          </w:p>
        </w:tc>
        <w:tc>
          <w:tcPr>
            <w:tcW w:w="1842" w:type="dxa"/>
            <w:tcBorders>
              <w:bottom w:val="single" w:sz="2" w:space="0" w:color="auto"/>
            </w:tcBorders>
            <w:shd w:val="clear" w:color="auto" w:fill="auto"/>
          </w:tcPr>
          <w:p w14:paraId="6BFFD345" w14:textId="77777777" w:rsidR="008117D4" w:rsidRPr="00C86CE6" w:rsidRDefault="008117D4" w:rsidP="00B11DA4">
            <w:pPr>
              <w:pStyle w:val="Tabletext"/>
            </w:pPr>
            <w:r w:rsidRPr="00C86CE6">
              <w:t>not applicable</w:t>
            </w:r>
          </w:p>
        </w:tc>
        <w:tc>
          <w:tcPr>
            <w:tcW w:w="2127" w:type="dxa"/>
            <w:tcBorders>
              <w:bottom w:val="single" w:sz="2" w:space="0" w:color="auto"/>
            </w:tcBorders>
            <w:shd w:val="clear" w:color="auto" w:fill="auto"/>
          </w:tcPr>
          <w:p w14:paraId="5058FD72" w14:textId="2043F7B2" w:rsidR="008117D4" w:rsidRPr="00C86CE6" w:rsidRDefault="008117D4" w:rsidP="00B11DA4">
            <w:pPr>
              <w:pStyle w:val="Tabletext"/>
            </w:pPr>
            <w:r w:rsidRPr="00C86CE6">
              <w:t>card number of the card the payer used in relation to the card</w:t>
            </w:r>
            <w:r w:rsidR="004A7589">
              <w:noBreakHyphen/>
            </w:r>
            <w:r w:rsidRPr="00C86CE6">
              <w:t>based pull payment</w:t>
            </w:r>
          </w:p>
        </w:tc>
      </w:tr>
      <w:tr w:rsidR="008117D4" w:rsidRPr="00C86CE6" w14:paraId="5CBC7557" w14:textId="77777777" w:rsidTr="00B11DA4">
        <w:tc>
          <w:tcPr>
            <w:tcW w:w="714" w:type="dxa"/>
            <w:tcBorders>
              <w:bottom w:val="single" w:sz="2" w:space="0" w:color="auto"/>
            </w:tcBorders>
            <w:shd w:val="clear" w:color="auto" w:fill="auto"/>
          </w:tcPr>
          <w:p w14:paraId="70E19540" w14:textId="77777777" w:rsidR="008117D4" w:rsidRPr="00C86CE6" w:rsidRDefault="008117D4" w:rsidP="00B11DA4">
            <w:pPr>
              <w:pStyle w:val="Tabletext"/>
            </w:pPr>
            <w:r w:rsidRPr="00C86CE6">
              <w:t>6</w:t>
            </w:r>
          </w:p>
        </w:tc>
        <w:tc>
          <w:tcPr>
            <w:tcW w:w="1833" w:type="dxa"/>
            <w:tcBorders>
              <w:bottom w:val="single" w:sz="2" w:space="0" w:color="auto"/>
            </w:tcBorders>
            <w:shd w:val="clear" w:color="auto" w:fill="auto"/>
          </w:tcPr>
          <w:p w14:paraId="1927A8B9" w14:textId="20F85078" w:rsidR="008117D4" w:rsidRPr="00C86CE6" w:rsidRDefault="008117D4" w:rsidP="00B11DA4">
            <w:pPr>
              <w:pStyle w:val="Tabletext"/>
            </w:pPr>
            <w:r w:rsidRPr="00C86CE6">
              <w:t>the transfer of value is a refund of a card</w:t>
            </w:r>
            <w:r w:rsidR="004A7589">
              <w:noBreakHyphen/>
            </w:r>
            <w:r w:rsidRPr="00C86CE6">
              <w:t>based pull payment</w:t>
            </w:r>
          </w:p>
        </w:tc>
        <w:tc>
          <w:tcPr>
            <w:tcW w:w="1843" w:type="dxa"/>
            <w:tcBorders>
              <w:bottom w:val="single" w:sz="2" w:space="0" w:color="auto"/>
            </w:tcBorders>
            <w:shd w:val="clear" w:color="auto" w:fill="auto"/>
          </w:tcPr>
          <w:p w14:paraId="21807296" w14:textId="77777777" w:rsidR="008117D4" w:rsidRPr="00C86CE6" w:rsidRDefault="008117D4" w:rsidP="00B11DA4">
            <w:pPr>
              <w:pStyle w:val="Tabletext"/>
            </w:pPr>
            <w:r w:rsidRPr="00C86CE6">
              <w:t>not applicable</w:t>
            </w:r>
          </w:p>
        </w:tc>
        <w:tc>
          <w:tcPr>
            <w:tcW w:w="1842" w:type="dxa"/>
            <w:tcBorders>
              <w:bottom w:val="single" w:sz="2" w:space="0" w:color="auto"/>
            </w:tcBorders>
            <w:shd w:val="clear" w:color="auto" w:fill="auto"/>
          </w:tcPr>
          <w:p w14:paraId="57B8B2DE" w14:textId="77777777" w:rsidR="008117D4" w:rsidRPr="00C86CE6" w:rsidRDefault="008117D4" w:rsidP="00B11DA4">
            <w:pPr>
              <w:pStyle w:val="Tabletext"/>
            </w:pPr>
            <w:r w:rsidRPr="00C86CE6">
              <w:t>not applicable</w:t>
            </w:r>
          </w:p>
        </w:tc>
        <w:tc>
          <w:tcPr>
            <w:tcW w:w="2127" w:type="dxa"/>
            <w:tcBorders>
              <w:bottom w:val="single" w:sz="2" w:space="0" w:color="auto"/>
            </w:tcBorders>
            <w:shd w:val="clear" w:color="auto" w:fill="auto"/>
          </w:tcPr>
          <w:p w14:paraId="63B2C856" w14:textId="6D68F6D7" w:rsidR="008117D4" w:rsidRPr="00C86CE6" w:rsidRDefault="008117D4" w:rsidP="00B11DA4">
            <w:pPr>
              <w:pStyle w:val="Tabletext"/>
            </w:pPr>
            <w:r w:rsidRPr="00C86CE6">
              <w:t>card number of the card the payer used in relation to the card</w:t>
            </w:r>
            <w:r w:rsidR="004A7589">
              <w:noBreakHyphen/>
            </w:r>
            <w:r w:rsidRPr="00C86CE6">
              <w:t>based pull payment that is refunded</w:t>
            </w:r>
          </w:p>
        </w:tc>
      </w:tr>
      <w:tr w:rsidR="008117D4" w:rsidRPr="00C86CE6" w14:paraId="205F8798" w14:textId="77777777" w:rsidTr="00B11DA4">
        <w:tc>
          <w:tcPr>
            <w:tcW w:w="714" w:type="dxa"/>
            <w:tcBorders>
              <w:top w:val="single" w:sz="2" w:space="0" w:color="auto"/>
              <w:bottom w:val="single" w:sz="12" w:space="0" w:color="auto"/>
            </w:tcBorders>
            <w:shd w:val="clear" w:color="auto" w:fill="auto"/>
          </w:tcPr>
          <w:p w14:paraId="44EE6C3D" w14:textId="77777777" w:rsidR="008117D4" w:rsidRPr="00C86CE6" w:rsidRDefault="008117D4" w:rsidP="00B11DA4">
            <w:pPr>
              <w:pStyle w:val="Tabletext"/>
            </w:pPr>
            <w:r w:rsidRPr="00C86CE6">
              <w:t>7</w:t>
            </w:r>
          </w:p>
        </w:tc>
        <w:tc>
          <w:tcPr>
            <w:tcW w:w="1833" w:type="dxa"/>
            <w:tcBorders>
              <w:top w:val="single" w:sz="2" w:space="0" w:color="auto"/>
              <w:bottom w:val="single" w:sz="12" w:space="0" w:color="auto"/>
            </w:tcBorders>
            <w:shd w:val="clear" w:color="auto" w:fill="auto"/>
          </w:tcPr>
          <w:p w14:paraId="09BB2DA4" w14:textId="1EC932DD" w:rsidR="008117D4" w:rsidRPr="00C86CE6" w:rsidRDefault="008117D4" w:rsidP="00B11DA4">
            <w:pPr>
              <w:pStyle w:val="Tabletext"/>
            </w:pPr>
            <w:r w:rsidRPr="00C86CE6">
              <w:t>the value is being transferred to a self</w:t>
            </w:r>
            <w:r w:rsidR="004A7589">
              <w:noBreakHyphen/>
            </w:r>
            <w:r w:rsidRPr="00C86CE6">
              <w:t>hosted virtual asset wallet</w:t>
            </w:r>
          </w:p>
        </w:tc>
        <w:tc>
          <w:tcPr>
            <w:tcW w:w="1843" w:type="dxa"/>
            <w:tcBorders>
              <w:top w:val="single" w:sz="2" w:space="0" w:color="auto"/>
              <w:bottom w:val="single" w:sz="12" w:space="0" w:color="auto"/>
            </w:tcBorders>
            <w:shd w:val="clear" w:color="auto" w:fill="auto"/>
          </w:tcPr>
          <w:p w14:paraId="6CD29902" w14:textId="77777777" w:rsidR="008117D4" w:rsidRPr="00C86CE6" w:rsidRDefault="008117D4" w:rsidP="00B11DA4">
            <w:pPr>
              <w:pStyle w:val="Tablea"/>
            </w:pPr>
            <w:r w:rsidRPr="00C86CE6">
              <w:t>(a) payer information; and</w:t>
            </w:r>
          </w:p>
          <w:p w14:paraId="6644D6EA" w14:textId="77777777" w:rsidR="008117D4" w:rsidRPr="00C86CE6" w:rsidRDefault="008117D4" w:rsidP="00B11DA4">
            <w:pPr>
              <w:pStyle w:val="Tablea"/>
            </w:pPr>
            <w:r w:rsidRPr="00C86CE6">
              <w:t>(b) payee information</w:t>
            </w:r>
          </w:p>
        </w:tc>
        <w:tc>
          <w:tcPr>
            <w:tcW w:w="1842" w:type="dxa"/>
            <w:tcBorders>
              <w:top w:val="single" w:sz="2" w:space="0" w:color="auto"/>
              <w:bottom w:val="single" w:sz="12" w:space="0" w:color="auto"/>
            </w:tcBorders>
            <w:shd w:val="clear" w:color="auto" w:fill="auto"/>
          </w:tcPr>
          <w:p w14:paraId="79F5AC24" w14:textId="77777777" w:rsidR="008117D4" w:rsidRPr="00C86CE6" w:rsidRDefault="008117D4" w:rsidP="00B11DA4">
            <w:pPr>
              <w:pStyle w:val="Tabletext"/>
            </w:pPr>
            <w:r w:rsidRPr="00C86CE6">
              <w:t>payer information</w:t>
            </w:r>
          </w:p>
        </w:tc>
        <w:tc>
          <w:tcPr>
            <w:tcW w:w="2127" w:type="dxa"/>
            <w:tcBorders>
              <w:top w:val="single" w:sz="2" w:space="0" w:color="auto"/>
              <w:bottom w:val="single" w:sz="12" w:space="0" w:color="auto"/>
            </w:tcBorders>
            <w:shd w:val="clear" w:color="auto" w:fill="auto"/>
          </w:tcPr>
          <w:p w14:paraId="60D9D8D0" w14:textId="77777777" w:rsidR="008117D4" w:rsidRPr="00C86CE6" w:rsidRDefault="008117D4" w:rsidP="00B11DA4">
            <w:pPr>
              <w:pStyle w:val="Tabletext"/>
            </w:pPr>
            <w:r w:rsidRPr="00C86CE6">
              <w:t>not applicable</w:t>
            </w:r>
          </w:p>
        </w:tc>
      </w:tr>
    </w:tbl>
    <w:p w14:paraId="0BE19881" w14:textId="6CE4C655" w:rsidR="008117D4" w:rsidRPr="00C86CE6" w:rsidRDefault="008117D4" w:rsidP="008117D4">
      <w:pPr>
        <w:pStyle w:val="notetext"/>
      </w:pPr>
      <w:r w:rsidRPr="00C86CE6">
        <w:t>Note 1:</w:t>
      </w:r>
      <w:r w:rsidRPr="00C86CE6">
        <w:tab/>
        <w:t xml:space="preserve">For columns 2 and 3 of </w:t>
      </w:r>
      <w:r w:rsidR="00606BBD" w:rsidRPr="00C86CE6">
        <w:t>items 5</w:t>
      </w:r>
      <w:r w:rsidRPr="00C86CE6">
        <w:t xml:space="preserve"> and 6 of the table, subsection </w:t>
      </w:r>
      <w:r w:rsidR="00BC4A61" w:rsidRPr="00C86CE6">
        <w:t>59</w:t>
      </w:r>
      <w:r w:rsidRPr="00C86CE6">
        <w:t>(5) provides that paragraphs 64(2)(a) and (b) of the Act do not apply to a transfer of value that is a card</w:t>
      </w:r>
      <w:r w:rsidR="004A7589">
        <w:noBreakHyphen/>
      </w:r>
      <w:r w:rsidRPr="00C86CE6">
        <w:t>based pull payment.</w:t>
      </w:r>
    </w:p>
    <w:p w14:paraId="68A44EDF" w14:textId="1F99ABD5" w:rsidR="008117D4" w:rsidRPr="00C86CE6" w:rsidRDefault="008117D4" w:rsidP="008117D4">
      <w:pPr>
        <w:pStyle w:val="notetext"/>
      </w:pPr>
      <w:r w:rsidRPr="00C86CE6">
        <w:t>Note 2:</w:t>
      </w:r>
      <w:r w:rsidRPr="00C86CE6">
        <w:tab/>
        <w:t xml:space="preserve">For column 4 of </w:t>
      </w:r>
      <w:r w:rsidR="00606BBD" w:rsidRPr="00C86CE6">
        <w:t>item 7</w:t>
      </w:r>
      <w:r w:rsidRPr="00C86CE6">
        <w:t xml:space="preserve"> of the table, subsection </w:t>
      </w:r>
      <w:r w:rsidR="00BC4A61" w:rsidRPr="00C86CE6">
        <w:t>59</w:t>
      </w:r>
      <w:r w:rsidRPr="00C86CE6">
        <w:t xml:space="preserve">(6) provides that </w:t>
      </w:r>
      <w:r w:rsidR="009B58BE" w:rsidRPr="00C86CE6">
        <w:t>subsection 6</w:t>
      </w:r>
      <w:r w:rsidRPr="00C86CE6">
        <w:t>4(3) of the Act does not apply to a transfer of value if the value is being transferred to a self</w:t>
      </w:r>
      <w:r w:rsidR="004A7589">
        <w:noBreakHyphen/>
      </w:r>
      <w:r w:rsidRPr="00C86CE6">
        <w:t>hosted virtual asset wallet.</w:t>
      </w:r>
    </w:p>
    <w:p w14:paraId="0272C231" w14:textId="767877CB" w:rsidR="008117D4" w:rsidRPr="00C86CE6" w:rsidRDefault="008117D4" w:rsidP="008117D4">
      <w:pPr>
        <w:pStyle w:val="notetext"/>
      </w:pPr>
      <w:r w:rsidRPr="00C86CE6">
        <w:t>Note 3:</w:t>
      </w:r>
      <w:r w:rsidRPr="00C86CE6">
        <w:tab/>
        <w:t xml:space="preserve">Obligations on reporting entities also arise under </w:t>
      </w:r>
      <w:r w:rsidR="009B58BE" w:rsidRPr="00C86CE6">
        <w:t>sections 2</w:t>
      </w:r>
      <w:r w:rsidRPr="00C86CE6">
        <w:t>8 (initial customer due diligence) and 30 (ongoing customer due diligence) of the Act.</w:t>
      </w:r>
    </w:p>
    <w:p w14:paraId="07908AFA" w14:textId="6561D515" w:rsidR="008117D4" w:rsidRPr="00C86CE6" w:rsidRDefault="00BC4A61" w:rsidP="008117D4">
      <w:pPr>
        <w:pStyle w:val="ActHead5"/>
      </w:pPr>
      <w:bookmarkStart w:id="84" w:name="_Toc184727385"/>
      <w:r w:rsidRPr="004B21E2">
        <w:rPr>
          <w:rStyle w:val="CharSectno"/>
        </w:rPr>
        <w:t>57</w:t>
      </w:r>
      <w:r w:rsidR="008117D4" w:rsidRPr="00C86CE6">
        <w:t xml:space="preserve">  Obligations of beneficiary institutions—monitoring for receipt of information</w:t>
      </w:r>
      <w:bookmarkEnd w:id="84"/>
    </w:p>
    <w:p w14:paraId="4F303CA3" w14:textId="64769C2B" w:rsidR="008117D4" w:rsidRPr="00C86CE6" w:rsidRDefault="008117D4" w:rsidP="008117D4">
      <w:pPr>
        <w:pStyle w:val="subsection"/>
      </w:pPr>
      <w:r w:rsidRPr="00C86CE6">
        <w:tab/>
      </w:r>
      <w:r w:rsidRPr="00C86CE6">
        <w:tab/>
        <w:t xml:space="preserve">For the purposes of </w:t>
      </w:r>
      <w:r w:rsidR="009B58BE" w:rsidRPr="00C86CE6">
        <w:t>subsection 6</w:t>
      </w:r>
      <w:r w:rsidRPr="00C86CE6">
        <w:t>5(2) of the Act, if the circumstances mentioned in column 1 of an item of the following table apply in relation to a transfer of value, the information that the beneficiary institution must take reasonable steps to monitor whether it has received is such information relating to the transfer of value as is set out in column 2 of the item.</w:t>
      </w:r>
    </w:p>
    <w:p w14:paraId="0893234F" w14:textId="77777777" w:rsidR="008117D4" w:rsidRPr="00C86CE6" w:rsidRDefault="008117D4" w:rsidP="008117D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8117D4" w:rsidRPr="00C86CE6" w14:paraId="0FB7B9F5" w14:textId="77777777" w:rsidTr="00B11DA4">
        <w:trPr>
          <w:tblHeader/>
        </w:trPr>
        <w:tc>
          <w:tcPr>
            <w:tcW w:w="8312" w:type="dxa"/>
            <w:gridSpan w:val="3"/>
            <w:tcBorders>
              <w:top w:val="single" w:sz="12" w:space="0" w:color="auto"/>
              <w:bottom w:val="single" w:sz="6" w:space="0" w:color="auto"/>
            </w:tcBorders>
            <w:shd w:val="clear" w:color="auto" w:fill="auto"/>
          </w:tcPr>
          <w:p w14:paraId="0FBE39AF" w14:textId="77777777" w:rsidR="008117D4" w:rsidRPr="00C86CE6" w:rsidRDefault="008117D4" w:rsidP="00B11DA4">
            <w:pPr>
              <w:pStyle w:val="TableHeading"/>
            </w:pPr>
            <w:r w:rsidRPr="00C86CE6">
              <w:lastRenderedPageBreak/>
              <w:t>Obligations of beneficiary institutions—monitoring for receipt of information</w:t>
            </w:r>
          </w:p>
        </w:tc>
      </w:tr>
      <w:tr w:rsidR="008117D4" w:rsidRPr="00C86CE6" w14:paraId="19FF3506" w14:textId="77777777" w:rsidTr="00B11DA4">
        <w:trPr>
          <w:tblHeader/>
        </w:trPr>
        <w:tc>
          <w:tcPr>
            <w:tcW w:w="714" w:type="dxa"/>
            <w:tcBorders>
              <w:top w:val="single" w:sz="6" w:space="0" w:color="auto"/>
              <w:bottom w:val="nil"/>
            </w:tcBorders>
            <w:shd w:val="clear" w:color="auto" w:fill="auto"/>
          </w:tcPr>
          <w:p w14:paraId="16659524" w14:textId="77777777" w:rsidR="008117D4" w:rsidRPr="00C86CE6" w:rsidRDefault="008117D4" w:rsidP="00B11DA4">
            <w:pPr>
              <w:pStyle w:val="TableHeading"/>
            </w:pPr>
            <w:r w:rsidRPr="00C86CE6">
              <w:t>Item</w:t>
            </w:r>
          </w:p>
        </w:tc>
        <w:tc>
          <w:tcPr>
            <w:tcW w:w="3799" w:type="dxa"/>
            <w:tcBorders>
              <w:top w:val="single" w:sz="6" w:space="0" w:color="auto"/>
              <w:bottom w:val="nil"/>
            </w:tcBorders>
            <w:shd w:val="clear" w:color="auto" w:fill="auto"/>
          </w:tcPr>
          <w:p w14:paraId="52175534" w14:textId="77777777" w:rsidR="008117D4" w:rsidRPr="00C86CE6" w:rsidRDefault="008117D4" w:rsidP="00B11DA4">
            <w:pPr>
              <w:pStyle w:val="TableHeading"/>
            </w:pPr>
            <w:r w:rsidRPr="00C86CE6">
              <w:t>Colum 1</w:t>
            </w:r>
          </w:p>
        </w:tc>
        <w:tc>
          <w:tcPr>
            <w:tcW w:w="3799" w:type="dxa"/>
            <w:tcBorders>
              <w:top w:val="single" w:sz="6" w:space="0" w:color="auto"/>
              <w:bottom w:val="nil"/>
            </w:tcBorders>
            <w:shd w:val="clear" w:color="auto" w:fill="auto"/>
          </w:tcPr>
          <w:p w14:paraId="642C7E89" w14:textId="77777777" w:rsidR="008117D4" w:rsidRPr="00C86CE6" w:rsidRDefault="008117D4" w:rsidP="00B11DA4">
            <w:pPr>
              <w:pStyle w:val="TableHeading"/>
            </w:pPr>
            <w:r w:rsidRPr="00C86CE6">
              <w:t>Column 2</w:t>
            </w:r>
          </w:p>
        </w:tc>
      </w:tr>
      <w:tr w:rsidR="008117D4" w:rsidRPr="00C86CE6" w14:paraId="068A001C" w14:textId="77777777" w:rsidTr="00B11DA4">
        <w:trPr>
          <w:tblHeader/>
        </w:trPr>
        <w:tc>
          <w:tcPr>
            <w:tcW w:w="714" w:type="dxa"/>
            <w:tcBorders>
              <w:top w:val="nil"/>
              <w:bottom w:val="single" w:sz="12" w:space="0" w:color="auto"/>
            </w:tcBorders>
            <w:shd w:val="clear" w:color="auto" w:fill="auto"/>
          </w:tcPr>
          <w:p w14:paraId="6EA1E631" w14:textId="77777777" w:rsidR="008117D4" w:rsidRPr="00C86CE6" w:rsidRDefault="008117D4" w:rsidP="00B11DA4">
            <w:pPr>
              <w:pStyle w:val="TableHeading"/>
            </w:pPr>
          </w:p>
        </w:tc>
        <w:tc>
          <w:tcPr>
            <w:tcW w:w="3799" w:type="dxa"/>
            <w:tcBorders>
              <w:top w:val="nil"/>
              <w:bottom w:val="single" w:sz="12" w:space="0" w:color="auto"/>
            </w:tcBorders>
            <w:shd w:val="clear" w:color="auto" w:fill="auto"/>
          </w:tcPr>
          <w:p w14:paraId="5408DCC9" w14:textId="77777777" w:rsidR="008117D4" w:rsidRPr="00C86CE6" w:rsidRDefault="008117D4" w:rsidP="00B11DA4">
            <w:pPr>
              <w:pStyle w:val="TableHeading"/>
            </w:pPr>
            <w:r w:rsidRPr="00C86CE6">
              <w:t>Circumstances</w:t>
            </w:r>
          </w:p>
        </w:tc>
        <w:tc>
          <w:tcPr>
            <w:tcW w:w="3799" w:type="dxa"/>
            <w:tcBorders>
              <w:top w:val="nil"/>
              <w:bottom w:val="single" w:sz="12" w:space="0" w:color="auto"/>
            </w:tcBorders>
            <w:shd w:val="clear" w:color="auto" w:fill="auto"/>
          </w:tcPr>
          <w:p w14:paraId="730AF5F0" w14:textId="77777777" w:rsidR="008117D4" w:rsidRPr="00C86CE6" w:rsidRDefault="008117D4" w:rsidP="00B11DA4">
            <w:pPr>
              <w:pStyle w:val="TableHeading"/>
            </w:pPr>
            <w:r w:rsidRPr="00C86CE6">
              <w:t>Information to monitor</w:t>
            </w:r>
          </w:p>
        </w:tc>
      </w:tr>
      <w:tr w:rsidR="008117D4" w:rsidRPr="00C86CE6" w14:paraId="006EA757" w14:textId="77777777" w:rsidTr="00B11DA4">
        <w:tc>
          <w:tcPr>
            <w:tcW w:w="714" w:type="dxa"/>
            <w:tcBorders>
              <w:top w:val="single" w:sz="12" w:space="0" w:color="auto"/>
            </w:tcBorders>
            <w:shd w:val="clear" w:color="auto" w:fill="auto"/>
          </w:tcPr>
          <w:p w14:paraId="7732F8D4" w14:textId="77777777" w:rsidR="008117D4" w:rsidRPr="00C86CE6" w:rsidRDefault="008117D4" w:rsidP="00B11DA4">
            <w:pPr>
              <w:pStyle w:val="Tabletext"/>
            </w:pPr>
            <w:r w:rsidRPr="00C86CE6">
              <w:t>1</w:t>
            </w:r>
          </w:p>
        </w:tc>
        <w:tc>
          <w:tcPr>
            <w:tcW w:w="3799" w:type="dxa"/>
            <w:tcBorders>
              <w:top w:val="single" w:sz="12" w:space="0" w:color="auto"/>
            </w:tcBorders>
            <w:shd w:val="clear" w:color="auto" w:fill="auto"/>
          </w:tcPr>
          <w:p w14:paraId="7980C1DE" w14:textId="77777777" w:rsidR="008117D4" w:rsidRPr="00C86CE6" w:rsidRDefault="008117D4" w:rsidP="00B11DA4">
            <w:pPr>
              <w:pStyle w:val="Tabletext"/>
            </w:pPr>
            <w:r w:rsidRPr="00C86CE6">
              <w:t xml:space="preserve">none of the circumstances mentioned in </w:t>
            </w:r>
            <w:r w:rsidR="00606BBD" w:rsidRPr="00C86CE6">
              <w:t>items 2</w:t>
            </w:r>
            <w:r w:rsidRPr="00C86CE6">
              <w:t xml:space="preserve"> to 8 apply</w:t>
            </w:r>
          </w:p>
        </w:tc>
        <w:tc>
          <w:tcPr>
            <w:tcW w:w="3799" w:type="dxa"/>
            <w:tcBorders>
              <w:top w:val="single" w:sz="12" w:space="0" w:color="auto"/>
            </w:tcBorders>
            <w:shd w:val="clear" w:color="auto" w:fill="auto"/>
          </w:tcPr>
          <w:p w14:paraId="5B9A4E5E" w14:textId="77777777" w:rsidR="008117D4" w:rsidRPr="00C86CE6" w:rsidRDefault="008117D4" w:rsidP="00B11DA4">
            <w:pPr>
              <w:pStyle w:val="Tablea"/>
            </w:pPr>
            <w:r w:rsidRPr="00C86CE6">
              <w:t>(a) payer information; and</w:t>
            </w:r>
          </w:p>
          <w:p w14:paraId="49BD5B91" w14:textId="77777777" w:rsidR="008117D4" w:rsidRPr="00C86CE6" w:rsidRDefault="008117D4" w:rsidP="00B11DA4">
            <w:pPr>
              <w:pStyle w:val="Tabletext"/>
            </w:pPr>
            <w:r w:rsidRPr="00C86CE6">
              <w:t>(b) payee information</w:t>
            </w:r>
          </w:p>
        </w:tc>
      </w:tr>
      <w:tr w:rsidR="008117D4" w:rsidRPr="00C86CE6" w14:paraId="372F8897" w14:textId="77777777" w:rsidTr="00B11DA4">
        <w:tc>
          <w:tcPr>
            <w:tcW w:w="714" w:type="dxa"/>
            <w:shd w:val="clear" w:color="auto" w:fill="auto"/>
          </w:tcPr>
          <w:p w14:paraId="30166A08" w14:textId="77777777" w:rsidR="008117D4" w:rsidRPr="00C86CE6" w:rsidRDefault="008117D4" w:rsidP="00B11DA4">
            <w:pPr>
              <w:pStyle w:val="Tabletext"/>
            </w:pPr>
            <w:r w:rsidRPr="00C86CE6">
              <w:t>2</w:t>
            </w:r>
          </w:p>
        </w:tc>
        <w:tc>
          <w:tcPr>
            <w:tcW w:w="3799" w:type="dxa"/>
            <w:shd w:val="clear" w:color="auto" w:fill="auto"/>
          </w:tcPr>
          <w:p w14:paraId="66EE7BF0" w14:textId="77777777" w:rsidR="008117D4" w:rsidRPr="00C86CE6" w:rsidRDefault="008117D4" w:rsidP="00B11DA4">
            <w:pPr>
              <w:pStyle w:val="Tablea"/>
            </w:pPr>
            <w:r w:rsidRPr="00C86CE6">
              <w:t>(a) the transfer of value is a domestic transfer of value; and</w:t>
            </w:r>
          </w:p>
          <w:p w14:paraId="66159305" w14:textId="77777777" w:rsidR="008117D4" w:rsidRPr="00C86CE6" w:rsidRDefault="008117D4" w:rsidP="00B11DA4">
            <w:pPr>
              <w:pStyle w:val="Tablea"/>
            </w:pPr>
            <w:r w:rsidRPr="00C86CE6">
              <w:t>(b) the beneficiary institution receives the transfer message for the transfer of value through BECS</w:t>
            </w:r>
          </w:p>
        </w:tc>
        <w:tc>
          <w:tcPr>
            <w:tcW w:w="3799" w:type="dxa"/>
            <w:shd w:val="clear" w:color="auto" w:fill="auto"/>
          </w:tcPr>
          <w:p w14:paraId="64B60D77" w14:textId="77777777" w:rsidR="008117D4" w:rsidRPr="00C86CE6" w:rsidRDefault="008117D4" w:rsidP="00B11DA4">
            <w:pPr>
              <w:pStyle w:val="Tabletext"/>
            </w:pPr>
            <w:r w:rsidRPr="00C86CE6">
              <w:t>tracing information</w:t>
            </w:r>
          </w:p>
        </w:tc>
      </w:tr>
      <w:tr w:rsidR="008117D4" w:rsidRPr="00C86CE6" w14:paraId="5045F310" w14:textId="77777777" w:rsidTr="00B11DA4">
        <w:tc>
          <w:tcPr>
            <w:tcW w:w="714" w:type="dxa"/>
            <w:shd w:val="clear" w:color="auto" w:fill="auto"/>
          </w:tcPr>
          <w:p w14:paraId="3597D416" w14:textId="77777777" w:rsidR="008117D4" w:rsidRPr="00C86CE6" w:rsidRDefault="008117D4" w:rsidP="00B11DA4">
            <w:pPr>
              <w:pStyle w:val="Tabletext"/>
            </w:pPr>
            <w:r w:rsidRPr="00C86CE6">
              <w:t>3</w:t>
            </w:r>
          </w:p>
        </w:tc>
        <w:tc>
          <w:tcPr>
            <w:tcW w:w="3799" w:type="dxa"/>
            <w:shd w:val="clear" w:color="auto" w:fill="auto"/>
          </w:tcPr>
          <w:p w14:paraId="1CB0118F" w14:textId="77777777" w:rsidR="008117D4" w:rsidRPr="00C86CE6" w:rsidRDefault="008117D4" w:rsidP="00B11DA4">
            <w:pPr>
              <w:pStyle w:val="Tablea"/>
            </w:pPr>
            <w:r w:rsidRPr="00C86CE6">
              <w:t>(a) the transfer of value is a domestic transfer of value; and</w:t>
            </w:r>
          </w:p>
          <w:p w14:paraId="299E4BF4" w14:textId="59B30D54" w:rsidR="008117D4" w:rsidRPr="00C86CE6" w:rsidRDefault="008117D4" w:rsidP="00B11DA4">
            <w:pPr>
              <w:pStyle w:val="Tablea"/>
            </w:pPr>
            <w:r w:rsidRPr="00C86CE6">
              <w:t>(b) the beneficiary institution receives the transfer message for the transfer of value through an approved third</w:t>
            </w:r>
            <w:r w:rsidR="004A7589">
              <w:noBreakHyphen/>
            </w:r>
            <w:r w:rsidRPr="00C86CE6">
              <w:t>party bill payment system</w:t>
            </w:r>
          </w:p>
        </w:tc>
        <w:tc>
          <w:tcPr>
            <w:tcW w:w="3799" w:type="dxa"/>
            <w:shd w:val="clear" w:color="auto" w:fill="auto"/>
          </w:tcPr>
          <w:p w14:paraId="38D4A18A" w14:textId="77777777" w:rsidR="008117D4" w:rsidRPr="00C86CE6" w:rsidRDefault="008117D4" w:rsidP="00B11DA4">
            <w:pPr>
              <w:pStyle w:val="Tabletext"/>
            </w:pPr>
            <w:r w:rsidRPr="00C86CE6">
              <w:t>tracing information</w:t>
            </w:r>
          </w:p>
        </w:tc>
      </w:tr>
      <w:tr w:rsidR="008117D4" w:rsidRPr="00C86CE6" w14:paraId="5514FC35" w14:textId="77777777" w:rsidTr="00B11DA4">
        <w:tc>
          <w:tcPr>
            <w:tcW w:w="714" w:type="dxa"/>
            <w:shd w:val="clear" w:color="auto" w:fill="auto"/>
          </w:tcPr>
          <w:p w14:paraId="268A950A" w14:textId="77777777" w:rsidR="008117D4" w:rsidRPr="00C86CE6" w:rsidRDefault="008117D4" w:rsidP="00B11DA4">
            <w:pPr>
              <w:pStyle w:val="Tabletext"/>
            </w:pPr>
            <w:r w:rsidRPr="00C86CE6">
              <w:t>4</w:t>
            </w:r>
          </w:p>
        </w:tc>
        <w:tc>
          <w:tcPr>
            <w:tcW w:w="3799" w:type="dxa"/>
            <w:shd w:val="clear" w:color="auto" w:fill="auto"/>
          </w:tcPr>
          <w:p w14:paraId="2D846D83" w14:textId="77777777" w:rsidR="008117D4" w:rsidRPr="00C86CE6" w:rsidRDefault="008117D4" w:rsidP="00B11DA4">
            <w:pPr>
              <w:pStyle w:val="Tabletext"/>
            </w:pPr>
            <w:r w:rsidRPr="00C86CE6">
              <w:t>the transfer message for the transfer of value contains information relating to multiple transfers of value from a payer</w:t>
            </w:r>
          </w:p>
        </w:tc>
        <w:tc>
          <w:tcPr>
            <w:tcW w:w="3799" w:type="dxa"/>
            <w:shd w:val="clear" w:color="auto" w:fill="auto"/>
          </w:tcPr>
          <w:p w14:paraId="4C69FC00" w14:textId="77777777" w:rsidR="008117D4" w:rsidRPr="00C86CE6" w:rsidRDefault="008117D4" w:rsidP="00B11DA4">
            <w:pPr>
              <w:pStyle w:val="Tablea"/>
            </w:pPr>
            <w:r w:rsidRPr="00C86CE6">
              <w:t>(a) payer information; and</w:t>
            </w:r>
          </w:p>
          <w:p w14:paraId="18F57BCC" w14:textId="77777777" w:rsidR="008117D4" w:rsidRPr="00C86CE6" w:rsidRDefault="008117D4" w:rsidP="00B11DA4">
            <w:pPr>
              <w:pStyle w:val="Tablea"/>
            </w:pPr>
            <w:r w:rsidRPr="00C86CE6">
              <w:t>(b) for each transfer of value in the transfer message:</w:t>
            </w:r>
          </w:p>
          <w:p w14:paraId="1C9AF4E3" w14:textId="77777777" w:rsidR="008117D4" w:rsidRPr="00C86CE6" w:rsidRDefault="008117D4" w:rsidP="00B11DA4">
            <w:pPr>
              <w:pStyle w:val="Tablei"/>
            </w:pPr>
            <w:r w:rsidRPr="00C86CE6">
              <w:t>(i) tracing information; and</w:t>
            </w:r>
          </w:p>
          <w:p w14:paraId="7FB16FA5" w14:textId="77777777" w:rsidR="008117D4" w:rsidRPr="00C86CE6" w:rsidRDefault="008117D4" w:rsidP="00B11DA4">
            <w:pPr>
              <w:pStyle w:val="Tablei"/>
            </w:pPr>
            <w:r w:rsidRPr="00C86CE6">
              <w:t>(ii) payee information</w:t>
            </w:r>
          </w:p>
        </w:tc>
      </w:tr>
      <w:tr w:rsidR="008117D4" w:rsidRPr="00C86CE6" w14:paraId="673C1BB6" w14:textId="77777777" w:rsidTr="00B11DA4">
        <w:tc>
          <w:tcPr>
            <w:tcW w:w="714" w:type="dxa"/>
            <w:shd w:val="clear" w:color="auto" w:fill="auto"/>
          </w:tcPr>
          <w:p w14:paraId="211C736B" w14:textId="77777777" w:rsidR="008117D4" w:rsidRPr="00C86CE6" w:rsidRDefault="008117D4" w:rsidP="00B11DA4">
            <w:pPr>
              <w:pStyle w:val="Tabletext"/>
            </w:pPr>
            <w:r w:rsidRPr="00C86CE6">
              <w:t>5</w:t>
            </w:r>
          </w:p>
        </w:tc>
        <w:tc>
          <w:tcPr>
            <w:tcW w:w="3799" w:type="dxa"/>
            <w:shd w:val="clear" w:color="auto" w:fill="auto"/>
          </w:tcPr>
          <w:p w14:paraId="5B849481" w14:textId="0CD58656" w:rsidR="008117D4" w:rsidRPr="00C86CE6" w:rsidRDefault="008117D4" w:rsidP="00B11DA4">
            <w:pPr>
              <w:pStyle w:val="Tabletext"/>
            </w:pPr>
            <w:r w:rsidRPr="00C86CE6">
              <w:t>the transfer of value is a card</w:t>
            </w:r>
            <w:r w:rsidR="004A7589">
              <w:noBreakHyphen/>
            </w:r>
            <w:r w:rsidRPr="00C86CE6">
              <w:t>based pull payment</w:t>
            </w:r>
          </w:p>
        </w:tc>
        <w:tc>
          <w:tcPr>
            <w:tcW w:w="3799" w:type="dxa"/>
            <w:shd w:val="clear" w:color="auto" w:fill="auto"/>
          </w:tcPr>
          <w:p w14:paraId="08420164" w14:textId="709420CA" w:rsidR="008117D4" w:rsidRPr="00C86CE6" w:rsidRDefault="008117D4" w:rsidP="00B11DA4">
            <w:pPr>
              <w:pStyle w:val="Tabletext"/>
            </w:pPr>
            <w:r w:rsidRPr="00C86CE6">
              <w:t>card number of the card the payer used in relation to the card</w:t>
            </w:r>
            <w:r w:rsidR="004A7589">
              <w:noBreakHyphen/>
            </w:r>
            <w:r w:rsidRPr="00C86CE6">
              <w:t>based pull payment</w:t>
            </w:r>
          </w:p>
        </w:tc>
      </w:tr>
      <w:tr w:rsidR="008117D4" w:rsidRPr="00C86CE6" w14:paraId="09490F50" w14:textId="77777777" w:rsidTr="00B11DA4">
        <w:tc>
          <w:tcPr>
            <w:tcW w:w="714" w:type="dxa"/>
            <w:shd w:val="clear" w:color="auto" w:fill="auto"/>
          </w:tcPr>
          <w:p w14:paraId="080012C7" w14:textId="77777777" w:rsidR="008117D4" w:rsidRPr="00C86CE6" w:rsidRDefault="008117D4" w:rsidP="00B11DA4">
            <w:pPr>
              <w:pStyle w:val="Tabletext"/>
            </w:pPr>
            <w:r w:rsidRPr="00C86CE6">
              <w:t>6</w:t>
            </w:r>
          </w:p>
        </w:tc>
        <w:tc>
          <w:tcPr>
            <w:tcW w:w="3799" w:type="dxa"/>
            <w:shd w:val="clear" w:color="auto" w:fill="auto"/>
          </w:tcPr>
          <w:p w14:paraId="05DD00DD" w14:textId="05430609" w:rsidR="008117D4" w:rsidRPr="00C86CE6" w:rsidRDefault="008117D4" w:rsidP="00B11DA4">
            <w:pPr>
              <w:pStyle w:val="Tabletext"/>
            </w:pPr>
            <w:r w:rsidRPr="00C86CE6">
              <w:t>the transfer of value is a refund of a card</w:t>
            </w:r>
            <w:r w:rsidR="004A7589">
              <w:noBreakHyphen/>
            </w:r>
            <w:r w:rsidRPr="00C86CE6">
              <w:t>based pull payment</w:t>
            </w:r>
          </w:p>
        </w:tc>
        <w:tc>
          <w:tcPr>
            <w:tcW w:w="3799" w:type="dxa"/>
            <w:shd w:val="clear" w:color="auto" w:fill="auto"/>
          </w:tcPr>
          <w:p w14:paraId="0A76C3FA" w14:textId="1ED6E381" w:rsidR="008117D4" w:rsidRPr="00C86CE6" w:rsidRDefault="008117D4" w:rsidP="00B11DA4">
            <w:pPr>
              <w:pStyle w:val="Tabletext"/>
            </w:pPr>
            <w:r w:rsidRPr="00C86CE6">
              <w:t>card number of the card the payer used in relation to the card</w:t>
            </w:r>
            <w:r w:rsidR="004A7589">
              <w:noBreakHyphen/>
            </w:r>
            <w:r w:rsidRPr="00C86CE6">
              <w:t>based pull payment that is refunded</w:t>
            </w:r>
          </w:p>
        </w:tc>
      </w:tr>
      <w:tr w:rsidR="008117D4" w:rsidRPr="00C86CE6" w14:paraId="09A6458E" w14:textId="77777777" w:rsidTr="00B11DA4">
        <w:tc>
          <w:tcPr>
            <w:tcW w:w="714" w:type="dxa"/>
            <w:tcBorders>
              <w:bottom w:val="single" w:sz="2" w:space="0" w:color="auto"/>
            </w:tcBorders>
            <w:shd w:val="clear" w:color="auto" w:fill="auto"/>
          </w:tcPr>
          <w:p w14:paraId="52DD1A19" w14:textId="77777777" w:rsidR="008117D4" w:rsidRPr="00C86CE6" w:rsidRDefault="008117D4" w:rsidP="00B11DA4">
            <w:pPr>
              <w:pStyle w:val="Tabletext"/>
            </w:pPr>
            <w:r w:rsidRPr="00C86CE6">
              <w:t>7</w:t>
            </w:r>
          </w:p>
        </w:tc>
        <w:tc>
          <w:tcPr>
            <w:tcW w:w="3799" w:type="dxa"/>
            <w:tcBorders>
              <w:bottom w:val="single" w:sz="2" w:space="0" w:color="auto"/>
            </w:tcBorders>
            <w:shd w:val="clear" w:color="auto" w:fill="auto"/>
          </w:tcPr>
          <w:p w14:paraId="073F071A" w14:textId="77777777" w:rsidR="008117D4" w:rsidRPr="00C86CE6" w:rsidRDefault="008117D4" w:rsidP="00B11DA4">
            <w:pPr>
              <w:pStyle w:val="Tablea"/>
            </w:pPr>
            <w:r w:rsidRPr="00C86CE6">
              <w:t>(a) the value being transferred is money; and</w:t>
            </w:r>
          </w:p>
          <w:p w14:paraId="18003801" w14:textId="77777777" w:rsidR="008117D4" w:rsidRPr="00C86CE6" w:rsidRDefault="008117D4" w:rsidP="00B11DA4">
            <w:pPr>
              <w:pStyle w:val="Tablea"/>
            </w:pPr>
            <w:r w:rsidRPr="00C86CE6">
              <w:t>(b) the money is in a foreign country and, as a result of the provision of an international value transfer service, the money will be in Australia; and</w:t>
            </w:r>
          </w:p>
          <w:p w14:paraId="5B7143BF" w14:textId="77777777" w:rsidR="008117D4" w:rsidRPr="00C86CE6" w:rsidRDefault="008117D4" w:rsidP="00B11DA4">
            <w:pPr>
              <w:pStyle w:val="Tablea"/>
            </w:pPr>
            <w:r w:rsidRPr="00C86CE6">
              <w:t>(c) the beneficiary institution receives the transfer message for the transfer of value through BECS</w:t>
            </w:r>
          </w:p>
        </w:tc>
        <w:tc>
          <w:tcPr>
            <w:tcW w:w="3799" w:type="dxa"/>
            <w:tcBorders>
              <w:bottom w:val="single" w:sz="2" w:space="0" w:color="auto"/>
            </w:tcBorders>
            <w:shd w:val="clear" w:color="auto" w:fill="auto"/>
          </w:tcPr>
          <w:p w14:paraId="2340D7DF" w14:textId="77777777" w:rsidR="008117D4" w:rsidRPr="00C86CE6" w:rsidRDefault="008117D4" w:rsidP="00B11DA4">
            <w:pPr>
              <w:pStyle w:val="Tabletext"/>
            </w:pPr>
            <w:r w:rsidRPr="00C86CE6">
              <w:t>tracing information</w:t>
            </w:r>
          </w:p>
        </w:tc>
      </w:tr>
      <w:tr w:rsidR="008117D4" w:rsidRPr="00C86CE6" w14:paraId="36BD0DAA" w14:textId="77777777" w:rsidTr="00B11DA4">
        <w:tc>
          <w:tcPr>
            <w:tcW w:w="714" w:type="dxa"/>
            <w:tcBorders>
              <w:top w:val="single" w:sz="2" w:space="0" w:color="auto"/>
              <w:bottom w:val="single" w:sz="12" w:space="0" w:color="auto"/>
            </w:tcBorders>
            <w:shd w:val="clear" w:color="auto" w:fill="auto"/>
          </w:tcPr>
          <w:p w14:paraId="4AC70D43" w14:textId="77777777" w:rsidR="008117D4" w:rsidRPr="00C86CE6" w:rsidRDefault="008117D4" w:rsidP="00B11DA4">
            <w:pPr>
              <w:pStyle w:val="Tabletext"/>
            </w:pPr>
            <w:r w:rsidRPr="00C86CE6">
              <w:t>8</w:t>
            </w:r>
          </w:p>
        </w:tc>
        <w:tc>
          <w:tcPr>
            <w:tcW w:w="3799" w:type="dxa"/>
            <w:tcBorders>
              <w:top w:val="single" w:sz="2" w:space="0" w:color="auto"/>
              <w:bottom w:val="single" w:sz="12" w:space="0" w:color="auto"/>
            </w:tcBorders>
            <w:shd w:val="clear" w:color="auto" w:fill="auto"/>
          </w:tcPr>
          <w:p w14:paraId="5154916A" w14:textId="74B9CA8B" w:rsidR="008117D4" w:rsidRPr="00C86CE6" w:rsidRDefault="008117D4" w:rsidP="00B11DA4">
            <w:pPr>
              <w:pStyle w:val="Tabletext"/>
            </w:pPr>
            <w:r w:rsidRPr="00C86CE6">
              <w:t>the value is transferred from a self</w:t>
            </w:r>
            <w:r w:rsidR="004A7589">
              <w:noBreakHyphen/>
            </w:r>
            <w:r w:rsidRPr="00C86CE6">
              <w:t>hosted virtual asset wallet</w:t>
            </w:r>
          </w:p>
        </w:tc>
        <w:tc>
          <w:tcPr>
            <w:tcW w:w="3799" w:type="dxa"/>
            <w:tcBorders>
              <w:top w:val="single" w:sz="2" w:space="0" w:color="auto"/>
              <w:bottom w:val="single" w:sz="12" w:space="0" w:color="auto"/>
            </w:tcBorders>
            <w:shd w:val="clear" w:color="auto" w:fill="auto"/>
          </w:tcPr>
          <w:p w14:paraId="345B73B0" w14:textId="77777777" w:rsidR="008117D4" w:rsidRPr="00C86CE6" w:rsidRDefault="008117D4" w:rsidP="00B11DA4">
            <w:pPr>
              <w:pStyle w:val="Tablea"/>
            </w:pPr>
            <w:r w:rsidRPr="00C86CE6">
              <w:t>(a) payer information; and</w:t>
            </w:r>
          </w:p>
          <w:p w14:paraId="3371FB28" w14:textId="77777777" w:rsidR="008117D4" w:rsidRPr="00C86CE6" w:rsidRDefault="008117D4" w:rsidP="00B11DA4">
            <w:pPr>
              <w:pStyle w:val="Tabletext"/>
            </w:pPr>
            <w:r w:rsidRPr="00C86CE6">
              <w:t>(b) payee information</w:t>
            </w:r>
          </w:p>
        </w:tc>
      </w:tr>
    </w:tbl>
    <w:p w14:paraId="0DC20E53" w14:textId="31DA4289" w:rsidR="008117D4" w:rsidRPr="00C86CE6" w:rsidRDefault="00BC4A61" w:rsidP="008117D4">
      <w:pPr>
        <w:pStyle w:val="ActHead5"/>
      </w:pPr>
      <w:bookmarkStart w:id="85" w:name="_Toc184727386"/>
      <w:r w:rsidRPr="004B21E2">
        <w:rPr>
          <w:rStyle w:val="CharSectno"/>
        </w:rPr>
        <w:t>58</w:t>
      </w:r>
      <w:r w:rsidR="008117D4" w:rsidRPr="00C86CE6">
        <w:t xml:space="preserve">  Obligations of intermediary institutions—monitoring for receipt of information and passing on information</w:t>
      </w:r>
      <w:bookmarkEnd w:id="85"/>
    </w:p>
    <w:p w14:paraId="68AC3847" w14:textId="77777777" w:rsidR="008117D4" w:rsidRPr="00C86CE6" w:rsidRDefault="008117D4" w:rsidP="008117D4">
      <w:pPr>
        <w:pStyle w:val="subsection"/>
      </w:pPr>
      <w:r w:rsidRPr="00C86CE6">
        <w:tab/>
      </w:r>
      <w:r w:rsidRPr="00C86CE6">
        <w:tab/>
        <w:t>If the circumstances mentioned in column 1 of an item in the following table apply in relation to a transfer of value:</w:t>
      </w:r>
    </w:p>
    <w:p w14:paraId="31F7E97D" w14:textId="2A351A7D" w:rsidR="008117D4" w:rsidRPr="00C86CE6" w:rsidRDefault="008117D4" w:rsidP="008117D4">
      <w:pPr>
        <w:pStyle w:val="paragraph"/>
      </w:pPr>
      <w:r w:rsidRPr="00C86CE6">
        <w:tab/>
        <w:t>(a)</w:t>
      </w:r>
      <w:r w:rsidRPr="00C86CE6">
        <w:tab/>
        <w:t xml:space="preserve">for the purposes of </w:t>
      </w:r>
      <w:r w:rsidR="009B58BE" w:rsidRPr="00C86CE6">
        <w:t>subsection 6</w:t>
      </w:r>
      <w:r w:rsidRPr="00C86CE6">
        <w:t>6(2) of the Act, the information that an intermediary institution must take reasonable steps to monitor whether it has received is such information relating to the transfer of value as is set out in column 2 of the item; and</w:t>
      </w:r>
    </w:p>
    <w:p w14:paraId="0EC53741" w14:textId="77777777" w:rsidR="008117D4" w:rsidRPr="00C86CE6" w:rsidRDefault="008117D4" w:rsidP="008117D4">
      <w:pPr>
        <w:pStyle w:val="paragraph"/>
      </w:pPr>
      <w:r w:rsidRPr="00C86CE6">
        <w:tab/>
        <w:t>(b)</w:t>
      </w:r>
      <w:r w:rsidRPr="00C86CE6">
        <w:tab/>
        <w:t xml:space="preserve">for the purposes of </w:t>
      </w:r>
      <w:r w:rsidR="00606BBD" w:rsidRPr="00C86CE6">
        <w:t>paragraph 6</w:t>
      </w:r>
      <w:r w:rsidRPr="00C86CE6">
        <w:t xml:space="preserve">6(4)(a) of the Act, the information the intermediary institution must include is such information set out in column </w:t>
      </w:r>
      <w:r w:rsidRPr="00C86CE6">
        <w:lastRenderedPageBreak/>
        <w:t>3 of the item as is received from the previous institution in the value transfer chain.</w:t>
      </w:r>
    </w:p>
    <w:p w14:paraId="3EE58018" w14:textId="77777777" w:rsidR="008117D4" w:rsidRPr="00C86CE6" w:rsidRDefault="008117D4" w:rsidP="008117D4">
      <w:pPr>
        <w:pStyle w:val="Tabletext"/>
      </w:pPr>
    </w:p>
    <w:tbl>
      <w:tblPr>
        <w:tblW w:w="8501"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2552"/>
        <w:gridCol w:w="2552"/>
      </w:tblGrid>
      <w:tr w:rsidR="008117D4" w:rsidRPr="00C86CE6" w14:paraId="345CD6BE" w14:textId="77777777" w:rsidTr="00B11DA4">
        <w:trPr>
          <w:tblHeader/>
        </w:trPr>
        <w:tc>
          <w:tcPr>
            <w:tcW w:w="8501" w:type="dxa"/>
            <w:gridSpan w:val="4"/>
            <w:tcBorders>
              <w:top w:val="single" w:sz="12" w:space="0" w:color="auto"/>
              <w:bottom w:val="single" w:sz="6" w:space="0" w:color="auto"/>
            </w:tcBorders>
            <w:shd w:val="clear" w:color="auto" w:fill="auto"/>
          </w:tcPr>
          <w:p w14:paraId="056FFD80" w14:textId="77777777" w:rsidR="008117D4" w:rsidRPr="00C86CE6" w:rsidRDefault="008117D4" w:rsidP="00B11DA4">
            <w:pPr>
              <w:pStyle w:val="TableHeading"/>
            </w:pPr>
            <w:r w:rsidRPr="00C86CE6">
              <w:t>Obligations of intermediary institutions—monitoring for receipt of information and passing on information</w:t>
            </w:r>
          </w:p>
        </w:tc>
      </w:tr>
      <w:tr w:rsidR="008117D4" w:rsidRPr="00C86CE6" w14:paraId="52F67EC3" w14:textId="77777777" w:rsidTr="00B11DA4">
        <w:trPr>
          <w:tblHeader/>
        </w:trPr>
        <w:tc>
          <w:tcPr>
            <w:tcW w:w="714" w:type="dxa"/>
            <w:tcBorders>
              <w:top w:val="single" w:sz="6" w:space="0" w:color="auto"/>
              <w:bottom w:val="nil"/>
            </w:tcBorders>
            <w:shd w:val="clear" w:color="auto" w:fill="auto"/>
          </w:tcPr>
          <w:p w14:paraId="68A6F630" w14:textId="77777777" w:rsidR="008117D4" w:rsidRPr="00C86CE6" w:rsidRDefault="008117D4" w:rsidP="00B11DA4">
            <w:pPr>
              <w:pStyle w:val="TableHeading"/>
            </w:pPr>
            <w:r w:rsidRPr="00C86CE6">
              <w:t>Item</w:t>
            </w:r>
          </w:p>
        </w:tc>
        <w:tc>
          <w:tcPr>
            <w:tcW w:w="2683" w:type="dxa"/>
            <w:tcBorders>
              <w:top w:val="single" w:sz="6" w:space="0" w:color="auto"/>
              <w:bottom w:val="nil"/>
            </w:tcBorders>
            <w:shd w:val="clear" w:color="auto" w:fill="auto"/>
          </w:tcPr>
          <w:p w14:paraId="683F6DFF" w14:textId="77777777" w:rsidR="008117D4" w:rsidRPr="00C86CE6" w:rsidRDefault="008117D4" w:rsidP="00B11DA4">
            <w:pPr>
              <w:pStyle w:val="TableHeading"/>
            </w:pPr>
            <w:r w:rsidRPr="00C86CE6">
              <w:t>Column 1</w:t>
            </w:r>
          </w:p>
        </w:tc>
        <w:tc>
          <w:tcPr>
            <w:tcW w:w="2552" w:type="dxa"/>
            <w:tcBorders>
              <w:top w:val="single" w:sz="6" w:space="0" w:color="auto"/>
              <w:bottom w:val="nil"/>
            </w:tcBorders>
            <w:shd w:val="clear" w:color="auto" w:fill="auto"/>
          </w:tcPr>
          <w:p w14:paraId="646BB251" w14:textId="77777777" w:rsidR="008117D4" w:rsidRPr="00C86CE6" w:rsidRDefault="008117D4" w:rsidP="00B11DA4">
            <w:pPr>
              <w:pStyle w:val="TableHeading"/>
            </w:pPr>
            <w:r w:rsidRPr="00C86CE6">
              <w:t>Column 2</w:t>
            </w:r>
          </w:p>
        </w:tc>
        <w:tc>
          <w:tcPr>
            <w:tcW w:w="2552" w:type="dxa"/>
            <w:tcBorders>
              <w:top w:val="single" w:sz="6" w:space="0" w:color="auto"/>
              <w:bottom w:val="nil"/>
            </w:tcBorders>
            <w:shd w:val="clear" w:color="auto" w:fill="auto"/>
          </w:tcPr>
          <w:p w14:paraId="12A4AFBC" w14:textId="77777777" w:rsidR="008117D4" w:rsidRPr="00C86CE6" w:rsidRDefault="008117D4" w:rsidP="00B11DA4">
            <w:pPr>
              <w:pStyle w:val="TableHeading"/>
            </w:pPr>
            <w:r w:rsidRPr="00C86CE6">
              <w:t>Column 3</w:t>
            </w:r>
          </w:p>
        </w:tc>
      </w:tr>
      <w:tr w:rsidR="008117D4" w:rsidRPr="00C86CE6" w14:paraId="304B6F6B" w14:textId="77777777" w:rsidTr="00B11DA4">
        <w:trPr>
          <w:tblHeader/>
        </w:trPr>
        <w:tc>
          <w:tcPr>
            <w:tcW w:w="714" w:type="dxa"/>
            <w:tcBorders>
              <w:top w:val="nil"/>
              <w:bottom w:val="single" w:sz="12" w:space="0" w:color="auto"/>
            </w:tcBorders>
            <w:shd w:val="clear" w:color="auto" w:fill="auto"/>
          </w:tcPr>
          <w:p w14:paraId="5569D2E9" w14:textId="77777777" w:rsidR="008117D4" w:rsidRPr="00C86CE6" w:rsidRDefault="008117D4" w:rsidP="00B11DA4">
            <w:pPr>
              <w:pStyle w:val="TableHeading"/>
            </w:pPr>
          </w:p>
        </w:tc>
        <w:tc>
          <w:tcPr>
            <w:tcW w:w="2683" w:type="dxa"/>
            <w:tcBorders>
              <w:top w:val="nil"/>
              <w:bottom w:val="single" w:sz="12" w:space="0" w:color="auto"/>
            </w:tcBorders>
            <w:shd w:val="clear" w:color="auto" w:fill="auto"/>
          </w:tcPr>
          <w:p w14:paraId="57CD06D7" w14:textId="77777777" w:rsidR="008117D4" w:rsidRPr="00C86CE6" w:rsidRDefault="008117D4" w:rsidP="00B11DA4">
            <w:pPr>
              <w:pStyle w:val="TableHeading"/>
            </w:pPr>
            <w:r w:rsidRPr="00C86CE6">
              <w:t>Circumstances</w:t>
            </w:r>
          </w:p>
        </w:tc>
        <w:tc>
          <w:tcPr>
            <w:tcW w:w="2552" w:type="dxa"/>
            <w:tcBorders>
              <w:top w:val="nil"/>
              <w:bottom w:val="single" w:sz="12" w:space="0" w:color="auto"/>
            </w:tcBorders>
            <w:shd w:val="clear" w:color="auto" w:fill="auto"/>
          </w:tcPr>
          <w:p w14:paraId="6F8C49E8" w14:textId="77777777" w:rsidR="008117D4" w:rsidRPr="00C86CE6" w:rsidRDefault="008117D4" w:rsidP="00B11DA4">
            <w:pPr>
              <w:pStyle w:val="TableHeading"/>
            </w:pPr>
            <w:r w:rsidRPr="00C86CE6">
              <w:t>Information to monitor</w:t>
            </w:r>
          </w:p>
        </w:tc>
        <w:tc>
          <w:tcPr>
            <w:tcW w:w="2552" w:type="dxa"/>
            <w:tcBorders>
              <w:top w:val="nil"/>
              <w:bottom w:val="single" w:sz="12" w:space="0" w:color="auto"/>
            </w:tcBorders>
            <w:shd w:val="clear" w:color="auto" w:fill="auto"/>
          </w:tcPr>
          <w:p w14:paraId="73FC4762" w14:textId="77777777" w:rsidR="008117D4" w:rsidRPr="00C86CE6" w:rsidRDefault="008117D4" w:rsidP="00B11DA4">
            <w:pPr>
              <w:pStyle w:val="TableHeading"/>
            </w:pPr>
            <w:r w:rsidRPr="00C86CE6">
              <w:t>Information to pass on</w:t>
            </w:r>
          </w:p>
        </w:tc>
      </w:tr>
      <w:tr w:rsidR="008117D4" w:rsidRPr="00C86CE6" w14:paraId="69CCE625" w14:textId="77777777" w:rsidTr="00B11DA4">
        <w:tc>
          <w:tcPr>
            <w:tcW w:w="714" w:type="dxa"/>
            <w:tcBorders>
              <w:top w:val="single" w:sz="12" w:space="0" w:color="auto"/>
            </w:tcBorders>
            <w:shd w:val="clear" w:color="auto" w:fill="auto"/>
          </w:tcPr>
          <w:p w14:paraId="58FE163D" w14:textId="77777777" w:rsidR="008117D4" w:rsidRPr="00C86CE6" w:rsidRDefault="008117D4" w:rsidP="00B11DA4">
            <w:pPr>
              <w:pStyle w:val="Tabletext"/>
            </w:pPr>
            <w:r w:rsidRPr="00C86CE6">
              <w:t>1</w:t>
            </w:r>
          </w:p>
        </w:tc>
        <w:tc>
          <w:tcPr>
            <w:tcW w:w="2683" w:type="dxa"/>
            <w:tcBorders>
              <w:top w:val="single" w:sz="12" w:space="0" w:color="auto"/>
            </w:tcBorders>
            <w:shd w:val="clear" w:color="auto" w:fill="auto"/>
          </w:tcPr>
          <w:p w14:paraId="26A80F1C" w14:textId="77777777" w:rsidR="008117D4" w:rsidRPr="00C86CE6" w:rsidRDefault="008117D4" w:rsidP="00B11DA4">
            <w:pPr>
              <w:pStyle w:val="Tabletext"/>
            </w:pPr>
            <w:r w:rsidRPr="00C86CE6">
              <w:t xml:space="preserve">none of the circumstances mentioned in </w:t>
            </w:r>
            <w:r w:rsidR="00606BBD" w:rsidRPr="00C86CE6">
              <w:t>items 2</w:t>
            </w:r>
            <w:r w:rsidRPr="00C86CE6">
              <w:t xml:space="preserve"> to 7 apply</w:t>
            </w:r>
          </w:p>
        </w:tc>
        <w:tc>
          <w:tcPr>
            <w:tcW w:w="2552" w:type="dxa"/>
            <w:tcBorders>
              <w:top w:val="single" w:sz="12" w:space="0" w:color="auto"/>
            </w:tcBorders>
            <w:shd w:val="clear" w:color="auto" w:fill="auto"/>
          </w:tcPr>
          <w:p w14:paraId="18585CB2" w14:textId="77777777" w:rsidR="008117D4" w:rsidRPr="00C86CE6" w:rsidRDefault="008117D4" w:rsidP="00B11DA4">
            <w:pPr>
              <w:pStyle w:val="Tablea"/>
            </w:pPr>
            <w:r w:rsidRPr="00C86CE6">
              <w:t>(a) payer information; and</w:t>
            </w:r>
          </w:p>
          <w:p w14:paraId="10E8E2FF" w14:textId="77777777" w:rsidR="008117D4" w:rsidRPr="00C86CE6" w:rsidRDefault="008117D4" w:rsidP="00B11DA4">
            <w:pPr>
              <w:pStyle w:val="Tabletext"/>
            </w:pPr>
            <w:r w:rsidRPr="00C86CE6">
              <w:t>(b) payee information</w:t>
            </w:r>
          </w:p>
        </w:tc>
        <w:tc>
          <w:tcPr>
            <w:tcW w:w="2552" w:type="dxa"/>
            <w:tcBorders>
              <w:top w:val="single" w:sz="12" w:space="0" w:color="auto"/>
            </w:tcBorders>
            <w:shd w:val="clear" w:color="auto" w:fill="auto"/>
          </w:tcPr>
          <w:p w14:paraId="51590B4E" w14:textId="77777777" w:rsidR="008117D4" w:rsidRPr="00C86CE6" w:rsidRDefault="008117D4" w:rsidP="00B11DA4">
            <w:pPr>
              <w:pStyle w:val="Tabletext"/>
            </w:pPr>
            <w:r w:rsidRPr="00C86CE6">
              <w:t>(a) payer information, and</w:t>
            </w:r>
          </w:p>
          <w:p w14:paraId="601391CA" w14:textId="77777777" w:rsidR="008117D4" w:rsidRPr="00C86CE6" w:rsidRDefault="008117D4" w:rsidP="00B11DA4">
            <w:pPr>
              <w:pStyle w:val="Tabletext"/>
            </w:pPr>
            <w:r w:rsidRPr="00C86CE6">
              <w:t>(b) payee information</w:t>
            </w:r>
          </w:p>
        </w:tc>
      </w:tr>
      <w:tr w:rsidR="008117D4" w:rsidRPr="00C86CE6" w14:paraId="49B64F75" w14:textId="77777777" w:rsidTr="00B11DA4">
        <w:tc>
          <w:tcPr>
            <w:tcW w:w="714" w:type="dxa"/>
            <w:shd w:val="clear" w:color="auto" w:fill="auto"/>
          </w:tcPr>
          <w:p w14:paraId="74A60BA1" w14:textId="77777777" w:rsidR="008117D4" w:rsidRPr="00C86CE6" w:rsidRDefault="008117D4" w:rsidP="00B11DA4">
            <w:pPr>
              <w:pStyle w:val="Tabletext"/>
            </w:pPr>
            <w:r w:rsidRPr="00C86CE6">
              <w:t>2</w:t>
            </w:r>
          </w:p>
        </w:tc>
        <w:tc>
          <w:tcPr>
            <w:tcW w:w="2683" w:type="dxa"/>
            <w:shd w:val="clear" w:color="auto" w:fill="auto"/>
          </w:tcPr>
          <w:p w14:paraId="211918CD" w14:textId="77777777" w:rsidR="008117D4" w:rsidRPr="00C86CE6" w:rsidRDefault="008117D4" w:rsidP="00B11DA4">
            <w:pPr>
              <w:pStyle w:val="Tablea"/>
            </w:pPr>
            <w:r w:rsidRPr="00C86CE6">
              <w:t>(a) the transfer of value is a domestic transfer of value; and</w:t>
            </w:r>
          </w:p>
          <w:p w14:paraId="5AD926F2" w14:textId="77777777" w:rsidR="008117D4" w:rsidRPr="00C86CE6" w:rsidRDefault="008117D4" w:rsidP="00B11DA4">
            <w:pPr>
              <w:pStyle w:val="Tablea"/>
            </w:pPr>
            <w:r w:rsidRPr="00C86CE6">
              <w:t>(b) the transfer message for the transfer of value is passed on through BECS</w:t>
            </w:r>
          </w:p>
        </w:tc>
        <w:tc>
          <w:tcPr>
            <w:tcW w:w="2552" w:type="dxa"/>
            <w:shd w:val="clear" w:color="auto" w:fill="auto"/>
          </w:tcPr>
          <w:p w14:paraId="57B7EDC6" w14:textId="77777777" w:rsidR="008117D4" w:rsidRPr="00C86CE6" w:rsidRDefault="008117D4" w:rsidP="00B11DA4">
            <w:pPr>
              <w:pStyle w:val="Tabletext"/>
            </w:pPr>
            <w:r w:rsidRPr="00C86CE6">
              <w:t>tracing information</w:t>
            </w:r>
          </w:p>
        </w:tc>
        <w:tc>
          <w:tcPr>
            <w:tcW w:w="2552" w:type="dxa"/>
            <w:shd w:val="clear" w:color="auto" w:fill="auto"/>
          </w:tcPr>
          <w:p w14:paraId="4629B94B" w14:textId="77777777" w:rsidR="008117D4" w:rsidRPr="00C86CE6" w:rsidRDefault="008117D4" w:rsidP="00B11DA4">
            <w:pPr>
              <w:pStyle w:val="Tabletext"/>
            </w:pPr>
            <w:r w:rsidRPr="00C86CE6">
              <w:t>tracing information</w:t>
            </w:r>
          </w:p>
        </w:tc>
      </w:tr>
      <w:tr w:rsidR="008117D4" w:rsidRPr="00C86CE6" w14:paraId="351EBDD3" w14:textId="77777777" w:rsidTr="00B11DA4">
        <w:tc>
          <w:tcPr>
            <w:tcW w:w="714" w:type="dxa"/>
            <w:shd w:val="clear" w:color="auto" w:fill="auto"/>
          </w:tcPr>
          <w:p w14:paraId="721313D7" w14:textId="77777777" w:rsidR="008117D4" w:rsidRPr="00C86CE6" w:rsidRDefault="008117D4" w:rsidP="00B11DA4">
            <w:pPr>
              <w:pStyle w:val="Tabletext"/>
            </w:pPr>
            <w:r w:rsidRPr="00C86CE6">
              <w:t>3</w:t>
            </w:r>
          </w:p>
        </w:tc>
        <w:tc>
          <w:tcPr>
            <w:tcW w:w="2683" w:type="dxa"/>
            <w:shd w:val="clear" w:color="auto" w:fill="auto"/>
          </w:tcPr>
          <w:p w14:paraId="60ED253A" w14:textId="77777777" w:rsidR="008117D4" w:rsidRPr="00C86CE6" w:rsidRDefault="008117D4" w:rsidP="00B11DA4">
            <w:pPr>
              <w:pStyle w:val="Tablea"/>
            </w:pPr>
            <w:r w:rsidRPr="00C86CE6">
              <w:t>(a) the transfer of value is a domestic transfer of value; and</w:t>
            </w:r>
          </w:p>
          <w:p w14:paraId="04BA014F" w14:textId="0208017C" w:rsidR="008117D4" w:rsidRPr="00C86CE6" w:rsidRDefault="008117D4" w:rsidP="00B11DA4">
            <w:pPr>
              <w:pStyle w:val="Tablea"/>
            </w:pPr>
            <w:r w:rsidRPr="00C86CE6">
              <w:t>(b) the transfer message for the transfer of value is passed on through an approved third</w:t>
            </w:r>
            <w:r w:rsidR="004A7589">
              <w:noBreakHyphen/>
            </w:r>
            <w:r w:rsidRPr="00C86CE6">
              <w:t>party bill payment system</w:t>
            </w:r>
          </w:p>
        </w:tc>
        <w:tc>
          <w:tcPr>
            <w:tcW w:w="2552" w:type="dxa"/>
            <w:shd w:val="clear" w:color="auto" w:fill="auto"/>
          </w:tcPr>
          <w:p w14:paraId="6ED0E201" w14:textId="77777777" w:rsidR="008117D4" w:rsidRPr="00C86CE6" w:rsidRDefault="008117D4" w:rsidP="00B11DA4">
            <w:pPr>
              <w:pStyle w:val="Tabletext"/>
            </w:pPr>
            <w:r w:rsidRPr="00C86CE6">
              <w:t>tracing information</w:t>
            </w:r>
          </w:p>
        </w:tc>
        <w:tc>
          <w:tcPr>
            <w:tcW w:w="2552" w:type="dxa"/>
            <w:shd w:val="clear" w:color="auto" w:fill="auto"/>
          </w:tcPr>
          <w:p w14:paraId="5E7B23F1" w14:textId="77777777" w:rsidR="008117D4" w:rsidRPr="00C86CE6" w:rsidRDefault="008117D4" w:rsidP="00B11DA4">
            <w:pPr>
              <w:pStyle w:val="Tabletext"/>
            </w:pPr>
            <w:r w:rsidRPr="00C86CE6">
              <w:t>tracing information</w:t>
            </w:r>
          </w:p>
        </w:tc>
      </w:tr>
      <w:tr w:rsidR="008117D4" w:rsidRPr="00C86CE6" w14:paraId="3B497609" w14:textId="77777777" w:rsidTr="00B11DA4">
        <w:tc>
          <w:tcPr>
            <w:tcW w:w="714" w:type="dxa"/>
            <w:shd w:val="clear" w:color="auto" w:fill="auto"/>
          </w:tcPr>
          <w:p w14:paraId="7765295B" w14:textId="77777777" w:rsidR="008117D4" w:rsidRPr="00C86CE6" w:rsidRDefault="008117D4" w:rsidP="00B11DA4">
            <w:pPr>
              <w:pStyle w:val="Tabletext"/>
            </w:pPr>
            <w:r w:rsidRPr="00C86CE6">
              <w:t>4</w:t>
            </w:r>
          </w:p>
        </w:tc>
        <w:tc>
          <w:tcPr>
            <w:tcW w:w="2683" w:type="dxa"/>
            <w:shd w:val="clear" w:color="auto" w:fill="auto"/>
          </w:tcPr>
          <w:p w14:paraId="7EF082DD" w14:textId="77777777" w:rsidR="008117D4" w:rsidRPr="00C86CE6" w:rsidRDefault="008117D4" w:rsidP="00B11DA4">
            <w:pPr>
              <w:pStyle w:val="Tabletext"/>
            </w:pPr>
            <w:r w:rsidRPr="00C86CE6">
              <w:t>the transfer message for the transfer of value contains information relating to multiple transfers of value from a payer</w:t>
            </w:r>
          </w:p>
        </w:tc>
        <w:tc>
          <w:tcPr>
            <w:tcW w:w="2552" w:type="dxa"/>
            <w:shd w:val="clear" w:color="auto" w:fill="auto"/>
          </w:tcPr>
          <w:p w14:paraId="6BD94D65" w14:textId="77777777" w:rsidR="008117D4" w:rsidRPr="00C86CE6" w:rsidRDefault="008117D4" w:rsidP="00B11DA4">
            <w:pPr>
              <w:pStyle w:val="Tablea"/>
            </w:pPr>
            <w:r w:rsidRPr="00C86CE6">
              <w:t>(a) payer information, and</w:t>
            </w:r>
          </w:p>
          <w:p w14:paraId="0A7B184D" w14:textId="77777777" w:rsidR="008117D4" w:rsidRPr="00C86CE6" w:rsidRDefault="008117D4" w:rsidP="00B11DA4">
            <w:pPr>
              <w:pStyle w:val="Tablea"/>
            </w:pPr>
            <w:r w:rsidRPr="00C86CE6">
              <w:t>(b) for each transfer of value in the transfer message:</w:t>
            </w:r>
          </w:p>
          <w:p w14:paraId="2F5FF826" w14:textId="77777777" w:rsidR="008117D4" w:rsidRPr="00C86CE6" w:rsidRDefault="008117D4" w:rsidP="00B11DA4">
            <w:pPr>
              <w:pStyle w:val="Tablei"/>
            </w:pPr>
            <w:r w:rsidRPr="00C86CE6">
              <w:t>(i) tracing information, and</w:t>
            </w:r>
          </w:p>
          <w:p w14:paraId="0FBF89CC" w14:textId="77777777" w:rsidR="008117D4" w:rsidRPr="00C86CE6" w:rsidRDefault="008117D4" w:rsidP="00B11DA4">
            <w:pPr>
              <w:pStyle w:val="Tablei"/>
            </w:pPr>
            <w:r w:rsidRPr="00C86CE6">
              <w:t>(ii) payee information</w:t>
            </w:r>
          </w:p>
        </w:tc>
        <w:tc>
          <w:tcPr>
            <w:tcW w:w="2552" w:type="dxa"/>
            <w:shd w:val="clear" w:color="auto" w:fill="auto"/>
          </w:tcPr>
          <w:p w14:paraId="42160F3B" w14:textId="77777777" w:rsidR="008117D4" w:rsidRPr="00C86CE6" w:rsidRDefault="008117D4" w:rsidP="00B11DA4">
            <w:pPr>
              <w:pStyle w:val="Tablea"/>
            </w:pPr>
            <w:r w:rsidRPr="00C86CE6">
              <w:t>(a) payer information, and</w:t>
            </w:r>
          </w:p>
          <w:p w14:paraId="63532625" w14:textId="77777777" w:rsidR="008117D4" w:rsidRPr="00C86CE6" w:rsidRDefault="008117D4" w:rsidP="00B11DA4">
            <w:pPr>
              <w:pStyle w:val="Tablea"/>
            </w:pPr>
            <w:r w:rsidRPr="00C86CE6">
              <w:t>(b) for each transfer of value in the transfer message:</w:t>
            </w:r>
          </w:p>
          <w:p w14:paraId="07EB3FDF" w14:textId="77777777" w:rsidR="008117D4" w:rsidRPr="00C86CE6" w:rsidRDefault="008117D4" w:rsidP="00B11DA4">
            <w:pPr>
              <w:pStyle w:val="Tablei"/>
            </w:pPr>
            <w:r w:rsidRPr="00C86CE6">
              <w:t>(i) tracing information; and</w:t>
            </w:r>
          </w:p>
          <w:p w14:paraId="66FE0D19" w14:textId="77777777" w:rsidR="008117D4" w:rsidRPr="00C86CE6" w:rsidRDefault="008117D4" w:rsidP="00B11DA4">
            <w:pPr>
              <w:pStyle w:val="Tablei"/>
            </w:pPr>
            <w:r w:rsidRPr="00C86CE6">
              <w:t>(ii) payee information</w:t>
            </w:r>
          </w:p>
        </w:tc>
      </w:tr>
      <w:tr w:rsidR="008117D4" w:rsidRPr="00C86CE6" w14:paraId="6CBF4EB3" w14:textId="77777777" w:rsidTr="00B11DA4">
        <w:tc>
          <w:tcPr>
            <w:tcW w:w="714" w:type="dxa"/>
            <w:tcBorders>
              <w:bottom w:val="single" w:sz="2" w:space="0" w:color="auto"/>
            </w:tcBorders>
            <w:shd w:val="clear" w:color="auto" w:fill="auto"/>
          </w:tcPr>
          <w:p w14:paraId="0C421E13" w14:textId="77777777" w:rsidR="008117D4" w:rsidRPr="00C86CE6" w:rsidRDefault="008117D4" w:rsidP="00B11DA4">
            <w:pPr>
              <w:pStyle w:val="Tabletext"/>
            </w:pPr>
            <w:r w:rsidRPr="00C86CE6">
              <w:t>5</w:t>
            </w:r>
          </w:p>
        </w:tc>
        <w:tc>
          <w:tcPr>
            <w:tcW w:w="2683" w:type="dxa"/>
            <w:tcBorders>
              <w:bottom w:val="single" w:sz="2" w:space="0" w:color="auto"/>
            </w:tcBorders>
            <w:shd w:val="clear" w:color="auto" w:fill="auto"/>
          </w:tcPr>
          <w:p w14:paraId="5F887A78" w14:textId="5AC0B104" w:rsidR="008117D4" w:rsidRPr="00C86CE6" w:rsidRDefault="008117D4" w:rsidP="00B11DA4">
            <w:pPr>
              <w:pStyle w:val="Tabletext"/>
            </w:pPr>
            <w:r w:rsidRPr="00C86CE6">
              <w:t>the transfer of value is a card</w:t>
            </w:r>
            <w:r w:rsidR="004A7589">
              <w:noBreakHyphen/>
            </w:r>
            <w:r w:rsidRPr="00C86CE6">
              <w:t>based pull payment</w:t>
            </w:r>
          </w:p>
          <w:p w14:paraId="11CF36F2" w14:textId="77777777" w:rsidR="008117D4" w:rsidRPr="00C86CE6" w:rsidRDefault="008117D4" w:rsidP="00B11DA4">
            <w:pPr>
              <w:pStyle w:val="Tablea"/>
            </w:pPr>
          </w:p>
        </w:tc>
        <w:tc>
          <w:tcPr>
            <w:tcW w:w="2552" w:type="dxa"/>
            <w:tcBorders>
              <w:bottom w:val="single" w:sz="2" w:space="0" w:color="auto"/>
            </w:tcBorders>
            <w:shd w:val="clear" w:color="auto" w:fill="auto"/>
          </w:tcPr>
          <w:p w14:paraId="557BA43A" w14:textId="02E19D71" w:rsidR="008117D4" w:rsidRPr="00C86CE6" w:rsidRDefault="008117D4" w:rsidP="00B11DA4">
            <w:pPr>
              <w:pStyle w:val="Tabletext"/>
            </w:pPr>
            <w:r w:rsidRPr="00C86CE6">
              <w:t>card number of the card the payer used in relation to the card</w:t>
            </w:r>
            <w:r w:rsidR="004A7589">
              <w:noBreakHyphen/>
            </w:r>
            <w:r w:rsidRPr="00C86CE6">
              <w:t>based pull payment</w:t>
            </w:r>
          </w:p>
        </w:tc>
        <w:tc>
          <w:tcPr>
            <w:tcW w:w="2552" w:type="dxa"/>
            <w:tcBorders>
              <w:bottom w:val="single" w:sz="2" w:space="0" w:color="auto"/>
            </w:tcBorders>
            <w:shd w:val="clear" w:color="auto" w:fill="auto"/>
          </w:tcPr>
          <w:p w14:paraId="03581566" w14:textId="5293A4FE" w:rsidR="008117D4" w:rsidRPr="00C86CE6" w:rsidRDefault="008117D4" w:rsidP="00B11DA4">
            <w:pPr>
              <w:pStyle w:val="Tabletext"/>
            </w:pPr>
            <w:r w:rsidRPr="00C86CE6">
              <w:t>card number of the card the payer used in relation to the card</w:t>
            </w:r>
            <w:r w:rsidR="004A7589">
              <w:noBreakHyphen/>
            </w:r>
            <w:r w:rsidRPr="00C86CE6">
              <w:t>based pull payment</w:t>
            </w:r>
          </w:p>
          <w:p w14:paraId="653992BD" w14:textId="77777777" w:rsidR="008117D4" w:rsidRPr="00C86CE6" w:rsidRDefault="008117D4" w:rsidP="00B11DA4">
            <w:pPr>
              <w:pStyle w:val="Tabletext"/>
            </w:pPr>
          </w:p>
        </w:tc>
      </w:tr>
      <w:tr w:rsidR="008117D4" w:rsidRPr="00C86CE6" w14:paraId="612C9CEF" w14:textId="77777777" w:rsidTr="00B11DA4">
        <w:tc>
          <w:tcPr>
            <w:tcW w:w="714" w:type="dxa"/>
            <w:tcBorders>
              <w:bottom w:val="single" w:sz="2" w:space="0" w:color="auto"/>
            </w:tcBorders>
            <w:shd w:val="clear" w:color="auto" w:fill="auto"/>
          </w:tcPr>
          <w:p w14:paraId="023B1467" w14:textId="77777777" w:rsidR="008117D4" w:rsidRPr="00C86CE6" w:rsidRDefault="008117D4" w:rsidP="00B11DA4">
            <w:pPr>
              <w:pStyle w:val="Tabletext"/>
            </w:pPr>
            <w:r w:rsidRPr="00C86CE6">
              <w:t>6</w:t>
            </w:r>
          </w:p>
        </w:tc>
        <w:tc>
          <w:tcPr>
            <w:tcW w:w="2683" w:type="dxa"/>
            <w:tcBorders>
              <w:bottom w:val="single" w:sz="2" w:space="0" w:color="auto"/>
            </w:tcBorders>
            <w:shd w:val="clear" w:color="auto" w:fill="auto"/>
          </w:tcPr>
          <w:p w14:paraId="2F8A7222" w14:textId="3D4ED014" w:rsidR="008117D4" w:rsidRPr="00C86CE6" w:rsidRDefault="008117D4" w:rsidP="00B11DA4">
            <w:pPr>
              <w:pStyle w:val="Tabletext"/>
            </w:pPr>
            <w:r w:rsidRPr="00C86CE6">
              <w:t>the transfer of value is a refund of a card</w:t>
            </w:r>
            <w:r w:rsidR="004A7589">
              <w:noBreakHyphen/>
            </w:r>
            <w:r w:rsidRPr="00C86CE6">
              <w:t>based pull payment</w:t>
            </w:r>
          </w:p>
        </w:tc>
        <w:tc>
          <w:tcPr>
            <w:tcW w:w="2552" w:type="dxa"/>
            <w:tcBorders>
              <w:bottom w:val="single" w:sz="2" w:space="0" w:color="auto"/>
            </w:tcBorders>
            <w:shd w:val="clear" w:color="auto" w:fill="auto"/>
          </w:tcPr>
          <w:p w14:paraId="6D495D77" w14:textId="4BCAAA5E" w:rsidR="008117D4" w:rsidRPr="00C86CE6" w:rsidRDefault="008117D4" w:rsidP="00B11DA4">
            <w:pPr>
              <w:pStyle w:val="Tabletext"/>
            </w:pPr>
            <w:r w:rsidRPr="00C86CE6">
              <w:t>card number of the card the payer used in relation to the card</w:t>
            </w:r>
            <w:r w:rsidR="004A7589">
              <w:noBreakHyphen/>
            </w:r>
            <w:r w:rsidRPr="00C86CE6">
              <w:t>based pull payment that is refunded</w:t>
            </w:r>
          </w:p>
        </w:tc>
        <w:tc>
          <w:tcPr>
            <w:tcW w:w="2552" w:type="dxa"/>
            <w:tcBorders>
              <w:bottom w:val="single" w:sz="2" w:space="0" w:color="auto"/>
            </w:tcBorders>
            <w:shd w:val="clear" w:color="auto" w:fill="auto"/>
          </w:tcPr>
          <w:p w14:paraId="32938A47" w14:textId="6E3344C2" w:rsidR="008117D4" w:rsidRPr="00C86CE6" w:rsidRDefault="008117D4" w:rsidP="00B11DA4">
            <w:pPr>
              <w:pStyle w:val="Tabletext"/>
            </w:pPr>
            <w:r w:rsidRPr="00C86CE6">
              <w:t>card number of the card the payer used in relation to the card</w:t>
            </w:r>
            <w:r w:rsidR="004A7589">
              <w:noBreakHyphen/>
            </w:r>
            <w:r w:rsidRPr="00C86CE6">
              <w:t>based pull payment that is refunded</w:t>
            </w:r>
          </w:p>
        </w:tc>
      </w:tr>
      <w:tr w:rsidR="008117D4" w:rsidRPr="00C86CE6" w14:paraId="3E9A5C5E" w14:textId="77777777" w:rsidTr="00B11DA4">
        <w:tc>
          <w:tcPr>
            <w:tcW w:w="714" w:type="dxa"/>
            <w:tcBorders>
              <w:top w:val="single" w:sz="2" w:space="0" w:color="auto"/>
              <w:bottom w:val="single" w:sz="12" w:space="0" w:color="auto"/>
            </w:tcBorders>
            <w:shd w:val="clear" w:color="auto" w:fill="auto"/>
          </w:tcPr>
          <w:p w14:paraId="078D602F" w14:textId="77777777" w:rsidR="008117D4" w:rsidRPr="00C86CE6" w:rsidRDefault="008117D4" w:rsidP="00B11DA4">
            <w:pPr>
              <w:pStyle w:val="Tabletext"/>
            </w:pPr>
            <w:r w:rsidRPr="00C86CE6">
              <w:t>7</w:t>
            </w:r>
          </w:p>
        </w:tc>
        <w:tc>
          <w:tcPr>
            <w:tcW w:w="2683" w:type="dxa"/>
            <w:tcBorders>
              <w:top w:val="single" w:sz="2" w:space="0" w:color="auto"/>
              <w:bottom w:val="single" w:sz="12" w:space="0" w:color="auto"/>
            </w:tcBorders>
            <w:shd w:val="clear" w:color="auto" w:fill="auto"/>
          </w:tcPr>
          <w:p w14:paraId="55AF9901" w14:textId="77777777" w:rsidR="008117D4" w:rsidRPr="00C86CE6" w:rsidRDefault="008117D4" w:rsidP="00B11DA4">
            <w:pPr>
              <w:pStyle w:val="Tablea"/>
            </w:pPr>
            <w:r w:rsidRPr="00C86CE6">
              <w:t>(a) the value being transferred is money; and</w:t>
            </w:r>
          </w:p>
          <w:p w14:paraId="4C8DA277" w14:textId="77777777" w:rsidR="008117D4" w:rsidRPr="00C86CE6" w:rsidRDefault="008117D4" w:rsidP="00B11DA4">
            <w:pPr>
              <w:pStyle w:val="Tablea"/>
            </w:pPr>
            <w:r w:rsidRPr="00C86CE6">
              <w:t>(b) the money is in a foreign country and, as a result of the provision of an international value transfer service, the money will be in Australia; and</w:t>
            </w:r>
          </w:p>
          <w:p w14:paraId="709E86AB" w14:textId="77777777" w:rsidR="008117D4" w:rsidRPr="00C86CE6" w:rsidRDefault="008117D4" w:rsidP="00B11DA4">
            <w:pPr>
              <w:pStyle w:val="Tablea"/>
            </w:pPr>
            <w:r w:rsidRPr="00C86CE6">
              <w:t xml:space="preserve">(c) the intermediary institution passes on the transfer message for the transfer of </w:t>
            </w:r>
            <w:r w:rsidRPr="00C86CE6">
              <w:lastRenderedPageBreak/>
              <w:t>value through BECS</w:t>
            </w:r>
          </w:p>
        </w:tc>
        <w:tc>
          <w:tcPr>
            <w:tcW w:w="2552" w:type="dxa"/>
            <w:tcBorders>
              <w:top w:val="single" w:sz="2" w:space="0" w:color="auto"/>
              <w:bottom w:val="single" w:sz="12" w:space="0" w:color="auto"/>
            </w:tcBorders>
            <w:shd w:val="clear" w:color="auto" w:fill="auto"/>
          </w:tcPr>
          <w:p w14:paraId="0CA14D5A" w14:textId="77777777" w:rsidR="008117D4" w:rsidRPr="00C86CE6" w:rsidRDefault="008117D4" w:rsidP="00B11DA4">
            <w:pPr>
              <w:pStyle w:val="Tablea"/>
            </w:pPr>
            <w:r w:rsidRPr="00C86CE6">
              <w:lastRenderedPageBreak/>
              <w:t>(a) payer information; and</w:t>
            </w:r>
          </w:p>
          <w:p w14:paraId="232139A8" w14:textId="77777777" w:rsidR="008117D4" w:rsidRPr="00C86CE6" w:rsidRDefault="008117D4" w:rsidP="00B11DA4">
            <w:pPr>
              <w:pStyle w:val="Tabletext"/>
            </w:pPr>
            <w:r w:rsidRPr="00C86CE6">
              <w:t>(b) payee information</w:t>
            </w:r>
          </w:p>
        </w:tc>
        <w:tc>
          <w:tcPr>
            <w:tcW w:w="2552" w:type="dxa"/>
            <w:tcBorders>
              <w:top w:val="single" w:sz="2" w:space="0" w:color="auto"/>
              <w:bottom w:val="single" w:sz="12" w:space="0" w:color="auto"/>
            </w:tcBorders>
            <w:shd w:val="clear" w:color="auto" w:fill="auto"/>
          </w:tcPr>
          <w:p w14:paraId="4CADB234" w14:textId="77777777" w:rsidR="008117D4" w:rsidRPr="00C86CE6" w:rsidRDefault="008117D4" w:rsidP="00B11DA4">
            <w:pPr>
              <w:pStyle w:val="Tablea"/>
            </w:pPr>
            <w:r w:rsidRPr="00C86CE6">
              <w:t>tracing information</w:t>
            </w:r>
          </w:p>
        </w:tc>
      </w:tr>
    </w:tbl>
    <w:p w14:paraId="42D65611" w14:textId="41CCB77C" w:rsidR="008117D4" w:rsidRPr="00C86CE6" w:rsidRDefault="00270E8B" w:rsidP="008117D4">
      <w:pPr>
        <w:pStyle w:val="ActHead3"/>
        <w:pageBreakBefore/>
      </w:pPr>
      <w:bookmarkStart w:id="86" w:name="_Toc184727387"/>
      <w:r w:rsidRPr="004B21E2">
        <w:rPr>
          <w:rStyle w:val="CharDivNo"/>
        </w:rPr>
        <w:lastRenderedPageBreak/>
        <w:t>Division 3</w:t>
      </w:r>
      <w:r w:rsidR="008117D4" w:rsidRPr="00C86CE6">
        <w:t>—</w:t>
      </w:r>
      <w:r w:rsidR="008117D4" w:rsidRPr="004B21E2">
        <w:rPr>
          <w:rStyle w:val="CharDivText"/>
        </w:rPr>
        <w:t>Transfers of value exemptions</w:t>
      </w:r>
      <w:bookmarkEnd w:id="86"/>
    </w:p>
    <w:p w14:paraId="33B0B4CD" w14:textId="78ADC396" w:rsidR="008117D4" w:rsidRPr="00C86CE6" w:rsidRDefault="00BC4A61" w:rsidP="008117D4">
      <w:pPr>
        <w:pStyle w:val="ActHead5"/>
      </w:pPr>
      <w:bookmarkStart w:id="87" w:name="_Toc184727388"/>
      <w:r w:rsidRPr="004B21E2">
        <w:rPr>
          <w:rStyle w:val="CharSectno"/>
        </w:rPr>
        <w:t>59</w:t>
      </w:r>
      <w:r w:rsidR="008117D4" w:rsidRPr="00C86CE6">
        <w:t xml:space="preserve">  Transfer of value exemptions</w:t>
      </w:r>
      <w:bookmarkEnd w:id="87"/>
    </w:p>
    <w:p w14:paraId="1D14E229" w14:textId="77777777" w:rsidR="008117D4" w:rsidRPr="00C86CE6" w:rsidRDefault="008117D4" w:rsidP="008117D4">
      <w:pPr>
        <w:pStyle w:val="subsection"/>
      </w:pPr>
      <w:r w:rsidRPr="00C86CE6">
        <w:tab/>
        <w:t>(1)</w:t>
      </w:r>
      <w:r w:rsidRPr="00C86CE6">
        <w:tab/>
        <w:t xml:space="preserve">This section is made for the purposes of </w:t>
      </w:r>
      <w:r w:rsidR="00606BBD" w:rsidRPr="00C86CE6">
        <w:t>paragraph 6</w:t>
      </w:r>
      <w:r w:rsidRPr="00C86CE6">
        <w:t>7(1)(b) of the Act.</w:t>
      </w:r>
    </w:p>
    <w:p w14:paraId="4534EF86" w14:textId="4F2625DB" w:rsidR="008117D4" w:rsidRPr="00C86CE6" w:rsidRDefault="008117D4" w:rsidP="008117D4">
      <w:pPr>
        <w:pStyle w:val="SubsectionHead"/>
      </w:pPr>
      <w:r w:rsidRPr="00C86CE6">
        <w:t>Inter</w:t>
      </w:r>
      <w:r w:rsidR="004A7589">
        <w:noBreakHyphen/>
      </w:r>
      <w:r w:rsidRPr="00C86CE6">
        <w:t>financial institution transfers</w:t>
      </w:r>
    </w:p>
    <w:p w14:paraId="1AD5BD1A" w14:textId="77777777" w:rsidR="008117D4" w:rsidRPr="00C86CE6" w:rsidRDefault="008117D4" w:rsidP="008117D4">
      <w:pPr>
        <w:pStyle w:val="subsection"/>
      </w:pPr>
      <w:r w:rsidRPr="00C86CE6">
        <w:tab/>
        <w:t>(2)</w:t>
      </w:r>
      <w:r w:rsidRPr="00C86CE6">
        <w:tab/>
      </w:r>
      <w:r w:rsidR="00606BBD" w:rsidRPr="00C86CE6">
        <w:t>Part 5</w:t>
      </w:r>
      <w:r w:rsidRPr="00C86CE6">
        <w:t xml:space="preserve"> of the Act does not apply to a transfer of value if the payer and the payee are:</w:t>
      </w:r>
    </w:p>
    <w:p w14:paraId="14C4449F" w14:textId="77777777" w:rsidR="008117D4" w:rsidRPr="00C86CE6" w:rsidRDefault="008117D4" w:rsidP="008117D4">
      <w:pPr>
        <w:pStyle w:val="paragraph"/>
      </w:pPr>
      <w:r w:rsidRPr="00C86CE6">
        <w:tab/>
        <w:t>(a)</w:t>
      </w:r>
      <w:r w:rsidRPr="00C86CE6">
        <w:tab/>
        <w:t>financial institutions; and</w:t>
      </w:r>
    </w:p>
    <w:p w14:paraId="488947C0" w14:textId="77777777" w:rsidR="008117D4" w:rsidRPr="00C86CE6" w:rsidRDefault="008117D4" w:rsidP="008117D4">
      <w:pPr>
        <w:pStyle w:val="paragraph"/>
      </w:pPr>
      <w:r w:rsidRPr="00C86CE6">
        <w:tab/>
        <w:t>(b)</w:t>
      </w:r>
      <w:r w:rsidRPr="00C86CE6">
        <w:tab/>
        <w:t>acting on their own behalf.</w:t>
      </w:r>
    </w:p>
    <w:p w14:paraId="55926F3C" w14:textId="77777777" w:rsidR="008117D4" w:rsidRPr="00C86CE6" w:rsidRDefault="008117D4" w:rsidP="008117D4">
      <w:pPr>
        <w:pStyle w:val="subsection"/>
      </w:pPr>
      <w:r w:rsidRPr="00C86CE6">
        <w:tab/>
        <w:t>(3)</w:t>
      </w:r>
      <w:r w:rsidRPr="00C86CE6">
        <w:tab/>
      </w:r>
      <w:r w:rsidR="00606BBD" w:rsidRPr="00C86CE6">
        <w:t>Part 5</w:t>
      </w:r>
      <w:r w:rsidRPr="00C86CE6">
        <w:t xml:space="preserve"> of the Act does not apply to a transfer of value if:</w:t>
      </w:r>
    </w:p>
    <w:p w14:paraId="6DC22C82" w14:textId="77777777" w:rsidR="008117D4" w:rsidRPr="00C86CE6" w:rsidRDefault="008117D4" w:rsidP="008117D4">
      <w:pPr>
        <w:pStyle w:val="paragraph"/>
      </w:pPr>
      <w:r w:rsidRPr="00C86CE6">
        <w:tab/>
        <w:t>(a)</w:t>
      </w:r>
      <w:r w:rsidRPr="00C86CE6">
        <w:tab/>
        <w:t>the transfer message for the transfer of value is sent using the Society for Worldwide Interbank Financial Telecommunication payment delivery system; and</w:t>
      </w:r>
    </w:p>
    <w:p w14:paraId="4D325DA7" w14:textId="77777777" w:rsidR="008117D4" w:rsidRPr="00C86CE6" w:rsidRDefault="008117D4" w:rsidP="008117D4">
      <w:pPr>
        <w:pStyle w:val="paragraph"/>
      </w:pPr>
      <w:r w:rsidRPr="00C86CE6">
        <w:tab/>
        <w:t>(b)</w:t>
      </w:r>
      <w:r w:rsidRPr="00C86CE6">
        <w:tab/>
        <w:t>the payer and the payee are:</w:t>
      </w:r>
    </w:p>
    <w:p w14:paraId="203FB533" w14:textId="77777777" w:rsidR="008117D4" w:rsidRPr="00C86CE6" w:rsidRDefault="008117D4" w:rsidP="008117D4">
      <w:pPr>
        <w:pStyle w:val="paragraphsub"/>
      </w:pPr>
      <w:r w:rsidRPr="00C86CE6">
        <w:tab/>
        <w:t>(i)</w:t>
      </w:r>
      <w:r w:rsidRPr="00C86CE6">
        <w:tab/>
        <w:t xml:space="preserve">Supervised Financial Institutions within the meaning of the document titled </w:t>
      </w:r>
      <w:r w:rsidRPr="00C86CE6">
        <w:rPr>
          <w:i/>
        </w:rPr>
        <w:t>SWIFT Corporate Rules</w:t>
      </w:r>
      <w:r w:rsidRPr="00C86CE6">
        <w:t>, published by the Society for Worldwide Interbank Financial Telecommunications, as existing on the commencement of this instrument; and</w:t>
      </w:r>
    </w:p>
    <w:p w14:paraId="47171DB9" w14:textId="77777777" w:rsidR="008117D4" w:rsidRPr="00C86CE6" w:rsidRDefault="008117D4" w:rsidP="008117D4">
      <w:pPr>
        <w:pStyle w:val="paragraphsub"/>
      </w:pPr>
      <w:r w:rsidRPr="00C86CE6">
        <w:tab/>
        <w:t>(ii)</w:t>
      </w:r>
      <w:r w:rsidRPr="00C86CE6">
        <w:tab/>
        <w:t>acting on their own behalf.</w:t>
      </w:r>
    </w:p>
    <w:p w14:paraId="5CDC24E3" w14:textId="77777777" w:rsidR="008117D4" w:rsidRPr="00C86CE6" w:rsidRDefault="008117D4" w:rsidP="008117D4">
      <w:pPr>
        <w:pStyle w:val="notetext"/>
      </w:pPr>
      <w:r w:rsidRPr="00C86CE6">
        <w:t>Note:</w:t>
      </w:r>
      <w:r w:rsidRPr="00C86CE6">
        <w:tab/>
        <w:t xml:space="preserve">The </w:t>
      </w:r>
      <w:r w:rsidRPr="00C86CE6">
        <w:rPr>
          <w:i/>
        </w:rPr>
        <w:t>SWIFT Corporate Rules</w:t>
      </w:r>
      <w:r w:rsidRPr="00C86CE6">
        <w:t xml:space="preserve"> could in 2024 be viewed on the Society for Worldwide Interbank Financial Telecommunications website (https://www.swift.com).</w:t>
      </w:r>
    </w:p>
    <w:p w14:paraId="047FFAC6" w14:textId="77777777" w:rsidR="008117D4" w:rsidRPr="00C86CE6" w:rsidRDefault="008117D4" w:rsidP="008117D4">
      <w:pPr>
        <w:pStyle w:val="SubsectionHead"/>
      </w:pPr>
      <w:r w:rsidRPr="00C86CE6">
        <w:t>Cheques</w:t>
      </w:r>
    </w:p>
    <w:p w14:paraId="3CC43D65" w14:textId="77777777" w:rsidR="008117D4" w:rsidRPr="00C86CE6" w:rsidRDefault="008117D4" w:rsidP="008117D4">
      <w:pPr>
        <w:pStyle w:val="subsection"/>
      </w:pPr>
      <w:r w:rsidRPr="00C86CE6">
        <w:tab/>
        <w:t>(4)</w:t>
      </w:r>
      <w:r w:rsidRPr="00C86CE6">
        <w:tab/>
      </w:r>
      <w:r w:rsidR="00606BBD" w:rsidRPr="00C86CE6">
        <w:t>Part 5</w:t>
      </w:r>
      <w:r w:rsidRPr="00C86CE6">
        <w:t xml:space="preserve"> of the Act does not apply to a transfer of value if:</w:t>
      </w:r>
    </w:p>
    <w:p w14:paraId="4F741FC3" w14:textId="77777777" w:rsidR="008117D4" w:rsidRPr="00C86CE6" w:rsidRDefault="008117D4" w:rsidP="008117D4">
      <w:pPr>
        <w:pStyle w:val="paragraph"/>
      </w:pPr>
      <w:r w:rsidRPr="00C86CE6">
        <w:tab/>
        <w:t>(a)</w:t>
      </w:r>
      <w:r w:rsidRPr="00C86CE6">
        <w:tab/>
        <w:t>the instruction for the transfer of value is given to the ordering institution by way of a cheque; and</w:t>
      </w:r>
    </w:p>
    <w:p w14:paraId="34F34E0A" w14:textId="77777777" w:rsidR="008117D4" w:rsidRPr="00C86CE6" w:rsidRDefault="008117D4" w:rsidP="008117D4">
      <w:pPr>
        <w:pStyle w:val="paragraph"/>
      </w:pPr>
      <w:r w:rsidRPr="00C86CE6">
        <w:tab/>
        <w:t>(b)</w:t>
      </w:r>
      <w:r w:rsidRPr="00C86CE6">
        <w:tab/>
        <w:t>the cheque is drawn on the ordering institution.</w:t>
      </w:r>
    </w:p>
    <w:p w14:paraId="75059312" w14:textId="2E9DC118" w:rsidR="008117D4" w:rsidRPr="00C86CE6" w:rsidRDefault="008117D4" w:rsidP="008117D4">
      <w:pPr>
        <w:pStyle w:val="SubsectionHead"/>
      </w:pPr>
      <w:r w:rsidRPr="00C86CE6">
        <w:t>Card</w:t>
      </w:r>
      <w:r w:rsidR="004A7589">
        <w:noBreakHyphen/>
      </w:r>
      <w:r w:rsidRPr="00C86CE6">
        <w:t>based pull payments</w:t>
      </w:r>
    </w:p>
    <w:p w14:paraId="71E817A4" w14:textId="77777777" w:rsidR="008117D4" w:rsidRPr="00C86CE6" w:rsidRDefault="008117D4" w:rsidP="008117D4">
      <w:pPr>
        <w:pStyle w:val="subsection"/>
      </w:pPr>
      <w:r w:rsidRPr="00C86CE6">
        <w:tab/>
        <w:t>(5)</w:t>
      </w:r>
      <w:r w:rsidRPr="00C86CE6">
        <w:tab/>
        <w:t>Paragraphs 64(2)(a) and (b) and (5)(a) of the Act do not apply to a transfer of value if the transfer of value is:</w:t>
      </w:r>
    </w:p>
    <w:p w14:paraId="6FDFE364" w14:textId="6FD1A498" w:rsidR="008117D4" w:rsidRPr="00C86CE6" w:rsidRDefault="008117D4" w:rsidP="007F699C">
      <w:pPr>
        <w:pStyle w:val="paragraph"/>
      </w:pPr>
      <w:r w:rsidRPr="00C86CE6">
        <w:tab/>
        <w:t>(</w:t>
      </w:r>
      <w:r w:rsidR="00F73CE2" w:rsidRPr="00C86CE6">
        <w:t>a</w:t>
      </w:r>
      <w:r w:rsidRPr="00C86CE6">
        <w:t>)</w:t>
      </w:r>
      <w:r w:rsidRPr="00C86CE6">
        <w:tab/>
        <w:t>a card</w:t>
      </w:r>
      <w:r w:rsidR="004A7589">
        <w:noBreakHyphen/>
      </w:r>
      <w:r w:rsidRPr="00C86CE6">
        <w:t>based pull payment; or</w:t>
      </w:r>
    </w:p>
    <w:p w14:paraId="7B23540F" w14:textId="33E11528" w:rsidR="008117D4" w:rsidRPr="00C86CE6" w:rsidRDefault="008117D4" w:rsidP="007F699C">
      <w:pPr>
        <w:pStyle w:val="paragraph"/>
      </w:pPr>
      <w:r w:rsidRPr="00C86CE6">
        <w:tab/>
        <w:t>(</w:t>
      </w:r>
      <w:r w:rsidR="00F73CE2" w:rsidRPr="00C86CE6">
        <w:t>b</w:t>
      </w:r>
      <w:r w:rsidRPr="00C86CE6">
        <w:t>)</w:t>
      </w:r>
      <w:r w:rsidRPr="00C86CE6">
        <w:tab/>
        <w:t>a refund of a card</w:t>
      </w:r>
      <w:r w:rsidR="004A7589">
        <w:noBreakHyphen/>
      </w:r>
      <w:r w:rsidRPr="00C86CE6">
        <w:t>based pull payment.</w:t>
      </w:r>
    </w:p>
    <w:p w14:paraId="155CB079" w14:textId="4D2D467D" w:rsidR="008117D4" w:rsidRPr="00C86CE6" w:rsidRDefault="008117D4" w:rsidP="008117D4">
      <w:pPr>
        <w:pStyle w:val="SubsectionHead"/>
      </w:pPr>
      <w:r w:rsidRPr="00C86CE6">
        <w:t>Transfers to a self</w:t>
      </w:r>
      <w:r w:rsidR="004A7589">
        <w:noBreakHyphen/>
      </w:r>
      <w:r w:rsidRPr="00C86CE6">
        <w:t>hosted virtual asset wallet</w:t>
      </w:r>
    </w:p>
    <w:p w14:paraId="1FEAD086" w14:textId="66B64B19" w:rsidR="008117D4" w:rsidRPr="00C86CE6" w:rsidRDefault="008117D4" w:rsidP="008117D4">
      <w:pPr>
        <w:pStyle w:val="subsection"/>
        <w:rPr>
          <w:i/>
        </w:rPr>
      </w:pPr>
      <w:r w:rsidRPr="00C86CE6">
        <w:tab/>
        <w:t>(6)</w:t>
      </w:r>
      <w:r w:rsidRPr="00C86CE6">
        <w:tab/>
      </w:r>
      <w:r w:rsidR="009B58BE" w:rsidRPr="00C86CE6">
        <w:t>Subsection 6</w:t>
      </w:r>
      <w:r w:rsidRPr="00C86CE6">
        <w:t xml:space="preserve">4(3) of the Act and </w:t>
      </w:r>
      <w:r w:rsidR="00606BBD" w:rsidRPr="00C86CE6">
        <w:t>paragraph 6</w:t>
      </w:r>
      <w:r w:rsidRPr="00C86CE6">
        <w:t>4(5)(b) of the Act do not apply to a transfer of value if the value is being transferred to a self</w:t>
      </w:r>
      <w:r w:rsidR="004A7589">
        <w:noBreakHyphen/>
      </w:r>
      <w:r w:rsidRPr="00C86CE6">
        <w:t>hosted virtual asset wallet.</w:t>
      </w:r>
    </w:p>
    <w:p w14:paraId="0E4E71DC" w14:textId="0D1BF7AF" w:rsidR="008117D4" w:rsidRPr="00C86CE6" w:rsidRDefault="00A25E52" w:rsidP="008117D4">
      <w:pPr>
        <w:pStyle w:val="ActHead3"/>
        <w:pageBreakBefore/>
      </w:pPr>
      <w:bookmarkStart w:id="88" w:name="_Toc184727389"/>
      <w:r w:rsidRPr="004B21E2">
        <w:rPr>
          <w:rStyle w:val="CharDivNo"/>
        </w:rPr>
        <w:lastRenderedPageBreak/>
        <w:t>Division 4</w:t>
      </w:r>
      <w:r w:rsidR="008117D4" w:rsidRPr="00C86CE6">
        <w:t>—</w:t>
      </w:r>
      <w:r w:rsidR="008117D4" w:rsidRPr="004B21E2">
        <w:rPr>
          <w:rStyle w:val="CharDivText"/>
        </w:rPr>
        <w:t>International value transfer services</w:t>
      </w:r>
      <w:bookmarkEnd w:id="88"/>
    </w:p>
    <w:p w14:paraId="7272BBD7" w14:textId="1B81E70A" w:rsidR="008117D4" w:rsidRPr="00C86CE6" w:rsidRDefault="00BC4A61" w:rsidP="008117D4">
      <w:pPr>
        <w:pStyle w:val="ActHead5"/>
      </w:pPr>
      <w:bookmarkStart w:id="89" w:name="_Toc184727390"/>
      <w:r w:rsidRPr="004B21E2">
        <w:rPr>
          <w:rStyle w:val="CharSectno"/>
        </w:rPr>
        <w:t>60</w:t>
      </w:r>
      <w:r w:rsidR="008117D4" w:rsidRPr="00C86CE6">
        <w:t xml:space="preserve">  When value is in a country</w:t>
      </w:r>
      <w:bookmarkEnd w:id="89"/>
    </w:p>
    <w:p w14:paraId="369D2CC7" w14:textId="77777777" w:rsidR="008117D4" w:rsidRPr="00C86CE6" w:rsidRDefault="008117D4" w:rsidP="008117D4">
      <w:pPr>
        <w:pStyle w:val="subsection"/>
      </w:pPr>
      <w:r w:rsidRPr="00C86CE6">
        <w:tab/>
      </w:r>
      <w:r w:rsidRPr="00C86CE6">
        <w:tab/>
        <w:t xml:space="preserve">For the purposes of </w:t>
      </w:r>
      <w:r w:rsidR="00606BBD" w:rsidRPr="00C86CE6">
        <w:t>subsection 4</w:t>
      </w:r>
      <w:r w:rsidRPr="00C86CE6">
        <w:t xml:space="preserve">5(2) of the Act, each of the following is a circumstance in which value, in relation to a transfer of value, is </w:t>
      </w:r>
      <w:r w:rsidRPr="00C86CE6">
        <w:rPr>
          <w:b/>
          <w:i/>
        </w:rPr>
        <w:t>in</w:t>
      </w:r>
      <w:r w:rsidRPr="00C86CE6">
        <w:t xml:space="preserve"> a country:</w:t>
      </w:r>
    </w:p>
    <w:p w14:paraId="46CBA9EE" w14:textId="77777777" w:rsidR="008117D4" w:rsidRPr="00C86CE6" w:rsidRDefault="008117D4" w:rsidP="008117D4">
      <w:pPr>
        <w:pStyle w:val="paragraph"/>
      </w:pPr>
      <w:r w:rsidRPr="00C86CE6">
        <w:tab/>
        <w:t>(a)</w:t>
      </w:r>
      <w:r w:rsidRPr="00C86CE6">
        <w:tab/>
        <w:t>the payer provides the value to the ordering institution at or through a permanent establishment of the ordering institution in the country;</w:t>
      </w:r>
    </w:p>
    <w:p w14:paraId="0E42EEEC" w14:textId="77777777" w:rsidR="008117D4" w:rsidRPr="00C86CE6" w:rsidRDefault="008117D4" w:rsidP="008117D4">
      <w:pPr>
        <w:pStyle w:val="paragraph"/>
      </w:pPr>
      <w:r w:rsidRPr="00C86CE6">
        <w:tab/>
        <w:t>(b)</w:t>
      </w:r>
      <w:r w:rsidRPr="00C86CE6">
        <w:tab/>
        <w:t>the ordering institution holds the value to be transferred in an account provided to the payer or otherwise on deposit for the payer (including in a virtual asset wallet) at or through a permanent establishment of the ordering institution in the country;</w:t>
      </w:r>
    </w:p>
    <w:p w14:paraId="38D496F2" w14:textId="77777777" w:rsidR="008117D4" w:rsidRPr="00C86CE6" w:rsidRDefault="008117D4" w:rsidP="008117D4">
      <w:pPr>
        <w:pStyle w:val="paragraph"/>
      </w:pPr>
      <w:r w:rsidRPr="00C86CE6">
        <w:tab/>
        <w:t>(c)</w:t>
      </w:r>
      <w:r w:rsidRPr="00C86CE6">
        <w:tab/>
        <w:t>the ordering institution is authorised under an arrangement with the payer to transfer the value from another person at or through a permanent establishment of the other person in the country;</w:t>
      </w:r>
    </w:p>
    <w:p w14:paraId="4EAF9921" w14:textId="77777777" w:rsidR="008117D4" w:rsidRPr="00C86CE6" w:rsidRDefault="008117D4" w:rsidP="008117D4">
      <w:pPr>
        <w:pStyle w:val="paragraph"/>
      </w:pPr>
      <w:r w:rsidRPr="00C86CE6">
        <w:tab/>
        <w:t>(d)</w:t>
      </w:r>
      <w:r w:rsidRPr="00C86CE6">
        <w:tab/>
        <w:t>the ordering institution or beneficiary institution initiates an offsetting arrangement that includes transferring the value within the country;</w:t>
      </w:r>
    </w:p>
    <w:p w14:paraId="41927150" w14:textId="77777777" w:rsidR="008117D4" w:rsidRPr="00C86CE6" w:rsidRDefault="008117D4" w:rsidP="008117D4">
      <w:pPr>
        <w:pStyle w:val="paragraph"/>
      </w:pPr>
      <w:r w:rsidRPr="00C86CE6">
        <w:tab/>
        <w:t>(e)</w:t>
      </w:r>
      <w:r w:rsidRPr="00C86CE6">
        <w:tab/>
        <w:t>the beneficiary institution makes the value available to the payee:</w:t>
      </w:r>
    </w:p>
    <w:p w14:paraId="2A11DA3D" w14:textId="77777777" w:rsidR="008117D4" w:rsidRPr="00C86CE6" w:rsidRDefault="008117D4" w:rsidP="008117D4">
      <w:pPr>
        <w:pStyle w:val="paragraphsub"/>
      </w:pPr>
      <w:r w:rsidRPr="00C86CE6">
        <w:tab/>
        <w:t>(i)</w:t>
      </w:r>
      <w:r w:rsidRPr="00C86CE6">
        <w:tab/>
        <w:t>at or through a permanent establishment of the beneficiary institution in the country; or</w:t>
      </w:r>
    </w:p>
    <w:p w14:paraId="09EE1747" w14:textId="77777777" w:rsidR="008117D4" w:rsidRPr="00C86CE6" w:rsidRDefault="008117D4" w:rsidP="008117D4">
      <w:pPr>
        <w:pStyle w:val="paragraphsub"/>
      </w:pPr>
      <w:r w:rsidRPr="00C86CE6">
        <w:tab/>
        <w:t>(ii)</w:t>
      </w:r>
      <w:r w:rsidRPr="00C86CE6">
        <w:tab/>
        <w:t>by depositing the value with a person at or through a permanent establishment of the person in the country; or</w:t>
      </w:r>
    </w:p>
    <w:p w14:paraId="0DFFAC5A" w14:textId="77777777" w:rsidR="00A52097" w:rsidRPr="00C86CE6" w:rsidRDefault="008117D4" w:rsidP="008117D4">
      <w:pPr>
        <w:pStyle w:val="paragraphsub"/>
      </w:pPr>
      <w:r w:rsidRPr="00C86CE6">
        <w:tab/>
        <w:t>(iii)</w:t>
      </w:r>
      <w:r w:rsidRPr="00C86CE6">
        <w:tab/>
        <w:t>by depositing the value into an account held by the payee with the beneficiary institution or otherwise holding the value on deposit for the payee (including in a virtual asset wallet) at or through a permanent establishment of the beneficiary institution in the country.</w:t>
      </w:r>
    </w:p>
    <w:p w14:paraId="2483BCF5" w14:textId="37591DC0" w:rsidR="00D86399" w:rsidRPr="00C86CE6" w:rsidRDefault="00606BBD" w:rsidP="00D86399">
      <w:pPr>
        <w:pStyle w:val="ActHead2"/>
        <w:pageBreakBefore/>
      </w:pPr>
      <w:bookmarkStart w:id="90" w:name="_Toc184727391"/>
      <w:r w:rsidRPr="004B21E2">
        <w:rPr>
          <w:rStyle w:val="CharPartNo"/>
        </w:rPr>
        <w:lastRenderedPageBreak/>
        <w:t>Part </w:t>
      </w:r>
      <w:r w:rsidR="00AB693F" w:rsidRPr="004B21E2">
        <w:rPr>
          <w:rStyle w:val="CharPartNo"/>
        </w:rPr>
        <w:t>8</w:t>
      </w:r>
      <w:r w:rsidR="00D86399" w:rsidRPr="00C86CE6">
        <w:t>—</w:t>
      </w:r>
      <w:r w:rsidR="00D86399" w:rsidRPr="004B21E2">
        <w:rPr>
          <w:rStyle w:val="CharPartText"/>
        </w:rPr>
        <w:t>Reporting</w:t>
      </w:r>
      <w:bookmarkEnd w:id="90"/>
    </w:p>
    <w:p w14:paraId="7A7468CB" w14:textId="0D06C58A" w:rsidR="009B152C" w:rsidRPr="00C86CE6" w:rsidRDefault="00270E8B" w:rsidP="00D07296">
      <w:pPr>
        <w:pStyle w:val="ActHead3"/>
      </w:pPr>
      <w:bookmarkStart w:id="91" w:name="_Toc184727392"/>
      <w:r w:rsidRPr="004B21E2">
        <w:rPr>
          <w:rStyle w:val="CharDivNo"/>
        </w:rPr>
        <w:t>Division 1</w:t>
      </w:r>
      <w:r w:rsidR="009B152C" w:rsidRPr="00C86CE6">
        <w:t>—</w:t>
      </w:r>
      <w:r w:rsidR="009B152C" w:rsidRPr="004B21E2">
        <w:rPr>
          <w:rStyle w:val="CharDivText"/>
        </w:rPr>
        <w:t>Suspicious matter reports [to be drafted]</w:t>
      </w:r>
      <w:bookmarkEnd w:id="91"/>
    </w:p>
    <w:p w14:paraId="0D07AAEC" w14:textId="3C3A1990" w:rsidR="009B152C" w:rsidRPr="00C86CE6" w:rsidRDefault="00270E8B" w:rsidP="009B152C">
      <w:pPr>
        <w:pStyle w:val="ActHead3"/>
        <w:pageBreakBefore/>
      </w:pPr>
      <w:bookmarkStart w:id="92" w:name="_Toc184727393"/>
      <w:r w:rsidRPr="004B21E2">
        <w:rPr>
          <w:rStyle w:val="CharDivNo"/>
        </w:rPr>
        <w:lastRenderedPageBreak/>
        <w:t>Division 2</w:t>
      </w:r>
      <w:r w:rsidR="009B152C" w:rsidRPr="00C86CE6">
        <w:t>—</w:t>
      </w:r>
      <w:r w:rsidR="009B152C" w:rsidRPr="004B21E2">
        <w:rPr>
          <w:rStyle w:val="CharDivText"/>
        </w:rPr>
        <w:t>Threshold transaction reports [to be drafted]</w:t>
      </w:r>
      <w:bookmarkEnd w:id="92"/>
    </w:p>
    <w:p w14:paraId="5D65C837" w14:textId="708887CF" w:rsidR="00270E8B" w:rsidRPr="00C86CE6" w:rsidRDefault="00270E8B" w:rsidP="00270E8B">
      <w:pPr>
        <w:pStyle w:val="ActHead3"/>
        <w:pageBreakBefore/>
      </w:pPr>
      <w:bookmarkStart w:id="93" w:name="_Toc184727394"/>
      <w:r w:rsidRPr="004B21E2">
        <w:rPr>
          <w:rStyle w:val="CharDivNo"/>
        </w:rPr>
        <w:lastRenderedPageBreak/>
        <w:t>Division 3</w:t>
      </w:r>
      <w:r w:rsidRPr="00C86CE6">
        <w:t>—</w:t>
      </w:r>
      <w:r w:rsidRPr="004B21E2">
        <w:rPr>
          <w:rStyle w:val="CharDivText"/>
        </w:rPr>
        <w:t>International value transfer reports [to be drafted]</w:t>
      </w:r>
      <w:bookmarkEnd w:id="93"/>
    </w:p>
    <w:p w14:paraId="6CF4C8AF" w14:textId="4FA14F84" w:rsidR="00D07296" w:rsidRPr="00C86CE6" w:rsidRDefault="00A25E52" w:rsidP="009B152C">
      <w:pPr>
        <w:pStyle w:val="ActHead3"/>
        <w:pageBreakBefore/>
      </w:pPr>
      <w:bookmarkStart w:id="94" w:name="_Toc184727395"/>
      <w:r w:rsidRPr="004B21E2">
        <w:rPr>
          <w:rStyle w:val="CharDivNo"/>
        </w:rPr>
        <w:lastRenderedPageBreak/>
        <w:t>Division </w:t>
      </w:r>
      <w:r w:rsidR="009B152C" w:rsidRPr="004B21E2">
        <w:rPr>
          <w:rStyle w:val="CharDivNo"/>
        </w:rPr>
        <w:t>4</w:t>
      </w:r>
      <w:r w:rsidR="00D07296" w:rsidRPr="00C86CE6">
        <w:t>—</w:t>
      </w:r>
      <w:r w:rsidR="00D07296" w:rsidRPr="004B21E2">
        <w:rPr>
          <w:rStyle w:val="CharDivText"/>
        </w:rPr>
        <w:t>AML/CTF compliance reports</w:t>
      </w:r>
      <w:bookmarkEnd w:id="94"/>
    </w:p>
    <w:p w14:paraId="05C3DEEF" w14:textId="237EBE64" w:rsidR="00D07296" w:rsidRPr="00C86CE6" w:rsidRDefault="00BC4A61" w:rsidP="00D07296">
      <w:pPr>
        <w:pStyle w:val="ActHead5"/>
      </w:pPr>
      <w:bookmarkStart w:id="95" w:name="_Toc184727396"/>
      <w:r w:rsidRPr="004B21E2">
        <w:rPr>
          <w:rStyle w:val="CharSectno"/>
        </w:rPr>
        <w:t>61</w:t>
      </w:r>
      <w:r w:rsidR="00D07296" w:rsidRPr="00C86CE6">
        <w:t xml:space="preserve">  Reporting and lodgement periods for AML/CTF compliance reports</w:t>
      </w:r>
      <w:bookmarkEnd w:id="95"/>
    </w:p>
    <w:p w14:paraId="464C25F4" w14:textId="77777777" w:rsidR="00D07296" w:rsidRPr="00C86CE6" w:rsidRDefault="00D07296" w:rsidP="00D07296">
      <w:pPr>
        <w:pStyle w:val="subsection"/>
      </w:pPr>
      <w:r w:rsidRPr="00C86CE6">
        <w:tab/>
      </w:r>
      <w:r w:rsidRPr="00C86CE6">
        <w:tab/>
        <w:t xml:space="preserve">For the purposes of </w:t>
      </w:r>
      <w:r w:rsidR="00606BBD" w:rsidRPr="00C86CE6">
        <w:t>section 4</w:t>
      </w:r>
      <w:r w:rsidRPr="00C86CE6">
        <w:t>7 of the Act:</w:t>
      </w:r>
    </w:p>
    <w:p w14:paraId="7258E525" w14:textId="77777777" w:rsidR="00D07296" w:rsidRPr="00C86CE6" w:rsidRDefault="00D07296" w:rsidP="00D07296">
      <w:pPr>
        <w:pStyle w:val="paragraph"/>
      </w:pPr>
      <w:r w:rsidRPr="00C86CE6">
        <w:tab/>
        <w:t>(a)</w:t>
      </w:r>
      <w:r w:rsidRPr="00C86CE6">
        <w:tab/>
        <w:t>each calendar year is a reporting period; and</w:t>
      </w:r>
    </w:p>
    <w:p w14:paraId="575B9EAC" w14:textId="77777777" w:rsidR="00D07296" w:rsidRPr="00C86CE6" w:rsidRDefault="00D07296" w:rsidP="00D07296">
      <w:pPr>
        <w:pStyle w:val="paragraph"/>
      </w:pPr>
      <w:r w:rsidRPr="00C86CE6">
        <w:tab/>
        <w:t>(b)</w:t>
      </w:r>
      <w:r w:rsidRPr="00C86CE6">
        <w:tab/>
        <w:t>the period of 3 months beginning at the end of each reporting period is the lodgement period for that reporting period.</w:t>
      </w:r>
    </w:p>
    <w:p w14:paraId="70E30B6A" w14:textId="29379B15" w:rsidR="00777497" w:rsidRPr="00C86CE6" w:rsidRDefault="00A25E52" w:rsidP="00D07296">
      <w:pPr>
        <w:pStyle w:val="ActHead3"/>
        <w:pageBreakBefore/>
      </w:pPr>
      <w:bookmarkStart w:id="96" w:name="_Toc184727397"/>
      <w:r w:rsidRPr="004B21E2">
        <w:rPr>
          <w:rStyle w:val="CharDivNo"/>
        </w:rPr>
        <w:lastRenderedPageBreak/>
        <w:t>Division </w:t>
      </w:r>
      <w:r w:rsidR="009B152C" w:rsidRPr="004B21E2">
        <w:rPr>
          <w:rStyle w:val="CharDivNo"/>
        </w:rPr>
        <w:t>5</w:t>
      </w:r>
      <w:r w:rsidR="00B42B42" w:rsidRPr="00C86CE6">
        <w:t>—</w:t>
      </w:r>
      <w:r w:rsidR="00777497" w:rsidRPr="004B21E2">
        <w:rPr>
          <w:rStyle w:val="CharDivText"/>
        </w:rPr>
        <w:t>Registered remittance affiliates</w:t>
      </w:r>
      <w:bookmarkEnd w:id="96"/>
    </w:p>
    <w:p w14:paraId="5139E708" w14:textId="2608B54B" w:rsidR="00777497" w:rsidRPr="00C86CE6" w:rsidRDefault="00BC4A61" w:rsidP="00777497">
      <w:pPr>
        <w:pStyle w:val="ActHead5"/>
      </w:pPr>
      <w:bookmarkStart w:id="97" w:name="_Toc184727398"/>
      <w:r w:rsidRPr="004B21E2">
        <w:rPr>
          <w:rStyle w:val="CharSectno"/>
        </w:rPr>
        <w:t>62</w:t>
      </w:r>
      <w:r w:rsidR="00777497" w:rsidRPr="00C86CE6">
        <w:t xml:space="preserve">  Reporting obligations of registered remittance affiliates</w:t>
      </w:r>
      <w:bookmarkEnd w:id="97"/>
    </w:p>
    <w:p w14:paraId="3560EBC2" w14:textId="77777777" w:rsidR="00777497" w:rsidRPr="00C86CE6" w:rsidRDefault="00777497" w:rsidP="00777497">
      <w:pPr>
        <w:pStyle w:val="subsection"/>
      </w:pPr>
      <w:r w:rsidRPr="00C86CE6">
        <w:tab/>
        <w:t>(1)</w:t>
      </w:r>
      <w:r w:rsidRPr="00C86CE6">
        <w:tab/>
        <w:t xml:space="preserve">This section is made for the purposes of </w:t>
      </w:r>
      <w:r w:rsidR="00606BBD" w:rsidRPr="00C86CE6">
        <w:t>section 4</w:t>
      </w:r>
      <w:r w:rsidRPr="00C86CE6">
        <w:t>9A of the Act.</w:t>
      </w:r>
    </w:p>
    <w:p w14:paraId="624140C0" w14:textId="77777777" w:rsidR="00777497" w:rsidRPr="00C86CE6" w:rsidRDefault="00777497" w:rsidP="00777497">
      <w:pPr>
        <w:pStyle w:val="SubsectionHead"/>
      </w:pPr>
      <w:r w:rsidRPr="00C86CE6">
        <w:t>Reports of suspicious matters</w:t>
      </w:r>
    </w:p>
    <w:p w14:paraId="7C5DE654" w14:textId="77777777" w:rsidR="00777497" w:rsidRPr="00C86CE6" w:rsidRDefault="00777497" w:rsidP="00777497">
      <w:pPr>
        <w:pStyle w:val="subsection"/>
      </w:pPr>
      <w:r w:rsidRPr="00C86CE6">
        <w:tab/>
        <w:t>(2)</w:t>
      </w:r>
      <w:r w:rsidRPr="00C86CE6">
        <w:tab/>
        <w:t xml:space="preserve">An obligation imposed by </w:t>
      </w:r>
      <w:r w:rsidR="00606BBD" w:rsidRPr="00C86CE6">
        <w:t>subsection 4</w:t>
      </w:r>
      <w:r w:rsidRPr="00C86CE6">
        <w:t>1(2) of the Act (which deals with reports of suspicious matters) upon a registered remittance affiliate of a registered remittance network provider to give a report may be discharged by the network provider if there is a written agreement between the affiliate and the network provider that provides for the network provider to do so.</w:t>
      </w:r>
    </w:p>
    <w:p w14:paraId="395A29E4" w14:textId="77777777" w:rsidR="00777497" w:rsidRPr="00C86CE6" w:rsidRDefault="00777497" w:rsidP="00777497">
      <w:pPr>
        <w:pStyle w:val="SubsectionHead"/>
      </w:pPr>
      <w:r w:rsidRPr="00C86CE6">
        <w:t>Reports of threshold transactions or international funds transfer instructions</w:t>
      </w:r>
    </w:p>
    <w:p w14:paraId="28D95130" w14:textId="3DBC157B" w:rsidR="00777497" w:rsidRPr="00C86CE6" w:rsidRDefault="00777497" w:rsidP="00AD02E3">
      <w:pPr>
        <w:pStyle w:val="subsection"/>
      </w:pPr>
      <w:r w:rsidRPr="00C86CE6">
        <w:tab/>
        <w:t>(3)</w:t>
      </w:r>
      <w:r w:rsidRPr="00C86CE6">
        <w:tab/>
        <w:t xml:space="preserve">An obligation imposed by </w:t>
      </w:r>
      <w:r w:rsidR="00606BBD" w:rsidRPr="00C86CE6">
        <w:t>subsection 4</w:t>
      </w:r>
      <w:r w:rsidRPr="00C86CE6">
        <w:t>3(2) (which deals with reports of threshold transaction) or 45(2) (which deals with reports of international funds transfer instructions) of the Act upon a registered remittance affiliate of a registered remittance network provider to give a report is taken instead to be an obligation imposed on the network provider.</w:t>
      </w:r>
    </w:p>
    <w:p w14:paraId="340C5D61" w14:textId="1A43BC80" w:rsidR="00B42B42" w:rsidRPr="00C86CE6" w:rsidRDefault="00A25E52" w:rsidP="00556396">
      <w:pPr>
        <w:pStyle w:val="ActHead3"/>
        <w:pageBreakBefore/>
      </w:pPr>
      <w:bookmarkStart w:id="98" w:name="_Toc184727399"/>
      <w:r w:rsidRPr="004B21E2">
        <w:rPr>
          <w:rStyle w:val="CharDivNo"/>
        </w:rPr>
        <w:lastRenderedPageBreak/>
        <w:t>Division </w:t>
      </w:r>
      <w:r w:rsidR="009B152C" w:rsidRPr="004B21E2">
        <w:rPr>
          <w:rStyle w:val="CharDivNo"/>
        </w:rPr>
        <w:t>6</w:t>
      </w:r>
      <w:r w:rsidR="00556396" w:rsidRPr="00C86CE6">
        <w:t>—</w:t>
      </w:r>
      <w:r w:rsidR="00556396" w:rsidRPr="004B21E2">
        <w:rPr>
          <w:rStyle w:val="CharDivText"/>
        </w:rPr>
        <w:t>Cross</w:t>
      </w:r>
      <w:r w:rsidR="004A7589" w:rsidRPr="004B21E2">
        <w:rPr>
          <w:rStyle w:val="CharDivText"/>
        </w:rPr>
        <w:noBreakHyphen/>
      </w:r>
      <w:r w:rsidR="00556396" w:rsidRPr="004B21E2">
        <w:rPr>
          <w:rStyle w:val="CharDivText"/>
        </w:rPr>
        <w:t>border movement reports</w:t>
      </w:r>
      <w:bookmarkEnd w:id="98"/>
    </w:p>
    <w:p w14:paraId="59671BE4" w14:textId="3427709A" w:rsidR="00164EC4" w:rsidRPr="00C86CE6" w:rsidRDefault="00BC4A61" w:rsidP="005A1F5F">
      <w:pPr>
        <w:pStyle w:val="ActHead5"/>
      </w:pPr>
      <w:bookmarkStart w:id="99" w:name="_Toc184727400"/>
      <w:r w:rsidRPr="004B21E2">
        <w:rPr>
          <w:rStyle w:val="CharSectno"/>
        </w:rPr>
        <w:t>63</w:t>
      </w:r>
      <w:r w:rsidR="005A1F5F" w:rsidRPr="00C86CE6">
        <w:t xml:space="preserve">  </w:t>
      </w:r>
      <w:r w:rsidR="00164EC4" w:rsidRPr="00C86CE6">
        <w:t>Purpose of this Division</w:t>
      </w:r>
      <w:bookmarkEnd w:id="99"/>
    </w:p>
    <w:p w14:paraId="63A5E8DF" w14:textId="77777777" w:rsidR="00164EC4" w:rsidRPr="00C86CE6" w:rsidRDefault="00164EC4" w:rsidP="00164EC4">
      <w:pPr>
        <w:pStyle w:val="subsection"/>
      </w:pPr>
      <w:r w:rsidRPr="00C86CE6">
        <w:tab/>
      </w:r>
      <w:r w:rsidRPr="00C86CE6">
        <w:tab/>
        <w:t>This Division is made for the purposes of the following provisions of the Act:</w:t>
      </w:r>
    </w:p>
    <w:p w14:paraId="6EE39431" w14:textId="77777777" w:rsidR="00556396" w:rsidRPr="00C86CE6" w:rsidRDefault="00556396" w:rsidP="00556396">
      <w:pPr>
        <w:pStyle w:val="paragraph"/>
      </w:pPr>
      <w:r w:rsidRPr="00C86CE6">
        <w:tab/>
        <w:t>(a)</w:t>
      </w:r>
      <w:r w:rsidRPr="00C86CE6">
        <w:tab/>
      </w:r>
      <w:r w:rsidR="00606BBD" w:rsidRPr="00C86CE6">
        <w:t>paragraph 5</w:t>
      </w:r>
      <w:r w:rsidRPr="00C86CE6">
        <w:t>3(7)(b)</w:t>
      </w:r>
      <w:r w:rsidR="009B5733" w:rsidRPr="00C86CE6">
        <w:t>;</w:t>
      </w:r>
    </w:p>
    <w:p w14:paraId="2BB90C32" w14:textId="77777777" w:rsidR="00556396" w:rsidRPr="00C86CE6" w:rsidRDefault="00556396" w:rsidP="00556396">
      <w:pPr>
        <w:pStyle w:val="paragraph"/>
      </w:pPr>
      <w:r w:rsidRPr="00C86CE6">
        <w:tab/>
        <w:t>(b)</w:t>
      </w:r>
      <w:r w:rsidRPr="00C86CE6">
        <w:tab/>
      </w:r>
      <w:r w:rsidR="00606BBD" w:rsidRPr="00C86CE6">
        <w:t>paragraph 5</w:t>
      </w:r>
      <w:r w:rsidRPr="00C86CE6">
        <w:t>3(7)(d);</w:t>
      </w:r>
    </w:p>
    <w:p w14:paraId="75159F52" w14:textId="77777777" w:rsidR="00556396" w:rsidRPr="00C86CE6" w:rsidRDefault="00556396" w:rsidP="00556396">
      <w:pPr>
        <w:pStyle w:val="paragraph"/>
      </w:pPr>
      <w:r w:rsidRPr="00C86CE6">
        <w:tab/>
        <w:t>(c)</w:t>
      </w:r>
      <w:r w:rsidRPr="00C86CE6">
        <w:tab/>
      </w:r>
      <w:r w:rsidR="00606BBD" w:rsidRPr="00C86CE6">
        <w:t>paragraph 5</w:t>
      </w:r>
      <w:r w:rsidRPr="00C86CE6">
        <w:t>4(4)(b)</w:t>
      </w:r>
      <w:r w:rsidR="005577B2" w:rsidRPr="00C86CE6">
        <w:t>;</w:t>
      </w:r>
    </w:p>
    <w:p w14:paraId="598DFFBA" w14:textId="77777777" w:rsidR="000A5BA7" w:rsidRPr="00C86CE6" w:rsidRDefault="000A5BA7" w:rsidP="00556396">
      <w:pPr>
        <w:pStyle w:val="paragraph"/>
      </w:pPr>
      <w:r w:rsidRPr="00C86CE6">
        <w:tab/>
        <w:t>(d)</w:t>
      </w:r>
      <w:r w:rsidRPr="00C86CE6">
        <w:tab/>
      </w:r>
      <w:r w:rsidR="00606BBD" w:rsidRPr="00C86CE6">
        <w:t>paragraph 6</w:t>
      </w:r>
      <w:r w:rsidRPr="00C86CE6">
        <w:t>1(1)(b)</w:t>
      </w:r>
      <w:r w:rsidR="009B5733" w:rsidRPr="00C86CE6">
        <w:t>;</w:t>
      </w:r>
    </w:p>
    <w:p w14:paraId="379874FD" w14:textId="77777777" w:rsidR="00334A29" w:rsidRPr="00C86CE6" w:rsidRDefault="005577B2" w:rsidP="00556396">
      <w:pPr>
        <w:pStyle w:val="paragraph"/>
      </w:pPr>
      <w:r w:rsidRPr="00C86CE6">
        <w:tab/>
      </w:r>
      <w:r w:rsidR="00334A29" w:rsidRPr="00C86CE6">
        <w:t>(</w:t>
      </w:r>
      <w:r w:rsidR="0020657D" w:rsidRPr="00C86CE6">
        <w:t>e</w:t>
      </w:r>
      <w:r w:rsidR="00334A29" w:rsidRPr="00C86CE6">
        <w:t>)</w:t>
      </w:r>
      <w:r w:rsidR="00334A29" w:rsidRPr="00C86CE6">
        <w:tab/>
      </w:r>
      <w:r w:rsidR="00606BBD" w:rsidRPr="00C86CE6">
        <w:t>paragraph 6</w:t>
      </w:r>
      <w:r w:rsidR="00334A29" w:rsidRPr="00C86CE6">
        <w:t>1(2)(b).</w:t>
      </w:r>
    </w:p>
    <w:p w14:paraId="6ECCCF65" w14:textId="61F0A91A" w:rsidR="00164EC4" w:rsidRPr="00C86CE6" w:rsidRDefault="00BC4A61" w:rsidP="00D06C2E">
      <w:pPr>
        <w:pStyle w:val="ActHead5"/>
      </w:pPr>
      <w:bookmarkStart w:id="100" w:name="_Toc184727401"/>
      <w:r w:rsidRPr="004B21E2">
        <w:rPr>
          <w:rStyle w:val="CharSectno"/>
        </w:rPr>
        <w:t>64</w:t>
      </w:r>
      <w:r w:rsidR="00D06C2E" w:rsidRPr="00C86CE6">
        <w:t xml:space="preserve">  </w:t>
      </w:r>
      <w:r w:rsidR="00164EC4" w:rsidRPr="00C86CE6">
        <w:t>Reports about mov</w:t>
      </w:r>
      <w:r w:rsidR="00D06C2E" w:rsidRPr="00C86CE6">
        <w:t xml:space="preserve">ing </w:t>
      </w:r>
      <w:r w:rsidR="00164EC4" w:rsidRPr="00C86CE6">
        <w:t>monetary instruments into or out of Australia</w:t>
      </w:r>
      <w:bookmarkEnd w:id="100"/>
    </w:p>
    <w:p w14:paraId="423D4C74" w14:textId="77777777" w:rsidR="00556396" w:rsidRPr="00C86CE6" w:rsidRDefault="00556396" w:rsidP="00D06C2E">
      <w:pPr>
        <w:pStyle w:val="subsection"/>
      </w:pPr>
      <w:r w:rsidRPr="00C86CE6">
        <w:tab/>
        <w:t>(1)</w:t>
      </w:r>
      <w:r w:rsidRPr="00C86CE6">
        <w:tab/>
        <w:t xml:space="preserve">If a person moves a monetary instrument into or out of Australia, a report under </w:t>
      </w:r>
      <w:r w:rsidR="00606BBD" w:rsidRPr="00C86CE6">
        <w:t>section 5</w:t>
      </w:r>
      <w:r w:rsidRPr="00C86CE6">
        <w:t>3 of the Act (reports about movements of monetary instruments into or out of Australia) must:</w:t>
      </w:r>
    </w:p>
    <w:p w14:paraId="44AAD43C" w14:textId="7FEE759A" w:rsidR="00556396" w:rsidRPr="00C86CE6" w:rsidRDefault="00556396" w:rsidP="00556396">
      <w:pPr>
        <w:pStyle w:val="paragraph"/>
      </w:pPr>
      <w:r w:rsidRPr="00C86CE6">
        <w:tab/>
        <w:t>(a)</w:t>
      </w:r>
      <w:r w:rsidRPr="00C86CE6">
        <w:tab/>
        <w:t xml:space="preserve">contain the information specified in </w:t>
      </w:r>
      <w:r w:rsidR="00A25E52" w:rsidRPr="00C86CE6">
        <w:t>subsection (</w:t>
      </w:r>
      <w:r w:rsidRPr="00C86CE6">
        <w:t>2) (to the extent the information is known); and</w:t>
      </w:r>
    </w:p>
    <w:p w14:paraId="689CD052" w14:textId="189BC8C4" w:rsidR="00556396" w:rsidRPr="00C86CE6" w:rsidRDefault="00556396" w:rsidP="00556396">
      <w:pPr>
        <w:pStyle w:val="paragraph"/>
      </w:pPr>
      <w:r w:rsidRPr="00C86CE6">
        <w:tab/>
        <w:t>(b)</w:t>
      </w:r>
      <w:r w:rsidRPr="00C86CE6">
        <w:tab/>
        <w:t xml:space="preserve">be given in accordance with the applicable timing rule specified in </w:t>
      </w:r>
      <w:r w:rsidR="00A25E52" w:rsidRPr="00C86CE6">
        <w:t>subsection (</w:t>
      </w:r>
      <w:r w:rsidRPr="00C86CE6">
        <w:t>3).</w:t>
      </w:r>
    </w:p>
    <w:p w14:paraId="62F0C16A" w14:textId="77777777" w:rsidR="0064635D" w:rsidRPr="00C86CE6" w:rsidRDefault="00556396" w:rsidP="0064635D">
      <w:pPr>
        <w:pStyle w:val="notetext"/>
      </w:pPr>
      <w:r w:rsidRPr="00C86CE6">
        <w:t>Note:</w:t>
      </w:r>
      <w:r w:rsidRPr="00C86CE6">
        <w:tab/>
        <w:t xml:space="preserve">The report must also be given in the approved form (see </w:t>
      </w:r>
      <w:r w:rsidR="00606BBD" w:rsidRPr="00C86CE6">
        <w:t>paragraph 5</w:t>
      </w:r>
      <w:r w:rsidRPr="00C86CE6">
        <w:t>3(7)(a) of the Act).</w:t>
      </w:r>
    </w:p>
    <w:p w14:paraId="4938E15D" w14:textId="0C2832E0" w:rsidR="00556396" w:rsidRPr="00C86CE6" w:rsidRDefault="00556396" w:rsidP="00556396">
      <w:pPr>
        <w:pStyle w:val="subsection"/>
      </w:pPr>
      <w:r w:rsidRPr="00C86CE6">
        <w:tab/>
        <w:t>(2)</w:t>
      </w:r>
      <w:r w:rsidRPr="00C86CE6">
        <w:tab/>
        <w:t xml:space="preserve">For the purposes of </w:t>
      </w:r>
      <w:r w:rsidR="009B58BE" w:rsidRPr="00C86CE6">
        <w:t>paragraph (</w:t>
      </w:r>
      <w:r w:rsidRPr="00C86CE6">
        <w:t>1)(a), the information is as follows:</w:t>
      </w:r>
    </w:p>
    <w:p w14:paraId="262A8F2B" w14:textId="77777777" w:rsidR="00556396" w:rsidRPr="00C86CE6" w:rsidRDefault="00556396" w:rsidP="00556396">
      <w:pPr>
        <w:pStyle w:val="paragraph"/>
      </w:pPr>
      <w:r w:rsidRPr="00C86CE6">
        <w:tab/>
        <w:t>(a)</w:t>
      </w:r>
      <w:r w:rsidRPr="00C86CE6">
        <w:tab/>
        <w:t>if the person is an individual:</w:t>
      </w:r>
    </w:p>
    <w:p w14:paraId="49C32B0E" w14:textId="77777777" w:rsidR="00556396" w:rsidRPr="00C86CE6" w:rsidRDefault="00556396" w:rsidP="00556396">
      <w:pPr>
        <w:pStyle w:val="paragraphsub"/>
      </w:pPr>
      <w:r w:rsidRPr="00C86CE6">
        <w:tab/>
        <w:t>(i)</w:t>
      </w:r>
      <w:r w:rsidRPr="00C86CE6">
        <w:tab/>
        <w:t>the person’s full name; and</w:t>
      </w:r>
    </w:p>
    <w:p w14:paraId="5F578808" w14:textId="77777777" w:rsidR="00556396" w:rsidRPr="00C86CE6" w:rsidRDefault="00556396" w:rsidP="00556396">
      <w:pPr>
        <w:pStyle w:val="paragraphsub"/>
      </w:pPr>
      <w:r w:rsidRPr="00C86CE6">
        <w:tab/>
        <w:t>(ii)</w:t>
      </w:r>
      <w:r w:rsidRPr="00C86CE6">
        <w:tab/>
        <w:t>the person’s date and place of birth; and</w:t>
      </w:r>
    </w:p>
    <w:p w14:paraId="3C0A93D7" w14:textId="77777777" w:rsidR="00556396" w:rsidRPr="00C86CE6" w:rsidRDefault="00556396" w:rsidP="00556396">
      <w:pPr>
        <w:pStyle w:val="paragraphsub"/>
      </w:pPr>
      <w:r w:rsidRPr="00C86CE6">
        <w:tab/>
        <w:t>(iii)</w:t>
      </w:r>
      <w:r w:rsidRPr="00C86CE6">
        <w:tab/>
        <w:t>the country or countries of which the person is a citizen; and</w:t>
      </w:r>
    </w:p>
    <w:p w14:paraId="7CD67F63" w14:textId="77777777" w:rsidR="00556396" w:rsidRPr="00C86CE6" w:rsidRDefault="00556396" w:rsidP="00556396">
      <w:pPr>
        <w:pStyle w:val="paragraphsub"/>
      </w:pPr>
      <w:r w:rsidRPr="00C86CE6">
        <w:tab/>
        <w:t>(iv)</w:t>
      </w:r>
      <w:r w:rsidRPr="00C86CE6">
        <w:tab/>
        <w:t>the person’s residential address; and</w:t>
      </w:r>
    </w:p>
    <w:p w14:paraId="4BE1E277" w14:textId="77777777" w:rsidR="00556396" w:rsidRPr="00C86CE6" w:rsidRDefault="00556396" w:rsidP="00556396">
      <w:pPr>
        <w:pStyle w:val="paragraphsub"/>
      </w:pPr>
      <w:r w:rsidRPr="00C86CE6">
        <w:tab/>
        <w:t>(v)</w:t>
      </w:r>
      <w:r w:rsidRPr="00C86CE6">
        <w:tab/>
        <w:t>the person’s telephone number; and</w:t>
      </w:r>
    </w:p>
    <w:p w14:paraId="33B9BF7B" w14:textId="77777777" w:rsidR="00556396" w:rsidRPr="00C86CE6" w:rsidRDefault="00556396" w:rsidP="00556396">
      <w:pPr>
        <w:pStyle w:val="paragraphsub"/>
      </w:pPr>
      <w:r w:rsidRPr="00C86CE6">
        <w:tab/>
        <w:t>(vi)</w:t>
      </w:r>
      <w:r w:rsidRPr="00C86CE6">
        <w:tab/>
        <w:t>whether the person is an Australian resident; and</w:t>
      </w:r>
    </w:p>
    <w:p w14:paraId="77F399C3" w14:textId="77777777" w:rsidR="00556396" w:rsidRPr="00C86CE6" w:rsidRDefault="00556396" w:rsidP="00556396">
      <w:pPr>
        <w:pStyle w:val="paragraphsub"/>
      </w:pPr>
      <w:r w:rsidRPr="00C86CE6">
        <w:tab/>
        <w:t>(vii)</w:t>
      </w:r>
      <w:r w:rsidRPr="00C86CE6">
        <w:tab/>
        <w:t>if the person is bringing the monetary instrument into Australia and is not an Australian resident—the person’s address and telephone number while in Australia; and</w:t>
      </w:r>
    </w:p>
    <w:p w14:paraId="575EC400" w14:textId="77777777" w:rsidR="00556396" w:rsidRPr="00C86CE6" w:rsidRDefault="00556396" w:rsidP="00556396">
      <w:pPr>
        <w:pStyle w:val="paragraphsub"/>
      </w:pPr>
      <w:r w:rsidRPr="00C86CE6">
        <w:tab/>
        <w:t>(viii)</w:t>
      </w:r>
      <w:r w:rsidRPr="00C86CE6">
        <w:tab/>
        <w:t>the person’s occupation, business or principal activity; and</w:t>
      </w:r>
    </w:p>
    <w:p w14:paraId="69921F12" w14:textId="77777777" w:rsidR="00556396" w:rsidRPr="00C86CE6" w:rsidRDefault="00556396" w:rsidP="00556396">
      <w:pPr>
        <w:pStyle w:val="paragraphsub"/>
      </w:pPr>
      <w:r w:rsidRPr="00C86CE6">
        <w:tab/>
        <w:t>(ix)</w:t>
      </w:r>
      <w:r w:rsidRPr="00C86CE6">
        <w:tab/>
        <w:t>the person’s ABN (if any);</w:t>
      </w:r>
    </w:p>
    <w:p w14:paraId="25BEE509" w14:textId="77777777" w:rsidR="00556396" w:rsidRPr="00C86CE6" w:rsidRDefault="00556396" w:rsidP="00556396">
      <w:pPr>
        <w:pStyle w:val="paragraph"/>
      </w:pPr>
      <w:r w:rsidRPr="00C86CE6">
        <w:tab/>
        <w:t>(b)</w:t>
      </w:r>
      <w:r w:rsidRPr="00C86CE6">
        <w:tab/>
        <w:t>if the person is not an individual:</w:t>
      </w:r>
    </w:p>
    <w:p w14:paraId="27654889" w14:textId="77777777" w:rsidR="00556396" w:rsidRPr="00C86CE6" w:rsidRDefault="00556396" w:rsidP="00556396">
      <w:pPr>
        <w:pStyle w:val="paragraphsub"/>
      </w:pPr>
      <w:r w:rsidRPr="00C86CE6">
        <w:tab/>
        <w:t>(i)</w:t>
      </w:r>
      <w:r w:rsidRPr="00C86CE6">
        <w:tab/>
        <w:t>the person’s full name; and</w:t>
      </w:r>
    </w:p>
    <w:p w14:paraId="739C876F" w14:textId="77777777" w:rsidR="00556396" w:rsidRPr="00C86CE6" w:rsidRDefault="00556396" w:rsidP="00556396">
      <w:pPr>
        <w:pStyle w:val="paragraphsub"/>
      </w:pPr>
      <w:r w:rsidRPr="00C86CE6">
        <w:tab/>
        <w:t>(ii)</w:t>
      </w:r>
      <w:r w:rsidRPr="00C86CE6">
        <w:tab/>
        <w:t>the person’s business or principal activity; and</w:t>
      </w:r>
    </w:p>
    <w:p w14:paraId="57049B18" w14:textId="77777777" w:rsidR="00556396" w:rsidRPr="00C86CE6" w:rsidRDefault="00556396" w:rsidP="00556396">
      <w:pPr>
        <w:pStyle w:val="paragraphsub"/>
      </w:pPr>
      <w:r w:rsidRPr="00C86CE6">
        <w:tab/>
        <w:t>(iii)</w:t>
      </w:r>
      <w:r w:rsidRPr="00C86CE6">
        <w:tab/>
        <w:t>the address at which the person’s business or principal activity is conducted; and</w:t>
      </w:r>
    </w:p>
    <w:p w14:paraId="66BEC59A" w14:textId="77777777" w:rsidR="00556396" w:rsidRPr="00C86CE6" w:rsidRDefault="00556396" w:rsidP="00556396">
      <w:pPr>
        <w:pStyle w:val="paragraphsub"/>
      </w:pPr>
      <w:r w:rsidRPr="00C86CE6">
        <w:tab/>
        <w:t>(iv)</w:t>
      </w:r>
      <w:r w:rsidRPr="00C86CE6">
        <w:tab/>
        <w:t>the person’s telephone number; and</w:t>
      </w:r>
    </w:p>
    <w:p w14:paraId="3FAF95A3" w14:textId="77777777" w:rsidR="00556396" w:rsidRPr="00C86CE6" w:rsidRDefault="00556396" w:rsidP="00556396">
      <w:pPr>
        <w:pStyle w:val="paragraphsub"/>
      </w:pPr>
      <w:r w:rsidRPr="00C86CE6">
        <w:tab/>
        <w:t>(v)</w:t>
      </w:r>
      <w:r w:rsidRPr="00C86CE6">
        <w:tab/>
        <w:t>if the person is registered in Australia—the person’s ABN, ACN and ARBN (as applicable);</w:t>
      </w:r>
    </w:p>
    <w:p w14:paraId="4E0C6F3F" w14:textId="77777777" w:rsidR="00556396" w:rsidRPr="00C86CE6" w:rsidRDefault="00556396" w:rsidP="00556396">
      <w:pPr>
        <w:pStyle w:val="paragraph"/>
        <w:rPr>
          <w:sz w:val="23"/>
          <w:szCs w:val="23"/>
        </w:rPr>
      </w:pPr>
      <w:r w:rsidRPr="00C86CE6">
        <w:tab/>
        <w:t>(c)</w:t>
      </w:r>
      <w:r w:rsidRPr="00C86CE6">
        <w:tab/>
        <w:t xml:space="preserve">if the person is moving the monetary instrument on behalf of another person (the </w:t>
      </w:r>
      <w:r w:rsidRPr="00C86CE6">
        <w:rPr>
          <w:b/>
          <w:i/>
        </w:rPr>
        <w:t>other person</w:t>
      </w:r>
      <w:r w:rsidRPr="00C86CE6">
        <w:t>)—the following details of the other person</w:t>
      </w:r>
      <w:r w:rsidRPr="00C86CE6">
        <w:rPr>
          <w:sz w:val="23"/>
          <w:szCs w:val="23"/>
        </w:rPr>
        <w:t>:</w:t>
      </w:r>
    </w:p>
    <w:p w14:paraId="4E14A658" w14:textId="4D672965" w:rsidR="00556396" w:rsidRPr="00C86CE6" w:rsidRDefault="00556396" w:rsidP="00556396">
      <w:pPr>
        <w:pStyle w:val="paragraphsub"/>
      </w:pPr>
      <w:r w:rsidRPr="00C86CE6">
        <w:lastRenderedPageBreak/>
        <w:tab/>
        <w:t>(i)</w:t>
      </w:r>
      <w:r w:rsidRPr="00C86CE6">
        <w:tab/>
        <w:t xml:space="preserve">if the other person is an individual—the details mentioned in </w:t>
      </w:r>
      <w:r w:rsidR="00606BBD" w:rsidRPr="00C86CE6">
        <w:t>sub</w:t>
      </w:r>
      <w:r w:rsidR="009B58BE" w:rsidRPr="00C86CE6">
        <w:t>paragraphs (</w:t>
      </w:r>
      <w:r w:rsidRPr="00C86CE6">
        <w:t>a)(i), (iv), (v), (viii) and (ix);</w:t>
      </w:r>
    </w:p>
    <w:p w14:paraId="093E4B60" w14:textId="21E3D0FC" w:rsidR="00556396" w:rsidRPr="00C86CE6" w:rsidRDefault="00556396" w:rsidP="00556396">
      <w:pPr>
        <w:pStyle w:val="paragraphsub"/>
      </w:pPr>
      <w:r w:rsidRPr="00C86CE6">
        <w:tab/>
        <w:t>(ii)</w:t>
      </w:r>
      <w:r w:rsidRPr="00C86CE6">
        <w:tab/>
        <w:t xml:space="preserve">if the other person is not an individual—the details mentioned in </w:t>
      </w:r>
      <w:r w:rsidR="00606BBD" w:rsidRPr="00C86CE6">
        <w:t>sub</w:t>
      </w:r>
      <w:r w:rsidR="009B58BE" w:rsidRPr="00C86CE6">
        <w:t>paragraphs (</w:t>
      </w:r>
      <w:r w:rsidRPr="00C86CE6">
        <w:t>b)(i) to (v);</w:t>
      </w:r>
    </w:p>
    <w:p w14:paraId="35DE4757" w14:textId="77777777" w:rsidR="00556396" w:rsidRPr="00C86CE6" w:rsidRDefault="00556396" w:rsidP="00556396">
      <w:pPr>
        <w:pStyle w:val="paragraph"/>
        <w:rPr>
          <w:sz w:val="23"/>
          <w:szCs w:val="23"/>
        </w:rPr>
      </w:pPr>
      <w:r w:rsidRPr="00C86CE6">
        <w:tab/>
        <w:t>(d)</w:t>
      </w:r>
      <w:r w:rsidRPr="00C86CE6">
        <w:tab/>
        <w:t xml:space="preserve">if the person is delivering the monetary instrument to another person (the </w:t>
      </w:r>
      <w:r w:rsidRPr="00C86CE6">
        <w:rPr>
          <w:b/>
          <w:i/>
        </w:rPr>
        <w:t>other person</w:t>
      </w:r>
      <w:r w:rsidRPr="00C86CE6">
        <w:t>)—the following details of the other person</w:t>
      </w:r>
      <w:r w:rsidRPr="00C86CE6">
        <w:rPr>
          <w:sz w:val="23"/>
          <w:szCs w:val="23"/>
        </w:rPr>
        <w:t>:</w:t>
      </w:r>
    </w:p>
    <w:p w14:paraId="2B63A78D" w14:textId="7ABCB1D5" w:rsidR="00556396" w:rsidRPr="00C86CE6" w:rsidRDefault="00556396" w:rsidP="00556396">
      <w:pPr>
        <w:pStyle w:val="paragraphsub"/>
      </w:pPr>
      <w:r w:rsidRPr="00C86CE6">
        <w:tab/>
        <w:t>(i)</w:t>
      </w:r>
      <w:r w:rsidRPr="00C86CE6">
        <w:tab/>
        <w:t xml:space="preserve">if the other person is an individual—the details mentioned in </w:t>
      </w:r>
      <w:r w:rsidR="00606BBD" w:rsidRPr="00C86CE6">
        <w:t>sub</w:t>
      </w:r>
      <w:r w:rsidR="009B58BE" w:rsidRPr="00C86CE6">
        <w:t>paragraphs (</w:t>
      </w:r>
      <w:r w:rsidRPr="00C86CE6">
        <w:t>a)(i), (iv), (v), (viii) and (ix);</w:t>
      </w:r>
    </w:p>
    <w:p w14:paraId="291FA8FC" w14:textId="62BFCB90" w:rsidR="00556396" w:rsidRPr="00C86CE6" w:rsidRDefault="00556396" w:rsidP="00556396">
      <w:pPr>
        <w:pStyle w:val="paragraphsub"/>
      </w:pPr>
      <w:r w:rsidRPr="00C86CE6">
        <w:tab/>
        <w:t>(ii)</w:t>
      </w:r>
      <w:r w:rsidRPr="00C86CE6">
        <w:tab/>
        <w:t xml:space="preserve">if the other person is not an individual—the details mentioned in </w:t>
      </w:r>
      <w:r w:rsidR="00606BBD" w:rsidRPr="00C86CE6">
        <w:t>sub</w:t>
      </w:r>
      <w:r w:rsidR="009B58BE" w:rsidRPr="00C86CE6">
        <w:t>paragraphs (</w:t>
      </w:r>
      <w:r w:rsidRPr="00C86CE6">
        <w:t>b)(i) to (v);</w:t>
      </w:r>
    </w:p>
    <w:p w14:paraId="3EA2A071" w14:textId="77777777" w:rsidR="00556396" w:rsidRPr="00C86CE6" w:rsidRDefault="00556396" w:rsidP="00556396">
      <w:pPr>
        <w:pStyle w:val="paragraph"/>
      </w:pPr>
      <w:r w:rsidRPr="00C86CE6">
        <w:tab/>
        <w:t>(e)</w:t>
      </w:r>
      <w:r w:rsidRPr="00C86CE6">
        <w:tab/>
        <w:t>whether the monetary instrument is being moved into or out of Australia;</w:t>
      </w:r>
    </w:p>
    <w:p w14:paraId="7FF1E12B" w14:textId="77777777" w:rsidR="00556396" w:rsidRPr="00C86CE6" w:rsidRDefault="00556396" w:rsidP="00556396">
      <w:pPr>
        <w:pStyle w:val="paragraph"/>
      </w:pPr>
      <w:r w:rsidRPr="00C86CE6">
        <w:tab/>
        <w:t>(f)</w:t>
      </w:r>
      <w:r w:rsidRPr="00C86CE6">
        <w:tab/>
        <w:t>the kind of monetary instrument being moved into or out of Australia;</w:t>
      </w:r>
    </w:p>
    <w:p w14:paraId="7D5831D1" w14:textId="77777777" w:rsidR="00556396" w:rsidRPr="00C86CE6" w:rsidRDefault="00556396" w:rsidP="00556396">
      <w:pPr>
        <w:pStyle w:val="paragraph"/>
      </w:pPr>
      <w:r w:rsidRPr="00C86CE6">
        <w:tab/>
        <w:t>(g)</w:t>
      </w:r>
      <w:r w:rsidRPr="00C86CE6">
        <w:tab/>
        <w:t>the monetary instrument amount being moved into or out of Australia;</w:t>
      </w:r>
    </w:p>
    <w:p w14:paraId="3B7C213A" w14:textId="77777777" w:rsidR="00556396" w:rsidRPr="00C86CE6" w:rsidRDefault="00556396" w:rsidP="00556396">
      <w:pPr>
        <w:pStyle w:val="paragraph"/>
      </w:pPr>
      <w:r w:rsidRPr="00C86CE6">
        <w:tab/>
        <w:t>(h)</w:t>
      </w:r>
      <w:r w:rsidRPr="00C86CE6">
        <w:tab/>
        <w:t>the currency of the monetary instrument being moved into or out of Australia;</w:t>
      </w:r>
    </w:p>
    <w:p w14:paraId="2413831E" w14:textId="77777777" w:rsidR="00556396" w:rsidRPr="00C86CE6" w:rsidRDefault="00556396" w:rsidP="00556396">
      <w:pPr>
        <w:pStyle w:val="paragraph"/>
      </w:pPr>
      <w:r w:rsidRPr="00C86CE6">
        <w:tab/>
        <w:t>(i)</w:t>
      </w:r>
      <w:r w:rsidRPr="00C86CE6">
        <w:tab/>
        <w:t>if the monetary instrument is a bearer negotiable instrument:</w:t>
      </w:r>
    </w:p>
    <w:p w14:paraId="1B99CF99" w14:textId="77777777" w:rsidR="00556396" w:rsidRPr="00C86CE6" w:rsidRDefault="00556396" w:rsidP="00556396">
      <w:pPr>
        <w:pStyle w:val="paragraphsub"/>
      </w:pPr>
      <w:r w:rsidRPr="00C86CE6">
        <w:tab/>
        <w:t>(i)</w:t>
      </w:r>
      <w:r w:rsidRPr="00C86CE6">
        <w:tab/>
        <w:t>the issuer or drawer of the monetary instrument; and</w:t>
      </w:r>
    </w:p>
    <w:p w14:paraId="76BDCECF" w14:textId="77777777" w:rsidR="00556396" w:rsidRPr="00C86CE6" w:rsidRDefault="00556396" w:rsidP="00556396">
      <w:pPr>
        <w:pStyle w:val="paragraphsub"/>
      </w:pPr>
      <w:r w:rsidRPr="00C86CE6">
        <w:tab/>
        <w:t>(ii)</w:t>
      </w:r>
      <w:r w:rsidRPr="00C86CE6">
        <w:tab/>
        <w:t>the payee, favouree or beneficiary of the monetary instrument; and</w:t>
      </w:r>
    </w:p>
    <w:p w14:paraId="6AB3DE2C" w14:textId="77777777" w:rsidR="00556396" w:rsidRPr="00C86CE6" w:rsidRDefault="00556396" w:rsidP="00556396">
      <w:pPr>
        <w:pStyle w:val="paragraphsub"/>
      </w:pPr>
      <w:r w:rsidRPr="00C86CE6">
        <w:tab/>
        <w:t>(iii)</w:t>
      </w:r>
      <w:r w:rsidRPr="00C86CE6">
        <w:tab/>
        <w:t>the name of the bearer of the monetary instrument; and</w:t>
      </w:r>
    </w:p>
    <w:p w14:paraId="115F2B4F" w14:textId="77777777" w:rsidR="00556396" w:rsidRPr="00C86CE6" w:rsidRDefault="00556396" w:rsidP="00556396">
      <w:pPr>
        <w:pStyle w:val="paragraphsub"/>
      </w:pPr>
      <w:r w:rsidRPr="00C86CE6">
        <w:tab/>
        <w:t>(iv)</w:t>
      </w:r>
      <w:r w:rsidRPr="00C86CE6">
        <w:tab/>
        <w:t>the city and country of issue of the monetary instrument; and</w:t>
      </w:r>
    </w:p>
    <w:p w14:paraId="0B0D29B4" w14:textId="77777777" w:rsidR="00556396" w:rsidRPr="00C86CE6" w:rsidRDefault="00556396" w:rsidP="00556396">
      <w:pPr>
        <w:pStyle w:val="paragraphsub"/>
      </w:pPr>
      <w:r w:rsidRPr="00C86CE6">
        <w:tab/>
        <w:t>(v)</w:t>
      </w:r>
      <w:r w:rsidRPr="00C86CE6">
        <w:tab/>
        <w:t>any reference numbers of the monetary instrument;</w:t>
      </w:r>
    </w:p>
    <w:p w14:paraId="1305941E" w14:textId="77777777" w:rsidR="00556396" w:rsidRPr="00C86CE6" w:rsidRDefault="00556396" w:rsidP="00556396">
      <w:pPr>
        <w:pStyle w:val="paragraph"/>
      </w:pPr>
      <w:r w:rsidRPr="00C86CE6">
        <w:tab/>
        <w:t>(j)</w:t>
      </w:r>
      <w:r w:rsidRPr="00C86CE6">
        <w:tab/>
        <w:t>if the person is an individual and is bringing the monetary instrument into Australia or taking the instrument out of Australia:</w:t>
      </w:r>
    </w:p>
    <w:p w14:paraId="580FFF70" w14:textId="77777777" w:rsidR="00556396" w:rsidRPr="00C86CE6" w:rsidRDefault="00556396" w:rsidP="00556396">
      <w:pPr>
        <w:pStyle w:val="paragraphsub"/>
      </w:pPr>
      <w:r w:rsidRPr="00C86CE6">
        <w:tab/>
        <w:t>(i)</w:t>
      </w:r>
      <w:r w:rsidRPr="00C86CE6">
        <w:tab/>
        <w:t>whether the person is travelling into or out of Australia; and</w:t>
      </w:r>
    </w:p>
    <w:p w14:paraId="78C762E5" w14:textId="77777777" w:rsidR="00556396" w:rsidRPr="00C86CE6" w:rsidRDefault="00556396" w:rsidP="00556396">
      <w:pPr>
        <w:pStyle w:val="paragraphsub"/>
      </w:pPr>
      <w:r w:rsidRPr="00C86CE6">
        <w:tab/>
        <w:t>(ii)</w:t>
      </w:r>
      <w:r w:rsidRPr="00C86CE6">
        <w:tab/>
        <w:t>the town or city at which the person is entering or leaving Australia; and</w:t>
      </w:r>
    </w:p>
    <w:p w14:paraId="1429EB06" w14:textId="77777777" w:rsidR="00556396" w:rsidRPr="00C86CE6" w:rsidRDefault="00556396" w:rsidP="00556396">
      <w:pPr>
        <w:pStyle w:val="paragraphsub"/>
      </w:pPr>
      <w:r w:rsidRPr="00C86CE6">
        <w:tab/>
        <w:t>(iii)</w:t>
      </w:r>
      <w:r w:rsidRPr="00C86CE6">
        <w:tab/>
        <w:t>the person’s date of arrival in or departure from Australia; and</w:t>
      </w:r>
    </w:p>
    <w:p w14:paraId="2729F429" w14:textId="77777777" w:rsidR="00556396" w:rsidRPr="00C86CE6" w:rsidRDefault="00556396" w:rsidP="00556396">
      <w:pPr>
        <w:pStyle w:val="paragraphsub"/>
      </w:pPr>
      <w:r w:rsidRPr="00C86CE6">
        <w:tab/>
        <w:t>(iv)</w:t>
      </w:r>
      <w:r w:rsidRPr="00C86CE6">
        <w:tab/>
        <w:t>the number and country of issue of the passport on which the person is travelling; and</w:t>
      </w:r>
    </w:p>
    <w:p w14:paraId="0F889E77" w14:textId="77777777" w:rsidR="00556396" w:rsidRPr="00C86CE6" w:rsidRDefault="00556396" w:rsidP="00556396">
      <w:pPr>
        <w:pStyle w:val="paragraphsub"/>
      </w:pPr>
      <w:r w:rsidRPr="00C86CE6">
        <w:tab/>
        <w:t>(v)</w:t>
      </w:r>
      <w:r w:rsidRPr="00C86CE6">
        <w:tab/>
        <w:t>where practicable—the number of each other passport held by the person and the country of issue for each passport; and</w:t>
      </w:r>
    </w:p>
    <w:p w14:paraId="0733FF58" w14:textId="77777777" w:rsidR="00556396" w:rsidRPr="00C86CE6" w:rsidRDefault="00556396" w:rsidP="00556396">
      <w:pPr>
        <w:pStyle w:val="paragraphsub"/>
      </w:pPr>
      <w:r w:rsidRPr="00C86CE6">
        <w:tab/>
        <w:t>(vi)</w:t>
      </w:r>
      <w:r w:rsidRPr="00C86CE6">
        <w:tab/>
        <w:t>the number of the flight or name of the vessel on which the person is bringing in or taking out the instrument; and</w:t>
      </w:r>
    </w:p>
    <w:p w14:paraId="70D78AB6" w14:textId="77777777" w:rsidR="00556396" w:rsidRPr="00C86CE6" w:rsidRDefault="00556396" w:rsidP="00556396">
      <w:pPr>
        <w:pStyle w:val="paragraphsub"/>
      </w:pPr>
      <w:r w:rsidRPr="00C86CE6">
        <w:tab/>
        <w:t>(vii)</w:t>
      </w:r>
      <w:r w:rsidRPr="00C86CE6">
        <w:tab/>
        <w:t>if the person is taking the monetary instrument out of Australia—the city and country to which the monetary instrument is being taken; and</w:t>
      </w:r>
    </w:p>
    <w:p w14:paraId="17F16DB8" w14:textId="77777777" w:rsidR="00556396" w:rsidRPr="00C86CE6" w:rsidRDefault="00556396" w:rsidP="00556396">
      <w:pPr>
        <w:pStyle w:val="paragraphsub"/>
      </w:pPr>
      <w:r w:rsidRPr="00C86CE6">
        <w:tab/>
        <w:t>(viii)</w:t>
      </w:r>
      <w:r w:rsidRPr="00C86CE6">
        <w:tab/>
        <w:t>if the person is bringing the monetary instrument into Australia—the city and country from which the monetary instrument is being brought;</w:t>
      </w:r>
    </w:p>
    <w:p w14:paraId="240ADA3A" w14:textId="77777777" w:rsidR="00556396" w:rsidRPr="00C86CE6" w:rsidRDefault="00556396" w:rsidP="00556396">
      <w:pPr>
        <w:pStyle w:val="paragraph"/>
      </w:pPr>
      <w:r w:rsidRPr="00C86CE6">
        <w:tab/>
        <w:t>(k)</w:t>
      </w:r>
      <w:r w:rsidRPr="00C86CE6">
        <w:tab/>
        <w:t>if the monetary instrument is being sent into or out of Australia:</w:t>
      </w:r>
    </w:p>
    <w:p w14:paraId="4F62A741" w14:textId="77777777" w:rsidR="00556396" w:rsidRPr="00C86CE6" w:rsidRDefault="00556396" w:rsidP="00556396">
      <w:pPr>
        <w:pStyle w:val="paragraphsub"/>
      </w:pPr>
      <w:r w:rsidRPr="00C86CE6">
        <w:tab/>
        <w:t>(i)</w:t>
      </w:r>
      <w:r w:rsidRPr="00C86CE6">
        <w:tab/>
        <w:t>the means by which the monetary instrument is being sent; and</w:t>
      </w:r>
    </w:p>
    <w:p w14:paraId="16B74DB2" w14:textId="77777777" w:rsidR="00556396" w:rsidRPr="00C86CE6" w:rsidRDefault="00556396" w:rsidP="00556396">
      <w:pPr>
        <w:pStyle w:val="paragraphsub"/>
      </w:pPr>
      <w:r w:rsidRPr="00C86CE6">
        <w:tab/>
        <w:t>(ii)</w:t>
      </w:r>
      <w:r w:rsidRPr="00C86CE6">
        <w:tab/>
        <w:t>the name, address and telephone number of the individual or service provider carrying the monetary instrument into or out of Australia; and</w:t>
      </w:r>
    </w:p>
    <w:p w14:paraId="112C5A6B" w14:textId="77777777" w:rsidR="00556396" w:rsidRPr="00C86CE6" w:rsidRDefault="00556396" w:rsidP="00556396">
      <w:pPr>
        <w:pStyle w:val="paragraphsub"/>
      </w:pPr>
      <w:r w:rsidRPr="00C86CE6">
        <w:tab/>
        <w:t>(iii)</w:t>
      </w:r>
      <w:r w:rsidRPr="00C86CE6">
        <w:tab/>
        <w:t>if the monetary instrument is to be shipped—the name of the vessel on which it is to be shipped; and</w:t>
      </w:r>
    </w:p>
    <w:p w14:paraId="6D95698D" w14:textId="77777777" w:rsidR="00556396" w:rsidRPr="00C86CE6" w:rsidRDefault="00556396" w:rsidP="00556396">
      <w:pPr>
        <w:pStyle w:val="paragraphsub"/>
      </w:pPr>
      <w:r w:rsidRPr="00C86CE6">
        <w:lastRenderedPageBreak/>
        <w:tab/>
        <w:t>(iv)</w:t>
      </w:r>
      <w:r w:rsidRPr="00C86CE6">
        <w:tab/>
        <w:t>the city and country from which the monetary instrument is being sent; and</w:t>
      </w:r>
    </w:p>
    <w:p w14:paraId="17FF2649" w14:textId="77777777" w:rsidR="00556396" w:rsidRPr="00C86CE6" w:rsidRDefault="00556396" w:rsidP="00556396">
      <w:pPr>
        <w:pStyle w:val="paragraphsub"/>
      </w:pPr>
      <w:r w:rsidRPr="00C86CE6">
        <w:tab/>
        <w:t>(v)</w:t>
      </w:r>
      <w:r w:rsidRPr="00C86CE6">
        <w:tab/>
        <w:t>the city and country to which the monetary instrument is being sent; and</w:t>
      </w:r>
    </w:p>
    <w:p w14:paraId="326C6CE7" w14:textId="77777777" w:rsidR="00556396" w:rsidRPr="00C86CE6" w:rsidRDefault="00556396" w:rsidP="00556396">
      <w:pPr>
        <w:pStyle w:val="paragraphsub"/>
      </w:pPr>
      <w:r w:rsidRPr="00C86CE6">
        <w:tab/>
        <w:t>(vi)</w:t>
      </w:r>
      <w:r w:rsidRPr="00C86CE6">
        <w:tab/>
        <w:t>the date the monetary instrument is being sent;</w:t>
      </w:r>
    </w:p>
    <w:p w14:paraId="049A9E1B" w14:textId="77777777" w:rsidR="00556396" w:rsidRPr="00C86CE6" w:rsidRDefault="00556396" w:rsidP="00556396">
      <w:pPr>
        <w:pStyle w:val="paragraph"/>
      </w:pPr>
      <w:r w:rsidRPr="00C86CE6">
        <w:tab/>
        <w:t>(l)</w:t>
      </w:r>
      <w:r w:rsidRPr="00C86CE6">
        <w:tab/>
        <w:t>if the monetary instrument is being sent into or out of Australia—the following details of the person to whom the monetary instrument is being sent:</w:t>
      </w:r>
    </w:p>
    <w:p w14:paraId="3AB03086" w14:textId="77777777" w:rsidR="00556396" w:rsidRPr="00C86CE6" w:rsidRDefault="00556396" w:rsidP="00556396">
      <w:pPr>
        <w:pStyle w:val="paragraphsub"/>
      </w:pPr>
      <w:r w:rsidRPr="00C86CE6">
        <w:tab/>
        <w:t>(i)</w:t>
      </w:r>
      <w:r w:rsidRPr="00C86CE6">
        <w:tab/>
        <w:t>the person’s full name;</w:t>
      </w:r>
    </w:p>
    <w:p w14:paraId="14425FCC" w14:textId="77777777" w:rsidR="00556396" w:rsidRPr="00C86CE6" w:rsidRDefault="00556396" w:rsidP="00556396">
      <w:pPr>
        <w:pStyle w:val="paragraphsub"/>
      </w:pPr>
      <w:r w:rsidRPr="00C86CE6">
        <w:tab/>
        <w:t>(ii)</w:t>
      </w:r>
      <w:r w:rsidRPr="00C86CE6">
        <w:tab/>
        <w:t>the person’s telephone number;</w:t>
      </w:r>
    </w:p>
    <w:p w14:paraId="5161C3CA" w14:textId="77777777" w:rsidR="00556396" w:rsidRPr="00C86CE6" w:rsidRDefault="00556396" w:rsidP="00556396">
      <w:pPr>
        <w:pStyle w:val="paragraphsub"/>
      </w:pPr>
      <w:r w:rsidRPr="00C86CE6">
        <w:tab/>
        <w:t>(iii)</w:t>
      </w:r>
      <w:r w:rsidRPr="00C86CE6">
        <w:tab/>
        <w:t>if the person is an individual—the person’s residential address;</w:t>
      </w:r>
    </w:p>
    <w:p w14:paraId="2EA0FC71" w14:textId="77777777" w:rsidR="00556396" w:rsidRPr="00C86CE6" w:rsidRDefault="00556396" w:rsidP="00556396">
      <w:pPr>
        <w:pStyle w:val="paragraphsub"/>
      </w:pPr>
      <w:r w:rsidRPr="00C86CE6">
        <w:tab/>
        <w:t>(iv)</w:t>
      </w:r>
      <w:r w:rsidRPr="00C86CE6">
        <w:tab/>
        <w:t>if the person is not an individual—the address at which the person’s business or principal activity is conducted;</w:t>
      </w:r>
    </w:p>
    <w:p w14:paraId="71014FA4" w14:textId="77777777" w:rsidR="00556396" w:rsidRPr="00C86CE6" w:rsidRDefault="00556396" w:rsidP="00556396">
      <w:pPr>
        <w:pStyle w:val="paragraphsub"/>
      </w:pPr>
      <w:r w:rsidRPr="00C86CE6">
        <w:tab/>
        <w:t>(v)</w:t>
      </w:r>
      <w:r w:rsidRPr="00C86CE6">
        <w:tab/>
        <w:t>if the person is not an individual and is registered in Australia—the person’s ABN, ACN and ARBN (as applicable);</w:t>
      </w:r>
    </w:p>
    <w:p w14:paraId="5A59498D" w14:textId="77777777" w:rsidR="00556396" w:rsidRPr="00C86CE6" w:rsidRDefault="00556396" w:rsidP="00556396">
      <w:pPr>
        <w:pStyle w:val="paragraph"/>
      </w:pPr>
      <w:r w:rsidRPr="00C86CE6">
        <w:tab/>
        <w:t>(m)</w:t>
      </w:r>
      <w:r w:rsidRPr="00C86CE6">
        <w:tab/>
        <w:t>a declaration that the information provided in the approved form is true, accurate and complete.</w:t>
      </w:r>
    </w:p>
    <w:p w14:paraId="2E67938B" w14:textId="62BDCE23" w:rsidR="00556396" w:rsidRPr="00C86CE6" w:rsidRDefault="00556396" w:rsidP="00556396">
      <w:pPr>
        <w:pStyle w:val="subsection"/>
      </w:pPr>
      <w:r w:rsidRPr="00C86CE6">
        <w:tab/>
        <w:t>(3)</w:t>
      </w:r>
      <w:r w:rsidRPr="00C86CE6">
        <w:tab/>
        <w:t xml:space="preserve">For the purposes of </w:t>
      </w:r>
      <w:r w:rsidR="009B58BE" w:rsidRPr="00C86CE6">
        <w:t>paragraph (</w:t>
      </w:r>
      <w:r w:rsidRPr="00C86CE6">
        <w:t>1)(b):</w:t>
      </w:r>
    </w:p>
    <w:p w14:paraId="569415DC" w14:textId="77777777" w:rsidR="00556396" w:rsidRPr="00C86CE6" w:rsidRDefault="00556396" w:rsidP="00556396">
      <w:pPr>
        <w:pStyle w:val="paragraph"/>
      </w:pPr>
      <w:r w:rsidRPr="00C86CE6">
        <w:tab/>
        <w:t>(a)</w:t>
      </w:r>
      <w:r w:rsidRPr="00C86CE6">
        <w:tab/>
        <w:t>if the person moves a monetary instrument into Australia by bringing the instrument into Australia—the report must be given:</w:t>
      </w:r>
    </w:p>
    <w:p w14:paraId="0A177503" w14:textId="77777777" w:rsidR="00556396" w:rsidRPr="00C86CE6" w:rsidRDefault="00556396" w:rsidP="00556396">
      <w:pPr>
        <w:pStyle w:val="paragraphsub"/>
      </w:pPr>
      <w:r w:rsidRPr="00C86CE6">
        <w:tab/>
        <w:t>(i)</w:t>
      </w:r>
      <w:r w:rsidRPr="00C86CE6">
        <w:tab/>
        <w:t>no later than when the person reaches the place at which customs officers examine baggage; or</w:t>
      </w:r>
    </w:p>
    <w:p w14:paraId="40F0B0A2" w14:textId="77777777" w:rsidR="00556396" w:rsidRPr="00C86CE6" w:rsidRDefault="00556396" w:rsidP="00556396">
      <w:pPr>
        <w:pStyle w:val="paragraphsub"/>
      </w:pPr>
      <w:r w:rsidRPr="00C86CE6">
        <w:tab/>
        <w:t>(ii)</w:t>
      </w:r>
      <w:r w:rsidRPr="00C86CE6">
        <w:tab/>
        <w:t>if there is no such place, at the first opportunity that the person has to give the report after arrival in Australia; and</w:t>
      </w:r>
    </w:p>
    <w:p w14:paraId="6CB507B2" w14:textId="77777777" w:rsidR="00556396" w:rsidRPr="00C86CE6" w:rsidRDefault="00556396" w:rsidP="00556396">
      <w:pPr>
        <w:pStyle w:val="paragraph"/>
      </w:pPr>
      <w:r w:rsidRPr="00C86CE6">
        <w:tab/>
        <w:t>(b)</w:t>
      </w:r>
      <w:r w:rsidRPr="00C86CE6">
        <w:tab/>
        <w:t>if the person moves a monetary instrument into Australia by sending the instrument into Australia—the report must be given before the movement of the instrument takes place; and</w:t>
      </w:r>
    </w:p>
    <w:p w14:paraId="77F5377D" w14:textId="77777777" w:rsidR="00556396" w:rsidRPr="00C86CE6" w:rsidRDefault="00556396" w:rsidP="00556396">
      <w:pPr>
        <w:pStyle w:val="paragraph"/>
      </w:pPr>
      <w:r w:rsidRPr="00C86CE6">
        <w:tab/>
        <w:t>(c)</w:t>
      </w:r>
      <w:r w:rsidRPr="00C86CE6">
        <w:tab/>
        <w:t>if the person moves a monetary instrument out of Australia by taking the instrument out of Australia—the report must be given:</w:t>
      </w:r>
    </w:p>
    <w:p w14:paraId="155EB21F" w14:textId="77777777" w:rsidR="00556396" w:rsidRPr="00C86CE6" w:rsidRDefault="00556396" w:rsidP="00556396">
      <w:pPr>
        <w:pStyle w:val="paragraphsub"/>
      </w:pPr>
      <w:r w:rsidRPr="00C86CE6">
        <w:tab/>
        <w:t>(i)</w:t>
      </w:r>
      <w:r w:rsidRPr="00C86CE6">
        <w:tab/>
        <w:t>no later than when the person reaches the customs officer who is to examine the person’s passport in relation to the person leaving Australia; or</w:t>
      </w:r>
    </w:p>
    <w:p w14:paraId="6CE3FE8A" w14:textId="77777777" w:rsidR="00556396" w:rsidRPr="00C86CE6" w:rsidRDefault="00556396" w:rsidP="00556396">
      <w:pPr>
        <w:pStyle w:val="paragraphsub"/>
      </w:pPr>
      <w:r w:rsidRPr="00C86CE6">
        <w:tab/>
        <w:t>(ii)</w:t>
      </w:r>
      <w:r w:rsidRPr="00C86CE6">
        <w:tab/>
        <w:t>if there is no such examination, at any time before the last opportunity that the person has to give the report before leaving Australia; and</w:t>
      </w:r>
    </w:p>
    <w:p w14:paraId="01A8E594" w14:textId="77777777" w:rsidR="00556396" w:rsidRPr="00C86CE6" w:rsidRDefault="00556396" w:rsidP="00556396">
      <w:pPr>
        <w:pStyle w:val="paragraph"/>
      </w:pPr>
      <w:r w:rsidRPr="00C86CE6">
        <w:tab/>
        <w:t>(d)</w:t>
      </w:r>
      <w:r w:rsidRPr="00C86CE6">
        <w:tab/>
        <w:t xml:space="preserve">if the person (the </w:t>
      </w:r>
      <w:r w:rsidRPr="00C86CE6">
        <w:rPr>
          <w:b/>
          <w:i/>
        </w:rPr>
        <w:t>first person</w:t>
      </w:r>
      <w:r w:rsidRPr="00C86CE6">
        <w:t>) moves a monetary instrument out of Australia by sending the instrument out of Australia by consignment, either through the post to a place outside Australia or to another person for carriage to a place outside Australia—the report must be given before the time when the instrument is irrevocably committed by the first person to a postal service or to the other person (as the case may be).</w:t>
      </w:r>
    </w:p>
    <w:p w14:paraId="477C128A" w14:textId="566D0A9B" w:rsidR="00556396" w:rsidRPr="00C86CE6" w:rsidRDefault="00BC4A61" w:rsidP="000A4E06">
      <w:pPr>
        <w:pStyle w:val="ActHead5"/>
      </w:pPr>
      <w:bookmarkStart w:id="101" w:name="_Toc184727402"/>
      <w:r w:rsidRPr="004B21E2">
        <w:rPr>
          <w:rStyle w:val="CharSectno"/>
        </w:rPr>
        <w:t>65</w:t>
      </w:r>
      <w:r w:rsidR="000A4E06" w:rsidRPr="00C86CE6">
        <w:t xml:space="preserve">  </w:t>
      </w:r>
      <w:r w:rsidR="00556396" w:rsidRPr="00C86CE6">
        <w:t>Report</w:t>
      </w:r>
      <w:r w:rsidR="00534522" w:rsidRPr="00C86CE6">
        <w:t>s</w:t>
      </w:r>
      <w:r w:rsidR="00556396" w:rsidRPr="00C86CE6">
        <w:t xml:space="preserve"> about receiving monetary instruments moved into Australia</w:t>
      </w:r>
      <w:bookmarkEnd w:id="101"/>
    </w:p>
    <w:p w14:paraId="7DE025AD" w14:textId="77777777" w:rsidR="00556396" w:rsidRPr="00C86CE6" w:rsidRDefault="00556396" w:rsidP="00556396">
      <w:pPr>
        <w:pStyle w:val="subsection"/>
      </w:pPr>
      <w:r w:rsidRPr="00C86CE6">
        <w:tab/>
      </w:r>
      <w:r w:rsidRPr="00C86CE6">
        <w:tab/>
        <w:t xml:space="preserve">If a person receives a monetary instrument moved into Australia, a report under </w:t>
      </w:r>
      <w:r w:rsidR="00606BBD" w:rsidRPr="00C86CE6">
        <w:t>section 5</w:t>
      </w:r>
      <w:r w:rsidRPr="00C86CE6">
        <w:t>4 of the Act (reports about receipts of monetary instruments moved into Australia) must contain the following information (to the extent the information is known):</w:t>
      </w:r>
    </w:p>
    <w:p w14:paraId="1B125895" w14:textId="118E43A0" w:rsidR="00556396" w:rsidRPr="00C86CE6" w:rsidRDefault="00556396" w:rsidP="00556396">
      <w:pPr>
        <w:pStyle w:val="paragraph"/>
      </w:pPr>
      <w:r w:rsidRPr="00C86CE6">
        <w:lastRenderedPageBreak/>
        <w:tab/>
        <w:t>(a)</w:t>
      </w:r>
      <w:r w:rsidRPr="00C86CE6">
        <w:tab/>
        <w:t>if the person is an individual—the details mentioned in subparagraphs </w:t>
      </w:r>
      <w:r w:rsidR="00BC4A61" w:rsidRPr="00C86CE6">
        <w:t>64</w:t>
      </w:r>
      <w:r w:rsidRPr="00C86CE6">
        <w:t>(2)(a)(i) to (ix);</w:t>
      </w:r>
    </w:p>
    <w:p w14:paraId="29DD13FD" w14:textId="19C50CD8" w:rsidR="00556396" w:rsidRPr="00C86CE6" w:rsidRDefault="00556396" w:rsidP="00556396">
      <w:pPr>
        <w:pStyle w:val="paragraph"/>
      </w:pPr>
      <w:r w:rsidRPr="00C86CE6">
        <w:tab/>
        <w:t>(b)</w:t>
      </w:r>
      <w:r w:rsidRPr="00C86CE6">
        <w:tab/>
        <w:t>if the person is not an individual—the details mentioned in subparagraphs </w:t>
      </w:r>
      <w:r w:rsidR="00BC4A61" w:rsidRPr="00C86CE6">
        <w:t>64</w:t>
      </w:r>
      <w:r w:rsidRPr="00C86CE6">
        <w:t>(2)(b)(i) to (v);</w:t>
      </w:r>
    </w:p>
    <w:p w14:paraId="21548BCE" w14:textId="77777777" w:rsidR="00556396" w:rsidRPr="00C86CE6" w:rsidRDefault="00556396" w:rsidP="00556396">
      <w:pPr>
        <w:pStyle w:val="paragraph"/>
      </w:pPr>
      <w:r w:rsidRPr="00C86CE6">
        <w:tab/>
        <w:t>(c)</w:t>
      </w:r>
      <w:r w:rsidRPr="00C86CE6">
        <w:tab/>
        <w:t xml:space="preserve">if the person received the monetary instrument on behalf of another person (the </w:t>
      </w:r>
      <w:r w:rsidRPr="00C86CE6">
        <w:rPr>
          <w:b/>
          <w:i/>
        </w:rPr>
        <w:t>other person</w:t>
      </w:r>
      <w:r w:rsidRPr="00C86CE6">
        <w:t>)—the following details of the other person:</w:t>
      </w:r>
    </w:p>
    <w:p w14:paraId="43842ED5" w14:textId="378A8B64" w:rsidR="00556396" w:rsidRPr="00C86CE6" w:rsidRDefault="00556396" w:rsidP="00556396">
      <w:pPr>
        <w:pStyle w:val="paragraphsub"/>
      </w:pPr>
      <w:r w:rsidRPr="00C86CE6">
        <w:tab/>
        <w:t>(i)</w:t>
      </w:r>
      <w:r w:rsidRPr="00C86CE6">
        <w:tab/>
        <w:t>if the other person is an individual—the details mentioned in subparagraphs </w:t>
      </w:r>
      <w:r w:rsidR="00BC4A61" w:rsidRPr="00C86CE6">
        <w:t>64</w:t>
      </w:r>
      <w:r w:rsidRPr="00C86CE6">
        <w:t>(2)(a)(i), (iv), (v), (viii) and (ix);</w:t>
      </w:r>
    </w:p>
    <w:p w14:paraId="410588C8" w14:textId="59125BC2" w:rsidR="00556396" w:rsidRPr="00C86CE6" w:rsidRDefault="00556396" w:rsidP="00556396">
      <w:pPr>
        <w:pStyle w:val="paragraphsub"/>
      </w:pPr>
      <w:r w:rsidRPr="00C86CE6">
        <w:tab/>
        <w:t>(ii)</w:t>
      </w:r>
      <w:r w:rsidRPr="00C86CE6">
        <w:tab/>
        <w:t>if the other person is not an individual—the details mentioned in subparagraphs </w:t>
      </w:r>
      <w:r w:rsidR="00BC4A61" w:rsidRPr="00C86CE6">
        <w:t>64</w:t>
      </w:r>
      <w:r w:rsidRPr="00C86CE6">
        <w:t>(2)(b)(i) to (v);</w:t>
      </w:r>
    </w:p>
    <w:p w14:paraId="0C5D2D9C" w14:textId="77777777" w:rsidR="00556396" w:rsidRPr="00C86CE6" w:rsidRDefault="00556396" w:rsidP="00556396">
      <w:pPr>
        <w:pStyle w:val="paragraph"/>
        <w:rPr>
          <w:sz w:val="23"/>
          <w:szCs w:val="23"/>
        </w:rPr>
      </w:pPr>
      <w:r w:rsidRPr="00C86CE6">
        <w:tab/>
        <w:t>(d)</w:t>
      </w:r>
      <w:r w:rsidRPr="00C86CE6">
        <w:tab/>
        <w:t xml:space="preserve">if the person is delivering the monetary instrument to another person (the </w:t>
      </w:r>
      <w:r w:rsidRPr="00C86CE6">
        <w:rPr>
          <w:b/>
          <w:i/>
        </w:rPr>
        <w:t>other person</w:t>
      </w:r>
      <w:r w:rsidRPr="00C86CE6">
        <w:t>)—the following details of the other person</w:t>
      </w:r>
      <w:r w:rsidRPr="00C86CE6">
        <w:rPr>
          <w:sz w:val="23"/>
          <w:szCs w:val="23"/>
        </w:rPr>
        <w:t>:</w:t>
      </w:r>
    </w:p>
    <w:p w14:paraId="6DAB820D" w14:textId="305718EA" w:rsidR="00556396" w:rsidRPr="00C86CE6" w:rsidRDefault="00556396" w:rsidP="00556396">
      <w:pPr>
        <w:pStyle w:val="paragraphsub"/>
      </w:pPr>
      <w:r w:rsidRPr="00C86CE6">
        <w:tab/>
        <w:t>(i)</w:t>
      </w:r>
      <w:r w:rsidRPr="00C86CE6">
        <w:tab/>
        <w:t>if the other person is an individual—the details mentioned in subparagraphs </w:t>
      </w:r>
      <w:r w:rsidR="00BC4A61" w:rsidRPr="00C86CE6">
        <w:t>64</w:t>
      </w:r>
      <w:r w:rsidRPr="00C86CE6">
        <w:t>(2)(a)(i), (iv), (v), (viii) and (ix);</w:t>
      </w:r>
    </w:p>
    <w:p w14:paraId="67A91864" w14:textId="18639104" w:rsidR="00556396" w:rsidRPr="00C86CE6" w:rsidRDefault="00556396" w:rsidP="00556396">
      <w:pPr>
        <w:pStyle w:val="paragraphsub"/>
      </w:pPr>
      <w:r w:rsidRPr="00C86CE6">
        <w:tab/>
        <w:t>(ii)</w:t>
      </w:r>
      <w:r w:rsidRPr="00C86CE6">
        <w:tab/>
        <w:t>if the other person is not an individual—the details mentioned in subparagraphs </w:t>
      </w:r>
      <w:r w:rsidR="00BC4A61" w:rsidRPr="00C86CE6">
        <w:t>64</w:t>
      </w:r>
      <w:r w:rsidRPr="00C86CE6">
        <w:t>(2)(b)(i) to (v);</w:t>
      </w:r>
    </w:p>
    <w:p w14:paraId="5D19B547" w14:textId="77777777" w:rsidR="00556396" w:rsidRPr="00C86CE6" w:rsidRDefault="00556396" w:rsidP="00556396">
      <w:pPr>
        <w:pStyle w:val="paragraph"/>
      </w:pPr>
      <w:r w:rsidRPr="00C86CE6">
        <w:tab/>
        <w:t>(e)</w:t>
      </w:r>
      <w:r w:rsidRPr="00C86CE6">
        <w:tab/>
        <w:t>the kind of monetary instrument moved into Australia;</w:t>
      </w:r>
    </w:p>
    <w:p w14:paraId="3E4C55C9" w14:textId="77777777" w:rsidR="00556396" w:rsidRPr="00C86CE6" w:rsidRDefault="00556396" w:rsidP="00556396">
      <w:pPr>
        <w:pStyle w:val="paragraph"/>
      </w:pPr>
      <w:r w:rsidRPr="00C86CE6">
        <w:tab/>
        <w:t>(f)</w:t>
      </w:r>
      <w:r w:rsidRPr="00C86CE6">
        <w:tab/>
        <w:t>the monetary instrument amount moved into Australia;</w:t>
      </w:r>
    </w:p>
    <w:p w14:paraId="1183D691" w14:textId="77777777" w:rsidR="00556396" w:rsidRPr="00C86CE6" w:rsidRDefault="00556396" w:rsidP="00556396">
      <w:pPr>
        <w:pStyle w:val="paragraph"/>
      </w:pPr>
      <w:r w:rsidRPr="00C86CE6">
        <w:tab/>
        <w:t>(g)</w:t>
      </w:r>
      <w:r w:rsidRPr="00C86CE6">
        <w:tab/>
        <w:t>the currency of the monetary instrument;</w:t>
      </w:r>
    </w:p>
    <w:p w14:paraId="09CB244A" w14:textId="77777777" w:rsidR="00556396" w:rsidRPr="00C86CE6" w:rsidRDefault="00556396" w:rsidP="00556396">
      <w:pPr>
        <w:pStyle w:val="paragraph"/>
      </w:pPr>
      <w:r w:rsidRPr="00C86CE6">
        <w:tab/>
        <w:t>(h)</w:t>
      </w:r>
      <w:r w:rsidRPr="00C86CE6">
        <w:tab/>
        <w:t>if the monetary instrument is a bearer negotiable instrument:</w:t>
      </w:r>
    </w:p>
    <w:p w14:paraId="513BD36B" w14:textId="77777777" w:rsidR="00556396" w:rsidRPr="00C86CE6" w:rsidRDefault="00556396" w:rsidP="00556396">
      <w:pPr>
        <w:pStyle w:val="paragraphsub"/>
      </w:pPr>
      <w:r w:rsidRPr="00C86CE6">
        <w:tab/>
        <w:t>(i)</w:t>
      </w:r>
      <w:r w:rsidRPr="00C86CE6">
        <w:tab/>
        <w:t>the issuer or drawer of the monetary instrument; and</w:t>
      </w:r>
    </w:p>
    <w:p w14:paraId="7F2A93F9" w14:textId="77777777" w:rsidR="00556396" w:rsidRPr="00C86CE6" w:rsidRDefault="00556396" w:rsidP="00556396">
      <w:pPr>
        <w:pStyle w:val="paragraphsub"/>
      </w:pPr>
      <w:r w:rsidRPr="00C86CE6">
        <w:tab/>
        <w:t>(ii)</w:t>
      </w:r>
      <w:r w:rsidRPr="00C86CE6">
        <w:tab/>
        <w:t>the payee, favouree or beneficiary of the monetary instrument; and</w:t>
      </w:r>
    </w:p>
    <w:p w14:paraId="1F7BAB13" w14:textId="77777777" w:rsidR="00556396" w:rsidRPr="00C86CE6" w:rsidRDefault="00556396" w:rsidP="00556396">
      <w:pPr>
        <w:pStyle w:val="paragraphsub"/>
      </w:pPr>
      <w:r w:rsidRPr="00C86CE6">
        <w:tab/>
        <w:t>(iii)</w:t>
      </w:r>
      <w:r w:rsidRPr="00C86CE6">
        <w:tab/>
        <w:t>the name of the bearer of the monetary instrument; and</w:t>
      </w:r>
    </w:p>
    <w:p w14:paraId="665EB5DE" w14:textId="77777777" w:rsidR="00556396" w:rsidRPr="00C86CE6" w:rsidRDefault="00556396" w:rsidP="00556396">
      <w:pPr>
        <w:pStyle w:val="paragraphsub"/>
      </w:pPr>
      <w:r w:rsidRPr="00C86CE6">
        <w:tab/>
        <w:t>(iv)</w:t>
      </w:r>
      <w:r w:rsidRPr="00C86CE6">
        <w:tab/>
        <w:t>the city and country of issue of the monetary instrument; and</w:t>
      </w:r>
    </w:p>
    <w:p w14:paraId="5A73E7CE" w14:textId="77777777" w:rsidR="00556396" w:rsidRPr="00C86CE6" w:rsidRDefault="00556396" w:rsidP="00556396">
      <w:pPr>
        <w:pStyle w:val="paragraphsub"/>
      </w:pPr>
      <w:r w:rsidRPr="00C86CE6">
        <w:tab/>
        <w:t>(v)</w:t>
      </w:r>
      <w:r w:rsidRPr="00C86CE6">
        <w:tab/>
        <w:t>any reference numbers of the monetary instrument;</w:t>
      </w:r>
    </w:p>
    <w:p w14:paraId="2B90A1BA" w14:textId="77777777" w:rsidR="00556396" w:rsidRPr="00C86CE6" w:rsidRDefault="00556396" w:rsidP="00556396">
      <w:pPr>
        <w:pStyle w:val="paragraph"/>
      </w:pPr>
      <w:r w:rsidRPr="00C86CE6">
        <w:tab/>
        <w:t>(i)</w:t>
      </w:r>
      <w:r w:rsidRPr="00C86CE6">
        <w:tab/>
        <w:t>the means by which the monetary instrument was moved into Australia;</w:t>
      </w:r>
    </w:p>
    <w:p w14:paraId="669938E1" w14:textId="77777777" w:rsidR="00556396" w:rsidRPr="00C86CE6" w:rsidRDefault="00556396" w:rsidP="00556396">
      <w:pPr>
        <w:pStyle w:val="paragraph"/>
      </w:pPr>
      <w:r w:rsidRPr="00C86CE6">
        <w:tab/>
        <w:t>(j)</w:t>
      </w:r>
      <w:r w:rsidRPr="00C86CE6">
        <w:tab/>
        <w:t>the name of the individual or service provider who moved the monetary instrument into Australia;</w:t>
      </w:r>
    </w:p>
    <w:p w14:paraId="1F28078D" w14:textId="77777777" w:rsidR="00556396" w:rsidRPr="00C86CE6" w:rsidRDefault="00556396" w:rsidP="00556396">
      <w:pPr>
        <w:pStyle w:val="paragraph"/>
      </w:pPr>
      <w:r w:rsidRPr="00C86CE6">
        <w:tab/>
        <w:t>(k)</w:t>
      </w:r>
      <w:r w:rsidRPr="00C86CE6">
        <w:tab/>
        <w:t xml:space="preserve">if the monetary instrument was sent into Australia—the following details of the person who sent the monetary instrument (the </w:t>
      </w:r>
      <w:r w:rsidRPr="00C86CE6">
        <w:rPr>
          <w:b/>
          <w:i/>
        </w:rPr>
        <w:t>sender</w:t>
      </w:r>
      <w:r w:rsidRPr="00C86CE6">
        <w:t>) to the person:</w:t>
      </w:r>
    </w:p>
    <w:p w14:paraId="5DB670B5" w14:textId="77777777" w:rsidR="00556396" w:rsidRPr="00C86CE6" w:rsidRDefault="00556396" w:rsidP="00556396">
      <w:pPr>
        <w:pStyle w:val="paragraphsub"/>
      </w:pPr>
      <w:r w:rsidRPr="00C86CE6">
        <w:tab/>
        <w:t>(i)</w:t>
      </w:r>
      <w:r w:rsidRPr="00C86CE6">
        <w:tab/>
        <w:t>the sender’s full name;</w:t>
      </w:r>
    </w:p>
    <w:p w14:paraId="3B0EAA58" w14:textId="77777777" w:rsidR="00556396" w:rsidRPr="00C86CE6" w:rsidRDefault="00556396" w:rsidP="00556396">
      <w:pPr>
        <w:pStyle w:val="paragraphsub"/>
      </w:pPr>
      <w:r w:rsidRPr="00C86CE6">
        <w:tab/>
        <w:t>(ii)</w:t>
      </w:r>
      <w:r w:rsidRPr="00C86CE6">
        <w:tab/>
        <w:t>the sender’s telephone number;</w:t>
      </w:r>
    </w:p>
    <w:p w14:paraId="3CA9BC99" w14:textId="77777777" w:rsidR="00556396" w:rsidRPr="00C86CE6" w:rsidRDefault="00556396" w:rsidP="00556396">
      <w:pPr>
        <w:pStyle w:val="paragraphsub"/>
      </w:pPr>
      <w:r w:rsidRPr="00C86CE6">
        <w:tab/>
        <w:t>(iii)</w:t>
      </w:r>
      <w:r w:rsidRPr="00C86CE6">
        <w:tab/>
        <w:t>if the sender is an individual—the sender’s residential address;</w:t>
      </w:r>
    </w:p>
    <w:p w14:paraId="56B51020" w14:textId="77777777" w:rsidR="00556396" w:rsidRPr="00C86CE6" w:rsidRDefault="00556396" w:rsidP="00556396">
      <w:pPr>
        <w:pStyle w:val="paragraphsub"/>
      </w:pPr>
      <w:r w:rsidRPr="00C86CE6">
        <w:tab/>
        <w:t>(iv)</w:t>
      </w:r>
      <w:r w:rsidRPr="00C86CE6">
        <w:tab/>
        <w:t>if the sender is not an individual—the address at which the sender’s business or principal activity is conducted;</w:t>
      </w:r>
    </w:p>
    <w:p w14:paraId="7B386D98" w14:textId="77777777" w:rsidR="00556396" w:rsidRPr="00C86CE6" w:rsidRDefault="00556396" w:rsidP="00556396">
      <w:pPr>
        <w:pStyle w:val="paragraphsub"/>
      </w:pPr>
      <w:r w:rsidRPr="00C86CE6">
        <w:tab/>
        <w:t>(v)</w:t>
      </w:r>
      <w:r w:rsidRPr="00C86CE6">
        <w:tab/>
        <w:t>if the sender is not an individual and is registered in Australia—the sender’s ABN, ACN and ARBN (as applicable);</w:t>
      </w:r>
    </w:p>
    <w:p w14:paraId="3ED1557B" w14:textId="77777777" w:rsidR="00556396" w:rsidRPr="00C86CE6" w:rsidRDefault="00556396" w:rsidP="00556396">
      <w:pPr>
        <w:pStyle w:val="paragraph"/>
      </w:pPr>
      <w:r w:rsidRPr="00C86CE6">
        <w:tab/>
        <w:t>(l)</w:t>
      </w:r>
      <w:r w:rsidRPr="00C86CE6">
        <w:tab/>
        <w:t>the city and country from which the monetary instrument was moved;</w:t>
      </w:r>
    </w:p>
    <w:p w14:paraId="7FC933DC" w14:textId="77777777" w:rsidR="00556396" w:rsidRPr="00C86CE6" w:rsidRDefault="00556396" w:rsidP="00556396">
      <w:pPr>
        <w:pStyle w:val="paragraph"/>
      </w:pPr>
      <w:r w:rsidRPr="00C86CE6">
        <w:tab/>
        <w:t>(m)</w:t>
      </w:r>
      <w:r w:rsidRPr="00C86CE6">
        <w:tab/>
        <w:t>the city, town or port in which the monetary instrument was received by the person;</w:t>
      </w:r>
    </w:p>
    <w:p w14:paraId="64D77981" w14:textId="77777777" w:rsidR="00556396" w:rsidRPr="00C86CE6" w:rsidRDefault="00556396" w:rsidP="00556396">
      <w:pPr>
        <w:pStyle w:val="paragraph"/>
      </w:pPr>
      <w:r w:rsidRPr="00C86CE6">
        <w:tab/>
        <w:t>(n)</w:t>
      </w:r>
      <w:r w:rsidRPr="00C86CE6">
        <w:tab/>
        <w:t>the date the monetary instrument was received by the person;</w:t>
      </w:r>
    </w:p>
    <w:p w14:paraId="395D29FF" w14:textId="77777777" w:rsidR="00556396" w:rsidRPr="00C86CE6" w:rsidRDefault="00556396" w:rsidP="00556396">
      <w:pPr>
        <w:pStyle w:val="paragraph"/>
      </w:pPr>
      <w:r w:rsidRPr="00C86CE6">
        <w:tab/>
        <w:t>(o)</w:t>
      </w:r>
      <w:r w:rsidRPr="00C86CE6">
        <w:tab/>
        <w:t>a declaration that the information provided in the approved form is true, accurate and complete.</w:t>
      </w:r>
    </w:p>
    <w:p w14:paraId="4620F733" w14:textId="77777777" w:rsidR="00556396" w:rsidRPr="00C86CE6" w:rsidRDefault="00556396" w:rsidP="00556396">
      <w:pPr>
        <w:pStyle w:val="notetext"/>
      </w:pPr>
      <w:r w:rsidRPr="00C86CE6">
        <w:t>Note:</w:t>
      </w:r>
      <w:r w:rsidRPr="00C86CE6">
        <w:tab/>
        <w:t>The report must be given in the approved form before the end of 5 business days beginning on the day of receipt (see paragraphs 54(4)(a) and (d) of the Act).</w:t>
      </w:r>
    </w:p>
    <w:p w14:paraId="79B83804" w14:textId="3EBF0F49" w:rsidR="00556396" w:rsidRPr="00C86CE6" w:rsidRDefault="00BC4A61" w:rsidP="006C14B7">
      <w:pPr>
        <w:pStyle w:val="ActHead5"/>
      </w:pPr>
      <w:bookmarkStart w:id="102" w:name="_Toc184727403"/>
      <w:r w:rsidRPr="004B21E2">
        <w:rPr>
          <w:rStyle w:val="CharSectno"/>
        </w:rPr>
        <w:lastRenderedPageBreak/>
        <w:t>66</w:t>
      </w:r>
      <w:r w:rsidR="00D479A1" w:rsidRPr="00C86CE6">
        <w:t xml:space="preserve">  Af</w:t>
      </w:r>
      <w:r w:rsidR="00556396" w:rsidRPr="00C86CE6">
        <w:t>fixing of notices about cross</w:t>
      </w:r>
      <w:r w:rsidR="004A7589">
        <w:noBreakHyphen/>
      </w:r>
      <w:r w:rsidR="00556396" w:rsidRPr="00C86CE6">
        <w:t>border movement reporting obligations</w:t>
      </w:r>
      <w:bookmarkEnd w:id="102"/>
    </w:p>
    <w:p w14:paraId="2B49DF26" w14:textId="77867221" w:rsidR="00E1214A" w:rsidRPr="00C86CE6" w:rsidRDefault="006C14B7" w:rsidP="00D479A1">
      <w:pPr>
        <w:pStyle w:val="subsection"/>
      </w:pPr>
      <w:r w:rsidRPr="00C86CE6">
        <w:tab/>
      </w:r>
      <w:r w:rsidR="00D479A1" w:rsidRPr="00C86CE6">
        <w:t>(1)</w:t>
      </w:r>
      <w:r w:rsidR="00D479A1" w:rsidRPr="00C86CE6">
        <w:tab/>
      </w:r>
      <w:r w:rsidR="00204723" w:rsidRPr="00C86CE6">
        <w:t>This section applies to a</w:t>
      </w:r>
      <w:r w:rsidR="00473879" w:rsidRPr="00C86CE6">
        <w:t xml:space="preserve"> written notice that relates to reporting obligations under </w:t>
      </w:r>
      <w:r w:rsidRPr="00C86CE6">
        <w:t>Part 4</w:t>
      </w:r>
      <w:r w:rsidR="00473879" w:rsidRPr="00C86CE6">
        <w:t xml:space="preserve"> of the Act (</w:t>
      </w:r>
      <w:r w:rsidR="00707EC7" w:rsidRPr="00C86CE6">
        <w:t xml:space="preserve">reports about </w:t>
      </w:r>
      <w:r w:rsidR="00473879" w:rsidRPr="00C86CE6">
        <w:t>cross</w:t>
      </w:r>
      <w:r w:rsidR="004A7589">
        <w:noBreakHyphen/>
      </w:r>
      <w:r w:rsidR="00473879" w:rsidRPr="00C86CE6">
        <w:t>border movements of monetary instruments</w:t>
      </w:r>
      <w:r w:rsidR="00707EC7" w:rsidRPr="00C86CE6">
        <w:t>)</w:t>
      </w:r>
      <w:r w:rsidR="00204723" w:rsidRPr="00C86CE6">
        <w:t>.</w:t>
      </w:r>
    </w:p>
    <w:p w14:paraId="4C028BA5" w14:textId="77777777" w:rsidR="00204723" w:rsidRPr="00C86CE6" w:rsidRDefault="00204723" w:rsidP="00D479A1">
      <w:pPr>
        <w:pStyle w:val="subsection"/>
      </w:pPr>
      <w:r w:rsidRPr="00C86CE6">
        <w:tab/>
        <w:t>(2)</w:t>
      </w:r>
      <w:r w:rsidRPr="00C86CE6">
        <w:tab/>
        <w:t>The written notice:</w:t>
      </w:r>
    </w:p>
    <w:p w14:paraId="18B426CA" w14:textId="77777777" w:rsidR="00473879" w:rsidRPr="00C86CE6" w:rsidRDefault="00E1214A" w:rsidP="00E1214A">
      <w:pPr>
        <w:pStyle w:val="paragraph"/>
      </w:pPr>
      <w:r w:rsidRPr="00C86CE6">
        <w:tab/>
        <w:t>(a)</w:t>
      </w:r>
      <w:r w:rsidRPr="00C86CE6">
        <w:tab/>
      </w:r>
      <w:r w:rsidR="00707EC7" w:rsidRPr="00C86CE6">
        <w:t>must be in one of the following forms:</w:t>
      </w:r>
    </w:p>
    <w:p w14:paraId="5240D1CC" w14:textId="42FF5865" w:rsidR="00707EC7" w:rsidRPr="00C86CE6" w:rsidRDefault="00707EC7" w:rsidP="00E1214A">
      <w:pPr>
        <w:pStyle w:val="paragraphsub"/>
      </w:pPr>
      <w:r w:rsidRPr="00C86CE6">
        <w:tab/>
      </w:r>
      <w:r w:rsidR="00556396" w:rsidRPr="00C86CE6">
        <w:t>(</w:t>
      </w:r>
      <w:r w:rsidR="00E1214A" w:rsidRPr="00C86CE6">
        <w:t>i</w:t>
      </w:r>
      <w:r w:rsidR="00556396" w:rsidRPr="00C86CE6">
        <w:t>)</w:t>
      </w:r>
      <w:r w:rsidR="00556396" w:rsidRPr="00C86CE6">
        <w:tab/>
        <w:t>a self</w:t>
      </w:r>
      <w:r w:rsidR="004A7589">
        <w:noBreakHyphen/>
      </w:r>
      <w:r w:rsidR="00556396" w:rsidRPr="00C86CE6">
        <w:t>standing sign;</w:t>
      </w:r>
    </w:p>
    <w:p w14:paraId="1BBD64B7" w14:textId="77777777" w:rsidR="00707EC7" w:rsidRPr="00C86CE6" w:rsidRDefault="00707EC7" w:rsidP="00E1214A">
      <w:pPr>
        <w:pStyle w:val="paragraphsub"/>
      </w:pPr>
      <w:r w:rsidRPr="00C86CE6">
        <w:tab/>
      </w:r>
      <w:r w:rsidR="00E1214A" w:rsidRPr="00C86CE6">
        <w:t>(ii</w:t>
      </w:r>
      <w:r w:rsidRPr="00C86CE6">
        <w:t>)</w:t>
      </w:r>
      <w:r w:rsidRPr="00C86CE6">
        <w:tab/>
        <w:t>a digital or electronic sign;</w:t>
      </w:r>
    </w:p>
    <w:p w14:paraId="4BCD7FA5" w14:textId="77777777" w:rsidR="00556396" w:rsidRPr="00C86CE6" w:rsidRDefault="00707EC7" w:rsidP="00E1214A">
      <w:pPr>
        <w:pStyle w:val="paragraphsub"/>
      </w:pPr>
      <w:r w:rsidRPr="00C86CE6">
        <w:tab/>
        <w:t>(</w:t>
      </w:r>
      <w:r w:rsidR="00E1214A" w:rsidRPr="00C86CE6">
        <w:t>iii</w:t>
      </w:r>
      <w:r w:rsidRPr="00C86CE6">
        <w:t>)</w:t>
      </w:r>
      <w:r w:rsidRPr="00C86CE6">
        <w:tab/>
        <w:t>a sign in any other material form</w:t>
      </w:r>
      <w:r w:rsidR="00E1214A" w:rsidRPr="00C86CE6">
        <w:t>; and</w:t>
      </w:r>
    </w:p>
    <w:p w14:paraId="25A6BB81" w14:textId="77777777" w:rsidR="00556396" w:rsidRPr="00C86CE6" w:rsidRDefault="00E1214A" w:rsidP="00E1214A">
      <w:pPr>
        <w:pStyle w:val="paragraph"/>
        <w:rPr>
          <w:color w:val="000000"/>
        </w:rPr>
      </w:pPr>
      <w:r w:rsidRPr="00C86CE6">
        <w:tab/>
        <w:t>(b)</w:t>
      </w:r>
      <w:r w:rsidRPr="00C86CE6">
        <w:tab/>
        <w:t xml:space="preserve">must contain the following </w:t>
      </w:r>
      <w:r w:rsidR="00556396" w:rsidRPr="00C86CE6">
        <w:rPr>
          <w:color w:val="000000"/>
        </w:rPr>
        <w:t>content</w:t>
      </w:r>
      <w:r w:rsidRPr="00C86CE6">
        <w:rPr>
          <w:color w:val="000000"/>
        </w:rPr>
        <w:t xml:space="preserve"> (</w:t>
      </w:r>
      <w:r w:rsidR="00556396" w:rsidRPr="00C86CE6">
        <w:rPr>
          <w:color w:val="000000"/>
        </w:rPr>
        <w:t>with or without the inclusion of any other words</w:t>
      </w:r>
      <w:r w:rsidRPr="00C86CE6">
        <w:rPr>
          <w:color w:val="000000"/>
        </w:rPr>
        <w:t>)</w:t>
      </w:r>
      <w:r w:rsidR="00556396" w:rsidRPr="00C86CE6">
        <w:rPr>
          <w:color w:val="000000"/>
        </w:rPr>
        <w:t>:</w:t>
      </w:r>
    </w:p>
    <w:p w14:paraId="0874002F" w14:textId="77777777" w:rsidR="00556396" w:rsidRPr="00C86CE6" w:rsidRDefault="0080707F" w:rsidP="0080707F">
      <w:pPr>
        <w:pStyle w:val="paragraphsub"/>
      </w:pPr>
      <w:r w:rsidRPr="00C86CE6">
        <w:tab/>
      </w:r>
      <w:r w:rsidRPr="00C86CE6">
        <w:tab/>
      </w:r>
      <w:r w:rsidR="00556396" w:rsidRPr="00C86CE6">
        <w:t>Australian Government</w:t>
      </w:r>
    </w:p>
    <w:p w14:paraId="6537C704" w14:textId="77777777" w:rsidR="00556396" w:rsidRPr="00C86CE6" w:rsidRDefault="0080707F" w:rsidP="0080707F">
      <w:pPr>
        <w:pStyle w:val="paragraphsub"/>
      </w:pPr>
      <w:r w:rsidRPr="00C86CE6">
        <w:tab/>
      </w:r>
      <w:r w:rsidRPr="00C86CE6">
        <w:tab/>
      </w:r>
      <w:r w:rsidR="00556396" w:rsidRPr="00C86CE6">
        <w:t>Australian Transaction Reports and Analysis Centre</w:t>
      </w:r>
    </w:p>
    <w:p w14:paraId="27DACA48" w14:textId="77777777" w:rsidR="00556396" w:rsidRPr="00C86CE6" w:rsidRDefault="0080707F" w:rsidP="0080707F">
      <w:pPr>
        <w:pStyle w:val="paragraphsub"/>
      </w:pPr>
      <w:r w:rsidRPr="00C86CE6">
        <w:tab/>
      </w:r>
      <w:r w:rsidRPr="00C86CE6">
        <w:tab/>
      </w:r>
      <w:r w:rsidR="00556396" w:rsidRPr="00C86CE6">
        <w:t>Carrying $10,000 or more into or out of Australia?</w:t>
      </w:r>
    </w:p>
    <w:p w14:paraId="0F8F003B" w14:textId="77777777" w:rsidR="00556396" w:rsidRPr="00C86CE6" w:rsidRDefault="0080707F" w:rsidP="0080707F">
      <w:pPr>
        <w:pStyle w:val="paragraphsub"/>
      </w:pPr>
      <w:r w:rsidRPr="00C86CE6">
        <w:tab/>
      </w:r>
      <w:r w:rsidRPr="00C86CE6">
        <w:tab/>
      </w:r>
      <w:r w:rsidR="00556396" w:rsidRPr="00C86CE6">
        <w:t>You must report: cash, traveller’s cheques, cheques, money orders, or other bearer negotiable instruments</w:t>
      </w:r>
    </w:p>
    <w:p w14:paraId="7C088343" w14:textId="77777777" w:rsidR="00556396" w:rsidRPr="00C86CE6" w:rsidRDefault="0080707F" w:rsidP="0080707F">
      <w:pPr>
        <w:pStyle w:val="paragraphsub"/>
      </w:pPr>
      <w:r w:rsidRPr="00C86CE6">
        <w:tab/>
      </w:r>
      <w:r w:rsidRPr="00C86CE6">
        <w:tab/>
      </w:r>
      <w:r w:rsidR="00556396" w:rsidRPr="00C86CE6">
        <w:t>These a</w:t>
      </w:r>
      <w:r w:rsidRPr="00C86CE6">
        <w:t>r</w:t>
      </w:r>
      <w:r w:rsidR="00556396" w:rsidRPr="00C86CE6">
        <w:t>e monetary instruments. By law you must report the movement of monetary instruments if the sum of the monetary instrument amount is AUD$10,000 or more (or foreign currency equivalent). Note there is no limit to the sum of monetary instruments amounts you can carry in and out of Australia.</w:t>
      </w:r>
    </w:p>
    <w:p w14:paraId="6DA0AB81" w14:textId="77777777" w:rsidR="00556396" w:rsidRPr="00C86CE6" w:rsidRDefault="00204723" w:rsidP="00204723">
      <w:pPr>
        <w:pStyle w:val="subsection"/>
      </w:pPr>
      <w:r w:rsidRPr="00C86CE6">
        <w:rPr>
          <w:color w:val="000000"/>
        </w:rPr>
        <w:tab/>
        <w:t>(3)</w:t>
      </w:r>
      <w:r w:rsidRPr="00C86CE6">
        <w:rPr>
          <w:color w:val="000000"/>
        </w:rPr>
        <w:tab/>
        <w:t xml:space="preserve">The written notice </w:t>
      </w:r>
      <w:r w:rsidR="00556396" w:rsidRPr="00C86CE6">
        <w:t>may be affixed at:</w:t>
      </w:r>
    </w:p>
    <w:p w14:paraId="47E071F8" w14:textId="77777777" w:rsidR="00556396" w:rsidRPr="00C86CE6" w:rsidRDefault="00204723" w:rsidP="00204723">
      <w:pPr>
        <w:pStyle w:val="paragraph"/>
      </w:pPr>
      <w:r w:rsidRPr="00C86CE6">
        <w:tab/>
      </w:r>
      <w:r w:rsidR="00556396" w:rsidRPr="00C86CE6">
        <w:t>(</w:t>
      </w:r>
      <w:r w:rsidRPr="00C86CE6">
        <w:t>a</w:t>
      </w:r>
      <w:r w:rsidR="00556396" w:rsidRPr="00C86CE6">
        <w:t>)</w:t>
      </w:r>
      <w:r w:rsidR="00556396" w:rsidRPr="00C86CE6">
        <w:tab/>
        <w:t xml:space="preserve">any port, airport, wharf, or boarding station that is appointed under </w:t>
      </w:r>
      <w:r w:rsidR="00606BBD" w:rsidRPr="00C86CE6">
        <w:t>section 1</w:t>
      </w:r>
      <w:r w:rsidR="00556396" w:rsidRPr="00C86CE6">
        <w:t xml:space="preserve">5 of the </w:t>
      </w:r>
      <w:r w:rsidR="00556396" w:rsidRPr="00C86CE6">
        <w:rPr>
          <w:i/>
        </w:rPr>
        <w:t>Customs Act 1901</w:t>
      </w:r>
      <w:r w:rsidR="00556396" w:rsidRPr="00C86CE6">
        <w:t xml:space="preserve">; </w:t>
      </w:r>
      <w:r w:rsidR="009D2BC4" w:rsidRPr="00C86CE6">
        <w:t>or</w:t>
      </w:r>
    </w:p>
    <w:p w14:paraId="0881058C" w14:textId="3A316ED3" w:rsidR="00CD6A08" w:rsidRPr="00C86CE6" w:rsidRDefault="00204723" w:rsidP="00CD6A08">
      <w:pPr>
        <w:pStyle w:val="paragraph"/>
        <w:rPr>
          <w:szCs w:val="22"/>
        </w:rPr>
      </w:pPr>
      <w:r w:rsidRPr="00C86CE6">
        <w:tab/>
      </w:r>
      <w:r w:rsidR="00556396" w:rsidRPr="00C86CE6">
        <w:t>(</w:t>
      </w:r>
      <w:r w:rsidRPr="00C86CE6">
        <w:t>b</w:t>
      </w:r>
      <w:r w:rsidR="00556396" w:rsidRPr="00C86CE6">
        <w:t>)</w:t>
      </w:r>
      <w:r w:rsidR="00556396" w:rsidRPr="00C86CE6">
        <w:tab/>
        <w:t xml:space="preserve">a place to which </w:t>
      </w:r>
      <w:r w:rsidR="00A25E52" w:rsidRPr="00C86CE6">
        <w:t>section 2</w:t>
      </w:r>
      <w:r w:rsidR="00556396" w:rsidRPr="00C86CE6">
        <w:t xml:space="preserve">34AA of the </w:t>
      </w:r>
      <w:r w:rsidR="00556396" w:rsidRPr="00C86CE6">
        <w:rPr>
          <w:i/>
        </w:rPr>
        <w:t>Customs Act 1901</w:t>
      </w:r>
      <w:r w:rsidR="00556396" w:rsidRPr="00C86CE6">
        <w:t xml:space="preserve"> applies that is not a place, or a part of a place, referred to in </w:t>
      </w:r>
      <w:r w:rsidR="009B58BE" w:rsidRPr="00C86CE6">
        <w:t>paragraph (</w:t>
      </w:r>
      <w:r w:rsidR="009D2BC4" w:rsidRPr="00C86CE6">
        <w:t>a</w:t>
      </w:r>
      <w:r w:rsidR="00556396" w:rsidRPr="00C86CE6">
        <w:t>).</w:t>
      </w:r>
    </w:p>
    <w:p w14:paraId="58BE8627" w14:textId="5F7BB5DB" w:rsidR="00D86399" w:rsidRPr="00C86CE6" w:rsidRDefault="0069174B" w:rsidP="00CD6A08">
      <w:pPr>
        <w:pStyle w:val="ActHead2"/>
        <w:pageBreakBefore/>
      </w:pPr>
      <w:bookmarkStart w:id="103" w:name="_Toc184727404"/>
      <w:r w:rsidRPr="004B21E2">
        <w:rPr>
          <w:rStyle w:val="CharPartNo"/>
        </w:rPr>
        <w:lastRenderedPageBreak/>
        <w:t>Part </w:t>
      </w:r>
      <w:r w:rsidR="00AB693F" w:rsidRPr="004B21E2">
        <w:rPr>
          <w:rStyle w:val="CharPartNo"/>
        </w:rPr>
        <w:t>9</w:t>
      </w:r>
      <w:r w:rsidR="00D86399" w:rsidRPr="00C86CE6">
        <w:t>—</w:t>
      </w:r>
      <w:r w:rsidR="00D86399" w:rsidRPr="004B21E2">
        <w:rPr>
          <w:rStyle w:val="CharPartText"/>
        </w:rPr>
        <w:t>Record</w:t>
      </w:r>
      <w:r w:rsidR="004A7589" w:rsidRPr="004B21E2">
        <w:rPr>
          <w:rStyle w:val="CharPartText"/>
        </w:rPr>
        <w:noBreakHyphen/>
      </w:r>
      <w:r w:rsidR="00D86399" w:rsidRPr="004B21E2">
        <w:rPr>
          <w:rStyle w:val="CharPartText"/>
        </w:rPr>
        <w:t>keeping</w:t>
      </w:r>
      <w:r w:rsidR="00C7261F" w:rsidRPr="004B21E2">
        <w:rPr>
          <w:rStyle w:val="CharPartText"/>
        </w:rPr>
        <w:t xml:space="preserve"> [to be drafted]</w:t>
      </w:r>
      <w:bookmarkEnd w:id="103"/>
    </w:p>
    <w:p w14:paraId="55C8DC12" w14:textId="77777777" w:rsidR="009C743B" w:rsidRPr="00C86CE6" w:rsidRDefault="009C743B" w:rsidP="009C743B">
      <w:pPr>
        <w:pStyle w:val="Header"/>
      </w:pPr>
      <w:bookmarkStart w:id="104" w:name="_Toc184727405"/>
      <w:r w:rsidRPr="004A7589">
        <w:rPr>
          <w:rStyle w:val="CharDivNo"/>
        </w:rPr>
        <w:t xml:space="preserve"> </w:t>
      </w:r>
      <w:r w:rsidRPr="004A7589">
        <w:rPr>
          <w:rStyle w:val="CharDivText"/>
        </w:rPr>
        <w:t xml:space="preserve"> </w:t>
      </w:r>
    </w:p>
    <w:p w14:paraId="099AA974" w14:textId="126B666B" w:rsidR="00D86399" w:rsidRPr="00C86CE6" w:rsidRDefault="0069174B" w:rsidP="00D86399">
      <w:pPr>
        <w:pStyle w:val="ActHead2"/>
        <w:pageBreakBefore/>
      </w:pPr>
      <w:r w:rsidRPr="004B21E2">
        <w:rPr>
          <w:rStyle w:val="CharPartNo"/>
        </w:rPr>
        <w:lastRenderedPageBreak/>
        <w:t>Part 1</w:t>
      </w:r>
      <w:r w:rsidR="00AB693F" w:rsidRPr="004B21E2">
        <w:rPr>
          <w:rStyle w:val="CharPartNo"/>
        </w:rPr>
        <w:t>0</w:t>
      </w:r>
      <w:r w:rsidR="00D86399" w:rsidRPr="00C86CE6">
        <w:t>—</w:t>
      </w:r>
      <w:r w:rsidR="00D86399" w:rsidRPr="004B21E2">
        <w:rPr>
          <w:rStyle w:val="CharPartText"/>
        </w:rPr>
        <w:t>Secrecy and access</w:t>
      </w:r>
      <w:bookmarkEnd w:id="104"/>
    </w:p>
    <w:p w14:paraId="0D636ABC" w14:textId="77777777" w:rsidR="00B42B42" w:rsidRPr="00C86CE6" w:rsidRDefault="00F9597A" w:rsidP="00F9597A">
      <w:pPr>
        <w:pStyle w:val="Header"/>
      </w:pPr>
      <w:r w:rsidRPr="004B21E2">
        <w:t xml:space="preserve">  </w:t>
      </w:r>
    </w:p>
    <w:p w14:paraId="3A026C7D" w14:textId="6C912665" w:rsidR="00F9597A" w:rsidRPr="00C86CE6" w:rsidRDefault="00BC4A61" w:rsidP="00F9597A">
      <w:pPr>
        <w:pStyle w:val="ActHead5"/>
      </w:pPr>
      <w:bookmarkStart w:id="105" w:name="_Toc184727406"/>
      <w:r w:rsidRPr="004B21E2">
        <w:rPr>
          <w:rStyle w:val="CharSectno"/>
        </w:rPr>
        <w:t>67</w:t>
      </w:r>
      <w:r w:rsidR="00F9597A" w:rsidRPr="00C86CE6">
        <w:t xml:space="preserve">  Disclosure of AUSTRAC information to foreign countries or agencies</w:t>
      </w:r>
      <w:bookmarkEnd w:id="105"/>
    </w:p>
    <w:p w14:paraId="0A08C81D" w14:textId="77777777" w:rsidR="00F9597A" w:rsidRPr="00C86CE6" w:rsidRDefault="00F9597A" w:rsidP="00F9597A">
      <w:pPr>
        <w:pStyle w:val="subsection"/>
      </w:pPr>
      <w:r w:rsidRPr="00C86CE6">
        <w:tab/>
      </w:r>
      <w:r w:rsidRPr="00C86CE6">
        <w:tab/>
        <w:t xml:space="preserve">For the purposes of </w:t>
      </w:r>
      <w:r w:rsidR="00606BBD" w:rsidRPr="00C86CE6">
        <w:t>paragraph 1</w:t>
      </w:r>
      <w:r w:rsidRPr="00C86CE6">
        <w:t>27(2)(a)</w:t>
      </w:r>
      <w:r w:rsidR="007E5831" w:rsidRPr="00C86CE6">
        <w:t xml:space="preserve"> of the Act</w:t>
      </w:r>
      <w:r w:rsidRPr="00C86CE6">
        <w:t>, th</w:t>
      </w:r>
      <w:r w:rsidR="00CA07EC" w:rsidRPr="00C86CE6">
        <w:t>e</w:t>
      </w:r>
      <w:r w:rsidRPr="00C86CE6">
        <w:t xml:space="preserve"> </w:t>
      </w:r>
      <w:r w:rsidR="006C14B7" w:rsidRPr="00C86CE6">
        <w:t xml:space="preserve">following Commonwealth, State or Territory </w:t>
      </w:r>
      <w:r w:rsidRPr="00C86CE6">
        <w:t>agencies are prescribed</w:t>
      </w:r>
      <w:r w:rsidR="00CA07EC" w:rsidRPr="00C86CE6">
        <w:t>:</w:t>
      </w:r>
    </w:p>
    <w:p w14:paraId="0DF1A5B4" w14:textId="77777777" w:rsidR="00692DB7" w:rsidRPr="00C86CE6" w:rsidRDefault="00CA07EC" w:rsidP="00692DB7">
      <w:pPr>
        <w:pStyle w:val="paragraph"/>
      </w:pPr>
      <w:r w:rsidRPr="00C86CE6">
        <w:tab/>
        <w:t>(a)</w:t>
      </w:r>
      <w:r w:rsidRPr="00C86CE6">
        <w:tab/>
      </w:r>
      <w:r w:rsidR="003B7978" w:rsidRPr="00C86CE6">
        <w:t xml:space="preserve">the </w:t>
      </w:r>
      <w:r w:rsidR="00AA2786" w:rsidRPr="00C86CE6">
        <w:t>Department</w:t>
      </w:r>
      <w:r w:rsidR="003B7978" w:rsidRPr="00C86CE6">
        <w:t>;</w:t>
      </w:r>
    </w:p>
    <w:p w14:paraId="0A6EA177" w14:textId="77777777" w:rsidR="00331D93" w:rsidRPr="00C86CE6" w:rsidRDefault="00331D93" w:rsidP="00692DB7">
      <w:pPr>
        <w:pStyle w:val="paragraph"/>
      </w:pPr>
      <w:r w:rsidRPr="00C86CE6">
        <w:tab/>
        <w:t>(b)</w:t>
      </w:r>
      <w:r w:rsidRPr="00C86CE6">
        <w:tab/>
        <w:t>the Foreign Affairs Department;</w:t>
      </w:r>
    </w:p>
    <w:p w14:paraId="5135191D" w14:textId="77777777" w:rsidR="00331D93" w:rsidRPr="00C86CE6" w:rsidRDefault="00331D93" w:rsidP="00692DB7">
      <w:pPr>
        <w:pStyle w:val="paragraph"/>
        <w:rPr>
          <w:rFonts w:eastAsiaTheme="minorEastAsia"/>
        </w:rPr>
      </w:pPr>
      <w:r w:rsidRPr="00C86CE6">
        <w:tab/>
        <w:t>(c)</w:t>
      </w:r>
      <w:r w:rsidRPr="00C86CE6">
        <w:tab/>
      </w:r>
      <w:r w:rsidRPr="00C86CE6">
        <w:rPr>
          <w:rFonts w:eastAsiaTheme="minorEastAsia"/>
        </w:rPr>
        <w:t>the Home Affairs Department;</w:t>
      </w:r>
    </w:p>
    <w:p w14:paraId="7D1140ED" w14:textId="4F8FAA39" w:rsidR="00212D13" w:rsidRPr="00C86CE6" w:rsidRDefault="00212D13" w:rsidP="00212D13">
      <w:pPr>
        <w:pStyle w:val="paragraph"/>
        <w:rPr>
          <w:rFonts w:eastAsiaTheme="minorEastAsia"/>
        </w:rPr>
      </w:pPr>
      <w:r w:rsidRPr="00C86CE6">
        <w:rPr>
          <w:rFonts w:eastAsiaTheme="minorEastAsia"/>
        </w:rPr>
        <w:tab/>
        <w:t>(d)</w:t>
      </w:r>
      <w:r w:rsidRPr="00C86CE6">
        <w:rPr>
          <w:rFonts w:eastAsiaTheme="minorEastAsia"/>
        </w:rPr>
        <w:tab/>
        <w:t>that part of the Defence Department known as the Australian Geospatial</w:t>
      </w:r>
      <w:r w:rsidR="004A7589">
        <w:rPr>
          <w:rFonts w:eastAsiaTheme="minorEastAsia"/>
        </w:rPr>
        <w:noBreakHyphen/>
      </w:r>
      <w:r w:rsidRPr="00C86CE6">
        <w:rPr>
          <w:rFonts w:eastAsiaTheme="minorEastAsia"/>
        </w:rPr>
        <w:t>Intelligence Organisation, and includes any part of the Defence Force that performs functions on behalf of that part of the Department;</w:t>
      </w:r>
    </w:p>
    <w:p w14:paraId="19F4CAAC" w14:textId="77777777" w:rsidR="00212D13" w:rsidRPr="00C86CE6" w:rsidRDefault="00212D13" w:rsidP="00212D13">
      <w:pPr>
        <w:pStyle w:val="paragraph"/>
      </w:pPr>
      <w:r w:rsidRPr="00C86CE6">
        <w:rPr>
          <w:rFonts w:eastAsiaTheme="minorEastAsia"/>
        </w:rPr>
        <w:tab/>
        <w:t>(e)</w:t>
      </w:r>
      <w:r w:rsidRPr="00C86CE6">
        <w:rPr>
          <w:rFonts w:eastAsiaTheme="minorEastAsia"/>
        </w:rPr>
        <w:tab/>
        <w:t>that part of the Defence Department known as the Defence Intelligence Organisation, and includes any part of the Defence Force that performs functions on behalf of that part of the Department;</w:t>
      </w:r>
    </w:p>
    <w:p w14:paraId="5F0FE4A6" w14:textId="77777777" w:rsidR="0043459E" w:rsidRPr="00C86CE6" w:rsidRDefault="0043459E" w:rsidP="00CA07EC">
      <w:pPr>
        <w:pStyle w:val="paragraph"/>
        <w:rPr>
          <w:rFonts w:eastAsiaTheme="minorEastAsia"/>
        </w:rPr>
      </w:pPr>
      <w:r w:rsidRPr="00C86CE6">
        <w:rPr>
          <w:rFonts w:eastAsiaTheme="minorEastAsia"/>
        </w:rPr>
        <w:tab/>
        <w:t>(</w:t>
      </w:r>
      <w:r w:rsidR="00212D13" w:rsidRPr="00C86CE6">
        <w:rPr>
          <w:rFonts w:eastAsiaTheme="minorEastAsia"/>
        </w:rPr>
        <w:t>f</w:t>
      </w:r>
      <w:r w:rsidRPr="00C86CE6">
        <w:rPr>
          <w:rFonts w:eastAsiaTheme="minorEastAsia"/>
        </w:rPr>
        <w:t>)</w:t>
      </w:r>
      <w:r w:rsidRPr="00C86CE6">
        <w:rPr>
          <w:rFonts w:eastAsiaTheme="minorEastAsia"/>
        </w:rPr>
        <w:tab/>
        <w:t>the Australian Crime Commission;</w:t>
      </w:r>
    </w:p>
    <w:p w14:paraId="7FC3AF09" w14:textId="77777777" w:rsidR="00BF7333" w:rsidRPr="00C86CE6" w:rsidRDefault="0043459E" w:rsidP="00CA07EC">
      <w:pPr>
        <w:pStyle w:val="paragraph"/>
        <w:rPr>
          <w:rFonts w:eastAsiaTheme="minorEastAsia"/>
        </w:rPr>
      </w:pPr>
      <w:r w:rsidRPr="00C86CE6">
        <w:rPr>
          <w:rFonts w:eastAsiaTheme="minorEastAsia"/>
        </w:rPr>
        <w:tab/>
      </w:r>
      <w:r w:rsidR="00CA07EC" w:rsidRPr="00C86CE6">
        <w:rPr>
          <w:rFonts w:eastAsiaTheme="minorEastAsia"/>
        </w:rPr>
        <w:t>(</w:t>
      </w:r>
      <w:r w:rsidR="00212D13" w:rsidRPr="00C86CE6">
        <w:rPr>
          <w:rFonts w:eastAsiaTheme="minorEastAsia"/>
        </w:rPr>
        <w:t>g</w:t>
      </w:r>
      <w:r w:rsidR="00CA07EC" w:rsidRPr="00C86CE6">
        <w:rPr>
          <w:rFonts w:eastAsiaTheme="minorEastAsia"/>
        </w:rPr>
        <w:t>)</w:t>
      </w:r>
      <w:r w:rsidR="00CA07EC" w:rsidRPr="00C86CE6">
        <w:rPr>
          <w:rFonts w:eastAsiaTheme="minorEastAsia"/>
        </w:rPr>
        <w:tab/>
      </w:r>
      <w:r w:rsidR="00BF7333" w:rsidRPr="00C86CE6">
        <w:rPr>
          <w:rFonts w:eastAsiaTheme="minorEastAsia"/>
        </w:rPr>
        <w:t>the Australian Federal Police;</w:t>
      </w:r>
    </w:p>
    <w:p w14:paraId="111EDA58" w14:textId="77777777" w:rsidR="00BF7333" w:rsidRPr="00C86CE6" w:rsidRDefault="0043459E" w:rsidP="00CA07EC">
      <w:pPr>
        <w:pStyle w:val="paragraph"/>
        <w:rPr>
          <w:rFonts w:eastAsiaTheme="minorEastAsia"/>
        </w:rPr>
      </w:pPr>
      <w:r w:rsidRPr="00C86CE6">
        <w:rPr>
          <w:rFonts w:eastAsiaTheme="minorEastAsia"/>
        </w:rPr>
        <w:tab/>
      </w:r>
      <w:r w:rsidR="00CA07EC" w:rsidRPr="00C86CE6">
        <w:rPr>
          <w:rFonts w:eastAsiaTheme="minorEastAsia"/>
        </w:rPr>
        <w:t>(</w:t>
      </w:r>
      <w:r w:rsidR="00212D13" w:rsidRPr="00C86CE6">
        <w:rPr>
          <w:rFonts w:eastAsiaTheme="minorEastAsia"/>
        </w:rPr>
        <w:t>h</w:t>
      </w:r>
      <w:r w:rsidR="00CA07EC" w:rsidRPr="00C86CE6">
        <w:rPr>
          <w:rFonts w:eastAsiaTheme="minorEastAsia"/>
        </w:rPr>
        <w:t>)</w:t>
      </w:r>
      <w:r w:rsidR="00CA07EC" w:rsidRPr="00C86CE6">
        <w:rPr>
          <w:rFonts w:eastAsiaTheme="minorEastAsia"/>
        </w:rPr>
        <w:tab/>
      </w:r>
      <w:r w:rsidR="00BF7333" w:rsidRPr="00C86CE6">
        <w:rPr>
          <w:rFonts w:eastAsiaTheme="minorEastAsia"/>
        </w:rPr>
        <w:t>the Australian Prudential Regulation Authority;</w:t>
      </w:r>
    </w:p>
    <w:p w14:paraId="67AB0F00" w14:textId="77777777" w:rsidR="00702A26" w:rsidRPr="00C86CE6" w:rsidRDefault="00702A26" w:rsidP="00CA07EC">
      <w:pPr>
        <w:pStyle w:val="paragraph"/>
        <w:rPr>
          <w:rFonts w:eastAsiaTheme="minorEastAsia"/>
        </w:rPr>
      </w:pPr>
      <w:r w:rsidRPr="00C86CE6">
        <w:rPr>
          <w:rFonts w:eastAsiaTheme="minorEastAsia"/>
        </w:rPr>
        <w:tab/>
        <w:t>(</w:t>
      </w:r>
      <w:r w:rsidR="00212D13" w:rsidRPr="00C86CE6">
        <w:rPr>
          <w:rFonts w:eastAsiaTheme="minorEastAsia"/>
        </w:rPr>
        <w:t>i</w:t>
      </w:r>
      <w:r w:rsidRPr="00C86CE6">
        <w:rPr>
          <w:rFonts w:eastAsiaTheme="minorEastAsia"/>
        </w:rPr>
        <w:t>)</w:t>
      </w:r>
      <w:r w:rsidRPr="00C86CE6">
        <w:rPr>
          <w:rFonts w:eastAsiaTheme="minorEastAsia"/>
        </w:rPr>
        <w:tab/>
        <w:t>the Australian Secret Intelligence Service;</w:t>
      </w:r>
    </w:p>
    <w:p w14:paraId="286B5336" w14:textId="77777777" w:rsidR="00BF7333" w:rsidRPr="00C86CE6" w:rsidRDefault="00CA07EC" w:rsidP="00CA07EC">
      <w:pPr>
        <w:pStyle w:val="paragraph"/>
        <w:rPr>
          <w:rFonts w:eastAsiaTheme="minorEastAsia"/>
        </w:rPr>
      </w:pPr>
      <w:r w:rsidRPr="00C86CE6">
        <w:rPr>
          <w:rFonts w:eastAsiaTheme="minorEastAsia"/>
        </w:rPr>
        <w:tab/>
        <w:t>(</w:t>
      </w:r>
      <w:r w:rsidR="00212D13" w:rsidRPr="00C86CE6">
        <w:rPr>
          <w:rFonts w:eastAsiaTheme="minorEastAsia"/>
        </w:rPr>
        <w:t>j</w:t>
      </w:r>
      <w:r w:rsidRPr="00C86CE6">
        <w:rPr>
          <w:rFonts w:eastAsiaTheme="minorEastAsia"/>
        </w:rPr>
        <w:t>)</w:t>
      </w:r>
      <w:r w:rsidRPr="00C86CE6">
        <w:rPr>
          <w:rFonts w:eastAsiaTheme="minorEastAsia"/>
        </w:rPr>
        <w:tab/>
      </w:r>
      <w:r w:rsidR="00BF7333" w:rsidRPr="00C86CE6">
        <w:rPr>
          <w:rFonts w:eastAsiaTheme="minorEastAsia"/>
        </w:rPr>
        <w:t>the Australian Securities and Investments Commission;</w:t>
      </w:r>
    </w:p>
    <w:p w14:paraId="3863FAC9" w14:textId="77777777" w:rsidR="00BF7333" w:rsidRPr="00C86CE6" w:rsidRDefault="00CA07EC" w:rsidP="00CA07EC">
      <w:pPr>
        <w:pStyle w:val="paragraph"/>
        <w:rPr>
          <w:rFonts w:eastAsiaTheme="minorEastAsia"/>
        </w:rPr>
      </w:pPr>
      <w:r w:rsidRPr="00C86CE6">
        <w:rPr>
          <w:rFonts w:eastAsiaTheme="minorEastAsia"/>
        </w:rPr>
        <w:tab/>
        <w:t>(</w:t>
      </w:r>
      <w:r w:rsidR="00212D13" w:rsidRPr="00C86CE6">
        <w:rPr>
          <w:rFonts w:eastAsiaTheme="minorEastAsia"/>
        </w:rPr>
        <w:t>k</w:t>
      </w:r>
      <w:r w:rsidRPr="00C86CE6">
        <w:rPr>
          <w:rFonts w:eastAsiaTheme="minorEastAsia"/>
        </w:rPr>
        <w:t>)</w:t>
      </w:r>
      <w:r w:rsidRPr="00C86CE6">
        <w:rPr>
          <w:rFonts w:eastAsiaTheme="minorEastAsia"/>
        </w:rPr>
        <w:tab/>
      </w:r>
      <w:r w:rsidR="00BF7333" w:rsidRPr="00C86CE6">
        <w:rPr>
          <w:rFonts w:eastAsiaTheme="minorEastAsia"/>
        </w:rPr>
        <w:t>the Australian Security Intelligence Organisation;</w:t>
      </w:r>
    </w:p>
    <w:p w14:paraId="6E98C563" w14:textId="77777777" w:rsidR="00BF7333" w:rsidRPr="00C86CE6" w:rsidRDefault="00CA07EC" w:rsidP="00CA07EC">
      <w:pPr>
        <w:pStyle w:val="paragraph"/>
        <w:rPr>
          <w:rFonts w:eastAsiaTheme="minorEastAsia"/>
        </w:rPr>
      </w:pPr>
      <w:r w:rsidRPr="00C86CE6">
        <w:rPr>
          <w:rFonts w:eastAsiaTheme="minorEastAsia"/>
        </w:rPr>
        <w:tab/>
        <w:t>(</w:t>
      </w:r>
      <w:r w:rsidR="00212D13" w:rsidRPr="00C86CE6">
        <w:rPr>
          <w:rFonts w:eastAsiaTheme="minorEastAsia"/>
        </w:rPr>
        <w:t>l</w:t>
      </w:r>
      <w:r w:rsidRPr="00C86CE6">
        <w:rPr>
          <w:rFonts w:eastAsiaTheme="minorEastAsia"/>
        </w:rPr>
        <w:t>)</w:t>
      </w:r>
      <w:r w:rsidRPr="00C86CE6">
        <w:rPr>
          <w:rFonts w:eastAsiaTheme="minorEastAsia"/>
        </w:rPr>
        <w:tab/>
      </w:r>
      <w:r w:rsidR="00BF7333" w:rsidRPr="00C86CE6">
        <w:rPr>
          <w:rFonts w:eastAsiaTheme="minorEastAsia"/>
        </w:rPr>
        <w:t>the Australian Signals Directorate;</w:t>
      </w:r>
    </w:p>
    <w:p w14:paraId="75D95508" w14:textId="77777777" w:rsidR="00AA2786" w:rsidRPr="00C86CE6" w:rsidRDefault="0043459E" w:rsidP="00CB2914">
      <w:pPr>
        <w:pStyle w:val="paragraph"/>
        <w:rPr>
          <w:rFonts w:eastAsiaTheme="minorEastAsia"/>
        </w:rPr>
      </w:pPr>
      <w:r w:rsidRPr="00C86CE6">
        <w:rPr>
          <w:rFonts w:eastAsiaTheme="minorEastAsia"/>
        </w:rPr>
        <w:tab/>
        <w:t>(</w:t>
      </w:r>
      <w:r w:rsidR="00212D13" w:rsidRPr="00C86CE6">
        <w:rPr>
          <w:rFonts w:eastAsiaTheme="minorEastAsia"/>
        </w:rPr>
        <w:t>m</w:t>
      </w:r>
      <w:r w:rsidRPr="00C86CE6">
        <w:rPr>
          <w:rFonts w:eastAsiaTheme="minorEastAsia"/>
        </w:rPr>
        <w:t>)</w:t>
      </w:r>
      <w:r w:rsidRPr="00C86CE6">
        <w:rPr>
          <w:rFonts w:eastAsiaTheme="minorEastAsia"/>
        </w:rPr>
        <w:tab/>
        <w:t>the Australian Taxation Office</w:t>
      </w:r>
      <w:r w:rsidR="00AA2786" w:rsidRPr="00C86CE6">
        <w:t>;</w:t>
      </w:r>
    </w:p>
    <w:p w14:paraId="2DA00DAB" w14:textId="7C52C2EF" w:rsidR="00AA2786" w:rsidRPr="00C86CE6" w:rsidRDefault="00CB2914" w:rsidP="00CB2914">
      <w:pPr>
        <w:pStyle w:val="paragraph"/>
        <w:rPr>
          <w:rFonts w:eastAsiaTheme="minorEastAsia"/>
        </w:rPr>
      </w:pPr>
      <w:r w:rsidRPr="00C86CE6">
        <w:rPr>
          <w:rFonts w:eastAsiaTheme="minorEastAsia"/>
        </w:rPr>
        <w:tab/>
        <w:t>(</w:t>
      </w:r>
      <w:r w:rsidR="00212D13" w:rsidRPr="00C86CE6">
        <w:rPr>
          <w:rFonts w:eastAsiaTheme="minorEastAsia"/>
        </w:rPr>
        <w:t>n</w:t>
      </w:r>
      <w:r w:rsidRPr="00C86CE6">
        <w:rPr>
          <w:rFonts w:eastAsiaTheme="minorEastAsia"/>
        </w:rPr>
        <w:t>)</w:t>
      </w:r>
      <w:r w:rsidRPr="00C86CE6">
        <w:rPr>
          <w:rFonts w:eastAsiaTheme="minorEastAsia"/>
        </w:rPr>
        <w:tab/>
      </w:r>
      <w:r w:rsidR="00AA2786" w:rsidRPr="00C86CE6">
        <w:rPr>
          <w:rFonts w:eastAsiaTheme="minorEastAsia"/>
        </w:rPr>
        <w:t>the National Anti</w:t>
      </w:r>
      <w:r w:rsidR="004A7589">
        <w:rPr>
          <w:rFonts w:eastAsiaTheme="minorEastAsia"/>
        </w:rPr>
        <w:noBreakHyphen/>
      </w:r>
      <w:r w:rsidR="00AA2786" w:rsidRPr="00C86CE6">
        <w:rPr>
          <w:rFonts w:eastAsiaTheme="minorEastAsia"/>
        </w:rPr>
        <w:t>Corruption Commission;</w:t>
      </w:r>
    </w:p>
    <w:p w14:paraId="7039130A" w14:textId="77777777" w:rsidR="004C706E" w:rsidRPr="00C86CE6" w:rsidRDefault="00CA07EC" w:rsidP="00AA2786">
      <w:pPr>
        <w:pStyle w:val="paragraph"/>
        <w:rPr>
          <w:rFonts w:eastAsiaTheme="minorEastAsia"/>
        </w:rPr>
      </w:pPr>
      <w:r w:rsidRPr="00C86CE6">
        <w:rPr>
          <w:rFonts w:eastAsiaTheme="minorEastAsia"/>
        </w:rPr>
        <w:tab/>
        <w:t>(</w:t>
      </w:r>
      <w:r w:rsidR="00212D13" w:rsidRPr="00C86CE6">
        <w:rPr>
          <w:rFonts w:eastAsiaTheme="minorEastAsia"/>
        </w:rPr>
        <w:t>o</w:t>
      </w:r>
      <w:r w:rsidRPr="00C86CE6">
        <w:rPr>
          <w:rFonts w:eastAsiaTheme="minorEastAsia"/>
        </w:rPr>
        <w:t>)</w:t>
      </w:r>
      <w:r w:rsidRPr="00C86CE6">
        <w:rPr>
          <w:rFonts w:eastAsiaTheme="minorEastAsia"/>
        </w:rPr>
        <w:tab/>
      </w:r>
      <w:r w:rsidR="00BF7333" w:rsidRPr="00C86CE6">
        <w:rPr>
          <w:rFonts w:eastAsiaTheme="minorEastAsia"/>
        </w:rPr>
        <w:t>the Office of National Intelligence</w:t>
      </w:r>
      <w:r w:rsidR="00212D13" w:rsidRPr="00C86CE6">
        <w:rPr>
          <w:rFonts w:eastAsiaTheme="minorEastAsia"/>
        </w:rPr>
        <w:t>.</w:t>
      </w:r>
    </w:p>
    <w:p w14:paraId="42DFF407" w14:textId="7C24A93F" w:rsidR="00D86399" w:rsidRPr="00C86CE6" w:rsidRDefault="0069174B" w:rsidP="00D86399">
      <w:pPr>
        <w:pStyle w:val="ActHead2"/>
        <w:pageBreakBefore/>
      </w:pPr>
      <w:bookmarkStart w:id="106" w:name="_Toc184727407"/>
      <w:r w:rsidRPr="004B21E2">
        <w:rPr>
          <w:rStyle w:val="CharPartNo"/>
        </w:rPr>
        <w:lastRenderedPageBreak/>
        <w:t>Part 1</w:t>
      </w:r>
      <w:r w:rsidR="00AB693F" w:rsidRPr="004B21E2">
        <w:rPr>
          <w:rStyle w:val="CharPartNo"/>
        </w:rPr>
        <w:t>1</w:t>
      </w:r>
      <w:r w:rsidR="00D86399" w:rsidRPr="00C86CE6">
        <w:t>—</w:t>
      </w:r>
      <w:r w:rsidR="00D86399" w:rsidRPr="004B21E2">
        <w:rPr>
          <w:rStyle w:val="CharPartText"/>
        </w:rPr>
        <w:t>Other matters</w:t>
      </w:r>
      <w:bookmarkEnd w:id="106"/>
    </w:p>
    <w:p w14:paraId="7360E171" w14:textId="77777777" w:rsidR="009C743B" w:rsidRPr="00C86CE6" w:rsidRDefault="009C743B" w:rsidP="009C743B">
      <w:pPr>
        <w:pStyle w:val="Header"/>
      </w:pPr>
      <w:bookmarkStart w:id="107" w:name="_Toc184727408"/>
      <w:r w:rsidRPr="004A7589">
        <w:rPr>
          <w:rStyle w:val="CharDivNo"/>
        </w:rPr>
        <w:t xml:space="preserve"> </w:t>
      </w:r>
      <w:r w:rsidRPr="004A7589">
        <w:rPr>
          <w:rStyle w:val="CharDivText"/>
        </w:rPr>
        <w:t xml:space="preserve"> </w:t>
      </w:r>
    </w:p>
    <w:p w14:paraId="62CB3458" w14:textId="155EEDD9" w:rsidR="00596AB4" w:rsidRPr="00C86CE6" w:rsidRDefault="00BC4A61" w:rsidP="00596AB4">
      <w:pPr>
        <w:pStyle w:val="ActHead5"/>
      </w:pPr>
      <w:r w:rsidRPr="004B21E2">
        <w:rPr>
          <w:rStyle w:val="CharSectno"/>
        </w:rPr>
        <w:t>68</w:t>
      </w:r>
      <w:r w:rsidR="00596AB4" w:rsidRPr="00C86CE6">
        <w:t xml:space="preserve">  Discharge of obligations by members of a reporting group</w:t>
      </w:r>
      <w:bookmarkEnd w:id="107"/>
    </w:p>
    <w:p w14:paraId="28A3F441" w14:textId="613AFD04" w:rsidR="00596AB4" w:rsidRPr="00C86CE6" w:rsidRDefault="00596AB4" w:rsidP="00596AB4">
      <w:pPr>
        <w:pStyle w:val="subsection"/>
      </w:pPr>
      <w:r w:rsidRPr="00C86CE6">
        <w:tab/>
        <w:t>(1)</w:t>
      </w:r>
      <w:r w:rsidRPr="00C86CE6">
        <w:tab/>
        <w:t xml:space="preserve">For the purposes of </w:t>
      </w:r>
      <w:r w:rsidR="00A25E52" w:rsidRPr="00C86CE6">
        <w:t>paragraph 2</w:t>
      </w:r>
      <w:r w:rsidRPr="00C86CE6">
        <w:t xml:space="preserve">36B(5)(c) of the Act, this section specifies conditions that apply when the member of the reporting group (the </w:t>
      </w:r>
      <w:r w:rsidRPr="00C86CE6">
        <w:rPr>
          <w:b/>
          <w:i/>
        </w:rPr>
        <w:t>discharging member</w:t>
      </w:r>
      <w:r w:rsidRPr="00C86CE6">
        <w:t>) that is to discharge an obligation of a reporting is not itself a reporting entity.</w:t>
      </w:r>
    </w:p>
    <w:p w14:paraId="34DE24C0" w14:textId="77777777" w:rsidR="00596AB4" w:rsidRPr="00C86CE6" w:rsidRDefault="00596AB4" w:rsidP="00596AB4">
      <w:pPr>
        <w:pStyle w:val="subsection"/>
      </w:pPr>
      <w:r w:rsidRPr="00C86CE6">
        <w:tab/>
        <w:t>(2)</w:t>
      </w:r>
      <w:r w:rsidRPr="00C86CE6">
        <w:tab/>
        <w:t>The discharging member must have undertaken due diligence, in relation to persons who are employed or otherwise engaged and who perform functions relevant to discharging the obligation, that is equivalent to the due diligence required by the AML/CTF policies of the reporting entity.</w:t>
      </w:r>
    </w:p>
    <w:p w14:paraId="4934A9FF" w14:textId="19006E90" w:rsidR="00B42B42" w:rsidRPr="00C86CE6" w:rsidRDefault="00596AB4" w:rsidP="00596AB4">
      <w:pPr>
        <w:pStyle w:val="subsection"/>
      </w:pPr>
      <w:r w:rsidRPr="00C86CE6">
        <w:tab/>
        <w:t>(3)</w:t>
      </w:r>
      <w:r w:rsidRPr="00C86CE6">
        <w:tab/>
        <w:t xml:space="preserve">The discharging member must have provided training to those persons, in relation to the topics mentioned in </w:t>
      </w:r>
      <w:r w:rsidR="00A25E52" w:rsidRPr="00C86CE6">
        <w:t>paragraph 2</w:t>
      </w:r>
      <w:r w:rsidRPr="00C86CE6">
        <w:t>6F(4)(e) of the Act, that is equivalent to the training required by the AML/CTF policies of the reporting entity.</w:t>
      </w:r>
    </w:p>
    <w:p w14:paraId="046A8A16" w14:textId="437052CF" w:rsidR="00D86399" w:rsidRPr="00C86CE6" w:rsidRDefault="0069174B" w:rsidP="00D86399">
      <w:pPr>
        <w:pStyle w:val="ActHead2"/>
        <w:pageBreakBefore/>
      </w:pPr>
      <w:bookmarkStart w:id="108" w:name="_Toc184727409"/>
      <w:r w:rsidRPr="004B21E2">
        <w:rPr>
          <w:rStyle w:val="CharPartNo"/>
        </w:rPr>
        <w:lastRenderedPageBreak/>
        <w:t>Part 1</w:t>
      </w:r>
      <w:r w:rsidR="00AB693F" w:rsidRPr="004B21E2">
        <w:rPr>
          <w:rStyle w:val="CharPartNo"/>
        </w:rPr>
        <w:t>2</w:t>
      </w:r>
      <w:r w:rsidR="00D86399" w:rsidRPr="00C86CE6">
        <w:t>—</w:t>
      </w:r>
      <w:r w:rsidR="00D86399" w:rsidRPr="004B21E2">
        <w:rPr>
          <w:rStyle w:val="CharPartText"/>
        </w:rPr>
        <w:t>Application, saving and transitional provisions</w:t>
      </w:r>
      <w:r w:rsidR="00C7261F" w:rsidRPr="004B21E2">
        <w:rPr>
          <w:rStyle w:val="CharPartText"/>
        </w:rPr>
        <w:t xml:space="preserve"> [to be drafted]</w:t>
      </w:r>
      <w:bookmarkEnd w:id="108"/>
    </w:p>
    <w:p w14:paraId="2ED43B9F" w14:textId="77777777" w:rsidR="009C743B" w:rsidRPr="00C86CE6" w:rsidRDefault="009C743B" w:rsidP="009C743B">
      <w:pPr>
        <w:pStyle w:val="Header"/>
      </w:pPr>
      <w:r w:rsidRPr="004A7589">
        <w:rPr>
          <w:rStyle w:val="CharDivNo"/>
        </w:rPr>
        <w:t xml:space="preserve"> </w:t>
      </w:r>
      <w:r w:rsidRPr="004A7589">
        <w:rPr>
          <w:rStyle w:val="CharDivText"/>
        </w:rPr>
        <w:t xml:space="preserve"> </w:t>
      </w:r>
    </w:p>
    <w:p w14:paraId="40436DD8" w14:textId="77777777" w:rsidR="009C743B" w:rsidRPr="00C86CE6" w:rsidRDefault="009C743B" w:rsidP="00451B3D">
      <w:pPr>
        <w:pStyle w:val="Header"/>
      </w:pPr>
    </w:p>
    <w:p w14:paraId="2E90FEBF" w14:textId="77777777" w:rsidR="0086528C" w:rsidRPr="00C86CE6" w:rsidRDefault="0086528C" w:rsidP="0086528C">
      <w:pPr>
        <w:sectPr w:rsidR="0086528C" w:rsidRPr="00C86CE6" w:rsidSect="0086528C">
          <w:headerReference w:type="even" r:id="rId20"/>
          <w:headerReference w:type="default" r:id="rId21"/>
          <w:footerReference w:type="even" r:id="rId22"/>
          <w:footerReference w:type="default" r:id="rId23"/>
          <w:footerReference w:type="first" r:id="rId24"/>
          <w:pgSz w:w="11907" w:h="16839" w:code="9"/>
          <w:pgMar w:top="2233" w:right="1797" w:bottom="1440" w:left="1797" w:header="720" w:footer="709" w:gutter="0"/>
          <w:pgNumType w:start="1"/>
          <w:cols w:space="720"/>
          <w:docGrid w:linePitch="299"/>
        </w:sectPr>
      </w:pPr>
    </w:p>
    <w:p w14:paraId="0B89A7C7" w14:textId="77777777" w:rsidR="00FF7F38" w:rsidRPr="00C86CE6" w:rsidRDefault="00606BBD" w:rsidP="00FF7F38">
      <w:pPr>
        <w:pStyle w:val="ActHead1"/>
      </w:pPr>
      <w:bookmarkStart w:id="109" w:name="_Toc184727410"/>
      <w:r w:rsidRPr="004B21E2">
        <w:rPr>
          <w:rStyle w:val="CharChapNo"/>
        </w:rPr>
        <w:lastRenderedPageBreak/>
        <w:t>Schedule 1</w:t>
      </w:r>
      <w:r w:rsidR="0086528C" w:rsidRPr="00C86CE6">
        <w:t>—</w:t>
      </w:r>
      <w:r w:rsidR="00FF7F38" w:rsidRPr="004B21E2">
        <w:rPr>
          <w:rStyle w:val="CharChapText"/>
        </w:rPr>
        <w:t>Forms</w:t>
      </w:r>
      <w:bookmarkEnd w:id="109"/>
    </w:p>
    <w:p w14:paraId="176114FA" w14:textId="77777777" w:rsidR="009C743B" w:rsidRPr="00C86CE6" w:rsidRDefault="009C743B" w:rsidP="009C743B">
      <w:pPr>
        <w:pStyle w:val="Header"/>
      </w:pPr>
      <w:r w:rsidRPr="004A7589">
        <w:rPr>
          <w:rStyle w:val="CharPartNo"/>
        </w:rPr>
        <w:t xml:space="preserve"> </w:t>
      </w:r>
      <w:r w:rsidRPr="004A7589">
        <w:rPr>
          <w:rStyle w:val="CharPartText"/>
        </w:rPr>
        <w:t xml:space="preserve"> </w:t>
      </w:r>
    </w:p>
    <w:p w14:paraId="11580BA3" w14:textId="3771719A" w:rsidR="00FF7F38" w:rsidRDefault="00FF7F38" w:rsidP="00FF7F38">
      <w:pPr>
        <w:pStyle w:val="notemargin"/>
      </w:pPr>
      <w:r w:rsidRPr="00C86CE6">
        <w:t>Note:</w:t>
      </w:r>
      <w:r w:rsidRPr="00C86CE6">
        <w:tab/>
        <w:t xml:space="preserve">See sections </w:t>
      </w:r>
      <w:r w:rsidR="00BC4A61" w:rsidRPr="00C86CE6">
        <w:t>46</w:t>
      </w:r>
      <w:r w:rsidRPr="00C86CE6">
        <w:t xml:space="preserve"> to </w:t>
      </w:r>
      <w:r w:rsidR="00BC4A61" w:rsidRPr="00C86CE6">
        <w:t>49</w:t>
      </w:r>
      <w:r w:rsidRPr="00C86CE6">
        <w:t>.</w:t>
      </w:r>
    </w:p>
    <w:p w14:paraId="79C33844" w14:textId="77777777" w:rsidR="00FF7F38" w:rsidRPr="00C86CE6" w:rsidRDefault="00FF7F38" w:rsidP="000B6F44">
      <w:pPr>
        <w:pStyle w:val="ActHead3"/>
        <w:ind w:left="0" w:firstLine="0"/>
      </w:pPr>
      <w:bookmarkStart w:id="110" w:name="_Toc184727411"/>
      <w:r w:rsidRPr="004B21E2">
        <w:rPr>
          <w:rStyle w:val="CharDivNo"/>
        </w:rPr>
        <w:t>Form 1</w:t>
      </w:r>
      <w:r w:rsidRPr="00C86CE6">
        <w:t>—</w:t>
      </w:r>
      <w:r w:rsidRPr="004B21E2">
        <w:rPr>
          <w:rStyle w:val="CharDivText"/>
        </w:rPr>
        <w:t>Keep open notice</w:t>
      </w:r>
      <w:bookmarkEnd w:id="110"/>
    </w:p>
    <w:p w14:paraId="7236B902" w14:textId="77777777" w:rsidR="00CF5E40" w:rsidRPr="00C86CE6" w:rsidRDefault="00CF5E40" w:rsidP="00FB6588">
      <w:pPr>
        <w:pStyle w:val="FreeForm"/>
      </w:pPr>
    </w:p>
    <w:p w14:paraId="5152708E" w14:textId="1ADB82D4" w:rsidR="00FF7F38" w:rsidRPr="00C86CE6" w:rsidRDefault="00FF7F38" w:rsidP="00FB6588">
      <w:pPr>
        <w:pStyle w:val="FreeForm"/>
        <w:rPr>
          <w:rFonts w:ascii="Times New Roman" w:hAnsi="Times New Roman" w:cs="Times New Roman"/>
          <w:b/>
          <w:bCs/>
          <w:sz w:val="24"/>
          <w:szCs w:val="24"/>
        </w:rPr>
      </w:pPr>
      <w:r w:rsidRPr="00C86CE6">
        <w:rPr>
          <w:rFonts w:ascii="Times New Roman" w:hAnsi="Times New Roman" w:cs="Times New Roman"/>
          <w:b/>
          <w:bCs/>
          <w:sz w:val="24"/>
          <w:szCs w:val="24"/>
        </w:rPr>
        <w:t>KEEP OPEN NOTICE</w:t>
      </w:r>
    </w:p>
    <w:p w14:paraId="62B4C822" w14:textId="785977B1" w:rsidR="00FF7F38" w:rsidRPr="00C86CE6" w:rsidRDefault="00606BBD" w:rsidP="00FF7F38">
      <w:pPr>
        <w:pStyle w:val="notemargin"/>
        <w:rPr>
          <w:i/>
        </w:rPr>
      </w:pPr>
      <w:r w:rsidRPr="00C86CE6">
        <w:t>Subsection 3</w:t>
      </w:r>
      <w:r w:rsidR="00FF7F38" w:rsidRPr="00C86CE6">
        <w:t xml:space="preserve">9B(1) of the </w:t>
      </w:r>
      <w:r w:rsidR="00FF7F38" w:rsidRPr="00C86CE6">
        <w:rPr>
          <w:i/>
        </w:rPr>
        <w:t>Anti</w:t>
      </w:r>
      <w:r w:rsidR="004A7589">
        <w:rPr>
          <w:i/>
        </w:rPr>
        <w:noBreakHyphen/>
      </w:r>
      <w:r w:rsidR="00FF7F38" w:rsidRPr="00C86CE6">
        <w:rPr>
          <w:i/>
        </w:rPr>
        <w:t>Money Laundering and Counter</w:t>
      </w:r>
      <w:r w:rsidR="004A7589">
        <w:rPr>
          <w:i/>
        </w:rPr>
        <w:noBreakHyphen/>
      </w:r>
      <w:r w:rsidR="00FF7F38" w:rsidRPr="00C86CE6">
        <w:rPr>
          <w:i/>
        </w:rPr>
        <w:t>Terrorism Financing Act 2006</w:t>
      </w:r>
    </w:p>
    <w:p w14:paraId="3FE666AF" w14:textId="77777777" w:rsidR="00CF5E40" w:rsidRPr="00C86CE6" w:rsidRDefault="00CF5E40" w:rsidP="00CF5E40">
      <w:pPr>
        <w:pStyle w:val="FreeForm"/>
      </w:pPr>
    </w:p>
    <w:p w14:paraId="4C6EA44E" w14:textId="7543AA3A" w:rsidR="00FF7F38" w:rsidRPr="00C86CE6" w:rsidRDefault="00FF7F38" w:rsidP="00CF5E40">
      <w:pPr>
        <w:pStyle w:val="FreeForm"/>
        <w:rPr>
          <w:rFonts w:ascii="Times New Roman" w:hAnsi="Times New Roman" w:cs="Times New Roman"/>
          <w:b/>
          <w:bCs/>
          <w:sz w:val="24"/>
          <w:szCs w:val="24"/>
        </w:rPr>
      </w:pPr>
      <w:r w:rsidRPr="00C86CE6">
        <w:rPr>
          <w:rFonts w:ascii="Times New Roman" w:hAnsi="Times New Roman" w:cs="Times New Roman"/>
          <w:b/>
          <w:bCs/>
          <w:sz w:val="24"/>
          <w:szCs w:val="24"/>
        </w:rPr>
        <w:t>Explanation of this notice</w:t>
      </w:r>
    </w:p>
    <w:p w14:paraId="4BA22A03" w14:textId="77777777" w:rsidR="00FF7F38" w:rsidRPr="00C86CE6" w:rsidRDefault="00FF7F38" w:rsidP="00FF7F38">
      <w:pPr>
        <w:pStyle w:val="Tabletext"/>
      </w:pPr>
    </w:p>
    <w:tbl>
      <w:tblPr>
        <w:tblW w:w="0" w:type="auto"/>
        <w:tblInd w:w="113" w:type="dxa"/>
        <w:tblLayout w:type="fixed"/>
        <w:tblLook w:val="0000" w:firstRow="0" w:lastRow="0" w:firstColumn="0" w:lastColumn="0" w:noHBand="0" w:noVBand="0"/>
      </w:tblPr>
      <w:tblGrid>
        <w:gridCol w:w="714"/>
        <w:gridCol w:w="7599"/>
      </w:tblGrid>
      <w:tr w:rsidR="00FF7F38" w:rsidRPr="00C86CE6" w14:paraId="7C1B7A83" w14:textId="77777777" w:rsidTr="00B11DA4">
        <w:tc>
          <w:tcPr>
            <w:tcW w:w="714" w:type="dxa"/>
            <w:shd w:val="clear" w:color="auto" w:fill="auto"/>
          </w:tcPr>
          <w:p w14:paraId="2732A196" w14:textId="77777777" w:rsidR="00FF7F38" w:rsidRPr="00C86CE6" w:rsidRDefault="00FF7F38" w:rsidP="00B11DA4">
            <w:pPr>
              <w:pStyle w:val="Tabletext"/>
            </w:pPr>
            <w:r w:rsidRPr="00C86CE6">
              <w:t>1</w:t>
            </w:r>
          </w:p>
        </w:tc>
        <w:tc>
          <w:tcPr>
            <w:tcW w:w="7599" w:type="dxa"/>
            <w:shd w:val="clear" w:color="auto" w:fill="auto"/>
          </w:tcPr>
          <w:p w14:paraId="5C6DD1EE" w14:textId="57C35C22" w:rsidR="00FF7F38" w:rsidRPr="00C86CE6" w:rsidRDefault="00FF7F38" w:rsidP="00B11DA4">
            <w:pPr>
              <w:pStyle w:val="Tabletext"/>
            </w:pPr>
            <w:r w:rsidRPr="00C86CE6">
              <w:t xml:space="preserve">This keep open notice (Notice) is issued pursuant to </w:t>
            </w:r>
            <w:r w:rsidR="00606BBD" w:rsidRPr="00C86CE6">
              <w:t>subsection 3</w:t>
            </w:r>
            <w:r w:rsidRPr="00C86CE6">
              <w:t xml:space="preserve">9B(1) of the </w:t>
            </w:r>
            <w:r w:rsidRPr="00C86CE6">
              <w:rPr>
                <w:i/>
              </w:rPr>
              <w:t>Anti</w:t>
            </w:r>
            <w:r w:rsidR="004A7589">
              <w:rPr>
                <w:i/>
              </w:rPr>
              <w:noBreakHyphen/>
            </w:r>
            <w:r w:rsidRPr="00C86CE6">
              <w:rPr>
                <w:i/>
              </w:rPr>
              <w:t>Money Laundering and Counter</w:t>
            </w:r>
            <w:r w:rsidR="004A7589">
              <w:rPr>
                <w:i/>
              </w:rPr>
              <w:noBreakHyphen/>
            </w:r>
            <w:r w:rsidRPr="00C86CE6">
              <w:rPr>
                <w:i/>
              </w:rPr>
              <w:t>Terrorism Financing Act 2006</w:t>
            </w:r>
            <w:r w:rsidRPr="00C86CE6">
              <w:t xml:space="preserve"> (AML/CTF Act).</w:t>
            </w:r>
          </w:p>
        </w:tc>
      </w:tr>
      <w:tr w:rsidR="00FF7F38" w:rsidRPr="00C86CE6" w14:paraId="475F02EA" w14:textId="77777777" w:rsidTr="00B11DA4">
        <w:tc>
          <w:tcPr>
            <w:tcW w:w="714" w:type="dxa"/>
            <w:shd w:val="clear" w:color="auto" w:fill="auto"/>
          </w:tcPr>
          <w:p w14:paraId="4537F8BD" w14:textId="77777777" w:rsidR="00FF7F38" w:rsidRPr="00C86CE6" w:rsidRDefault="00FF7F38" w:rsidP="00B11DA4">
            <w:pPr>
              <w:pStyle w:val="Tabletext"/>
            </w:pPr>
            <w:r w:rsidRPr="00C86CE6">
              <w:t>2</w:t>
            </w:r>
          </w:p>
        </w:tc>
        <w:tc>
          <w:tcPr>
            <w:tcW w:w="7599" w:type="dxa"/>
            <w:shd w:val="clear" w:color="auto" w:fill="auto"/>
          </w:tcPr>
          <w:p w14:paraId="0F4E3BF6" w14:textId="77777777" w:rsidR="00FF7F38" w:rsidRPr="00C86CE6" w:rsidRDefault="00FF7F38" w:rsidP="00B11DA4">
            <w:pPr>
              <w:pStyle w:val="Tabletext"/>
            </w:pPr>
            <w:r w:rsidRPr="00C86CE6">
              <w:t xml:space="preserve">A senior member of the kind listed in </w:t>
            </w:r>
            <w:r w:rsidR="00606BBD" w:rsidRPr="00C86CE6">
              <w:t>subsection 3</w:t>
            </w:r>
            <w:r w:rsidRPr="00C86CE6">
              <w:t>9B(3) of the AML/CTF Act reasonably believes that the provision of a designated service by the reporting entity to whom this Notice is issued to the customer(s) specified in this Notice would assist in the investigation by the agency of a serious offence.</w:t>
            </w:r>
          </w:p>
        </w:tc>
      </w:tr>
      <w:tr w:rsidR="00FF7F38" w:rsidRPr="00C86CE6" w14:paraId="7929D321" w14:textId="77777777" w:rsidTr="00B11DA4">
        <w:tc>
          <w:tcPr>
            <w:tcW w:w="714" w:type="dxa"/>
            <w:shd w:val="clear" w:color="auto" w:fill="auto"/>
          </w:tcPr>
          <w:p w14:paraId="22FFADD7" w14:textId="77777777" w:rsidR="00FF7F38" w:rsidRPr="00C86CE6" w:rsidRDefault="00FF7F38" w:rsidP="00B11DA4">
            <w:pPr>
              <w:pStyle w:val="Tabletext"/>
            </w:pPr>
            <w:r w:rsidRPr="00C86CE6">
              <w:t>3</w:t>
            </w:r>
          </w:p>
        </w:tc>
        <w:tc>
          <w:tcPr>
            <w:tcW w:w="7599" w:type="dxa"/>
            <w:shd w:val="clear" w:color="auto" w:fill="auto"/>
          </w:tcPr>
          <w:p w14:paraId="45BCDAFC" w14:textId="52EF0289" w:rsidR="00FF7F38" w:rsidRPr="00C86CE6" w:rsidRDefault="00FF7F38" w:rsidP="00B11DA4">
            <w:pPr>
              <w:pStyle w:val="Tabletext"/>
            </w:pPr>
            <w:r w:rsidRPr="00C86CE6">
              <w:t xml:space="preserve">Pursuant to </w:t>
            </w:r>
            <w:r w:rsidR="00606BBD" w:rsidRPr="00C86CE6">
              <w:t>subsection 3</w:t>
            </w:r>
            <w:r w:rsidRPr="00C86CE6">
              <w:t xml:space="preserve">9A(2) of the AML/CTF Act, the reporting entity is exempt from </w:t>
            </w:r>
            <w:r w:rsidR="00A25E52" w:rsidRPr="00C86CE6">
              <w:t>section 2</w:t>
            </w:r>
            <w:r w:rsidRPr="00C86CE6">
              <w:t>6G, 28 or 30 of the AML/CTF Act in respect of the provision of a designated service to a customer specified in this Notice to the extent that the reporting entity reasonably believes that compliance with that section would or could reasonably be expected to alert the customer to the existence of a criminal investigation.</w:t>
            </w:r>
          </w:p>
        </w:tc>
      </w:tr>
      <w:tr w:rsidR="00FF7F38" w:rsidRPr="00C86CE6" w14:paraId="15844AAD" w14:textId="77777777" w:rsidTr="00B11DA4">
        <w:tc>
          <w:tcPr>
            <w:tcW w:w="714" w:type="dxa"/>
            <w:shd w:val="clear" w:color="auto" w:fill="auto"/>
          </w:tcPr>
          <w:p w14:paraId="5495942B" w14:textId="77777777" w:rsidR="00FF7F38" w:rsidRPr="00C86CE6" w:rsidRDefault="00FF7F38" w:rsidP="00B11DA4">
            <w:pPr>
              <w:pStyle w:val="Tabletext"/>
            </w:pPr>
            <w:r w:rsidRPr="00C86CE6">
              <w:t>4</w:t>
            </w:r>
          </w:p>
        </w:tc>
        <w:tc>
          <w:tcPr>
            <w:tcW w:w="7599" w:type="dxa"/>
            <w:shd w:val="clear" w:color="auto" w:fill="auto"/>
          </w:tcPr>
          <w:p w14:paraId="09622724" w14:textId="44B20559" w:rsidR="00FF7F38" w:rsidRPr="00C86CE6" w:rsidRDefault="00FF7F38" w:rsidP="00B11DA4">
            <w:pPr>
              <w:pStyle w:val="Tabletext"/>
            </w:pPr>
            <w:r w:rsidRPr="00C86CE6">
              <w:t xml:space="preserve">If the exemption referred to in </w:t>
            </w:r>
            <w:r w:rsidR="00A25E52" w:rsidRPr="00C86CE6">
              <w:t>paragraph 3</w:t>
            </w:r>
            <w:r w:rsidRPr="00C86CE6">
              <w:t xml:space="preserve"> applies in relation to the provision by the reporting entity of a designated service to the customer, </w:t>
            </w:r>
            <w:r w:rsidR="00606BBD" w:rsidRPr="00C86CE6">
              <w:t>section 1</w:t>
            </w:r>
            <w:r w:rsidRPr="00C86CE6">
              <w:t>39 of the AML/CTF Act (providing a designated service using a false customer name or customer anonymity) does not apply in relation to the provision by the reporting entity of that designated service to the customer.</w:t>
            </w:r>
          </w:p>
        </w:tc>
      </w:tr>
      <w:tr w:rsidR="00FF7F38" w:rsidRPr="00C86CE6" w14:paraId="40E47B73" w14:textId="77777777" w:rsidTr="00B11DA4">
        <w:tc>
          <w:tcPr>
            <w:tcW w:w="714" w:type="dxa"/>
            <w:shd w:val="clear" w:color="auto" w:fill="auto"/>
          </w:tcPr>
          <w:p w14:paraId="0F3183FA" w14:textId="77777777" w:rsidR="00FF7F38" w:rsidRPr="00C86CE6" w:rsidRDefault="00FF7F38" w:rsidP="00B11DA4">
            <w:pPr>
              <w:pStyle w:val="Tabletext"/>
            </w:pPr>
            <w:r w:rsidRPr="00C86CE6">
              <w:t>5</w:t>
            </w:r>
          </w:p>
        </w:tc>
        <w:tc>
          <w:tcPr>
            <w:tcW w:w="7599" w:type="dxa"/>
            <w:shd w:val="clear" w:color="auto" w:fill="auto"/>
          </w:tcPr>
          <w:p w14:paraId="79A0B8FA" w14:textId="77777777" w:rsidR="00FF7F38" w:rsidRPr="00C86CE6" w:rsidRDefault="00FF7F38" w:rsidP="00B11DA4">
            <w:pPr>
              <w:pStyle w:val="Tabletext"/>
            </w:pPr>
            <w:r w:rsidRPr="00C86CE6">
              <w:t>This Notice remains in force for the period starting on the commencement date specified in this Notice (Commencement Date) and ending on the earlier of the following:</w:t>
            </w:r>
          </w:p>
          <w:p w14:paraId="25E540A3" w14:textId="1F572952" w:rsidR="00FF7F38" w:rsidRPr="00C86CE6" w:rsidRDefault="00FF7F38" w:rsidP="00B11DA4">
            <w:pPr>
              <w:pStyle w:val="Tablea"/>
            </w:pPr>
            <w:r w:rsidRPr="00C86CE6">
              <w:t xml:space="preserve">(a) the day that is </w:t>
            </w:r>
            <w:r w:rsidR="000B6F44">
              <w:t>6</w:t>
            </w:r>
            <w:r w:rsidRPr="00C86CE6">
              <w:t xml:space="preserve"> months after the Commencement Date</w:t>
            </w:r>
            <w:r w:rsidR="002F4595" w:rsidRPr="00C86CE6">
              <w:t>;</w:t>
            </w:r>
          </w:p>
          <w:p w14:paraId="66ED83C1" w14:textId="77777777" w:rsidR="00FF7F38" w:rsidRPr="00C86CE6" w:rsidRDefault="00FF7F38" w:rsidP="00B11DA4">
            <w:pPr>
              <w:pStyle w:val="Tablea"/>
            </w:pPr>
            <w:r w:rsidRPr="00C86CE6">
              <w:t>(b) the day that the agency that issued the Notice notifies the reporting entity and the AUSTRAC CEO that the relevant investigation has ended.</w:t>
            </w:r>
          </w:p>
        </w:tc>
      </w:tr>
      <w:tr w:rsidR="00FF7F38" w:rsidRPr="00C86CE6" w14:paraId="4EB12EE4" w14:textId="77777777" w:rsidTr="00B11DA4">
        <w:tc>
          <w:tcPr>
            <w:tcW w:w="714" w:type="dxa"/>
            <w:shd w:val="clear" w:color="auto" w:fill="auto"/>
          </w:tcPr>
          <w:p w14:paraId="1860B9AE" w14:textId="77777777" w:rsidR="00FF7F38" w:rsidRPr="00C86CE6" w:rsidRDefault="00FF7F38" w:rsidP="00B11DA4">
            <w:pPr>
              <w:pStyle w:val="Tabletext"/>
            </w:pPr>
            <w:r w:rsidRPr="00C86CE6">
              <w:t>6</w:t>
            </w:r>
          </w:p>
        </w:tc>
        <w:tc>
          <w:tcPr>
            <w:tcW w:w="7599" w:type="dxa"/>
            <w:shd w:val="clear" w:color="auto" w:fill="auto"/>
          </w:tcPr>
          <w:p w14:paraId="51C005F3" w14:textId="77777777" w:rsidR="00FF7F38" w:rsidRPr="00C86CE6" w:rsidRDefault="00FF7F38" w:rsidP="00B11DA4">
            <w:pPr>
              <w:pStyle w:val="Tabletext"/>
            </w:pPr>
            <w:r w:rsidRPr="00C86CE6">
              <w:t>The AUSTRAC CEO has been sent a copy of this Notice.</w:t>
            </w:r>
          </w:p>
        </w:tc>
      </w:tr>
      <w:tr w:rsidR="00FF7F38" w:rsidRPr="00C86CE6" w14:paraId="7667DB02" w14:textId="77777777" w:rsidTr="00B11DA4">
        <w:tc>
          <w:tcPr>
            <w:tcW w:w="714" w:type="dxa"/>
            <w:shd w:val="clear" w:color="auto" w:fill="auto"/>
          </w:tcPr>
          <w:p w14:paraId="7E60C514" w14:textId="77777777" w:rsidR="00FF7F38" w:rsidRPr="00C86CE6" w:rsidRDefault="00FF7F38" w:rsidP="00B11DA4">
            <w:pPr>
              <w:pStyle w:val="Tabletext"/>
            </w:pPr>
            <w:r w:rsidRPr="00C86CE6">
              <w:t>7</w:t>
            </w:r>
          </w:p>
        </w:tc>
        <w:tc>
          <w:tcPr>
            <w:tcW w:w="7599" w:type="dxa"/>
            <w:shd w:val="clear" w:color="auto" w:fill="auto"/>
          </w:tcPr>
          <w:p w14:paraId="617591D1" w14:textId="77777777" w:rsidR="00FF7F38" w:rsidRPr="00C86CE6" w:rsidRDefault="00FF7F38" w:rsidP="00B11DA4">
            <w:pPr>
              <w:pStyle w:val="Tabletext"/>
            </w:pPr>
            <w:r w:rsidRPr="00C86CE6">
              <w:t>This Notice does not compel a reporting entity to provide a designated service to the customer specified in this Notice.</w:t>
            </w:r>
          </w:p>
        </w:tc>
      </w:tr>
      <w:tr w:rsidR="00FF7F38" w:rsidRPr="00C86CE6" w14:paraId="040AFD84" w14:textId="77777777" w:rsidTr="00B11DA4">
        <w:tc>
          <w:tcPr>
            <w:tcW w:w="714" w:type="dxa"/>
            <w:shd w:val="clear" w:color="auto" w:fill="auto"/>
          </w:tcPr>
          <w:p w14:paraId="0949E500" w14:textId="77777777" w:rsidR="00FF7F38" w:rsidRPr="00C86CE6" w:rsidRDefault="00FF7F38" w:rsidP="00B11DA4">
            <w:pPr>
              <w:pStyle w:val="Tabletext"/>
            </w:pPr>
            <w:r w:rsidRPr="00C86CE6">
              <w:t>8</w:t>
            </w:r>
          </w:p>
        </w:tc>
        <w:tc>
          <w:tcPr>
            <w:tcW w:w="7599" w:type="dxa"/>
            <w:shd w:val="clear" w:color="auto" w:fill="auto"/>
          </w:tcPr>
          <w:p w14:paraId="72E2DB7B" w14:textId="77777777" w:rsidR="00FF7F38" w:rsidRPr="00C86CE6" w:rsidRDefault="00FF7F38" w:rsidP="00B11DA4">
            <w:pPr>
              <w:pStyle w:val="Tabletext"/>
            </w:pPr>
            <w:r w:rsidRPr="00C86CE6">
              <w:t xml:space="preserve">A suspicious matter reporting obligation does not arise for a reporting entity in relation to a customer upon the receipt of this Notice. However, a suspicious matter reporting obligation may otherwise arise for the reporting entity in relation to the customer in accordance with </w:t>
            </w:r>
            <w:r w:rsidR="00606BBD" w:rsidRPr="00C86CE6">
              <w:t>section 4</w:t>
            </w:r>
            <w:r w:rsidRPr="00C86CE6">
              <w:t>1 of the AML/CTF Act.</w:t>
            </w:r>
          </w:p>
        </w:tc>
      </w:tr>
    </w:tbl>
    <w:p w14:paraId="34AC5FEF" w14:textId="77777777" w:rsidR="00FF7F38" w:rsidRPr="00C86CE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F7F38" w:rsidRPr="00C86CE6" w14:paraId="32E5CBCD" w14:textId="77777777" w:rsidTr="00B11DA4">
        <w:tc>
          <w:tcPr>
            <w:tcW w:w="8313" w:type="dxa"/>
            <w:shd w:val="clear" w:color="auto" w:fill="000000" w:themeFill="text1"/>
          </w:tcPr>
          <w:p w14:paraId="53E92964" w14:textId="77777777" w:rsidR="00FF7F38" w:rsidRPr="00C86CE6" w:rsidRDefault="00FF7F38" w:rsidP="002F4595">
            <w:pPr>
              <w:pStyle w:val="TableHeading"/>
            </w:pPr>
            <w:r w:rsidRPr="00C86CE6">
              <w:t>Full name of reporting entity to whom this Notice is issued</w:t>
            </w:r>
          </w:p>
        </w:tc>
      </w:tr>
      <w:tr w:rsidR="00FF7F38" w:rsidRPr="00C86CE6" w14:paraId="73820874" w14:textId="77777777" w:rsidTr="00B11DA4">
        <w:tc>
          <w:tcPr>
            <w:tcW w:w="8313" w:type="dxa"/>
            <w:shd w:val="clear" w:color="auto" w:fill="auto"/>
          </w:tcPr>
          <w:p w14:paraId="34C85595" w14:textId="77777777" w:rsidR="00FF7F38" w:rsidRPr="00C86CE6" w:rsidRDefault="00FF7F38" w:rsidP="00B11DA4">
            <w:pPr>
              <w:pStyle w:val="Tabletext"/>
            </w:pPr>
          </w:p>
          <w:p w14:paraId="0488145E" w14:textId="77777777" w:rsidR="00FF7F38" w:rsidRPr="00C86CE6" w:rsidRDefault="00FF7F38" w:rsidP="00B11DA4">
            <w:pPr>
              <w:pStyle w:val="Tabletext"/>
            </w:pPr>
          </w:p>
        </w:tc>
      </w:tr>
    </w:tbl>
    <w:p w14:paraId="5E8B2DB8" w14:textId="77777777" w:rsidR="00FF7F38" w:rsidRPr="00C86CE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F7F38" w:rsidRPr="00C86CE6" w14:paraId="09ADC19C" w14:textId="77777777" w:rsidTr="00B11DA4">
        <w:tc>
          <w:tcPr>
            <w:tcW w:w="8313" w:type="dxa"/>
            <w:shd w:val="clear" w:color="auto" w:fill="000000" w:themeFill="text1"/>
          </w:tcPr>
          <w:p w14:paraId="1C65D51F" w14:textId="77777777" w:rsidR="00FF7F38" w:rsidRPr="00C86CE6" w:rsidRDefault="00FF7F38" w:rsidP="002F4595">
            <w:pPr>
              <w:pStyle w:val="TableHeading"/>
            </w:pPr>
            <w:r w:rsidRPr="00C86CE6">
              <w:t>Commencement date of this Notice</w:t>
            </w:r>
          </w:p>
        </w:tc>
      </w:tr>
      <w:tr w:rsidR="00FF7F38" w:rsidRPr="00C86CE6" w14:paraId="0CC16996" w14:textId="77777777" w:rsidTr="00B11DA4">
        <w:tc>
          <w:tcPr>
            <w:tcW w:w="8313" w:type="dxa"/>
            <w:shd w:val="clear" w:color="auto" w:fill="auto"/>
          </w:tcPr>
          <w:p w14:paraId="69E92BC0" w14:textId="77777777" w:rsidR="00FF7F38" w:rsidRPr="00C86CE6" w:rsidRDefault="00FF7F38" w:rsidP="00B11DA4">
            <w:pPr>
              <w:pStyle w:val="Tabletext"/>
            </w:pPr>
          </w:p>
          <w:p w14:paraId="314059CA" w14:textId="77777777" w:rsidR="00FF7F38" w:rsidRPr="00C86CE6" w:rsidRDefault="00FF7F38" w:rsidP="00B11DA4">
            <w:pPr>
              <w:pStyle w:val="Tabletext"/>
            </w:pPr>
          </w:p>
        </w:tc>
      </w:tr>
    </w:tbl>
    <w:p w14:paraId="72FC52BE" w14:textId="77777777" w:rsidR="00FF7F38" w:rsidRPr="00C86CE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5624"/>
      </w:tblGrid>
      <w:tr w:rsidR="00FF7F38" w:rsidRPr="00C86CE6" w14:paraId="5B678BFF" w14:textId="77777777" w:rsidTr="00B11DA4">
        <w:tc>
          <w:tcPr>
            <w:tcW w:w="8313" w:type="dxa"/>
            <w:gridSpan w:val="2"/>
            <w:shd w:val="clear" w:color="auto" w:fill="000000" w:themeFill="text1"/>
          </w:tcPr>
          <w:p w14:paraId="54FF2627" w14:textId="77777777" w:rsidR="00FF7F38" w:rsidRPr="00C86CE6" w:rsidRDefault="00FF7F38" w:rsidP="002F4595">
            <w:pPr>
              <w:pStyle w:val="TableHeading"/>
            </w:pPr>
            <w:r w:rsidRPr="00C86CE6">
              <w:t>Details of the customer(s) to whom this Notice applies</w:t>
            </w:r>
          </w:p>
        </w:tc>
      </w:tr>
      <w:tr w:rsidR="00FF7F38" w:rsidRPr="00C86CE6" w14:paraId="248C6C15" w14:textId="77777777" w:rsidTr="00B11DA4">
        <w:tc>
          <w:tcPr>
            <w:tcW w:w="2689" w:type="dxa"/>
            <w:shd w:val="clear" w:color="auto" w:fill="auto"/>
          </w:tcPr>
          <w:p w14:paraId="2E7289B5" w14:textId="77777777" w:rsidR="00FF7F38" w:rsidRPr="00C86CE6" w:rsidRDefault="00FF7F38" w:rsidP="00B11DA4">
            <w:pPr>
              <w:pStyle w:val="Tabletext"/>
              <w:rPr>
                <w:b/>
              </w:rPr>
            </w:pPr>
            <w:r w:rsidRPr="00C86CE6">
              <w:rPr>
                <w:b/>
              </w:rPr>
              <w:t>Full name of customer(s)</w:t>
            </w:r>
          </w:p>
        </w:tc>
        <w:tc>
          <w:tcPr>
            <w:tcW w:w="5624" w:type="dxa"/>
            <w:shd w:val="clear" w:color="auto" w:fill="auto"/>
          </w:tcPr>
          <w:p w14:paraId="7B19B6F2" w14:textId="410F8D83" w:rsidR="00FF7F38" w:rsidRPr="00C86CE6" w:rsidRDefault="00FF7F38" w:rsidP="00B11DA4">
            <w:pPr>
              <w:pStyle w:val="Tabletext"/>
              <w:rPr>
                <w:b/>
              </w:rPr>
            </w:pPr>
            <w:r w:rsidRPr="00C86CE6">
              <w:rPr>
                <w:b/>
              </w:rPr>
              <w:t>Date of birth or Australian Business Number/Australian Company Number (if known)</w:t>
            </w:r>
          </w:p>
        </w:tc>
      </w:tr>
      <w:tr w:rsidR="00FF7F38" w:rsidRPr="00C86CE6" w14:paraId="36F24128" w14:textId="77777777" w:rsidTr="00B11DA4">
        <w:tc>
          <w:tcPr>
            <w:tcW w:w="2689" w:type="dxa"/>
            <w:shd w:val="clear" w:color="auto" w:fill="auto"/>
          </w:tcPr>
          <w:p w14:paraId="3A1B395F" w14:textId="77777777" w:rsidR="00FF7F38" w:rsidRPr="00C86CE6" w:rsidRDefault="00FF7F38" w:rsidP="00B11DA4">
            <w:pPr>
              <w:pStyle w:val="Tabletext"/>
            </w:pPr>
          </w:p>
        </w:tc>
        <w:tc>
          <w:tcPr>
            <w:tcW w:w="5624" w:type="dxa"/>
            <w:shd w:val="clear" w:color="auto" w:fill="auto"/>
          </w:tcPr>
          <w:p w14:paraId="4174BFE3" w14:textId="77777777" w:rsidR="00FF7F38" w:rsidRPr="00C86CE6" w:rsidRDefault="00FF7F38" w:rsidP="00B11DA4">
            <w:pPr>
              <w:pStyle w:val="Tabletext"/>
            </w:pPr>
          </w:p>
        </w:tc>
      </w:tr>
      <w:tr w:rsidR="00FF7F38" w:rsidRPr="00C86CE6" w14:paraId="209ED1B8" w14:textId="77777777" w:rsidTr="00B11DA4">
        <w:tc>
          <w:tcPr>
            <w:tcW w:w="2689" w:type="dxa"/>
            <w:shd w:val="clear" w:color="auto" w:fill="auto"/>
          </w:tcPr>
          <w:p w14:paraId="06BA5F45" w14:textId="77777777" w:rsidR="00FF7F38" w:rsidRPr="00C86CE6" w:rsidRDefault="00FF7F38" w:rsidP="00B11DA4">
            <w:pPr>
              <w:pStyle w:val="Tabletext"/>
            </w:pPr>
          </w:p>
        </w:tc>
        <w:tc>
          <w:tcPr>
            <w:tcW w:w="5624" w:type="dxa"/>
            <w:shd w:val="clear" w:color="auto" w:fill="auto"/>
          </w:tcPr>
          <w:p w14:paraId="36E59556" w14:textId="77777777" w:rsidR="00FF7F38" w:rsidRPr="00C86CE6" w:rsidRDefault="00FF7F38" w:rsidP="00B11DA4">
            <w:pPr>
              <w:pStyle w:val="Tabletext"/>
            </w:pPr>
          </w:p>
        </w:tc>
      </w:tr>
      <w:tr w:rsidR="00FF7F38" w:rsidRPr="00C86CE6" w14:paraId="7DE7488D" w14:textId="77777777" w:rsidTr="00B11DA4">
        <w:tc>
          <w:tcPr>
            <w:tcW w:w="2689" w:type="dxa"/>
            <w:shd w:val="clear" w:color="auto" w:fill="auto"/>
          </w:tcPr>
          <w:p w14:paraId="07E052A5" w14:textId="77777777" w:rsidR="00FF7F38" w:rsidRPr="00C86CE6" w:rsidRDefault="00FF7F38" w:rsidP="00B11DA4">
            <w:pPr>
              <w:pStyle w:val="Tabletext"/>
            </w:pPr>
          </w:p>
        </w:tc>
        <w:tc>
          <w:tcPr>
            <w:tcW w:w="5624" w:type="dxa"/>
            <w:shd w:val="clear" w:color="auto" w:fill="auto"/>
          </w:tcPr>
          <w:p w14:paraId="43CF2C67" w14:textId="77777777" w:rsidR="00FF7F38" w:rsidRPr="00C86CE6" w:rsidRDefault="00FF7F38" w:rsidP="00B11DA4">
            <w:pPr>
              <w:pStyle w:val="Tabletext"/>
            </w:pPr>
          </w:p>
        </w:tc>
      </w:tr>
    </w:tbl>
    <w:p w14:paraId="2CD740F6" w14:textId="77777777" w:rsidR="00FF7F38" w:rsidRPr="00C86CE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F7F38" w:rsidRPr="00C86CE6" w14:paraId="3856AE8E" w14:textId="77777777" w:rsidTr="00B11DA4">
        <w:tc>
          <w:tcPr>
            <w:tcW w:w="8313" w:type="dxa"/>
            <w:shd w:val="clear" w:color="auto" w:fill="000000" w:themeFill="text1"/>
          </w:tcPr>
          <w:p w14:paraId="58E3DB08" w14:textId="77777777" w:rsidR="00FF7F38" w:rsidRPr="00C86CE6" w:rsidRDefault="00FF7F38" w:rsidP="002F4595">
            <w:pPr>
              <w:pStyle w:val="TableHeading"/>
              <w:rPr>
                <w:i/>
              </w:rPr>
            </w:pPr>
            <w:r w:rsidRPr="00C86CE6">
              <w:t>Additional details of customer(s) to whom this Notice applies (if known)</w:t>
            </w:r>
          </w:p>
        </w:tc>
      </w:tr>
      <w:tr w:rsidR="00FF7F38" w:rsidRPr="00C86CE6" w14:paraId="36C67840" w14:textId="77777777" w:rsidTr="00B11DA4">
        <w:tc>
          <w:tcPr>
            <w:tcW w:w="8313" w:type="dxa"/>
            <w:shd w:val="clear" w:color="auto" w:fill="auto"/>
          </w:tcPr>
          <w:p w14:paraId="70733F98" w14:textId="77777777" w:rsidR="00FF7F38" w:rsidRPr="00C86CE6" w:rsidRDefault="00FF7F38" w:rsidP="00B11DA4">
            <w:pPr>
              <w:pStyle w:val="Tabletext"/>
            </w:pPr>
          </w:p>
          <w:p w14:paraId="105BAB66" w14:textId="77777777" w:rsidR="00FF7F38" w:rsidRPr="00C86CE6" w:rsidRDefault="00FF7F38" w:rsidP="00B11DA4">
            <w:pPr>
              <w:pStyle w:val="Tabletext"/>
            </w:pPr>
          </w:p>
          <w:p w14:paraId="27CB213A" w14:textId="77777777" w:rsidR="00FF7F38" w:rsidRPr="00C86CE6" w:rsidRDefault="00FF7F38" w:rsidP="00B11DA4">
            <w:pPr>
              <w:pStyle w:val="Tabletext"/>
            </w:pPr>
          </w:p>
        </w:tc>
      </w:tr>
    </w:tbl>
    <w:p w14:paraId="77000258" w14:textId="77777777" w:rsidR="00FF7F38" w:rsidRPr="00C86CE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F7F38" w:rsidRPr="00C86CE6" w14:paraId="41F970C6" w14:textId="77777777" w:rsidTr="00B11DA4">
        <w:tc>
          <w:tcPr>
            <w:tcW w:w="8313" w:type="dxa"/>
            <w:shd w:val="clear" w:color="auto" w:fill="000000" w:themeFill="text1"/>
          </w:tcPr>
          <w:p w14:paraId="5666D4AA" w14:textId="77777777" w:rsidR="00FF7F38" w:rsidRPr="00C86CE6" w:rsidRDefault="00FF7F38" w:rsidP="002F4595">
            <w:pPr>
              <w:pStyle w:val="TableHeading"/>
              <w:rPr>
                <w:i/>
              </w:rPr>
            </w:pPr>
            <w:r w:rsidRPr="00C86CE6">
              <w:t>Do any attachments accompany this Notice?</w:t>
            </w:r>
          </w:p>
        </w:tc>
      </w:tr>
      <w:tr w:rsidR="00FF7F38" w:rsidRPr="00C86CE6" w14:paraId="1FBFBDB8" w14:textId="77777777" w:rsidTr="00B11DA4">
        <w:tc>
          <w:tcPr>
            <w:tcW w:w="8313" w:type="dxa"/>
            <w:shd w:val="clear" w:color="auto" w:fill="auto"/>
          </w:tcPr>
          <w:p w14:paraId="19682ECE" w14:textId="77777777" w:rsidR="00FF7F38" w:rsidRPr="00C86CE6" w:rsidRDefault="00FF7F38" w:rsidP="00B11DA4">
            <w:pPr>
              <w:pStyle w:val="Tabletext"/>
            </w:pPr>
            <w:r w:rsidRPr="00C86CE6">
              <w:sym w:font="Webdings" w:char="F063"/>
            </w:r>
            <w:r w:rsidRPr="00C86CE6">
              <w:t xml:space="preserve">  No</w:t>
            </w:r>
          </w:p>
          <w:p w14:paraId="4CD84444" w14:textId="77777777" w:rsidR="00FF7F38" w:rsidRPr="00C86CE6" w:rsidRDefault="00FF7F38" w:rsidP="00B11DA4">
            <w:pPr>
              <w:pStyle w:val="Tabletext"/>
            </w:pPr>
          </w:p>
        </w:tc>
      </w:tr>
      <w:tr w:rsidR="00FF7F38" w:rsidRPr="00C86CE6" w14:paraId="2E121A16" w14:textId="77777777" w:rsidTr="00B11DA4">
        <w:tc>
          <w:tcPr>
            <w:tcW w:w="8313" w:type="dxa"/>
            <w:shd w:val="clear" w:color="auto" w:fill="auto"/>
          </w:tcPr>
          <w:p w14:paraId="19DE0D98" w14:textId="77777777" w:rsidR="00FF7F38" w:rsidRPr="00C86CE6" w:rsidRDefault="00FF7F38" w:rsidP="00B11DA4">
            <w:pPr>
              <w:pStyle w:val="Tabletext"/>
            </w:pPr>
            <w:r w:rsidRPr="00C86CE6">
              <w:sym w:font="Webdings" w:char="F063"/>
            </w:r>
            <w:r w:rsidRPr="00C86CE6">
              <w:t xml:space="preserve">  Yes                                    </w:t>
            </w:r>
            <w:r w:rsidRPr="00C86CE6">
              <w:sym w:font="Webdings" w:char="F063"/>
            </w:r>
            <w:r w:rsidRPr="00C86CE6">
              <w:t xml:space="preserve">  Number of attachments</w:t>
            </w:r>
          </w:p>
          <w:p w14:paraId="76BC3A36" w14:textId="77777777" w:rsidR="00FF7F38" w:rsidRPr="00C86CE6" w:rsidRDefault="00FF7F38" w:rsidP="00B11DA4">
            <w:pPr>
              <w:pStyle w:val="Tabletext"/>
            </w:pPr>
          </w:p>
        </w:tc>
      </w:tr>
    </w:tbl>
    <w:p w14:paraId="077F8A33" w14:textId="77777777" w:rsidR="00FF7F38" w:rsidRPr="00C86CE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5624"/>
      </w:tblGrid>
      <w:tr w:rsidR="00FF7F38" w:rsidRPr="00C86CE6" w14:paraId="76F6BC02" w14:textId="77777777" w:rsidTr="00B11DA4">
        <w:tc>
          <w:tcPr>
            <w:tcW w:w="8313" w:type="dxa"/>
            <w:gridSpan w:val="2"/>
            <w:shd w:val="clear" w:color="auto" w:fill="000000" w:themeFill="text1"/>
          </w:tcPr>
          <w:p w14:paraId="42E56F97" w14:textId="77777777" w:rsidR="00FF7F38" w:rsidRPr="00C86CE6" w:rsidRDefault="00FF7F38" w:rsidP="002F4595">
            <w:pPr>
              <w:pStyle w:val="TableHeading"/>
              <w:rPr>
                <w:i/>
              </w:rPr>
            </w:pPr>
            <w:r w:rsidRPr="00C86CE6">
              <w:t>Details of senior member</w:t>
            </w:r>
          </w:p>
        </w:tc>
      </w:tr>
      <w:tr w:rsidR="00FF7F38" w:rsidRPr="00C86CE6" w14:paraId="0C1E0397" w14:textId="77777777" w:rsidTr="00B11DA4">
        <w:tc>
          <w:tcPr>
            <w:tcW w:w="2689" w:type="dxa"/>
            <w:shd w:val="clear" w:color="auto" w:fill="auto"/>
          </w:tcPr>
          <w:p w14:paraId="729795DB" w14:textId="77777777" w:rsidR="00FF7F38" w:rsidRPr="00C86CE6" w:rsidRDefault="00FF7F38" w:rsidP="00B11DA4">
            <w:pPr>
              <w:pStyle w:val="Tabletext"/>
            </w:pPr>
            <w:r w:rsidRPr="00C86CE6">
              <w:t>Full name</w:t>
            </w:r>
          </w:p>
          <w:p w14:paraId="3C5CD996" w14:textId="77777777" w:rsidR="00FF7F38" w:rsidRPr="00C86CE6" w:rsidRDefault="00FF7F38" w:rsidP="00B11DA4">
            <w:pPr>
              <w:pStyle w:val="Tabletext"/>
            </w:pPr>
          </w:p>
        </w:tc>
        <w:tc>
          <w:tcPr>
            <w:tcW w:w="5624" w:type="dxa"/>
            <w:shd w:val="clear" w:color="auto" w:fill="auto"/>
          </w:tcPr>
          <w:p w14:paraId="5114200A" w14:textId="77777777" w:rsidR="00FF7F38" w:rsidRPr="00C86CE6" w:rsidRDefault="00FF7F38" w:rsidP="00B11DA4">
            <w:pPr>
              <w:pStyle w:val="Tabletext"/>
            </w:pPr>
          </w:p>
        </w:tc>
      </w:tr>
      <w:tr w:rsidR="00FF7F38" w:rsidRPr="00C86CE6" w14:paraId="569E3C4C" w14:textId="77777777" w:rsidTr="00B11DA4">
        <w:tc>
          <w:tcPr>
            <w:tcW w:w="2689" w:type="dxa"/>
            <w:shd w:val="clear" w:color="auto" w:fill="auto"/>
          </w:tcPr>
          <w:p w14:paraId="767C772B" w14:textId="77777777" w:rsidR="00FF7F38" w:rsidRPr="00C86CE6" w:rsidRDefault="00FF7F38" w:rsidP="00B11DA4">
            <w:pPr>
              <w:pStyle w:val="Tabletext"/>
            </w:pPr>
            <w:r w:rsidRPr="00C86CE6">
              <w:t>Position</w:t>
            </w:r>
          </w:p>
          <w:p w14:paraId="1FF4991F" w14:textId="77777777" w:rsidR="00FF7F38" w:rsidRPr="00C86CE6" w:rsidRDefault="00FF7F38" w:rsidP="00B11DA4">
            <w:pPr>
              <w:pStyle w:val="Tabletext"/>
            </w:pPr>
          </w:p>
        </w:tc>
        <w:tc>
          <w:tcPr>
            <w:tcW w:w="5624" w:type="dxa"/>
            <w:shd w:val="clear" w:color="auto" w:fill="auto"/>
          </w:tcPr>
          <w:p w14:paraId="05A2EE57" w14:textId="77777777" w:rsidR="00FF7F38" w:rsidRPr="00C86CE6" w:rsidRDefault="00FF7F38" w:rsidP="00B11DA4">
            <w:pPr>
              <w:pStyle w:val="Tabletext"/>
            </w:pPr>
          </w:p>
        </w:tc>
      </w:tr>
      <w:tr w:rsidR="00FF7F38" w:rsidRPr="00C86CE6" w14:paraId="1270F03B" w14:textId="77777777" w:rsidTr="00B11DA4">
        <w:tc>
          <w:tcPr>
            <w:tcW w:w="2689" w:type="dxa"/>
            <w:shd w:val="clear" w:color="auto" w:fill="auto"/>
          </w:tcPr>
          <w:p w14:paraId="0F7C0E66" w14:textId="77777777" w:rsidR="00FF7F38" w:rsidRPr="00C86CE6" w:rsidRDefault="00FF7F38" w:rsidP="00B11DA4">
            <w:pPr>
              <w:pStyle w:val="Tabletext"/>
            </w:pPr>
            <w:r w:rsidRPr="00C86CE6">
              <w:t>Agency</w:t>
            </w:r>
          </w:p>
          <w:p w14:paraId="254109EA" w14:textId="77777777" w:rsidR="00FF7F38" w:rsidRPr="00C86CE6" w:rsidRDefault="00FF7F38" w:rsidP="00B11DA4">
            <w:pPr>
              <w:pStyle w:val="Tabletext"/>
            </w:pPr>
          </w:p>
        </w:tc>
        <w:tc>
          <w:tcPr>
            <w:tcW w:w="5624" w:type="dxa"/>
            <w:shd w:val="clear" w:color="auto" w:fill="auto"/>
          </w:tcPr>
          <w:p w14:paraId="4B262BF3" w14:textId="77777777" w:rsidR="00FF7F38" w:rsidRPr="00C86CE6" w:rsidRDefault="00FF7F38" w:rsidP="00B11DA4">
            <w:pPr>
              <w:pStyle w:val="Tabletext"/>
            </w:pPr>
          </w:p>
        </w:tc>
      </w:tr>
    </w:tbl>
    <w:p w14:paraId="11BCD0F1" w14:textId="77777777" w:rsidR="00FF7F38" w:rsidRPr="00C86CE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F7F38" w:rsidRPr="00C86CE6" w14:paraId="3EB5EEAC" w14:textId="77777777" w:rsidTr="00B11DA4">
        <w:tc>
          <w:tcPr>
            <w:tcW w:w="8313" w:type="dxa"/>
            <w:shd w:val="clear" w:color="auto" w:fill="000000" w:themeFill="text1"/>
          </w:tcPr>
          <w:p w14:paraId="13A8684C" w14:textId="77777777" w:rsidR="00FF7F38" w:rsidRPr="00C86CE6" w:rsidRDefault="00FF7F38" w:rsidP="002F4595">
            <w:pPr>
              <w:pStyle w:val="TableHeading"/>
              <w:rPr>
                <w:i/>
                <w:color w:val="FFFFFF" w:themeColor="background1"/>
              </w:rPr>
            </w:pPr>
            <w:r w:rsidRPr="00C86CE6">
              <w:t>Declaration</w:t>
            </w:r>
          </w:p>
        </w:tc>
      </w:tr>
    </w:tbl>
    <w:p w14:paraId="649205C3" w14:textId="77777777" w:rsidR="00FF7F38" w:rsidRPr="00C86CE6" w:rsidRDefault="00FF7F38" w:rsidP="00FF7F38">
      <w:pPr>
        <w:pStyle w:val="Tabletext"/>
      </w:pPr>
    </w:p>
    <w:p w14:paraId="50F3FC68" w14:textId="77777777" w:rsidR="00FF7F38" w:rsidRPr="00C86CE6" w:rsidRDefault="00FF7F38" w:rsidP="00FF7F38">
      <w:pPr>
        <w:pStyle w:val="Tabletext"/>
      </w:pPr>
      <w:r w:rsidRPr="00C86CE6">
        <w:rPr>
          <w:b/>
          <w:color w:val="000000"/>
        </w:rPr>
        <w:t>I am the senior member specified above and reasonably believe that the provision of a designated service by the reporting entity to the customer(s) specified in this Notice would assist in the investigation by the agency of a serious offence.</w:t>
      </w:r>
    </w:p>
    <w:p w14:paraId="3B26F135" w14:textId="77777777" w:rsidR="00FF7F38" w:rsidRPr="00C86CE6" w:rsidRDefault="00FF7F38" w:rsidP="00FF7F38">
      <w:pPr>
        <w:pStyle w:val="Tabletext"/>
      </w:pPr>
    </w:p>
    <w:tbl>
      <w:tblPr>
        <w:tblW w:w="5000" w:type="pct"/>
        <w:tblLook w:val="0000" w:firstRow="0" w:lastRow="0" w:firstColumn="0" w:lastColumn="0" w:noHBand="0" w:noVBand="0"/>
      </w:tblPr>
      <w:tblGrid>
        <w:gridCol w:w="5503"/>
        <w:gridCol w:w="280"/>
        <w:gridCol w:w="2746"/>
      </w:tblGrid>
      <w:tr w:rsidR="00FF7F38" w:rsidRPr="00C86CE6" w14:paraId="2C6FC438" w14:textId="77777777" w:rsidTr="00B11DA4">
        <w:trPr>
          <w:cantSplit/>
        </w:trPr>
        <w:tc>
          <w:tcPr>
            <w:tcW w:w="3226" w:type="pct"/>
          </w:tcPr>
          <w:p w14:paraId="60004669" w14:textId="77777777" w:rsidR="00FF7F38" w:rsidRPr="00C86CE6" w:rsidRDefault="00FF7F38" w:rsidP="00B11DA4">
            <w:pPr>
              <w:pStyle w:val="Tabletext"/>
            </w:pPr>
            <w:r w:rsidRPr="00C86CE6">
              <w:t>Signed</w:t>
            </w:r>
          </w:p>
        </w:tc>
        <w:tc>
          <w:tcPr>
            <w:tcW w:w="164" w:type="pct"/>
          </w:tcPr>
          <w:p w14:paraId="059A00EA" w14:textId="77777777" w:rsidR="00FF7F38" w:rsidRPr="00C86CE6" w:rsidRDefault="00FF7F38" w:rsidP="00B11DA4">
            <w:pPr>
              <w:tabs>
                <w:tab w:val="left" w:pos="3435"/>
              </w:tabs>
              <w:rPr>
                <w:sz w:val="18"/>
              </w:rPr>
            </w:pPr>
          </w:p>
        </w:tc>
        <w:tc>
          <w:tcPr>
            <w:tcW w:w="1610" w:type="pct"/>
          </w:tcPr>
          <w:p w14:paraId="0021D186" w14:textId="77777777" w:rsidR="00FF7F38" w:rsidRPr="00C86CE6" w:rsidRDefault="00FF7F38" w:rsidP="00B11DA4">
            <w:pPr>
              <w:pStyle w:val="Tabletext"/>
            </w:pPr>
            <w:r w:rsidRPr="00C86CE6">
              <w:t>Date</w:t>
            </w:r>
          </w:p>
        </w:tc>
      </w:tr>
      <w:tr w:rsidR="00FF7F38" w:rsidRPr="00C86CE6" w14:paraId="5FA09F0B" w14:textId="77777777" w:rsidTr="00B11DA4">
        <w:trPr>
          <w:cantSplit/>
        </w:trPr>
        <w:tc>
          <w:tcPr>
            <w:tcW w:w="3226" w:type="pct"/>
            <w:tcBorders>
              <w:top w:val="single" w:sz="4" w:space="0" w:color="auto"/>
              <w:left w:val="single" w:sz="4" w:space="0" w:color="auto"/>
              <w:bottom w:val="single" w:sz="4" w:space="0" w:color="auto"/>
              <w:right w:val="single" w:sz="4" w:space="0" w:color="auto"/>
            </w:tcBorders>
          </w:tcPr>
          <w:p w14:paraId="56C75736" w14:textId="77777777" w:rsidR="00FF7F38" w:rsidRPr="00C86CE6" w:rsidRDefault="00FF7F38" w:rsidP="00B11DA4">
            <w:pPr>
              <w:spacing w:line="240" w:lineRule="auto"/>
              <w:rPr>
                <w:sz w:val="18"/>
              </w:rPr>
            </w:pPr>
          </w:p>
          <w:p w14:paraId="386983B1" w14:textId="77777777" w:rsidR="00FF7F38" w:rsidRPr="00C86CE6" w:rsidRDefault="00FF7F38" w:rsidP="00B11DA4">
            <w:pPr>
              <w:spacing w:line="240" w:lineRule="auto"/>
              <w:rPr>
                <w:sz w:val="18"/>
              </w:rPr>
            </w:pPr>
          </w:p>
          <w:p w14:paraId="42EDE54F" w14:textId="77777777" w:rsidR="00FF7F38" w:rsidRPr="00C86CE6" w:rsidRDefault="00FF7F38" w:rsidP="00B11DA4">
            <w:pPr>
              <w:spacing w:line="240" w:lineRule="auto"/>
              <w:rPr>
                <w:sz w:val="18"/>
              </w:rPr>
            </w:pPr>
          </w:p>
        </w:tc>
        <w:tc>
          <w:tcPr>
            <w:tcW w:w="164" w:type="pct"/>
            <w:tcBorders>
              <w:right w:val="single" w:sz="4" w:space="0" w:color="auto"/>
            </w:tcBorders>
          </w:tcPr>
          <w:p w14:paraId="3B82D088" w14:textId="77777777" w:rsidR="00FF7F38" w:rsidRPr="00C86CE6" w:rsidRDefault="00FF7F38" w:rsidP="00B11DA4">
            <w:pPr>
              <w:tabs>
                <w:tab w:val="left" w:pos="3435"/>
              </w:tabs>
              <w:rPr>
                <w:sz w:val="18"/>
              </w:rPr>
            </w:pPr>
          </w:p>
        </w:tc>
        <w:tc>
          <w:tcPr>
            <w:tcW w:w="1610" w:type="pct"/>
            <w:tcBorders>
              <w:top w:val="single" w:sz="4" w:space="0" w:color="auto"/>
              <w:bottom w:val="single" w:sz="4" w:space="0" w:color="auto"/>
              <w:right w:val="single" w:sz="4" w:space="0" w:color="auto"/>
            </w:tcBorders>
          </w:tcPr>
          <w:p w14:paraId="2486BA2A" w14:textId="77777777" w:rsidR="00FF7F38" w:rsidRPr="00C86CE6" w:rsidRDefault="00FF7F38" w:rsidP="00B11DA4">
            <w:pPr>
              <w:tabs>
                <w:tab w:val="left" w:pos="3435"/>
              </w:tabs>
              <w:rPr>
                <w:sz w:val="18"/>
              </w:rPr>
            </w:pPr>
          </w:p>
        </w:tc>
      </w:tr>
    </w:tbl>
    <w:p w14:paraId="30025545" w14:textId="77777777" w:rsidR="00FF7F38" w:rsidRPr="00C86CE6" w:rsidRDefault="00FF7F38" w:rsidP="00FF7F38">
      <w:pPr>
        <w:pStyle w:val="ActHead3"/>
        <w:pageBreakBefore/>
      </w:pPr>
      <w:bookmarkStart w:id="111" w:name="_Toc184727412"/>
      <w:r w:rsidRPr="004B21E2">
        <w:rPr>
          <w:rStyle w:val="CharDivNo"/>
        </w:rPr>
        <w:lastRenderedPageBreak/>
        <w:t>Form 2</w:t>
      </w:r>
      <w:r w:rsidRPr="00C86CE6">
        <w:t>—</w:t>
      </w:r>
      <w:r w:rsidRPr="004B21E2">
        <w:rPr>
          <w:rStyle w:val="CharDivText"/>
        </w:rPr>
        <w:t>Extension notice</w:t>
      </w:r>
      <w:bookmarkEnd w:id="111"/>
    </w:p>
    <w:p w14:paraId="7E2F76AF" w14:textId="77777777" w:rsidR="00CF5E40" w:rsidRPr="00C86CE6" w:rsidRDefault="00CF5E40" w:rsidP="00CF5E40">
      <w:pPr>
        <w:pStyle w:val="FreeForm"/>
      </w:pPr>
    </w:p>
    <w:p w14:paraId="648DFD99" w14:textId="7B516F80" w:rsidR="00FF7F38" w:rsidRPr="00C86CE6" w:rsidRDefault="00FF7F38" w:rsidP="00CF5E40">
      <w:pPr>
        <w:pStyle w:val="FreeForm"/>
        <w:rPr>
          <w:rFonts w:ascii="Times New Roman" w:hAnsi="Times New Roman" w:cs="Times New Roman"/>
          <w:b/>
          <w:bCs/>
          <w:sz w:val="24"/>
          <w:szCs w:val="24"/>
        </w:rPr>
      </w:pPr>
      <w:r w:rsidRPr="00C86CE6">
        <w:rPr>
          <w:rFonts w:ascii="Times New Roman" w:hAnsi="Times New Roman" w:cs="Times New Roman"/>
          <w:b/>
          <w:bCs/>
          <w:sz w:val="24"/>
          <w:szCs w:val="24"/>
        </w:rPr>
        <w:t>KEEP OPEN NOTICE—EXTENSION NOTICE</w:t>
      </w:r>
    </w:p>
    <w:p w14:paraId="3646C600" w14:textId="332D1C7A" w:rsidR="00FF7F38" w:rsidRPr="00C86CE6" w:rsidRDefault="00606BBD" w:rsidP="00FF7F38">
      <w:pPr>
        <w:pStyle w:val="notemargin"/>
      </w:pPr>
      <w:r w:rsidRPr="00C86CE6">
        <w:t>Subsection 3</w:t>
      </w:r>
      <w:r w:rsidR="00FF7F38" w:rsidRPr="00C86CE6">
        <w:t xml:space="preserve">9B(7) of the </w:t>
      </w:r>
      <w:r w:rsidR="00FF7F38" w:rsidRPr="00C86CE6">
        <w:rPr>
          <w:i/>
        </w:rPr>
        <w:t>Anti</w:t>
      </w:r>
      <w:r w:rsidR="004A7589">
        <w:rPr>
          <w:i/>
        </w:rPr>
        <w:noBreakHyphen/>
      </w:r>
      <w:r w:rsidR="00FF7F38" w:rsidRPr="00C86CE6">
        <w:rPr>
          <w:i/>
        </w:rPr>
        <w:t>Money Laundering and Counter</w:t>
      </w:r>
      <w:r w:rsidR="004A7589">
        <w:rPr>
          <w:i/>
        </w:rPr>
        <w:noBreakHyphen/>
      </w:r>
      <w:r w:rsidR="00FF7F38" w:rsidRPr="00C86CE6">
        <w:rPr>
          <w:i/>
        </w:rPr>
        <w:t>Terrorism Financing Act 2006</w:t>
      </w:r>
    </w:p>
    <w:p w14:paraId="423C94F0" w14:textId="77777777" w:rsidR="00CF5E40" w:rsidRPr="00C86CE6" w:rsidRDefault="00CF5E40" w:rsidP="00CF5E40">
      <w:pPr>
        <w:pStyle w:val="FreeForm"/>
      </w:pPr>
    </w:p>
    <w:p w14:paraId="5426CBA9" w14:textId="129D93D2" w:rsidR="00FF7F38" w:rsidRPr="00C86CE6" w:rsidRDefault="00FF7F38" w:rsidP="00CF5E40">
      <w:pPr>
        <w:pStyle w:val="FreeForm"/>
        <w:rPr>
          <w:rFonts w:ascii="Times New Roman" w:hAnsi="Times New Roman" w:cs="Times New Roman"/>
          <w:b/>
          <w:bCs/>
          <w:sz w:val="24"/>
          <w:szCs w:val="24"/>
        </w:rPr>
      </w:pPr>
      <w:r w:rsidRPr="00C86CE6">
        <w:rPr>
          <w:rFonts w:ascii="Times New Roman" w:hAnsi="Times New Roman" w:cs="Times New Roman"/>
          <w:b/>
          <w:bCs/>
          <w:sz w:val="24"/>
          <w:szCs w:val="24"/>
        </w:rPr>
        <w:t>Explanation of this notice</w:t>
      </w:r>
    </w:p>
    <w:p w14:paraId="6F5FEE2E" w14:textId="77777777" w:rsidR="00FF7F38" w:rsidRPr="00C86CE6" w:rsidRDefault="00FF7F38" w:rsidP="00FF7F38">
      <w:pPr>
        <w:pStyle w:val="Tabletext"/>
      </w:pPr>
    </w:p>
    <w:tbl>
      <w:tblPr>
        <w:tblW w:w="0" w:type="auto"/>
        <w:tblInd w:w="113" w:type="dxa"/>
        <w:tblLayout w:type="fixed"/>
        <w:tblLook w:val="0000" w:firstRow="0" w:lastRow="0" w:firstColumn="0" w:lastColumn="0" w:noHBand="0" w:noVBand="0"/>
      </w:tblPr>
      <w:tblGrid>
        <w:gridCol w:w="714"/>
        <w:gridCol w:w="7599"/>
      </w:tblGrid>
      <w:tr w:rsidR="00FF7F38" w:rsidRPr="00C86CE6" w14:paraId="4ECFDE0B" w14:textId="77777777" w:rsidTr="00B11DA4">
        <w:tc>
          <w:tcPr>
            <w:tcW w:w="714" w:type="dxa"/>
            <w:shd w:val="clear" w:color="auto" w:fill="auto"/>
          </w:tcPr>
          <w:p w14:paraId="4E41481B" w14:textId="77777777" w:rsidR="00FF7F38" w:rsidRPr="00C86CE6" w:rsidRDefault="00FF7F38" w:rsidP="00B11DA4">
            <w:pPr>
              <w:pStyle w:val="Tabletext"/>
              <w:rPr>
                <w:rFonts w:eastAsiaTheme="minorHAnsi"/>
              </w:rPr>
            </w:pPr>
            <w:r w:rsidRPr="00C86CE6">
              <w:rPr>
                <w:rFonts w:eastAsiaTheme="minorHAnsi"/>
              </w:rPr>
              <w:t>1</w:t>
            </w:r>
          </w:p>
        </w:tc>
        <w:tc>
          <w:tcPr>
            <w:tcW w:w="7599" w:type="dxa"/>
            <w:shd w:val="clear" w:color="auto" w:fill="auto"/>
          </w:tcPr>
          <w:p w14:paraId="39781524" w14:textId="789507F7" w:rsidR="00FF7F38" w:rsidRPr="00C86CE6" w:rsidRDefault="00FF7F38" w:rsidP="00B11DA4">
            <w:pPr>
              <w:pStyle w:val="Tabletext"/>
              <w:rPr>
                <w:rFonts w:eastAsiaTheme="minorHAnsi"/>
              </w:rPr>
            </w:pPr>
            <w:r w:rsidRPr="00C86CE6">
              <w:rPr>
                <w:rFonts w:eastAsiaTheme="minorHAnsi"/>
              </w:rPr>
              <w:t xml:space="preserve">This extension notice is issued pursuant to </w:t>
            </w:r>
            <w:r w:rsidR="00606BBD" w:rsidRPr="00C86CE6">
              <w:rPr>
                <w:rFonts w:eastAsiaTheme="minorHAnsi"/>
              </w:rPr>
              <w:t>subsection 3</w:t>
            </w:r>
            <w:r w:rsidRPr="00C86CE6">
              <w:rPr>
                <w:rFonts w:eastAsiaTheme="minorHAnsi"/>
              </w:rPr>
              <w:t xml:space="preserve">9B(7) of the </w:t>
            </w:r>
            <w:r w:rsidRPr="00C86CE6">
              <w:rPr>
                <w:rFonts w:eastAsiaTheme="minorHAnsi"/>
                <w:i/>
              </w:rPr>
              <w:t>Anti</w:t>
            </w:r>
            <w:r w:rsidR="004A7589">
              <w:rPr>
                <w:rFonts w:eastAsiaTheme="minorHAnsi"/>
                <w:i/>
              </w:rPr>
              <w:noBreakHyphen/>
            </w:r>
            <w:r w:rsidRPr="00C86CE6">
              <w:rPr>
                <w:rFonts w:eastAsiaTheme="minorHAnsi"/>
                <w:i/>
              </w:rPr>
              <w:t>Money Laundering and Counter</w:t>
            </w:r>
            <w:r w:rsidR="004A7589">
              <w:rPr>
                <w:rFonts w:eastAsiaTheme="minorHAnsi"/>
                <w:i/>
              </w:rPr>
              <w:noBreakHyphen/>
            </w:r>
            <w:r w:rsidRPr="00C86CE6">
              <w:rPr>
                <w:rFonts w:eastAsiaTheme="minorHAnsi"/>
                <w:i/>
              </w:rPr>
              <w:t>Terrorism Financing Act 2006</w:t>
            </w:r>
            <w:r w:rsidRPr="00C86CE6">
              <w:rPr>
                <w:rFonts w:eastAsiaTheme="minorHAnsi"/>
              </w:rPr>
              <w:t xml:space="preserve"> (AML/CTF Act).</w:t>
            </w:r>
          </w:p>
        </w:tc>
      </w:tr>
      <w:tr w:rsidR="00FF7F38" w:rsidRPr="00C86CE6" w14:paraId="07695E20" w14:textId="77777777" w:rsidTr="00B11DA4">
        <w:tc>
          <w:tcPr>
            <w:tcW w:w="714" w:type="dxa"/>
            <w:shd w:val="clear" w:color="auto" w:fill="auto"/>
          </w:tcPr>
          <w:p w14:paraId="17862F47" w14:textId="77777777" w:rsidR="00FF7F38" w:rsidRPr="00C86CE6" w:rsidRDefault="00FF7F38" w:rsidP="00B11DA4">
            <w:pPr>
              <w:pStyle w:val="Tabletext"/>
              <w:rPr>
                <w:rFonts w:eastAsiaTheme="minorHAnsi"/>
              </w:rPr>
            </w:pPr>
            <w:r w:rsidRPr="00C86CE6">
              <w:rPr>
                <w:rFonts w:eastAsiaTheme="minorHAnsi"/>
              </w:rPr>
              <w:t>2</w:t>
            </w:r>
          </w:p>
        </w:tc>
        <w:tc>
          <w:tcPr>
            <w:tcW w:w="7599" w:type="dxa"/>
            <w:shd w:val="clear" w:color="auto" w:fill="auto"/>
          </w:tcPr>
          <w:p w14:paraId="11D0841F" w14:textId="77777777" w:rsidR="00FF7F38" w:rsidRPr="00C86CE6" w:rsidRDefault="00FF7F38" w:rsidP="00B11DA4">
            <w:pPr>
              <w:pStyle w:val="Tabletext"/>
              <w:rPr>
                <w:rFonts w:eastAsiaTheme="minorHAnsi"/>
              </w:rPr>
            </w:pPr>
            <w:r w:rsidRPr="00C86CE6">
              <w:rPr>
                <w:rFonts w:eastAsiaTheme="minorHAnsi"/>
              </w:rPr>
              <w:t>This extension notice extends the period that a keep open notice remains in force for a further period of 6 months.</w:t>
            </w:r>
          </w:p>
        </w:tc>
      </w:tr>
      <w:tr w:rsidR="00FF7F38" w:rsidRPr="00C86CE6" w14:paraId="581F1268" w14:textId="77777777" w:rsidTr="00B11DA4">
        <w:tc>
          <w:tcPr>
            <w:tcW w:w="714" w:type="dxa"/>
            <w:shd w:val="clear" w:color="auto" w:fill="auto"/>
          </w:tcPr>
          <w:p w14:paraId="704CA253" w14:textId="77777777" w:rsidR="00FF7F38" w:rsidRPr="00C86CE6" w:rsidRDefault="00FF7F38" w:rsidP="00B11DA4">
            <w:pPr>
              <w:pStyle w:val="Tabletext"/>
              <w:rPr>
                <w:rFonts w:eastAsiaTheme="minorHAnsi"/>
              </w:rPr>
            </w:pPr>
            <w:r w:rsidRPr="00C86CE6">
              <w:rPr>
                <w:rFonts w:eastAsiaTheme="minorHAnsi"/>
              </w:rPr>
              <w:t>3</w:t>
            </w:r>
          </w:p>
        </w:tc>
        <w:tc>
          <w:tcPr>
            <w:tcW w:w="7599" w:type="dxa"/>
            <w:shd w:val="clear" w:color="auto" w:fill="auto"/>
          </w:tcPr>
          <w:p w14:paraId="46FC4CE7" w14:textId="77777777" w:rsidR="00FF7F38" w:rsidRPr="00C86CE6" w:rsidRDefault="00FF7F38" w:rsidP="00B11DA4">
            <w:pPr>
              <w:pStyle w:val="Tabletext"/>
              <w:rPr>
                <w:rFonts w:eastAsiaTheme="minorHAnsi"/>
              </w:rPr>
            </w:pPr>
            <w:r w:rsidRPr="00C86CE6">
              <w:rPr>
                <w:rFonts w:eastAsiaTheme="minorHAnsi"/>
              </w:rPr>
              <w:t>This extension notice must be issued to the reporting entity to whom the keep open notice was issued before the expiry of the keep open notice.</w:t>
            </w:r>
          </w:p>
        </w:tc>
      </w:tr>
      <w:tr w:rsidR="00FF7F38" w:rsidRPr="00C86CE6" w14:paraId="7BC08ABC" w14:textId="77777777" w:rsidTr="00B11DA4">
        <w:tc>
          <w:tcPr>
            <w:tcW w:w="714" w:type="dxa"/>
            <w:shd w:val="clear" w:color="auto" w:fill="auto"/>
          </w:tcPr>
          <w:p w14:paraId="3B120D7A" w14:textId="77777777" w:rsidR="00FF7F38" w:rsidRPr="00C86CE6" w:rsidRDefault="00FF7F38" w:rsidP="00B11DA4">
            <w:pPr>
              <w:pStyle w:val="Tabletext"/>
              <w:rPr>
                <w:rFonts w:eastAsiaTheme="minorHAnsi"/>
              </w:rPr>
            </w:pPr>
            <w:r w:rsidRPr="00C86CE6">
              <w:rPr>
                <w:rFonts w:eastAsiaTheme="minorHAnsi"/>
              </w:rPr>
              <w:t>4</w:t>
            </w:r>
          </w:p>
        </w:tc>
        <w:tc>
          <w:tcPr>
            <w:tcW w:w="7599" w:type="dxa"/>
            <w:shd w:val="clear" w:color="auto" w:fill="auto"/>
          </w:tcPr>
          <w:p w14:paraId="3E9BD82A" w14:textId="77777777" w:rsidR="00FF7F38" w:rsidRPr="00C86CE6" w:rsidRDefault="00FF7F38" w:rsidP="00B11DA4">
            <w:pPr>
              <w:pStyle w:val="Tabletext"/>
              <w:rPr>
                <w:rFonts w:eastAsiaTheme="minorHAnsi"/>
              </w:rPr>
            </w:pPr>
            <w:r w:rsidRPr="00C86CE6">
              <w:rPr>
                <w:rFonts w:eastAsiaTheme="minorHAnsi"/>
              </w:rPr>
              <w:t xml:space="preserve">A senior member of </w:t>
            </w:r>
            <w:r w:rsidRPr="00C86CE6">
              <w:rPr>
                <w:color w:val="000000"/>
              </w:rPr>
              <w:t xml:space="preserve">the kind listed in </w:t>
            </w:r>
            <w:r w:rsidR="00606BBD" w:rsidRPr="00C86CE6">
              <w:rPr>
                <w:color w:val="000000"/>
              </w:rPr>
              <w:t>subsection 3</w:t>
            </w:r>
            <w:r w:rsidRPr="00C86CE6">
              <w:rPr>
                <w:color w:val="000000"/>
              </w:rPr>
              <w:t>9B(3) of the AML/CTF Act</w:t>
            </w:r>
            <w:r w:rsidRPr="00C86CE6">
              <w:rPr>
                <w:rFonts w:eastAsiaTheme="minorHAnsi"/>
              </w:rPr>
              <w:t xml:space="preserve"> reasonably believes that the continued provision of a designated service by the reporting entity to the customer(s) specified in the keep open notice would assist in the investigation by the agency of a serious offence.</w:t>
            </w:r>
          </w:p>
        </w:tc>
      </w:tr>
      <w:tr w:rsidR="00FF7F38" w:rsidRPr="00C86CE6" w14:paraId="3B40F348" w14:textId="77777777" w:rsidTr="00B11DA4">
        <w:tc>
          <w:tcPr>
            <w:tcW w:w="714" w:type="dxa"/>
            <w:shd w:val="clear" w:color="auto" w:fill="auto"/>
          </w:tcPr>
          <w:p w14:paraId="24975971" w14:textId="77777777" w:rsidR="00FF7F38" w:rsidRPr="00C86CE6" w:rsidRDefault="00FF7F38" w:rsidP="00B11DA4">
            <w:pPr>
              <w:pStyle w:val="Tabletext"/>
              <w:rPr>
                <w:rFonts w:eastAsiaTheme="minorHAnsi"/>
              </w:rPr>
            </w:pPr>
            <w:r w:rsidRPr="00C86CE6">
              <w:rPr>
                <w:rFonts w:eastAsiaTheme="minorHAnsi"/>
              </w:rPr>
              <w:t>5</w:t>
            </w:r>
          </w:p>
        </w:tc>
        <w:tc>
          <w:tcPr>
            <w:tcW w:w="7599" w:type="dxa"/>
            <w:shd w:val="clear" w:color="auto" w:fill="auto"/>
          </w:tcPr>
          <w:p w14:paraId="5D4F035D" w14:textId="79D00CB9" w:rsidR="00FF7F38" w:rsidRPr="00C86CE6" w:rsidRDefault="00FF7F38" w:rsidP="00B11DA4">
            <w:pPr>
              <w:pStyle w:val="Tabletext"/>
              <w:rPr>
                <w:rFonts w:eastAsiaTheme="minorHAnsi"/>
              </w:rPr>
            </w:pPr>
            <w:r w:rsidRPr="00C86CE6">
              <w:t xml:space="preserve">Pursuant to </w:t>
            </w:r>
            <w:r w:rsidR="00606BBD" w:rsidRPr="00C86CE6">
              <w:t>subsection 3</w:t>
            </w:r>
            <w:r w:rsidRPr="00C86CE6">
              <w:t>9A(2) of the AML/CTF Act,</w:t>
            </w:r>
            <w:r w:rsidRPr="00C86CE6">
              <w:rPr>
                <w:rFonts w:eastAsiaTheme="minorHAnsi"/>
              </w:rPr>
              <w:t xml:space="preserve"> the reporting entity continues to be exempt from </w:t>
            </w:r>
            <w:r w:rsidR="00A25E52" w:rsidRPr="00C86CE6">
              <w:rPr>
                <w:rFonts w:eastAsiaTheme="minorHAnsi"/>
              </w:rPr>
              <w:t>section 2</w:t>
            </w:r>
            <w:r w:rsidRPr="00C86CE6">
              <w:rPr>
                <w:rFonts w:eastAsiaTheme="minorHAnsi"/>
              </w:rPr>
              <w:t>6G, 28 or 30 of the AML/CTF Act in respect of the continued provision of a designated service to a customer specified in the keep open notice to the extent that the reporting entity reasonably believes that compliance with that section would or could reasonably be expected to alert the customer to the existence of a criminal investigation.</w:t>
            </w:r>
          </w:p>
        </w:tc>
      </w:tr>
      <w:tr w:rsidR="00FF7F38" w:rsidRPr="00C86CE6" w14:paraId="0708A138" w14:textId="77777777" w:rsidTr="00B11DA4">
        <w:tc>
          <w:tcPr>
            <w:tcW w:w="714" w:type="dxa"/>
            <w:shd w:val="clear" w:color="auto" w:fill="auto"/>
          </w:tcPr>
          <w:p w14:paraId="45C1EB98" w14:textId="77777777" w:rsidR="00FF7F38" w:rsidRPr="00C86CE6" w:rsidRDefault="00FF7F38" w:rsidP="00B11DA4">
            <w:pPr>
              <w:pStyle w:val="Tabletext"/>
              <w:rPr>
                <w:rFonts w:eastAsiaTheme="minorHAnsi"/>
              </w:rPr>
            </w:pPr>
            <w:r w:rsidRPr="00C86CE6">
              <w:rPr>
                <w:rFonts w:eastAsiaTheme="minorHAnsi"/>
              </w:rPr>
              <w:t>6</w:t>
            </w:r>
          </w:p>
        </w:tc>
        <w:tc>
          <w:tcPr>
            <w:tcW w:w="7599" w:type="dxa"/>
            <w:shd w:val="clear" w:color="auto" w:fill="auto"/>
          </w:tcPr>
          <w:p w14:paraId="3B780946" w14:textId="77777777" w:rsidR="00FF7F38" w:rsidRPr="00C86CE6" w:rsidRDefault="00FF7F38" w:rsidP="00B11DA4">
            <w:pPr>
              <w:pStyle w:val="Tabletext"/>
              <w:rPr>
                <w:rFonts w:eastAsiaTheme="minorHAnsi"/>
              </w:rPr>
            </w:pPr>
            <w:r w:rsidRPr="00C86CE6">
              <w:rPr>
                <w:rFonts w:eastAsiaTheme="minorHAnsi"/>
              </w:rPr>
              <w:t xml:space="preserve">If the exemption referred to in </w:t>
            </w:r>
            <w:r w:rsidR="00606BBD" w:rsidRPr="00C86CE6">
              <w:rPr>
                <w:rFonts w:eastAsiaTheme="minorHAnsi"/>
              </w:rPr>
              <w:t>paragraph 5</w:t>
            </w:r>
            <w:r w:rsidRPr="00C86CE6">
              <w:rPr>
                <w:rFonts w:eastAsiaTheme="minorHAnsi"/>
              </w:rPr>
              <w:t xml:space="preserve"> applies in relation to the continued provision by the reporting entity of a designated service to the customer, </w:t>
            </w:r>
            <w:r w:rsidR="00606BBD" w:rsidRPr="00C86CE6">
              <w:rPr>
                <w:rFonts w:eastAsiaTheme="minorHAnsi"/>
              </w:rPr>
              <w:t>section 1</w:t>
            </w:r>
            <w:r w:rsidRPr="00C86CE6">
              <w:rPr>
                <w:rFonts w:eastAsiaTheme="minorHAnsi"/>
              </w:rPr>
              <w:t>39 of the AML/CTF Act (providing a designated service using a false customer name or customer anonymity) does not apply in relation to the continued provision by the reporting entity of that designated service to the customer.</w:t>
            </w:r>
          </w:p>
        </w:tc>
      </w:tr>
      <w:tr w:rsidR="00FF7F38" w:rsidRPr="00C86CE6" w14:paraId="15F9DE68" w14:textId="77777777" w:rsidTr="00B11DA4">
        <w:tc>
          <w:tcPr>
            <w:tcW w:w="714" w:type="dxa"/>
            <w:shd w:val="clear" w:color="auto" w:fill="auto"/>
          </w:tcPr>
          <w:p w14:paraId="711D8C33" w14:textId="77777777" w:rsidR="00FF7F38" w:rsidRPr="00C86CE6" w:rsidRDefault="00FF7F38" w:rsidP="00B11DA4">
            <w:pPr>
              <w:pStyle w:val="Tabletext"/>
              <w:rPr>
                <w:rFonts w:eastAsiaTheme="minorHAnsi"/>
              </w:rPr>
            </w:pPr>
            <w:r w:rsidRPr="00C86CE6">
              <w:rPr>
                <w:rFonts w:eastAsiaTheme="minorHAnsi"/>
              </w:rPr>
              <w:t>7</w:t>
            </w:r>
          </w:p>
        </w:tc>
        <w:tc>
          <w:tcPr>
            <w:tcW w:w="7599" w:type="dxa"/>
            <w:shd w:val="clear" w:color="auto" w:fill="auto"/>
          </w:tcPr>
          <w:p w14:paraId="15987CD6" w14:textId="77777777" w:rsidR="00FF7F38" w:rsidRPr="00C86CE6" w:rsidRDefault="00FF7F38" w:rsidP="00B11DA4">
            <w:pPr>
              <w:pStyle w:val="Tabletext"/>
              <w:rPr>
                <w:rFonts w:eastAsiaTheme="minorHAnsi"/>
              </w:rPr>
            </w:pPr>
            <w:r w:rsidRPr="00C86CE6">
              <w:rPr>
                <w:rFonts w:eastAsiaTheme="minorHAnsi"/>
              </w:rPr>
              <w:t>The AUSTRAC CEO has been sent a copy of this extension notice.</w:t>
            </w:r>
          </w:p>
        </w:tc>
      </w:tr>
      <w:tr w:rsidR="00FF7F38" w:rsidRPr="00C86CE6" w14:paraId="45213561" w14:textId="77777777" w:rsidTr="00B11DA4">
        <w:tc>
          <w:tcPr>
            <w:tcW w:w="714" w:type="dxa"/>
            <w:shd w:val="clear" w:color="auto" w:fill="auto"/>
          </w:tcPr>
          <w:p w14:paraId="2DD60C41" w14:textId="77777777" w:rsidR="00FF7F38" w:rsidRPr="00C86CE6" w:rsidRDefault="00FF7F38" w:rsidP="00B11DA4">
            <w:pPr>
              <w:pStyle w:val="Tabletext"/>
              <w:rPr>
                <w:rFonts w:eastAsiaTheme="minorHAnsi"/>
              </w:rPr>
            </w:pPr>
            <w:r w:rsidRPr="00C86CE6">
              <w:rPr>
                <w:rFonts w:eastAsiaTheme="minorHAnsi"/>
              </w:rPr>
              <w:t>8</w:t>
            </w:r>
          </w:p>
        </w:tc>
        <w:tc>
          <w:tcPr>
            <w:tcW w:w="7599" w:type="dxa"/>
            <w:shd w:val="clear" w:color="auto" w:fill="auto"/>
          </w:tcPr>
          <w:p w14:paraId="07A0F69A" w14:textId="77777777" w:rsidR="00FF7F38" w:rsidRPr="00C86CE6" w:rsidRDefault="00FF7F38" w:rsidP="00B11DA4">
            <w:pPr>
              <w:pStyle w:val="Tabletext"/>
              <w:rPr>
                <w:rFonts w:eastAsiaTheme="minorHAnsi"/>
              </w:rPr>
            </w:pPr>
            <w:r w:rsidRPr="00C86CE6">
              <w:rPr>
                <w:rFonts w:eastAsiaTheme="minorHAnsi"/>
              </w:rPr>
              <w:t>This extension notice does not compel the reporting entity to continue to provide a designated service to a customer specified in this extension notice</w:t>
            </w:r>
          </w:p>
        </w:tc>
      </w:tr>
      <w:tr w:rsidR="00FF7F38" w:rsidRPr="00C86CE6" w14:paraId="3B9211E6" w14:textId="77777777" w:rsidTr="00B11DA4">
        <w:tc>
          <w:tcPr>
            <w:tcW w:w="714" w:type="dxa"/>
            <w:shd w:val="clear" w:color="auto" w:fill="auto"/>
          </w:tcPr>
          <w:p w14:paraId="2609B65D" w14:textId="77777777" w:rsidR="00FF7F38" w:rsidRPr="00C86CE6" w:rsidRDefault="00FF7F38" w:rsidP="00B11DA4">
            <w:pPr>
              <w:pStyle w:val="Tabletext"/>
              <w:rPr>
                <w:rFonts w:eastAsiaTheme="minorHAnsi"/>
              </w:rPr>
            </w:pPr>
            <w:r w:rsidRPr="00C86CE6">
              <w:rPr>
                <w:rFonts w:eastAsiaTheme="minorHAnsi"/>
              </w:rPr>
              <w:t>9</w:t>
            </w:r>
          </w:p>
        </w:tc>
        <w:tc>
          <w:tcPr>
            <w:tcW w:w="7599" w:type="dxa"/>
            <w:shd w:val="clear" w:color="auto" w:fill="auto"/>
          </w:tcPr>
          <w:p w14:paraId="5DA5C561" w14:textId="77777777" w:rsidR="00FF7F38" w:rsidRPr="00C86CE6" w:rsidRDefault="00FF7F38" w:rsidP="00B11DA4">
            <w:pPr>
              <w:pStyle w:val="Tabletext"/>
              <w:rPr>
                <w:rFonts w:eastAsiaTheme="minorHAnsi"/>
              </w:rPr>
            </w:pPr>
            <w:r w:rsidRPr="00C86CE6">
              <w:rPr>
                <w:rFonts w:eastAsiaTheme="minorHAnsi"/>
              </w:rPr>
              <w:t xml:space="preserve">A suspicious matter reporting obligation does not arise for a reporting entity in relation to a customer upon the receipt of this extension notice. However, a suspicious matter reporting obligation may otherwise arise for the reporting entity in relation to the customer in accordance with </w:t>
            </w:r>
            <w:r w:rsidR="00606BBD" w:rsidRPr="00C86CE6">
              <w:rPr>
                <w:rFonts w:eastAsiaTheme="minorHAnsi"/>
              </w:rPr>
              <w:t>section 4</w:t>
            </w:r>
            <w:r w:rsidRPr="00C86CE6">
              <w:rPr>
                <w:rFonts w:eastAsiaTheme="minorHAnsi"/>
              </w:rPr>
              <w:t>1 of the AML/CTF Act.</w:t>
            </w:r>
          </w:p>
        </w:tc>
      </w:tr>
      <w:tr w:rsidR="00FF7F38" w:rsidRPr="00C86CE6" w14:paraId="43D750C4" w14:textId="77777777" w:rsidTr="00B11DA4">
        <w:tc>
          <w:tcPr>
            <w:tcW w:w="714" w:type="dxa"/>
            <w:shd w:val="clear" w:color="auto" w:fill="auto"/>
          </w:tcPr>
          <w:p w14:paraId="6DC58177" w14:textId="77777777" w:rsidR="00FF7F38" w:rsidRPr="00C86CE6" w:rsidRDefault="00FF7F38" w:rsidP="00B11DA4">
            <w:pPr>
              <w:pStyle w:val="Tabletext"/>
              <w:rPr>
                <w:rFonts w:eastAsiaTheme="minorHAnsi"/>
              </w:rPr>
            </w:pPr>
            <w:r w:rsidRPr="00C86CE6">
              <w:rPr>
                <w:rFonts w:eastAsiaTheme="minorHAnsi"/>
              </w:rPr>
              <w:t>10</w:t>
            </w:r>
          </w:p>
        </w:tc>
        <w:tc>
          <w:tcPr>
            <w:tcW w:w="7599" w:type="dxa"/>
            <w:shd w:val="clear" w:color="auto" w:fill="auto"/>
          </w:tcPr>
          <w:p w14:paraId="4D04950F" w14:textId="77777777" w:rsidR="00FF7F38" w:rsidRPr="00C86CE6" w:rsidRDefault="00FF7F38" w:rsidP="00B11DA4">
            <w:pPr>
              <w:pStyle w:val="Tabletext"/>
              <w:rPr>
                <w:rFonts w:eastAsiaTheme="minorHAnsi"/>
              </w:rPr>
            </w:pPr>
            <w:r w:rsidRPr="00C86CE6">
              <w:rPr>
                <w:rFonts w:eastAsiaTheme="minorHAnsi"/>
              </w:rPr>
              <w:t xml:space="preserve">The period for which the keep open notice remains in force may be extended for a further period of 6 months if a senior member of the issuing agency issues an extension notice under </w:t>
            </w:r>
            <w:r w:rsidR="00606BBD" w:rsidRPr="00C86CE6">
              <w:rPr>
                <w:rFonts w:eastAsiaTheme="minorHAnsi"/>
              </w:rPr>
              <w:t>subsection 3</w:t>
            </w:r>
            <w:r w:rsidRPr="00C86CE6">
              <w:rPr>
                <w:rFonts w:eastAsiaTheme="minorHAnsi"/>
              </w:rPr>
              <w:t>9B(7) of the AML/CTF Act.</w:t>
            </w:r>
          </w:p>
        </w:tc>
      </w:tr>
    </w:tbl>
    <w:p w14:paraId="364253C2" w14:textId="77777777" w:rsidR="00FF7F38" w:rsidRPr="00C86CE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F7F38" w:rsidRPr="00C86CE6" w14:paraId="2F572BE0" w14:textId="77777777" w:rsidTr="00B11DA4">
        <w:tc>
          <w:tcPr>
            <w:tcW w:w="8313" w:type="dxa"/>
            <w:shd w:val="clear" w:color="auto" w:fill="000000" w:themeFill="text1"/>
          </w:tcPr>
          <w:p w14:paraId="29940A2D" w14:textId="77777777" w:rsidR="00FF7F38" w:rsidRPr="00C86CE6" w:rsidRDefault="00FF7F38" w:rsidP="002F4595">
            <w:pPr>
              <w:pStyle w:val="TableHeading"/>
            </w:pPr>
            <w:r w:rsidRPr="00C86CE6">
              <w:t>Full name of reporting entity to whom the keep open notice was issued</w:t>
            </w:r>
          </w:p>
        </w:tc>
      </w:tr>
      <w:tr w:rsidR="00FF7F38" w:rsidRPr="00C86CE6" w14:paraId="27F707D0" w14:textId="77777777" w:rsidTr="00B11DA4">
        <w:tc>
          <w:tcPr>
            <w:tcW w:w="8313" w:type="dxa"/>
            <w:shd w:val="clear" w:color="auto" w:fill="auto"/>
          </w:tcPr>
          <w:p w14:paraId="3E3B0DD0" w14:textId="77777777" w:rsidR="00FF7F38" w:rsidRPr="00C86CE6" w:rsidRDefault="00FF7F38" w:rsidP="00B11DA4">
            <w:pPr>
              <w:pStyle w:val="Tabletext"/>
            </w:pPr>
          </w:p>
          <w:p w14:paraId="7A8DAB71" w14:textId="77777777" w:rsidR="00FF7F38" w:rsidRPr="00C86CE6" w:rsidRDefault="00FF7F38" w:rsidP="00B11DA4">
            <w:pPr>
              <w:pStyle w:val="Tabletext"/>
            </w:pPr>
          </w:p>
        </w:tc>
      </w:tr>
    </w:tbl>
    <w:p w14:paraId="4AF3707B" w14:textId="77777777" w:rsidR="00FF7F38" w:rsidRPr="00C86CE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F7F38" w:rsidRPr="00C86CE6" w14:paraId="3F59C353" w14:textId="77777777" w:rsidTr="00B11DA4">
        <w:tc>
          <w:tcPr>
            <w:tcW w:w="8313" w:type="dxa"/>
            <w:shd w:val="clear" w:color="auto" w:fill="000000" w:themeFill="text1"/>
          </w:tcPr>
          <w:p w14:paraId="782F082E" w14:textId="77777777" w:rsidR="00FF7F38" w:rsidRPr="00C86CE6" w:rsidRDefault="00FF7F38" w:rsidP="002F4595">
            <w:pPr>
              <w:pStyle w:val="TableHeading"/>
            </w:pPr>
            <w:r w:rsidRPr="00C86CE6">
              <w:t>Commencement date of the keep open notice</w:t>
            </w:r>
          </w:p>
        </w:tc>
      </w:tr>
      <w:tr w:rsidR="00FF7F38" w:rsidRPr="00C86CE6" w14:paraId="60015C41" w14:textId="77777777" w:rsidTr="00B11DA4">
        <w:tc>
          <w:tcPr>
            <w:tcW w:w="8313" w:type="dxa"/>
            <w:shd w:val="clear" w:color="auto" w:fill="auto"/>
          </w:tcPr>
          <w:p w14:paraId="71A70F4E" w14:textId="77777777" w:rsidR="00FF7F38" w:rsidRPr="00C86CE6" w:rsidRDefault="00FF7F38" w:rsidP="00B11DA4">
            <w:pPr>
              <w:pStyle w:val="Tabletext"/>
            </w:pPr>
          </w:p>
          <w:p w14:paraId="31032078" w14:textId="77777777" w:rsidR="00FF7F38" w:rsidRPr="00C86CE6" w:rsidRDefault="00FF7F38" w:rsidP="00B11DA4">
            <w:pPr>
              <w:pStyle w:val="Tabletext"/>
            </w:pPr>
          </w:p>
        </w:tc>
      </w:tr>
    </w:tbl>
    <w:p w14:paraId="2F3D2073" w14:textId="77777777" w:rsidR="00FF7F38" w:rsidRPr="00C86CE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F7F38" w:rsidRPr="00C86CE6" w14:paraId="320A2B56" w14:textId="77777777" w:rsidTr="00B11DA4">
        <w:tc>
          <w:tcPr>
            <w:tcW w:w="8313" w:type="dxa"/>
            <w:shd w:val="clear" w:color="auto" w:fill="000000" w:themeFill="text1"/>
          </w:tcPr>
          <w:p w14:paraId="5712B8C3" w14:textId="77777777" w:rsidR="00FF7F38" w:rsidRPr="00C86CE6" w:rsidRDefault="00FF7F38" w:rsidP="002F4595">
            <w:pPr>
              <w:pStyle w:val="TableHeading"/>
            </w:pPr>
            <w:r w:rsidRPr="00C86CE6">
              <w:t>Commencement date of the extension period</w:t>
            </w:r>
          </w:p>
          <w:p w14:paraId="0446FAA4" w14:textId="77777777" w:rsidR="00FF7F38" w:rsidRPr="00C86CE6" w:rsidRDefault="00FF7F38" w:rsidP="00B11DA4">
            <w:pPr>
              <w:pStyle w:val="Tablea"/>
            </w:pPr>
            <w:r w:rsidRPr="00C86CE6">
              <w:rPr>
                <w:i/>
              </w:rPr>
              <w:t>[</w:t>
            </w:r>
            <w:bookmarkStart w:id="112" w:name="_Hlk183504471"/>
            <w:r w:rsidRPr="00C86CE6">
              <w:rPr>
                <w:i/>
              </w:rPr>
              <w:t>State the date that is 6 months after the commencement date of the keep open notice or the commencement date of the previous extension period (as applicable)</w:t>
            </w:r>
            <w:bookmarkEnd w:id="112"/>
            <w:r w:rsidRPr="00C86CE6">
              <w:rPr>
                <w:i/>
              </w:rPr>
              <w:t>]</w:t>
            </w:r>
          </w:p>
        </w:tc>
      </w:tr>
      <w:tr w:rsidR="00FF7F38" w:rsidRPr="00C86CE6" w14:paraId="27391A5A" w14:textId="77777777" w:rsidTr="00B11DA4">
        <w:tc>
          <w:tcPr>
            <w:tcW w:w="8313" w:type="dxa"/>
            <w:shd w:val="clear" w:color="auto" w:fill="auto"/>
          </w:tcPr>
          <w:p w14:paraId="4B2D6034" w14:textId="77777777" w:rsidR="00FF7F38" w:rsidRPr="00C86CE6" w:rsidRDefault="00FF7F38" w:rsidP="00B11DA4">
            <w:pPr>
              <w:pStyle w:val="Tabletext"/>
            </w:pPr>
          </w:p>
          <w:p w14:paraId="26D07C31" w14:textId="77777777" w:rsidR="00FF7F38" w:rsidRPr="00C86CE6" w:rsidRDefault="00FF7F38" w:rsidP="00B11DA4">
            <w:pPr>
              <w:pStyle w:val="Tabletext"/>
            </w:pPr>
          </w:p>
        </w:tc>
      </w:tr>
    </w:tbl>
    <w:p w14:paraId="54B4AB29" w14:textId="77777777" w:rsidR="00FF7F38" w:rsidRPr="00C86CE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6"/>
        <w:gridCol w:w="4157"/>
      </w:tblGrid>
      <w:tr w:rsidR="00FF7F38" w:rsidRPr="00C86CE6" w14:paraId="62705ECA" w14:textId="77777777" w:rsidTr="00B11DA4">
        <w:tc>
          <w:tcPr>
            <w:tcW w:w="8313" w:type="dxa"/>
            <w:gridSpan w:val="2"/>
            <w:shd w:val="clear" w:color="auto" w:fill="000000" w:themeFill="text1"/>
          </w:tcPr>
          <w:p w14:paraId="32173423" w14:textId="77777777" w:rsidR="00FF7F38" w:rsidRPr="00C86CE6" w:rsidRDefault="00FF7F38" w:rsidP="002F4595">
            <w:pPr>
              <w:pStyle w:val="TableHeading"/>
            </w:pPr>
            <w:r w:rsidRPr="00C86CE6">
              <w:t>Details of the customer(s) to whom the keep open notice applies</w:t>
            </w:r>
          </w:p>
          <w:p w14:paraId="3F38004D" w14:textId="77777777" w:rsidR="00FF7F38" w:rsidRPr="00C86CE6" w:rsidRDefault="00FF7F38" w:rsidP="00B11DA4">
            <w:pPr>
              <w:pStyle w:val="Tablea"/>
              <w:rPr>
                <w:i/>
              </w:rPr>
            </w:pPr>
            <w:r w:rsidRPr="00C86CE6">
              <w:rPr>
                <w:i/>
              </w:rPr>
              <w:t>[List all customers included in the keep open notice]</w:t>
            </w:r>
          </w:p>
        </w:tc>
      </w:tr>
      <w:tr w:rsidR="00FF7F38" w:rsidRPr="00C86CE6" w14:paraId="37D0B114" w14:textId="77777777" w:rsidTr="00B11DA4">
        <w:tc>
          <w:tcPr>
            <w:tcW w:w="4156" w:type="dxa"/>
            <w:shd w:val="clear" w:color="auto" w:fill="auto"/>
          </w:tcPr>
          <w:p w14:paraId="0BF15CE7" w14:textId="77777777" w:rsidR="00FF7F38" w:rsidRPr="00C86CE6" w:rsidRDefault="00FF7F38" w:rsidP="00B11DA4">
            <w:pPr>
              <w:pStyle w:val="Tabletext"/>
              <w:rPr>
                <w:b/>
              </w:rPr>
            </w:pPr>
            <w:r w:rsidRPr="00C86CE6">
              <w:rPr>
                <w:b/>
              </w:rPr>
              <w:t>Full name of customer(s)</w:t>
            </w:r>
          </w:p>
        </w:tc>
        <w:tc>
          <w:tcPr>
            <w:tcW w:w="4157" w:type="dxa"/>
            <w:shd w:val="clear" w:color="auto" w:fill="auto"/>
          </w:tcPr>
          <w:p w14:paraId="4585C483" w14:textId="55DDB125" w:rsidR="00FF7F38" w:rsidRPr="00C86CE6" w:rsidRDefault="00FF7F38" w:rsidP="00B11DA4">
            <w:pPr>
              <w:pStyle w:val="Tabletext"/>
              <w:rPr>
                <w:b/>
              </w:rPr>
            </w:pPr>
            <w:r w:rsidRPr="00C86CE6">
              <w:rPr>
                <w:b/>
              </w:rPr>
              <w:t>Date of birth or Australian Business Number/Australian Company Number (if known)</w:t>
            </w:r>
          </w:p>
        </w:tc>
      </w:tr>
      <w:tr w:rsidR="00FF7F38" w:rsidRPr="00C86CE6" w14:paraId="7E877D35" w14:textId="77777777" w:rsidTr="00B11DA4">
        <w:tc>
          <w:tcPr>
            <w:tcW w:w="4156" w:type="dxa"/>
            <w:shd w:val="clear" w:color="auto" w:fill="auto"/>
          </w:tcPr>
          <w:p w14:paraId="5C261DC9" w14:textId="77777777" w:rsidR="00FF7F38" w:rsidRPr="00C86CE6" w:rsidRDefault="00FF7F38" w:rsidP="00B11DA4">
            <w:pPr>
              <w:pStyle w:val="Tabletext"/>
            </w:pPr>
          </w:p>
        </w:tc>
        <w:tc>
          <w:tcPr>
            <w:tcW w:w="4157" w:type="dxa"/>
            <w:shd w:val="clear" w:color="auto" w:fill="auto"/>
          </w:tcPr>
          <w:p w14:paraId="3D5199D6" w14:textId="77777777" w:rsidR="00FF7F38" w:rsidRPr="00C86CE6" w:rsidRDefault="00FF7F38" w:rsidP="00B11DA4">
            <w:pPr>
              <w:pStyle w:val="Tabletext"/>
            </w:pPr>
          </w:p>
        </w:tc>
      </w:tr>
      <w:tr w:rsidR="00FF7F38" w:rsidRPr="00C86CE6" w14:paraId="0DAEED43" w14:textId="77777777" w:rsidTr="00B11DA4">
        <w:tc>
          <w:tcPr>
            <w:tcW w:w="4156" w:type="dxa"/>
            <w:shd w:val="clear" w:color="auto" w:fill="auto"/>
          </w:tcPr>
          <w:p w14:paraId="2EDB4B9F" w14:textId="77777777" w:rsidR="00FF7F38" w:rsidRPr="00C86CE6" w:rsidRDefault="00FF7F38" w:rsidP="00B11DA4">
            <w:pPr>
              <w:pStyle w:val="Tabletext"/>
            </w:pPr>
          </w:p>
        </w:tc>
        <w:tc>
          <w:tcPr>
            <w:tcW w:w="4157" w:type="dxa"/>
            <w:shd w:val="clear" w:color="auto" w:fill="auto"/>
          </w:tcPr>
          <w:p w14:paraId="2DF0E5DC" w14:textId="77777777" w:rsidR="00FF7F38" w:rsidRPr="00C86CE6" w:rsidRDefault="00FF7F38" w:rsidP="00B11DA4">
            <w:pPr>
              <w:pStyle w:val="Tabletext"/>
            </w:pPr>
          </w:p>
        </w:tc>
      </w:tr>
      <w:tr w:rsidR="00FF7F38" w:rsidRPr="00C86CE6" w14:paraId="0CEBB738" w14:textId="77777777" w:rsidTr="00B11DA4">
        <w:tc>
          <w:tcPr>
            <w:tcW w:w="4156" w:type="dxa"/>
            <w:shd w:val="clear" w:color="auto" w:fill="auto"/>
          </w:tcPr>
          <w:p w14:paraId="0AD0C9A2" w14:textId="77777777" w:rsidR="00FF7F38" w:rsidRPr="00C86CE6" w:rsidRDefault="00FF7F38" w:rsidP="00B11DA4">
            <w:pPr>
              <w:pStyle w:val="Tabletext"/>
            </w:pPr>
          </w:p>
        </w:tc>
        <w:tc>
          <w:tcPr>
            <w:tcW w:w="4157" w:type="dxa"/>
            <w:shd w:val="clear" w:color="auto" w:fill="auto"/>
          </w:tcPr>
          <w:p w14:paraId="06D3F85D" w14:textId="77777777" w:rsidR="00FF7F38" w:rsidRPr="00C86CE6" w:rsidRDefault="00FF7F38" w:rsidP="00B11DA4">
            <w:pPr>
              <w:pStyle w:val="Tabletext"/>
            </w:pPr>
          </w:p>
        </w:tc>
      </w:tr>
    </w:tbl>
    <w:p w14:paraId="49E091FF" w14:textId="77777777" w:rsidR="00FF7F38" w:rsidRPr="00C86CE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6"/>
        <w:gridCol w:w="4157"/>
      </w:tblGrid>
      <w:tr w:rsidR="00FF7F38" w:rsidRPr="00C86CE6" w14:paraId="0B3450F7" w14:textId="77777777" w:rsidTr="00B11DA4">
        <w:tc>
          <w:tcPr>
            <w:tcW w:w="8313" w:type="dxa"/>
            <w:gridSpan w:val="2"/>
            <w:shd w:val="clear" w:color="auto" w:fill="000000" w:themeFill="text1"/>
          </w:tcPr>
          <w:p w14:paraId="474DB562" w14:textId="77777777" w:rsidR="00FF7F38" w:rsidRPr="00C86CE6" w:rsidRDefault="00FF7F38" w:rsidP="002F4595">
            <w:pPr>
              <w:pStyle w:val="TableHeading"/>
            </w:pPr>
            <w:r w:rsidRPr="00C86CE6">
              <w:t>Previous extension notices (if any) issued in relation to the keep open notice</w:t>
            </w:r>
          </w:p>
        </w:tc>
      </w:tr>
      <w:tr w:rsidR="00FF7F38" w:rsidRPr="00C86CE6" w14:paraId="2F41BD21" w14:textId="77777777" w:rsidTr="00B11DA4">
        <w:tc>
          <w:tcPr>
            <w:tcW w:w="4156" w:type="dxa"/>
            <w:shd w:val="clear" w:color="auto" w:fill="auto"/>
          </w:tcPr>
          <w:p w14:paraId="7112B778" w14:textId="77777777" w:rsidR="00FF7F38" w:rsidRPr="00C86CE6" w:rsidRDefault="00FF7F38" w:rsidP="00B11DA4">
            <w:pPr>
              <w:pStyle w:val="Tabletext"/>
            </w:pPr>
            <w:r w:rsidRPr="00C86CE6">
              <w:t>Have any extension notices previously been issued in relation to the keep open notice?</w:t>
            </w:r>
          </w:p>
          <w:p w14:paraId="76156915" w14:textId="77777777" w:rsidR="00FF7F38" w:rsidRPr="00C86CE6" w:rsidRDefault="00FF7F38" w:rsidP="00B11DA4">
            <w:pPr>
              <w:pStyle w:val="Tabletext"/>
            </w:pPr>
          </w:p>
        </w:tc>
        <w:tc>
          <w:tcPr>
            <w:tcW w:w="4157" w:type="dxa"/>
            <w:shd w:val="clear" w:color="auto" w:fill="auto"/>
          </w:tcPr>
          <w:p w14:paraId="2E6D3973" w14:textId="77777777" w:rsidR="00FF7F38" w:rsidRPr="00C86CE6" w:rsidRDefault="00FF7F38" w:rsidP="00B11DA4">
            <w:pPr>
              <w:pStyle w:val="Tabletext"/>
            </w:pPr>
          </w:p>
        </w:tc>
      </w:tr>
      <w:tr w:rsidR="00FF7F38" w:rsidRPr="00C86CE6" w14:paraId="7738DD45" w14:textId="77777777" w:rsidTr="00B11DA4">
        <w:tc>
          <w:tcPr>
            <w:tcW w:w="4156" w:type="dxa"/>
            <w:shd w:val="clear" w:color="auto" w:fill="auto"/>
          </w:tcPr>
          <w:p w14:paraId="0801785A" w14:textId="77777777" w:rsidR="00FF7F38" w:rsidRPr="00C86CE6" w:rsidRDefault="00FF7F38" w:rsidP="00B11DA4">
            <w:pPr>
              <w:pStyle w:val="Tabletext"/>
            </w:pPr>
            <w:r w:rsidRPr="00C86CE6">
              <w:t>How many extension notices have been issued prior to this extension notice?</w:t>
            </w:r>
          </w:p>
          <w:p w14:paraId="3B72D49C" w14:textId="77777777" w:rsidR="00FF7F38" w:rsidRPr="00C86CE6" w:rsidRDefault="00FF7F38" w:rsidP="00B11DA4">
            <w:pPr>
              <w:pStyle w:val="Tabletext"/>
            </w:pPr>
          </w:p>
        </w:tc>
        <w:tc>
          <w:tcPr>
            <w:tcW w:w="4157" w:type="dxa"/>
            <w:shd w:val="clear" w:color="auto" w:fill="auto"/>
          </w:tcPr>
          <w:p w14:paraId="3F533C30" w14:textId="77777777" w:rsidR="00FF7F38" w:rsidRPr="00C86CE6" w:rsidRDefault="00FF7F38" w:rsidP="00B11DA4">
            <w:pPr>
              <w:pStyle w:val="Tabletext"/>
            </w:pPr>
          </w:p>
        </w:tc>
      </w:tr>
    </w:tbl>
    <w:p w14:paraId="5B8D861E" w14:textId="77777777" w:rsidR="00FF7F38" w:rsidRPr="00C86CE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5624"/>
      </w:tblGrid>
      <w:tr w:rsidR="00FF7F38" w:rsidRPr="00C86CE6" w14:paraId="5DDCB7F3" w14:textId="77777777" w:rsidTr="00B11DA4">
        <w:tc>
          <w:tcPr>
            <w:tcW w:w="8313" w:type="dxa"/>
            <w:gridSpan w:val="2"/>
            <w:shd w:val="clear" w:color="auto" w:fill="000000" w:themeFill="text1"/>
          </w:tcPr>
          <w:p w14:paraId="5F5F1605" w14:textId="77777777" w:rsidR="00FF7F38" w:rsidRPr="00C86CE6" w:rsidRDefault="00FF7F38" w:rsidP="002F4595">
            <w:pPr>
              <w:pStyle w:val="TableHeading"/>
              <w:rPr>
                <w:i/>
              </w:rPr>
            </w:pPr>
            <w:r w:rsidRPr="00C86CE6">
              <w:t>Details of senior member</w:t>
            </w:r>
          </w:p>
        </w:tc>
      </w:tr>
      <w:tr w:rsidR="00FF7F38" w:rsidRPr="00C86CE6" w14:paraId="343B4EF8" w14:textId="77777777" w:rsidTr="00B11DA4">
        <w:tc>
          <w:tcPr>
            <w:tcW w:w="2689" w:type="dxa"/>
            <w:shd w:val="clear" w:color="auto" w:fill="auto"/>
          </w:tcPr>
          <w:p w14:paraId="7789C1F6" w14:textId="77777777" w:rsidR="00FF7F38" w:rsidRPr="00C86CE6" w:rsidRDefault="00FF7F38" w:rsidP="00B11DA4">
            <w:pPr>
              <w:pStyle w:val="Tabletext"/>
            </w:pPr>
            <w:r w:rsidRPr="00C86CE6">
              <w:t>Full name</w:t>
            </w:r>
          </w:p>
          <w:p w14:paraId="7AE2EEA7" w14:textId="77777777" w:rsidR="00FF7F38" w:rsidRPr="00C86CE6" w:rsidRDefault="00FF7F38" w:rsidP="00B11DA4">
            <w:pPr>
              <w:pStyle w:val="Tabletext"/>
            </w:pPr>
          </w:p>
        </w:tc>
        <w:tc>
          <w:tcPr>
            <w:tcW w:w="5624" w:type="dxa"/>
            <w:shd w:val="clear" w:color="auto" w:fill="auto"/>
          </w:tcPr>
          <w:p w14:paraId="6EEA7945" w14:textId="77777777" w:rsidR="00FF7F38" w:rsidRPr="00C86CE6" w:rsidRDefault="00FF7F38" w:rsidP="00B11DA4">
            <w:pPr>
              <w:pStyle w:val="Tabletext"/>
            </w:pPr>
          </w:p>
        </w:tc>
      </w:tr>
      <w:tr w:rsidR="00FF7F38" w:rsidRPr="00C86CE6" w14:paraId="3577EF84" w14:textId="77777777" w:rsidTr="00B11DA4">
        <w:tc>
          <w:tcPr>
            <w:tcW w:w="2689" w:type="dxa"/>
            <w:shd w:val="clear" w:color="auto" w:fill="auto"/>
          </w:tcPr>
          <w:p w14:paraId="62514028" w14:textId="77777777" w:rsidR="00FF7F38" w:rsidRPr="00C86CE6" w:rsidRDefault="00FF7F38" w:rsidP="00B11DA4">
            <w:pPr>
              <w:pStyle w:val="Tabletext"/>
            </w:pPr>
            <w:r w:rsidRPr="00C86CE6">
              <w:t>Position</w:t>
            </w:r>
          </w:p>
          <w:p w14:paraId="621723FB" w14:textId="77777777" w:rsidR="00FF7F38" w:rsidRPr="00C86CE6" w:rsidRDefault="00FF7F38" w:rsidP="00B11DA4">
            <w:pPr>
              <w:pStyle w:val="Tabletext"/>
            </w:pPr>
          </w:p>
        </w:tc>
        <w:tc>
          <w:tcPr>
            <w:tcW w:w="5624" w:type="dxa"/>
            <w:shd w:val="clear" w:color="auto" w:fill="auto"/>
          </w:tcPr>
          <w:p w14:paraId="2CCC5224" w14:textId="77777777" w:rsidR="00FF7F38" w:rsidRPr="00C86CE6" w:rsidRDefault="00FF7F38" w:rsidP="00B11DA4">
            <w:pPr>
              <w:pStyle w:val="Tabletext"/>
            </w:pPr>
          </w:p>
        </w:tc>
      </w:tr>
      <w:tr w:rsidR="00FF7F38" w:rsidRPr="00C86CE6" w14:paraId="66CCF176" w14:textId="77777777" w:rsidTr="00B11DA4">
        <w:tc>
          <w:tcPr>
            <w:tcW w:w="2689" w:type="dxa"/>
            <w:shd w:val="clear" w:color="auto" w:fill="auto"/>
          </w:tcPr>
          <w:p w14:paraId="552C7CE2" w14:textId="77777777" w:rsidR="00FF7F38" w:rsidRPr="00C86CE6" w:rsidRDefault="00FF7F38" w:rsidP="00B11DA4">
            <w:pPr>
              <w:pStyle w:val="Tabletext"/>
            </w:pPr>
            <w:r w:rsidRPr="00C86CE6">
              <w:t>Agency</w:t>
            </w:r>
          </w:p>
          <w:p w14:paraId="26BFD374" w14:textId="77777777" w:rsidR="00FF7F38" w:rsidRPr="00C86CE6" w:rsidRDefault="00FF7F38" w:rsidP="00B11DA4">
            <w:pPr>
              <w:pStyle w:val="Tabletext"/>
            </w:pPr>
          </w:p>
        </w:tc>
        <w:tc>
          <w:tcPr>
            <w:tcW w:w="5624" w:type="dxa"/>
            <w:shd w:val="clear" w:color="auto" w:fill="auto"/>
          </w:tcPr>
          <w:p w14:paraId="281FCB74" w14:textId="77777777" w:rsidR="00FF7F38" w:rsidRPr="00C86CE6" w:rsidRDefault="00FF7F38" w:rsidP="00B11DA4">
            <w:pPr>
              <w:pStyle w:val="Tabletext"/>
            </w:pPr>
          </w:p>
        </w:tc>
      </w:tr>
    </w:tbl>
    <w:p w14:paraId="5F583147" w14:textId="77777777" w:rsidR="00FF7F38" w:rsidRPr="00C86CE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F7F38" w:rsidRPr="00C86CE6" w14:paraId="7A4770BF" w14:textId="77777777" w:rsidTr="00B11DA4">
        <w:tc>
          <w:tcPr>
            <w:tcW w:w="8313" w:type="dxa"/>
            <w:shd w:val="clear" w:color="auto" w:fill="000000" w:themeFill="text1"/>
          </w:tcPr>
          <w:p w14:paraId="556762D5" w14:textId="77777777" w:rsidR="00FF7F38" w:rsidRPr="00C86CE6" w:rsidRDefault="00FF7F38" w:rsidP="002F4595">
            <w:pPr>
              <w:pStyle w:val="TableHeading"/>
              <w:rPr>
                <w:i/>
                <w:color w:val="FFFFFF" w:themeColor="background1"/>
              </w:rPr>
            </w:pPr>
            <w:r w:rsidRPr="00C86CE6">
              <w:t>Declaration</w:t>
            </w:r>
          </w:p>
        </w:tc>
      </w:tr>
    </w:tbl>
    <w:p w14:paraId="21BD5AC1" w14:textId="77777777" w:rsidR="00FF7F38" w:rsidRPr="00C86CE6" w:rsidRDefault="00FF7F38" w:rsidP="00FF7F38">
      <w:pPr>
        <w:pStyle w:val="Tabletext"/>
      </w:pPr>
    </w:p>
    <w:p w14:paraId="784F7241" w14:textId="77777777" w:rsidR="00FF7F38" w:rsidRPr="00C86CE6" w:rsidRDefault="00FF7F38" w:rsidP="00FF7F38">
      <w:pPr>
        <w:pStyle w:val="Tabletext"/>
      </w:pPr>
      <w:r w:rsidRPr="00C86CE6">
        <w:rPr>
          <w:b/>
          <w:color w:val="000000"/>
        </w:rPr>
        <w:t>I am the senior member specified above and reasonably believe that the continued provision of a designated service by the reporting entity to the customer(s) specified in this extension notice would assist in the investigation by the agency of a serious offence.</w:t>
      </w:r>
    </w:p>
    <w:p w14:paraId="1ADF2725" w14:textId="77777777" w:rsidR="00FF7F38" w:rsidRPr="00C86CE6" w:rsidRDefault="00FF7F38" w:rsidP="00FF7F38">
      <w:pPr>
        <w:pStyle w:val="Tabletext"/>
      </w:pPr>
    </w:p>
    <w:tbl>
      <w:tblPr>
        <w:tblW w:w="5000" w:type="pct"/>
        <w:tblLook w:val="0000" w:firstRow="0" w:lastRow="0" w:firstColumn="0" w:lastColumn="0" w:noHBand="0" w:noVBand="0"/>
      </w:tblPr>
      <w:tblGrid>
        <w:gridCol w:w="5503"/>
        <w:gridCol w:w="280"/>
        <w:gridCol w:w="2746"/>
      </w:tblGrid>
      <w:tr w:rsidR="00FF7F38" w:rsidRPr="00C86CE6" w14:paraId="1F1FB528" w14:textId="77777777" w:rsidTr="00B11DA4">
        <w:trPr>
          <w:cantSplit/>
        </w:trPr>
        <w:tc>
          <w:tcPr>
            <w:tcW w:w="3226" w:type="pct"/>
          </w:tcPr>
          <w:p w14:paraId="7DED6FE8" w14:textId="77777777" w:rsidR="00FF7F38" w:rsidRPr="00C86CE6" w:rsidRDefault="00FF7F38" w:rsidP="00B11DA4">
            <w:pPr>
              <w:pStyle w:val="Tabletext"/>
            </w:pPr>
            <w:r w:rsidRPr="00C86CE6">
              <w:t>Signed</w:t>
            </w:r>
          </w:p>
        </w:tc>
        <w:tc>
          <w:tcPr>
            <w:tcW w:w="164" w:type="pct"/>
          </w:tcPr>
          <w:p w14:paraId="18EB23B3" w14:textId="77777777" w:rsidR="00FF7F38" w:rsidRPr="00C86CE6" w:rsidRDefault="00FF7F38" w:rsidP="00B11DA4">
            <w:pPr>
              <w:tabs>
                <w:tab w:val="left" w:pos="3435"/>
              </w:tabs>
              <w:rPr>
                <w:sz w:val="18"/>
              </w:rPr>
            </w:pPr>
          </w:p>
        </w:tc>
        <w:tc>
          <w:tcPr>
            <w:tcW w:w="1610" w:type="pct"/>
          </w:tcPr>
          <w:p w14:paraId="0FC54CCB" w14:textId="77777777" w:rsidR="00FF7F38" w:rsidRPr="00C86CE6" w:rsidRDefault="00FF7F38" w:rsidP="00B11DA4">
            <w:pPr>
              <w:pStyle w:val="Tabletext"/>
            </w:pPr>
            <w:r w:rsidRPr="00C86CE6">
              <w:t>Date</w:t>
            </w:r>
          </w:p>
        </w:tc>
      </w:tr>
      <w:tr w:rsidR="00FF7F38" w:rsidRPr="00C86CE6" w14:paraId="3D16D44D" w14:textId="77777777" w:rsidTr="00B11DA4">
        <w:trPr>
          <w:cantSplit/>
        </w:trPr>
        <w:tc>
          <w:tcPr>
            <w:tcW w:w="3226" w:type="pct"/>
            <w:tcBorders>
              <w:top w:val="single" w:sz="4" w:space="0" w:color="auto"/>
              <w:left w:val="single" w:sz="4" w:space="0" w:color="auto"/>
              <w:bottom w:val="single" w:sz="4" w:space="0" w:color="auto"/>
              <w:right w:val="single" w:sz="4" w:space="0" w:color="auto"/>
            </w:tcBorders>
          </w:tcPr>
          <w:p w14:paraId="1E7575DB" w14:textId="77777777" w:rsidR="00FF7F38" w:rsidRPr="00C86CE6" w:rsidRDefault="00FF7F38" w:rsidP="00B11DA4">
            <w:pPr>
              <w:spacing w:line="240" w:lineRule="auto"/>
              <w:rPr>
                <w:sz w:val="18"/>
              </w:rPr>
            </w:pPr>
          </w:p>
          <w:p w14:paraId="1B37207D" w14:textId="77777777" w:rsidR="00FF7F38" w:rsidRPr="00C86CE6" w:rsidRDefault="00FF7F38" w:rsidP="00B11DA4">
            <w:pPr>
              <w:spacing w:line="240" w:lineRule="auto"/>
              <w:rPr>
                <w:sz w:val="18"/>
              </w:rPr>
            </w:pPr>
          </w:p>
          <w:p w14:paraId="2CE60B4A" w14:textId="77777777" w:rsidR="00FF7F38" w:rsidRPr="00C86CE6" w:rsidRDefault="00FF7F38" w:rsidP="00B11DA4">
            <w:pPr>
              <w:spacing w:line="240" w:lineRule="auto"/>
              <w:rPr>
                <w:sz w:val="18"/>
              </w:rPr>
            </w:pPr>
          </w:p>
        </w:tc>
        <w:tc>
          <w:tcPr>
            <w:tcW w:w="164" w:type="pct"/>
            <w:tcBorders>
              <w:right w:val="single" w:sz="4" w:space="0" w:color="auto"/>
            </w:tcBorders>
          </w:tcPr>
          <w:p w14:paraId="104BF259" w14:textId="77777777" w:rsidR="00FF7F38" w:rsidRPr="00C86CE6" w:rsidRDefault="00FF7F38" w:rsidP="00B11DA4">
            <w:pPr>
              <w:tabs>
                <w:tab w:val="left" w:pos="3435"/>
              </w:tabs>
              <w:rPr>
                <w:sz w:val="18"/>
              </w:rPr>
            </w:pPr>
          </w:p>
        </w:tc>
        <w:tc>
          <w:tcPr>
            <w:tcW w:w="1610" w:type="pct"/>
            <w:tcBorders>
              <w:top w:val="single" w:sz="4" w:space="0" w:color="auto"/>
              <w:bottom w:val="single" w:sz="4" w:space="0" w:color="auto"/>
              <w:right w:val="single" w:sz="4" w:space="0" w:color="auto"/>
            </w:tcBorders>
          </w:tcPr>
          <w:p w14:paraId="4C9CF95A" w14:textId="77777777" w:rsidR="00FF7F38" w:rsidRPr="00C86CE6" w:rsidRDefault="00FF7F38" w:rsidP="00B11DA4">
            <w:pPr>
              <w:tabs>
                <w:tab w:val="left" w:pos="3435"/>
              </w:tabs>
              <w:rPr>
                <w:sz w:val="18"/>
              </w:rPr>
            </w:pPr>
          </w:p>
        </w:tc>
      </w:tr>
    </w:tbl>
    <w:p w14:paraId="2FDB6950" w14:textId="54626D38" w:rsidR="00FF7F38" w:rsidRPr="00C86CE6" w:rsidRDefault="00FF7F38" w:rsidP="00F01E1E">
      <w:pPr>
        <w:pStyle w:val="ActHead3"/>
        <w:pageBreakBefore/>
      </w:pPr>
      <w:bookmarkStart w:id="113" w:name="_Toc184727413"/>
      <w:r w:rsidRPr="004B21E2">
        <w:rPr>
          <w:rStyle w:val="CharDivNo"/>
        </w:rPr>
        <w:lastRenderedPageBreak/>
        <w:t>Form 3</w:t>
      </w:r>
      <w:r w:rsidRPr="00C86CE6">
        <w:t>—</w:t>
      </w:r>
      <w:r w:rsidRPr="004B21E2">
        <w:rPr>
          <w:rStyle w:val="CharDivText"/>
        </w:rPr>
        <w:t>Application to issue extension notice</w:t>
      </w:r>
      <w:bookmarkEnd w:id="113"/>
    </w:p>
    <w:p w14:paraId="14E1A7D9" w14:textId="77777777" w:rsidR="00CF5E40" w:rsidRPr="00C86CE6" w:rsidRDefault="00CF5E40" w:rsidP="00CF5E40">
      <w:pPr>
        <w:pStyle w:val="FreeForm"/>
      </w:pPr>
    </w:p>
    <w:p w14:paraId="0F63E5A7" w14:textId="62D15CCA" w:rsidR="00FF7F38" w:rsidRPr="00C86CE6" w:rsidRDefault="00FF7F38" w:rsidP="00CF5E40">
      <w:pPr>
        <w:pStyle w:val="FreeForm"/>
        <w:rPr>
          <w:rFonts w:ascii="Times New Roman" w:hAnsi="Times New Roman" w:cs="Times New Roman"/>
          <w:b/>
          <w:bCs/>
          <w:sz w:val="24"/>
          <w:szCs w:val="24"/>
        </w:rPr>
      </w:pPr>
      <w:r w:rsidRPr="00C86CE6">
        <w:rPr>
          <w:rFonts w:ascii="Times New Roman" w:hAnsi="Times New Roman" w:cs="Times New Roman"/>
          <w:b/>
          <w:bCs/>
          <w:sz w:val="24"/>
          <w:szCs w:val="24"/>
        </w:rPr>
        <w:t>APPLICATION TO ISSUE EXTENSION NOTICE TO FURTHER EXTEND THE PERIOD OF A KEEP OPEN NOTICE</w:t>
      </w:r>
    </w:p>
    <w:p w14:paraId="066DE501" w14:textId="1BA54075" w:rsidR="00FF7F38" w:rsidRPr="00C86CE6" w:rsidRDefault="00606BBD" w:rsidP="00FF7F38">
      <w:pPr>
        <w:pStyle w:val="notemargin"/>
        <w:rPr>
          <w:i/>
        </w:rPr>
      </w:pPr>
      <w:r w:rsidRPr="00C86CE6">
        <w:t>Paragraph 3</w:t>
      </w:r>
      <w:r w:rsidR="00FF7F38" w:rsidRPr="00C86CE6">
        <w:t xml:space="preserve">9B(8)(b) of the </w:t>
      </w:r>
      <w:r w:rsidR="00FF7F38" w:rsidRPr="00C86CE6">
        <w:rPr>
          <w:i/>
        </w:rPr>
        <w:t>Anti</w:t>
      </w:r>
      <w:r w:rsidR="004A7589">
        <w:rPr>
          <w:i/>
        </w:rPr>
        <w:noBreakHyphen/>
      </w:r>
      <w:r w:rsidR="00FF7F38" w:rsidRPr="00C86CE6">
        <w:rPr>
          <w:i/>
        </w:rPr>
        <w:t>Money Laundering and Counter</w:t>
      </w:r>
      <w:r w:rsidR="004A7589">
        <w:rPr>
          <w:i/>
        </w:rPr>
        <w:noBreakHyphen/>
      </w:r>
      <w:r w:rsidR="00FF7F38" w:rsidRPr="00C86CE6">
        <w:rPr>
          <w:i/>
        </w:rPr>
        <w:t>Terrorism Financing Act 2006</w:t>
      </w:r>
    </w:p>
    <w:p w14:paraId="40F706B8" w14:textId="77777777" w:rsidR="00FF7F38" w:rsidRPr="00C86CE6" w:rsidRDefault="00FF7F38" w:rsidP="00FF7F38">
      <w:pPr>
        <w:pStyle w:val="Tabletext"/>
      </w:pPr>
    </w:p>
    <w:p w14:paraId="5FC992E3" w14:textId="1C23BD17" w:rsidR="00FF7F38" w:rsidRPr="00C86CE6" w:rsidRDefault="00FF7F38" w:rsidP="00FF7F38">
      <w:pPr>
        <w:pStyle w:val="Tabletext"/>
        <w:rPr>
          <w:color w:val="000000"/>
        </w:rPr>
      </w:pPr>
      <w:r w:rsidRPr="00C86CE6">
        <w:rPr>
          <w:color w:val="000000"/>
        </w:rPr>
        <w:t xml:space="preserve">This is the prescribed form for an application to the AUSTRAC CEO under </w:t>
      </w:r>
      <w:r w:rsidR="00A25E52" w:rsidRPr="00C86CE6">
        <w:rPr>
          <w:color w:val="000000"/>
        </w:rPr>
        <w:t>paragraph 3</w:t>
      </w:r>
      <w:r w:rsidRPr="00C86CE6">
        <w:rPr>
          <w:color w:val="000000"/>
        </w:rPr>
        <w:t xml:space="preserve">9B(8)(b) of the </w:t>
      </w:r>
      <w:r w:rsidRPr="00C86CE6">
        <w:rPr>
          <w:i/>
          <w:color w:val="000000"/>
        </w:rPr>
        <w:t>Anti</w:t>
      </w:r>
      <w:r w:rsidR="004A7589">
        <w:rPr>
          <w:i/>
          <w:color w:val="000000"/>
        </w:rPr>
        <w:noBreakHyphen/>
      </w:r>
      <w:r w:rsidRPr="00C86CE6">
        <w:rPr>
          <w:i/>
          <w:color w:val="000000"/>
        </w:rPr>
        <w:t>Money Laundering and Counter</w:t>
      </w:r>
      <w:r w:rsidR="004A7589">
        <w:rPr>
          <w:i/>
          <w:color w:val="000000"/>
        </w:rPr>
        <w:noBreakHyphen/>
      </w:r>
      <w:r w:rsidRPr="00C86CE6">
        <w:rPr>
          <w:i/>
          <w:color w:val="000000"/>
        </w:rPr>
        <w:t xml:space="preserve">Terrorism Financing Act 2006 </w:t>
      </w:r>
      <w:r w:rsidRPr="00C86CE6">
        <w:rPr>
          <w:color w:val="000000"/>
        </w:rPr>
        <w:t xml:space="preserve">(the AML/CTF Act) to disapply </w:t>
      </w:r>
      <w:r w:rsidR="00A25E52" w:rsidRPr="00C86CE6">
        <w:rPr>
          <w:color w:val="000000"/>
        </w:rPr>
        <w:t>paragraph 3</w:t>
      </w:r>
      <w:r w:rsidRPr="00C86CE6">
        <w:rPr>
          <w:color w:val="000000"/>
        </w:rPr>
        <w:t>9B(7)(b) of that Act for the purpose of issuing a further extension notice in relation to a keep open notice.</w:t>
      </w:r>
    </w:p>
    <w:p w14:paraId="53150AB2" w14:textId="77777777" w:rsidR="00FF7F38" w:rsidRPr="00C86CE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F7F38" w:rsidRPr="00C86CE6" w14:paraId="113263EF" w14:textId="77777777" w:rsidTr="00B11DA4">
        <w:tc>
          <w:tcPr>
            <w:tcW w:w="8313" w:type="dxa"/>
            <w:shd w:val="clear" w:color="auto" w:fill="000000" w:themeFill="text1"/>
          </w:tcPr>
          <w:p w14:paraId="69482EA5" w14:textId="77777777" w:rsidR="00FF7F38" w:rsidRPr="00C86CE6" w:rsidRDefault="00FF7F38" w:rsidP="002F4595">
            <w:pPr>
              <w:pStyle w:val="TableHeading"/>
            </w:pPr>
            <w:r w:rsidRPr="00C86CE6">
              <w:t>Full name of reporting entity to whom the keep open notice was issued</w:t>
            </w:r>
          </w:p>
        </w:tc>
      </w:tr>
      <w:tr w:rsidR="00FF7F38" w:rsidRPr="00C86CE6" w14:paraId="24AE4346" w14:textId="77777777" w:rsidTr="00B11DA4">
        <w:tc>
          <w:tcPr>
            <w:tcW w:w="8313" w:type="dxa"/>
            <w:shd w:val="clear" w:color="auto" w:fill="auto"/>
          </w:tcPr>
          <w:p w14:paraId="55308231" w14:textId="77777777" w:rsidR="00FF7F38" w:rsidRPr="00C86CE6" w:rsidRDefault="00FF7F38" w:rsidP="00B11DA4">
            <w:pPr>
              <w:pStyle w:val="Tabletext"/>
            </w:pPr>
          </w:p>
          <w:p w14:paraId="40FF7EBF" w14:textId="77777777" w:rsidR="00FF7F38" w:rsidRPr="00C86CE6" w:rsidRDefault="00FF7F38" w:rsidP="00B11DA4">
            <w:pPr>
              <w:pStyle w:val="Tabletext"/>
            </w:pPr>
          </w:p>
        </w:tc>
      </w:tr>
    </w:tbl>
    <w:p w14:paraId="4C579EC2" w14:textId="77777777" w:rsidR="00FF7F38" w:rsidRPr="00C86CE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F7F38" w:rsidRPr="00C86CE6" w14:paraId="35E0B2AF" w14:textId="77777777" w:rsidTr="00B11DA4">
        <w:tc>
          <w:tcPr>
            <w:tcW w:w="8313" w:type="dxa"/>
            <w:shd w:val="clear" w:color="auto" w:fill="000000" w:themeFill="text1"/>
          </w:tcPr>
          <w:p w14:paraId="58725982" w14:textId="77777777" w:rsidR="00FF7F38" w:rsidRPr="00C86CE6" w:rsidRDefault="00FF7F38" w:rsidP="002F4595">
            <w:pPr>
              <w:pStyle w:val="TableHeading"/>
            </w:pPr>
            <w:r w:rsidRPr="00C86CE6">
              <w:t>Commencement date of the keep open notice</w:t>
            </w:r>
          </w:p>
        </w:tc>
      </w:tr>
      <w:tr w:rsidR="00FF7F38" w:rsidRPr="00C86CE6" w14:paraId="5BB8DD40" w14:textId="77777777" w:rsidTr="00B11DA4">
        <w:tc>
          <w:tcPr>
            <w:tcW w:w="8313" w:type="dxa"/>
            <w:shd w:val="clear" w:color="auto" w:fill="auto"/>
          </w:tcPr>
          <w:p w14:paraId="0833B0FB" w14:textId="77777777" w:rsidR="00FF7F38" w:rsidRPr="00C86CE6" w:rsidRDefault="00FF7F38" w:rsidP="00B11DA4">
            <w:pPr>
              <w:pStyle w:val="Tabletext"/>
            </w:pPr>
          </w:p>
          <w:p w14:paraId="421932A6" w14:textId="77777777" w:rsidR="00FF7F38" w:rsidRPr="00C86CE6" w:rsidRDefault="00FF7F38" w:rsidP="00B11DA4">
            <w:pPr>
              <w:pStyle w:val="Tabletext"/>
            </w:pPr>
          </w:p>
        </w:tc>
      </w:tr>
    </w:tbl>
    <w:p w14:paraId="5E0CBD02" w14:textId="77777777" w:rsidR="00FF7F38" w:rsidRPr="00C86CE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6"/>
        <w:gridCol w:w="4157"/>
      </w:tblGrid>
      <w:tr w:rsidR="00FF7F38" w:rsidRPr="00C86CE6" w14:paraId="2A18C5AC" w14:textId="77777777" w:rsidTr="00B11DA4">
        <w:tc>
          <w:tcPr>
            <w:tcW w:w="8313" w:type="dxa"/>
            <w:gridSpan w:val="2"/>
            <w:shd w:val="clear" w:color="auto" w:fill="000000" w:themeFill="text1"/>
          </w:tcPr>
          <w:p w14:paraId="29BBF0FC" w14:textId="77777777" w:rsidR="00FF7F38" w:rsidRPr="00C86CE6" w:rsidRDefault="00FF7F38" w:rsidP="002F4595">
            <w:pPr>
              <w:pStyle w:val="TableHeading"/>
            </w:pPr>
            <w:r w:rsidRPr="00C86CE6">
              <w:t xml:space="preserve">Previous extension notices issued under </w:t>
            </w:r>
            <w:r w:rsidR="00606BBD" w:rsidRPr="00C86CE6">
              <w:t>subsection 3</w:t>
            </w:r>
            <w:r w:rsidRPr="00C86CE6">
              <w:t>9B(7) of the AML/CTF Act</w:t>
            </w:r>
          </w:p>
        </w:tc>
      </w:tr>
      <w:tr w:rsidR="00FF7F38" w:rsidRPr="00C86CE6" w14:paraId="74602A84" w14:textId="77777777" w:rsidTr="00B11DA4">
        <w:tc>
          <w:tcPr>
            <w:tcW w:w="4156" w:type="dxa"/>
            <w:shd w:val="clear" w:color="auto" w:fill="auto"/>
          </w:tcPr>
          <w:p w14:paraId="13640DF6" w14:textId="77777777" w:rsidR="00FF7F38" w:rsidRPr="00C86CE6" w:rsidRDefault="00FF7F38" w:rsidP="00B11DA4">
            <w:pPr>
              <w:pStyle w:val="Tabletext"/>
            </w:pPr>
            <w:r w:rsidRPr="00C86CE6">
              <w:t>How many extension notices have been issued in relation to the keep open notice prior to this application?</w:t>
            </w:r>
          </w:p>
          <w:p w14:paraId="00784BDF" w14:textId="77777777" w:rsidR="00FF7F38" w:rsidRPr="00C86CE6" w:rsidRDefault="00FF7F38" w:rsidP="00B11DA4">
            <w:pPr>
              <w:pStyle w:val="Tabletext"/>
            </w:pPr>
          </w:p>
        </w:tc>
        <w:tc>
          <w:tcPr>
            <w:tcW w:w="4157" w:type="dxa"/>
            <w:shd w:val="clear" w:color="auto" w:fill="auto"/>
          </w:tcPr>
          <w:p w14:paraId="220351A7" w14:textId="77777777" w:rsidR="00FF7F38" w:rsidRPr="00C86CE6" w:rsidRDefault="00FF7F38" w:rsidP="00B11DA4">
            <w:pPr>
              <w:pStyle w:val="Tabletext"/>
            </w:pPr>
          </w:p>
        </w:tc>
      </w:tr>
    </w:tbl>
    <w:p w14:paraId="284BEDCC" w14:textId="77777777" w:rsidR="00FF7F38" w:rsidRPr="00C86CE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6"/>
        <w:gridCol w:w="4157"/>
      </w:tblGrid>
      <w:tr w:rsidR="00FF7F38" w:rsidRPr="00C86CE6" w14:paraId="6DC8CE78" w14:textId="77777777" w:rsidTr="00B11DA4">
        <w:tc>
          <w:tcPr>
            <w:tcW w:w="8313" w:type="dxa"/>
            <w:gridSpan w:val="2"/>
            <w:shd w:val="clear" w:color="auto" w:fill="000000" w:themeFill="text1"/>
          </w:tcPr>
          <w:p w14:paraId="03EE7345" w14:textId="77777777" w:rsidR="00FF7F38" w:rsidRPr="00C86CE6" w:rsidRDefault="00FF7F38" w:rsidP="002F4595">
            <w:pPr>
              <w:pStyle w:val="TableHeading"/>
            </w:pPr>
            <w:r w:rsidRPr="00C86CE6">
              <w:t>Previous applications to the AUSTRAC CEO</w:t>
            </w:r>
          </w:p>
        </w:tc>
      </w:tr>
      <w:tr w:rsidR="00FF7F38" w:rsidRPr="00C86CE6" w14:paraId="1128F2E0" w14:textId="77777777" w:rsidTr="00B11DA4">
        <w:tc>
          <w:tcPr>
            <w:tcW w:w="4156" w:type="dxa"/>
            <w:shd w:val="clear" w:color="auto" w:fill="auto"/>
          </w:tcPr>
          <w:p w14:paraId="4BA5B878" w14:textId="68CFA3E3" w:rsidR="00FF7F38" w:rsidRPr="00C86CE6" w:rsidRDefault="00FF7F38" w:rsidP="00B11DA4">
            <w:pPr>
              <w:pStyle w:val="Tabletext"/>
            </w:pPr>
            <w:r w:rsidRPr="00C86CE6">
              <w:t xml:space="preserve">How many notices have been given by the AUSTRAC CEO under </w:t>
            </w:r>
            <w:r w:rsidR="00A25E52" w:rsidRPr="00C86CE6">
              <w:t>paragraph 3</w:t>
            </w:r>
            <w:r w:rsidRPr="00C86CE6">
              <w:t>9B(8)(d) of the AML/CTF Act in relation to the keep open notice?</w:t>
            </w:r>
          </w:p>
        </w:tc>
        <w:tc>
          <w:tcPr>
            <w:tcW w:w="4157" w:type="dxa"/>
            <w:shd w:val="clear" w:color="auto" w:fill="auto"/>
          </w:tcPr>
          <w:p w14:paraId="2FA2BC92" w14:textId="77777777" w:rsidR="00FF7F38" w:rsidRPr="00C86CE6" w:rsidRDefault="00FF7F38" w:rsidP="00B11DA4">
            <w:pPr>
              <w:pStyle w:val="Tabletext"/>
            </w:pPr>
          </w:p>
        </w:tc>
      </w:tr>
    </w:tbl>
    <w:p w14:paraId="6AFA39F0" w14:textId="77777777" w:rsidR="00FF7F38" w:rsidRPr="00C86CE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6"/>
        <w:gridCol w:w="4157"/>
      </w:tblGrid>
      <w:tr w:rsidR="00FF7F38" w:rsidRPr="00C86CE6" w14:paraId="1F7C939C" w14:textId="77777777" w:rsidTr="00B11DA4">
        <w:tc>
          <w:tcPr>
            <w:tcW w:w="8313" w:type="dxa"/>
            <w:gridSpan w:val="2"/>
            <w:shd w:val="clear" w:color="auto" w:fill="000000" w:themeFill="text1"/>
          </w:tcPr>
          <w:p w14:paraId="1C8D9FBB" w14:textId="77777777" w:rsidR="00FF7F38" w:rsidRPr="00C86CE6" w:rsidRDefault="00FF7F38" w:rsidP="002F4595">
            <w:pPr>
              <w:pStyle w:val="TableHeading"/>
            </w:pPr>
            <w:r w:rsidRPr="00C86CE6">
              <w:t>Details of the customer(s) to whom the keep open notice applies</w:t>
            </w:r>
          </w:p>
          <w:p w14:paraId="00358003" w14:textId="77777777" w:rsidR="00FF7F38" w:rsidRPr="00C86CE6" w:rsidRDefault="00FF7F38" w:rsidP="00B11DA4">
            <w:pPr>
              <w:pStyle w:val="Tablea"/>
              <w:rPr>
                <w:i/>
              </w:rPr>
            </w:pPr>
            <w:r w:rsidRPr="00C86CE6">
              <w:rPr>
                <w:i/>
              </w:rPr>
              <w:t>List all customers included in the keep open notice</w:t>
            </w:r>
          </w:p>
        </w:tc>
      </w:tr>
      <w:tr w:rsidR="00FF7F38" w:rsidRPr="00C86CE6" w14:paraId="2AFD684E" w14:textId="77777777" w:rsidTr="00B11DA4">
        <w:tc>
          <w:tcPr>
            <w:tcW w:w="4156" w:type="dxa"/>
            <w:shd w:val="clear" w:color="auto" w:fill="auto"/>
          </w:tcPr>
          <w:p w14:paraId="09379B12" w14:textId="77777777" w:rsidR="00FF7F38" w:rsidRPr="00C86CE6" w:rsidRDefault="00FF7F38" w:rsidP="00B11DA4">
            <w:pPr>
              <w:pStyle w:val="Tabletext"/>
              <w:rPr>
                <w:b/>
              </w:rPr>
            </w:pPr>
            <w:r w:rsidRPr="00C86CE6">
              <w:rPr>
                <w:b/>
              </w:rPr>
              <w:t>Full name of customer(s)</w:t>
            </w:r>
          </w:p>
        </w:tc>
        <w:tc>
          <w:tcPr>
            <w:tcW w:w="4157" w:type="dxa"/>
            <w:shd w:val="clear" w:color="auto" w:fill="auto"/>
          </w:tcPr>
          <w:p w14:paraId="3544C9C5" w14:textId="352696AB" w:rsidR="00FF7F38" w:rsidRPr="00C86CE6" w:rsidRDefault="00FF7F38" w:rsidP="00B11DA4">
            <w:pPr>
              <w:pStyle w:val="Tabletext"/>
              <w:rPr>
                <w:b/>
              </w:rPr>
            </w:pPr>
            <w:r w:rsidRPr="00C86CE6">
              <w:rPr>
                <w:b/>
              </w:rPr>
              <w:t>Date of birth or Australian Business Number/Australian Company Number (if known)</w:t>
            </w:r>
          </w:p>
        </w:tc>
      </w:tr>
      <w:tr w:rsidR="00FF7F38" w:rsidRPr="00C86CE6" w14:paraId="70C9BC2C" w14:textId="77777777" w:rsidTr="00B11DA4">
        <w:tc>
          <w:tcPr>
            <w:tcW w:w="4156" w:type="dxa"/>
            <w:shd w:val="clear" w:color="auto" w:fill="auto"/>
          </w:tcPr>
          <w:p w14:paraId="569734BA" w14:textId="77777777" w:rsidR="00FF7F38" w:rsidRPr="00C86CE6" w:rsidRDefault="00FF7F38" w:rsidP="00B11DA4">
            <w:pPr>
              <w:pStyle w:val="Tabletext"/>
            </w:pPr>
          </w:p>
        </w:tc>
        <w:tc>
          <w:tcPr>
            <w:tcW w:w="4157" w:type="dxa"/>
            <w:shd w:val="clear" w:color="auto" w:fill="auto"/>
          </w:tcPr>
          <w:p w14:paraId="01CEACD9" w14:textId="77777777" w:rsidR="00FF7F38" w:rsidRPr="00C86CE6" w:rsidRDefault="00FF7F38" w:rsidP="00B11DA4">
            <w:pPr>
              <w:pStyle w:val="Tabletext"/>
            </w:pPr>
          </w:p>
        </w:tc>
      </w:tr>
      <w:tr w:rsidR="00FF7F38" w:rsidRPr="00C86CE6" w14:paraId="4DD7D6BB" w14:textId="77777777" w:rsidTr="00B11DA4">
        <w:tc>
          <w:tcPr>
            <w:tcW w:w="4156" w:type="dxa"/>
            <w:shd w:val="clear" w:color="auto" w:fill="auto"/>
          </w:tcPr>
          <w:p w14:paraId="0644DECC" w14:textId="77777777" w:rsidR="00FF7F38" w:rsidRPr="00C86CE6" w:rsidRDefault="00FF7F38" w:rsidP="00B11DA4">
            <w:pPr>
              <w:pStyle w:val="Tabletext"/>
            </w:pPr>
          </w:p>
        </w:tc>
        <w:tc>
          <w:tcPr>
            <w:tcW w:w="4157" w:type="dxa"/>
            <w:shd w:val="clear" w:color="auto" w:fill="auto"/>
          </w:tcPr>
          <w:p w14:paraId="1B23F76D" w14:textId="77777777" w:rsidR="00FF7F38" w:rsidRPr="00C86CE6" w:rsidRDefault="00FF7F38" w:rsidP="00B11DA4">
            <w:pPr>
              <w:pStyle w:val="Tabletext"/>
            </w:pPr>
          </w:p>
        </w:tc>
      </w:tr>
      <w:tr w:rsidR="00FF7F38" w:rsidRPr="00C86CE6" w14:paraId="2175EA9D" w14:textId="77777777" w:rsidTr="00B11DA4">
        <w:tc>
          <w:tcPr>
            <w:tcW w:w="4156" w:type="dxa"/>
            <w:shd w:val="clear" w:color="auto" w:fill="auto"/>
          </w:tcPr>
          <w:p w14:paraId="6C559E5F" w14:textId="77777777" w:rsidR="00FF7F38" w:rsidRPr="00C86CE6" w:rsidRDefault="00FF7F38" w:rsidP="00B11DA4">
            <w:pPr>
              <w:pStyle w:val="Tabletext"/>
            </w:pPr>
          </w:p>
        </w:tc>
        <w:tc>
          <w:tcPr>
            <w:tcW w:w="4157" w:type="dxa"/>
            <w:shd w:val="clear" w:color="auto" w:fill="auto"/>
          </w:tcPr>
          <w:p w14:paraId="2BA98592" w14:textId="77777777" w:rsidR="00FF7F38" w:rsidRPr="00C86CE6" w:rsidRDefault="00FF7F38" w:rsidP="00B11DA4">
            <w:pPr>
              <w:pStyle w:val="Tabletext"/>
            </w:pPr>
          </w:p>
        </w:tc>
      </w:tr>
    </w:tbl>
    <w:p w14:paraId="43B641D5" w14:textId="77777777" w:rsidR="00FF7F38" w:rsidRPr="00C86CE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6"/>
        <w:gridCol w:w="4157"/>
      </w:tblGrid>
      <w:tr w:rsidR="00FF7F38" w:rsidRPr="00C86CE6" w14:paraId="54DB24F7" w14:textId="77777777" w:rsidTr="00B11DA4">
        <w:tc>
          <w:tcPr>
            <w:tcW w:w="8313" w:type="dxa"/>
            <w:gridSpan w:val="2"/>
            <w:shd w:val="clear" w:color="auto" w:fill="000000" w:themeFill="text1"/>
          </w:tcPr>
          <w:p w14:paraId="42085614" w14:textId="77777777" w:rsidR="00FF7F38" w:rsidRPr="00C86CE6" w:rsidRDefault="00FF7F38" w:rsidP="002F4595">
            <w:pPr>
              <w:pStyle w:val="TableHeading"/>
            </w:pPr>
            <w:r w:rsidRPr="00C86CE6">
              <w:t>Reasons for application</w:t>
            </w:r>
          </w:p>
        </w:tc>
      </w:tr>
      <w:tr w:rsidR="00FF7F38" w:rsidRPr="00C86CE6" w14:paraId="509F6BBF" w14:textId="77777777" w:rsidTr="00B11DA4">
        <w:tc>
          <w:tcPr>
            <w:tcW w:w="4156" w:type="dxa"/>
            <w:shd w:val="clear" w:color="auto" w:fill="auto"/>
          </w:tcPr>
          <w:p w14:paraId="7626008D" w14:textId="77777777" w:rsidR="00FF7F38" w:rsidRPr="00C86CE6" w:rsidRDefault="00FF7F38" w:rsidP="00B11DA4">
            <w:pPr>
              <w:pStyle w:val="Tabletext"/>
              <w:rPr>
                <w:b/>
              </w:rPr>
            </w:pPr>
            <w:r w:rsidRPr="00C86CE6">
              <w:rPr>
                <w:b/>
              </w:rPr>
              <w:t>Reasons a further extension of the keep open notice is required</w:t>
            </w:r>
          </w:p>
          <w:p w14:paraId="2AF025D9" w14:textId="77777777" w:rsidR="00FF7F38" w:rsidRPr="00C86CE6" w:rsidRDefault="00FF7F38" w:rsidP="00B11DA4">
            <w:pPr>
              <w:pStyle w:val="Tabletext"/>
              <w:rPr>
                <w:b/>
              </w:rPr>
            </w:pPr>
          </w:p>
        </w:tc>
        <w:tc>
          <w:tcPr>
            <w:tcW w:w="4157" w:type="dxa"/>
            <w:shd w:val="clear" w:color="auto" w:fill="auto"/>
          </w:tcPr>
          <w:p w14:paraId="59E8BCCA" w14:textId="77777777" w:rsidR="00FF7F38" w:rsidRPr="00C86CE6" w:rsidRDefault="00FF7F38" w:rsidP="00B11DA4">
            <w:pPr>
              <w:pStyle w:val="Tabletext"/>
            </w:pPr>
          </w:p>
        </w:tc>
      </w:tr>
      <w:tr w:rsidR="00FF7F38" w:rsidRPr="00C86CE6" w14:paraId="20A4AAE5" w14:textId="77777777" w:rsidTr="00B11DA4">
        <w:tc>
          <w:tcPr>
            <w:tcW w:w="4156" w:type="dxa"/>
            <w:shd w:val="clear" w:color="auto" w:fill="auto"/>
          </w:tcPr>
          <w:p w14:paraId="0EF55A7A" w14:textId="77777777" w:rsidR="00FF7F38" w:rsidRPr="00C86CE6" w:rsidRDefault="00FF7F38" w:rsidP="00B11DA4">
            <w:pPr>
              <w:pStyle w:val="Tabletext"/>
              <w:rPr>
                <w:b/>
              </w:rPr>
            </w:pPr>
            <w:r w:rsidRPr="00C86CE6">
              <w:rPr>
                <w:b/>
              </w:rPr>
              <w:t>Serious offence under investigation by the agency</w:t>
            </w:r>
          </w:p>
          <w:p w14:paraId="759CB6DC" w14:textId="77777777" w:rsidR="00FF7F38" w:rsidRPr="00C86CE6" w:rsidRDefault="00FF7F38" w:rsidP="00B11DA4">
            <w:pPr>
              <w:pStyle w:val="Tabletext"/>
              <w:rPr>
                <w:b/>
              </w:rPr>
            </w:pPr>
          </w:p>
        </w:tc>
        <w:tc>
          <w:tcPr>
            <w:tcW w:w="4157" w:type="dxa"/>
            <w:shd w:val="clear" w:color="auto" w:fill="auto"/>
          </w:tcPr>
          <w:p w14:paraId="18200D23" w14:textId="77777777" w:rsidR="00FF7F38" w:rsidRPr="00C86CE6" w:rsidRDefault="00FF7F38" w:rsidP="00B11DA4">
            <w:pPr>
              <w:pStyle w:val="Tabletext"/>
            </w:pPr>
          </w:p>
        </w:tc>
      </w:tr>
    </w:tbl>
    <w:p w14:paraId="683CC8FD" w14:textId="77777777" w:rsidR="00FF7F38" w:rsidRPr="00C86CE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5624"/>
      </w:tblGrid>
      <w:tr w:rsidR="00FF7F38" w:rsidRPr="00C86CE6" w14:paraId="77549ABE" w14:textId="77777777" w:rsidTr="00B11DA4">
        <w:tc>
          <w:tcPr>
            <w:tcW w:w="8313" w:type="dxa"/>
            <w:gridSpan w:val="2"/>
            <w:shd w:val="clear" w:color="auto" w:fill="000000" w:themeFill="text1"/>
          </w:tcPr>
          <w:p w14:paraId="7EF77BC8" w14:textId="77777777" w:rsidR="00FF7F38" w:rsidRPr="00C86CE6" w:rsidRDefault="00FF7F38" w:rsidP="002F4595">
            <w:pPr>
              <w:pStyle w:val="TableHeading"/>
              <w:rPr>
                <w:i/>
              </w:rPr>
            </w:pPr>
            <w:r w:rsidRPr="00C86CE6">
              <w:t>Details of senior member</w:t>
            </w:r>
          </w:p>
        </w:tc>
      </w:tr>
      <w:tr w:rsidR="00FF7F38" w:rsidRPr="00C86CE6" w14:paraId="0BCE0DA1" w14:textId="77777777" w:rsidTr="00B11DA4">
        <w:tc>
          <w:tcPr>
            <w:tcW w:w="2689" w:type="dxa"/>
            <w:shd w:val="clear" w:color="auto" w:fill="auto"/>
          </w:tcPr>
          <w:p w14:paraId="03C16B3B" w14:textId="77777777" w:rsidR="00FF7F38" w:rsidRPr="00C86CE6" w:rsidRDefault="00FF7F38" w:rsidP="00B11DA4">
            <w:pPr>
              <w:pStyle w:val="Tabletext"/>
            </w:pPr>
            <w:r w:rsidRPr="00C86CE6">
              <w:t>Full name</w:t>
            </w:r>
          </w:p>
          <w:p w14:paraId="2E3B61D2" w14:textId="77777777" w:rsidR="00FF7F38" w:rsidRPr="00C86CE6" w:rsidRDefault="00FF7F38" w:rsidP="00B11DA4">
            <w:pPr>
              <w:pStyle w:val="Tabletext"/>
            </w:pPr>
          </w:p>
        </w:tc>
        <w:tc>
          <w:tcPr>
            <w:tcW w:w="5624" w:type="dxa"/>
            <w:shd w:val="clear" w:color="auto" w:fill="auto"/>
          </w:tcPr>
          <w:p w14:paraId="37246F49" w14:textId="77777777" w:rsidR="00FF7F38" w:rsidRPr="00C86CE6" w:rsidRDefault="00FF7F38" w:rsidP="00B11DA4">
            <w:pPr>
              <w:pStyle w:val="Tabletext"/>
            </w:pPr>
          </w:p>
        </w:tc>
      </w:tr>
      <w:tr w:rsidR="00FF7F38" w:rsidRPr="00C86CE6" w14:paraId="3AFC7F30" w14:textId="77777777" w:rsidTr="00B11DA4">
        <w:tc>
          <w:tcPr>
            <w:tcW w:w="2689" w:type="dxa"/>
            <w:shd w:val="clear" w:color="auto" w:fill="auto"/>
          </w:tcPr>
          <w:p w14:paraId="7AED7F40" w14:textId="77777777" w:rsidR="00FF7F38" w:rsidRPr="00C86CE6" w:rsidRDefault="00FF7F38" w:rsidP="00B11DA4">
            <w:pPr>
              <w:pStyle w:val="Tabletext"/>
            </w:pPr>
            <w:r w:rsidRPr="00C86CE6">
              <w:t>Position</w:t>
            </w:r>
          </w:p>
          <w:p w14:paraId="0437A913" w14:textId="77777777" w:rsidR="00FF7F38" w:rsidRPr="00C86CE6" w:rsidRDefault="00FF7F38" w:rsidP="00B11DA4">
            <w:pPr>
              <w:pStyle w:val="Tabletext"/>
            </w:pPr>
          </w:p>
        </w:tc>
        <w:tc>
          <w:tcPr>
            <w:tcW w:w="5624" w:type="dxa"/>
            <w:shd w:val="clear" w:color="auto" w:fill="auto"/>
          </w:tcPr>
          <w:p w14:paraId="665DE3E4" w14:textId="77777777" w:rsidR="00FF7F38" w:rsidRPr="00C86CE6" w:rsidRDefault="00FF7F38" w:rsidP="00B11DA4">
            <w:pPr>
              <w:pStyle w:val="Tabletext"/>
            </w:pPr>
          </w:p>
        </w:tc>
      </w:tr>
      <w:tr w:rsidR="00FF7F38" w:rsidRPr="00C86CE6" w14:paraId="689E9CA5" w14:textId="77777777" w:rsidTr="00B11DA4">
        <w:tc>
          <w:tcPr>
            <w:tcW w:w="2689" w:type="dxa"/>
            <w:shd w:val="clear" w:color="auto" w:fill="auto"/>
          </w:tcPr>
          <w:p w14:paraId="03A83AB8" w14:textId="77777777" w:rsidR="00FF7F38" w:rsidRPr="00C86CE6" w:rsidRDefault="00FF7F38" w:rsidP="00B11DA4">
            <w:pPr>
              <w:pStyle w:val="Tabletext"/>
            </w:pPr>
            <w:r w:rsidRPr="00C86CE6">
              <w:t>Agency</w:t>
            </w:r>
          </w:p>
          <w:p w14:paraId="67E155FF" w14:textId="77777777" w:rsidR="00FF7F38" w:rsidRPr="00C86CE6" w:rsidRDefault="00FF7F38" w:rsidP="00B11DA4">
            <w:pPr>
              <w:pStyle w:val="Tabletext"/>
            </w:pPr>
          </w:p>
        </w:tc>
        <w:tc>
          <w:tcPr>
            <w:tcW w:w="5624" w:type="dxa"/>
            <w:shd w:val="clear" w:color="auto" w:fill="auto"/>
          </w:tcPr>
          <w:p w14:paraId="4AACF778" w14:textId="77777777" w:rsidR="00FF7F38" w:rsidRPr="00C86CE6" w:rsidRDefault="00FF7F38" w:rsidP="00B11DA4">
            <w:pPr>
              <w:pStyle w:val="Tabletext"/>
            </w:pPr>
          </w:p>
        </w:tc>
      </w:tr>
    </w:tbl>
    <w:p w14:paraId="27EC4EEB" w14:textId="77777777" w:rsidR="00FF7F38" w:rsidRPr="00C86CE6" w:rsidRDefault="00FF7F38" w:rsidP="00FF7F38">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FF7F38" w:rsidRPr="00C86CE6" w14:paraId="1B30D6D2" w14:textId="77777777" w:rsidTr="00B11DA4">
        <w:tc>
          <w:tcPr>
            <w:tcW w:w="8313" w:type="dxa"/>
            <w:shd w:val="clear" w:color="auto" w:fill="000000" w:themeFill="text1"/>
          </w:tcPr>
          <w:p w14:paraId="2F9C5335" w14:textId="77777777" w:rsidR="00FF7F38" w:rsidRPr="00C86CE6" w:rsidRDefault="00FF7F38" w:rsidP="002F4595">
            <w:pPr>
              <w:pStyle w:val="TableHeading"/>
              <w:rPr>
                <w:i/>
                <w:color w:val="FFFFFF" w:themeColor="background1"/>
              </w:rPr>
            </w:pPr>
            <w:r w:rsidRPr="00C86CE6">
              <w:t>Declaration</w:t>
            </w:r>
          </w:p>
        </w:tc>
      </w:tr>
    </w:tbl>
    <w:p w14:paraId="3BAE0377" w14:textId="77777777" w:rsidR="00FF7F38" w:rsidRPr="00C86CE6" w:rsidRDefault="00FF7F38" w:rsidP="00FF7F38">
      <w:pPr>
        <w:pStyle w:val="Tabletext"/>
      </w:pPr>
    </w:p>
    <w:p w14:paraId="1DC7C985" w14:textId="77777777" w:rsidR="00FF7F38" w:rsidRPr="00C86CE6" w:rsidRDefault="00FF7F38" w:rsidP="00FF7F38">
      <w:pPr>
        <w:pStyle w:val="Tabletext"/>
        <w:rPr>
          <w:b/>
          <w:color w:val="000000"/>
        </w:rPr>
      </w:pPr>
      <w:r w:rsidRPr="00C86CE6">
        <w:rPr>
          <w:b/>
          <w:color w:val="000000"/>
        </w:rPr>
        <w:t>I am the senior member specified above and I reasonably believe that the continued provision of a designated service by the reporting entity to the customer(s) specified in the keep open notice would assist in the continued investigation by the agency of the serious offence(s) described in this application.</w:t>
      </w:r>
    </w:p>
    <w:p w14:paraId="148AAC44" w14:textId="77777777" w:rsidR="00FF7F38" w:rsidRPr="00C86CE6" w:rsidRDefault="00FF7F38" w:rsidP="00FF7F38">
      <w:pPr>
        <w:pStyle w:val="Tabletext"/>
      </w:pPr>
    </w:p>
    <w:tbl>
      <w:tblPr>
        <w:tblW w:w="5000" w:type="pct"/>
        <w:tblLook w:val="0000" w:firstRow="0" w:lastRow="0" w:firstColumn="0" w:lastColumn="0" w:noHBand="0" w:noVBand="0"/>
      </w:tblPr>
      <w:tblGrid>
        <w:gridCol w:w="5503"/>
        <w:gridCol w:w="280"/>
        <w:gridCol w:w="2746"/>
      </w:tblGrid>
      <w:tr w:rsidR="00FF7F38" w:rsidRPr="00C86CE6" w14:paraId="595F915D" w14:textId="77777777" w:rsidTr="00B11DA4">
        <w:trPr>
          <w:cantSplit/>
        </w:trPr>
        <w:tc>
          <w:tcPr>
            <w:tcW w:w="3226" w:type="pct"/>
          </w:tcPr>
          <w:p w14:paraId="26FF61FB" w14:textId="77777777" w:rsidR="00FF7F38" w:rsidRPr="00C86CE6" w:rsidRDefault="00FF7F38" w:rsidP="00B11DA4">
            <w:pPr>
              <w:pStyle w:val="Tabletext"/>
            </w:pPr>
            <w:r w:rsidRPr="00C86CE6">
              <w:t>Signed</w:t>
            </w:r>
          </w:p>
        </w:tc>
        <w:tc>
          <w:tcPr>
            <w:tcW w:w="164" w:type="pct"/>
          </w:tcPr>
          <w:p w14:paraId="2E5E9348" w14:textId="77777777" w:rsidR="00FF7F38" w:rsidRPr="00C86CE6" w:rsidRDefault="00FF7F38" w:rsidP="00B11DA4">
            <w:pPr>
              <w:tabs>
                <w:tab w:val="left" w:pos="3435"/>
              </w:tabs>
              <w:rPr>
                <w:sz w:val="18"/>
              </w:rPr>
            </w:pPr>
          </w:p>
        </w:tc>
        <w:tc>
          <w:tcPr>
            <w:tcW w:w="1610" w:type="pct"/>
          </w:tcPr>
          <w:p w14:paraId="7D44F45D" w14:textId="77777777" w:rsidR="00FF7F38" w:rsidRPr="00C86CE6" w:rsidRDefault="00FF7F38" w:rsidP="00B11DA4">
            <w:pPr>
              <w:pStyle w:val="Tabletext"/>
            </w:pPr>
            <w:r w:rsidRPr="00C86CE6">
              <w:t>Date</w:t>
            </w:r>
          </w:p>
        </w:tc>
      </w:tr>
      <w:tr w:rsidR="00FF7F38" w:rsidRPr="00C86CE6" w14:paraId="3900C68C" w14:textId="77777777" w:rsidTr="00B11DA4">
        <w:trPr>
          <w:cantSplit/>
        </w:trPr>
        <w:tc>
          <w:tcPr>
            <w:tcW w:w="3226" w:type="pct"/>
            <w:tcBorders>
              <w:top w:val="single" w:sz="4" w:space="0" w:color="auto"/>
              <w:left w:val="single" w:sz="4" w:space="0" w:color="auto"/>
              <w:bottom w:val="single" w:sz="4" w:space="0" w:color="auto"/>
              <w:right w:val="single" w:sz="4" w:space="0" w:color="auto"/>
            </w:tcBorders>
          </w:tcPr>
          <w:p w14:paraId="4258871C" w14:textId="77777777" w:rsidR="00FF7F38" w:rsidRPr="00C86CE6" w:rsidRDefault="00FF7F38" w:rsidP="00B11DA4">
            <w:pPr>
              <w:spacing w:line="240" w:lineRule="auto"/>
              <w:rPr>
                <w:sz w:val="18"/>
              </w:rPr>
            </w:pPr>
          </w:p>
          <w:p w14:paraId="59440D58" w14:textId="77777777" w:rsidR="00FF7F38" w:rsidRPr="00C86CE6" w:rsidRDefault="00FF7F38" w:rsidP="00B11DA4">
            <w:pPr>
              <w:spacing w:line="240" w:lineRule="auto"/>
              <w:rPr>
                <w:sz w:val="18"/>
              </w:rPr>
            </w:pPr>
          </w:p>
          <w:p w14:paraId="22C0D072" w14:textId="77777777" w:rsidR="00FF7F38" w:rsidRPr="00C86CE6" w:rsidRDefault="00FF7F38" w:rsidP="00B11DA4">
            <w:pPr>
              <w:spacing w:line="240" w:lineRule="auto"/>
              <w:rPr>
                <w:sz w:val="18"/>
              </w:rPr>
            </w:pPr>
          </w:p>
        </w:tc>
        <w:tc>
          <w:tcPr>
            <w:tcW w:w="164" w:type="pct"/>
            <w:tcBorders>
              <w:right w:val="single" w:sz="4" w:space="0" w:color="auto"/>
            </w:tcBorders>
          </w:tcPr>
          <w:p w14:paraId="5A097955" w14:textId="77777777" w:rsidR="00FF7F38" w:rsidRPr="00C86CE6" w:rsidRDefault="00FF7F38" w:rsidP="00B11DA4">
            <w:pPr>
              <w:tabs>
                <w:tab w:val="left" w:pos="3435"/>
              </w:tabs>
              <w:rPr>
                <w:sz w:val="18"/>
              </w:rPr>
            </w:pPr>
          </w:p>
        </w:tc>
        <w:tc>
          <w:tcPr>
            <w:tcW w:w="1610" w:type="pct"/>
            <w:tcBorders>
              <w:top w:val="single" w:sz="4" w:space="0" w:color="auto"/>
              <w:bottom w:val="single" w:sz="4" w:space="0" w:color="auto"/>
              <w:right w:val="single" w:sz="4" w:space="0" w:color="auto"/>
            </w:tcBorders>
          </w:tcPr>
          <w:p w14:paraId="38809C81" w14:textId="77777777" w:rsidR="00FF7F38" w:rsidRPr="00C86CE6" w:rsidRDefault="00FF7F38" w:rsidP="00B11DA4">
            <w:pPr>
              <w:tabs>
                <w:tab w:val="left" w:pos="3435"/>
              </w:tabs>
              <w:rPr>
                <w:sz w:val="18"/>
              </w:rPr>
            </w:pPr>
          </w:p>
        </w:tc>
      </w:tr>
    </w:tbl>
    <w:p w14:paraId="6DCDBFD9" w14:textId="77777777" w:rsidR="0086528C" w:rsidRPr="00C86CE6" w:rsidRDefault="0086528C" w:rsidP="0086528C">
      <w:pPr>
        <w:pStyle w:val="subsection"/>
      </w:pPr>
    </w:p>
    <w:p w14:paraId="0945E39E" w14:textId="77777777" w:rsidR="0086528C" w:rsidRPr="00C86CE6" w:rsidRDefault="0086528C" w:rsidP="0086528C">
      <w:pPr>
        <w:sectPr w:rsidR="0086528C" w:rsidRPr="00C86CE6" w:rsidSect="0086528C">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cols w:space="720"/>
          <w:docGrid w:linePitch="299"/>
        </w:sectPr>
      </w:pPr>
    </w:p>
    <w:p w14:paraId="2950BA47" w14:textId="2BF2A9D5" w:rsidR="001039FE" w:rsidRPr="00F70FCD" w:rsidRDefault="001039FE" w:rsidP="00F70FCD">
      <w:pPr>
        <w:rPr>
          <w:b/>
          <w:iCs/>
        </w:rPr>
      </w:pPr>
    </w:p>
    <w:sectPr w:rsidR="001039FE" w:rsidRPr="00F70FCD" w:rsidSect="0086528C">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652A3" w14:textId="77777777" w:rsidR="004D4DAE" w:rsidRDefault="004D4DAE" w:rsidP="00715914">
      <w:pPr>
        <w:spacing w:line="240" w:lineRule="auto"/>
      </w:pPr>
      <w:r>
        <w:separator/>
      </w:r>
    </w:p>
  </w:endnote>
  <w:endnote w:type="continuationSeparator" w:id="0">
    <w:p w14:paraId="4AD46EC7" w14:textId="77777777" w:rsidR="004D4DAE" w:rsidRDefault="004D4DA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embedRegular r:id="rId1" w:fontKey="{77B6F1F7-B890-4747-84EF-5EDF8D82F8D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4D4DAE" w14:paraId="13FF4050" w14:textId="77777777" w:rsidTr="008A04E4">
      <w:tc>
        <w:tcPr>
          <w:tcW w:w="8472" w:type="dxa"/>
        </w:tcPr>
        <w:p w14:paraId="4E28F301" w14:textId="635DA8C5" w:rsidR="004D4DAE" w:rsidRDefault="004D4DAE" w:rsidP="0086528C">
          <w:pPr>
            <w:spacing w:before="120"/>
            <w:jc w:val="right"/>
            <w:rPr>
              <w:sz w:val="18"/>
            </w:rPr>
          </w:pPr>
          <w:r w:rsidRPr="00ED79B6">
            <w:rPr>
              <w:i/>
              <w:sz w:val="18"/>
            </w:rPr>
            <w:t xml:space="preserve"> </w:t>
          </w:r>
        </w:p>
      </w:tc>
    </w:tr>
  </w:tbl>
  <w:p w14:paraId="4252F376" w14:textId="77777777" w:rsidR="004D4DAE" w:rsidRPr="007500C8" w:rsidRDefault="004D4DAE" w:rsidP="00335BC6">
    <w:pPr>
      <w:pStyle w:val="Footer"/>
    </w:pPr>
    <w:r w:rsidRPr="00324EB0">
      <w:rPr>
        <w:b/>
        <w:noProof/>
        <w:lang w:val="en-US"/>
      </w:rPr>
      <mc:AlternateContent>
        <mc:Choice Requires="wps">
          <w:drawing>
            <wp:anchor distT="0" distB="0" distL="114300" distR="114300" simplePos="0" relativeHeight="251665408" behindDoc="1" locked="1" layoutInCell="1" allowOverlap="1" wp14:anchorId="4E5744C4" wp14:editId="04F6010D">
              <wp:simplePos x="0" y="0"/>
              <wp:positionH relativeFrom="page">
                <wp:align>center</wp:align>
              </wp:positionH>
              <wp:positionV relativeFrom="paragraph">
                <wp:posOffset>0</wp:posOffset>
              </wp:positionV>
              <wp:extent cx="5773003" cy="395785"/>
              <wp:effectExtent l="0" t="0" r="0" b="4445"/>
              <wp:wrapNone/>
              <wp:docPr id="22" name="Text Box 2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AB313A" w14:textId="706B6DCB" w:rsidR="004D4DAE" w:rsidRPr="00324EB0" w:rsidRDefault="00745273" w:rsidP="008A04E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5744C4" id="_x0000_t202" coordsize="21600,21600" o:spt="202" path="m,l,21600r21600,l21600,xe">
              <v:stroke joinstyle="miter"/>
              <v:path gradientshapeok="t" o:connecttype="rect"/>
            </v:shapetype>
            <v:shape id="Text Box 22" o:spid="_x0000_s1028" type="#_x0000_t202" alt="Sec-Footerevenpage" style="position:absolute;margin-left:0;margin-top:0;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14:paraId="79AB313A" w14:textId="706B6DCB" w:rsidR="004D4DAE" w:rsidRPr="00324EB0" w:rsidRDefault="00745273" w:rsidP="008A04E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A9CE2" w14:textId="17BEF778" w:rsidR="004D4DAE" w:rsidRPr="008A2C51" w:rsidRDefault="004D4DAE" w:rsidP="0086528C">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4D4DAE" w:rsidRPr="008A2C51" w14:paraId="461F79A6" w14:textId="77777777" w:rsidTr="0086528C">
      <w:tc>
        <w:tcPr>
          <w:tcW w:w="947" w:type="pct"/>
        </w:tcPr>
        <w:p w14:paraId="05E1473F" w14:textId="77777777" w:rsidR="004D4DAE" w:rsidRPr="008A2C51" w:rsidRDefault="004D4DAE" w:rsidP="0086528C">
          <w:pPr>
            <w:spacing w:line="0" w:lineRule="atLeast"/>
            <w:rPr>
              <w:rFonts w:eastAsia="Calibri"/>
              <w:sz w:val="18"/>
            </w:rPr>
          </w:pPr>
        </w:p>
      </w:tc>
      <w:tc>
        <w:tcPr>
          <w:tcW w:w="3688" w:type="pct"/>
        </w:tcPr>
        <w:p w14:paraId="2E76F7C1" w14:textId="4DCC9F9C" w:rsidR="004D4DAE" w:rsidRPr="008A2C51" w:rsidRDefault="004D4DAE" w:rsidP="0086528C">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745273">
            <w:rPr>
              <w:rFonts w:eastAsia="Calibri"/>
              <w:i/>
              <w:sz w:val="18"/>
            </w:rPr>
            <w:t>Anti-Money Laundering and Counter-Terrorism Financing Rules 2024</w:t>
          </w:r>
          <w:r w:rsidRPr="008A2C51">
            <w:rPr>
              <w:rFonts w:eastAsia="Calibri"/>
              <w:i/>
              <w:sz w:val="18"/>
            </w:rPr>
            <w:fldChar w:fldCharType="end"/>
          </w:r>
        </w:p>
      </w:tc>
      <w:tc>
        <w:tcPr>
          <w:tcW w:w="365" w:type="pct"/>
        </w:tcPr>
        <w:p w14:paraId="250B85F9" w14:textId="77777777" w:rsidR="004D4DAE" w:rsidRPr="008A2C51" w:rsidRDefault="004D4DAE" w:rsidP="0086528C">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3</w:t>
          </w:r>
          <w:r w:rsidRPr="008A2C51">
            <w:rPr>
              <w:rFonts w:eastAsia="Calibri"/>
              <w:i/>
              <w:sz w:val="18"/>
            </w:rPr>
            <w:fldChar w:fldCharType="end"/>
          </w:r>
        </w:p>
      </w:tc>
    </w:tr>
    <w:tr w:rsidR="004D4DAE" w:rsidRPr="008A2C51" w14:paraId="223A5DF4" w14:textId="77777777" w:rsidTr="0086528C">
      <w:tc>
        <w:tcPr>
          <w:tcW w:w="5000" w:type="pct"/>
          <w:gridSpan w:val="3"/>
        </w:tcPr>
        <w:p w14:paraId="408AA720" w14:textId="6FA5ED64" w:rsidR="004D4DAE" w:rsidRPr="008A2C51" w:rsidRDefault="004D4DAE" w:rsidP="0086528C">
          <w:pPr>
            <w:rPr>
              <w:rFonts w:eastAsia="Calibri"/>
              <w:sz w:val="18"/>
            </w:rPr>
          </w:pPr>
          <w:r w:rsidRPr="008A2C51">
            <w:rPr>
              <w:rFonts w:eastAsia="Calibri"/>
              <w:i/>
              <w:sz w:val="18"/>
            </w:rPr>
            <w:t xml:space="preserve"> </w:t>
          </w:r>
        </w:p>
      </w:tc>
    </w:tr>
  </w:tbl>
  <w:p w14:paraId="34331FA0" w14:textId="77777777" w:rsidR="004D4DAE" w:rsidRPr="008A2C51" w:rsidRDefault="004D4DAE" w:rsidP="0086528C">
    <w:pPr>
      <w:rPr>
        <w:rFonts w:eastAsia="Calibri"/>
        <w:i/>
        <w:sz w:val="18"/>
      </w:rPr>
    </w:pPr>
    <w:r w:rsidRPr="004622E0">
      <w:rPr>
        <w:rFonts w:eastAsia="Calibri"/>
        <w:b/>
        <w:i/>
        <w:noProof/>
        <w:sz w:val="18"/>
        <w:lang w:val="en-US"/>
      </w:rPr>
      <mc:AlternateContent>
        <mc:Choice Requires="wps">
          <w:drawing>
            <wp:anchor distT="0" distB="0" distL="114300" distR="114300" simplePos="0" relativeHeight="251692032" behindDoc="1" locked="1" layoutInCell="1" allowOverlap="1" wp14:anchorId="564394D6" wp14:editId="79B1AB62">
              <wp:simplePos x="0" y="0"/>
              <wp:positionH relativeFrom="page">
                <wp:align>center</wp:align>
              </wp:positionH>
              <wp:positionV relativeFrom="paragraph">
                <wp:posOffset>1270</wp:posOffset>
              </wp:positionV>
              <wp:extent cx="5773003" cy="395785"/>
              <wp:effectExtent l="0" t="0" r="0" b="4445"/>
              <wp:wrapNone/>
              <wp:docPr id="649" name="Text Box 649"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89018C" w14:textId="1D082293" w:rsidR="004D4DAE" w:rsidRPr="00324EB0" w:rsidRDefault="00745273" w:rsidP="0086528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4394D6" id="_x0000_t202" coordsize="21600,21600" o:spt="202" path="m,l,21600r21600,l21600,xe">
              <v:stroke joinstyle="miter"/>
              <v:path gradientshapeok="t" o:connecttype="rect"/>
            </v:shapetype>
            <v:shape id="Text Box 649" o:spid="_x0000_s1041" type="#_x0000_t202" alt="Sec-Footerprimary" style="position:absolute;margin-left:0;margin-top:.1pt;width:454.55pt;height:31.15pt;z-index:-25162444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" stroked="f" strokeweight=".5pt">
              <v:textbox>
                <w:txbxContent>
                  <w:p w14:paraId="4089018C" w14:textId="1D082293" w:rsidR="004D4DAE" w:rsidRPr="00324EB0" w:rsidRDefault="00745273" w:rsidP="0086528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8E255" w14:textId="38D671EF" w:rsidR="004D4DAE" w:rsidRDefault="004D4DAE">
    <w:pPr>
      <w:pBdr>
        <w:top w:val="single" w:sz="6" w:space="1" w:color="auto"/>
      </w:pBdr>
      <w:rPr>
        <w:sz w:val="18"/>
      </w:rPr>
    </w:pPr>
  </w:p>
  <w:p w14:paraId="114FAFAC" w14:textId="3229611A" w:rsidR="004D4DAE" w:rsidRDefault="004D4DAE">
    <w:pPr>
      <w:jc w:val="right"/>
      <w:rPr>
        <w:i/>
        <w:sz w:val="18"/>
      </w:rPr>
    </w:pPr>
    <w:r>
      <w:rPr>
        <w:i/>
        <w:sz w:val="18"/>
      </w:rPr>
      <w:fldChar w:fldCharType="begin"/>
    </w:r>
    <w:r>
      <w:rPr>
        <w:i/>
        <w:sz w:val="18"/>
      </w:rPr>
      <w:instrText xml:space="preserve"> STYLEREF ShortT </w:instrText>
    </w:r>
    <w:r>
      <w:rPr>
        <w:i/>
        <w:sz w:val="18"/>
      </w:rPr>
      <w:fldChar w:fldCharType="separate"/>
    </w:r>
    <w:r w:rsidR="00745273">
      <w:rPr>
        <w:i/>
        <w:noProof/>
        <w:sz w:val="18"/>
      </w:rPr>
      <w:t>Anti-Money Laundering and Counter-Terrorism Financing Rules 2024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45273">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w:t>
    </w:r>
    <w:r>
      <w:rPr>
        <w:i/>
        <w:sz w:val="18"/>
      </w:rPr>
      <w:fldChar w:fldCharType="end"/>
    </w:r>
  </w:p>
  <w:p w14:paraId="39131654" w14:textId="37B73359" w:rsidR="004D4DAE" w:rsidRDefault="004D4DAE">
    <w:pPr>
      <w:rPr>
        <w:i/>
        <w:sz w:val="18"/>
      </w:rPr>
    </w:pPr>
    <w:r w:rsidRPr="004622E0">
      <w:rPr>
        <w:b/>
        <w:i/>
        <w:noProof/>
        <w:sz w:val="18"/>
        <w:lang w:val="en-US"/>
      </w:rPr>
      <mc:AlternateContent>
        <mc:Choice Requires="wps">
          <w:drawing>
            <wp:anchor distT="0" distB="0" distL="114300" distR="114300" simplePos="0" relativeHeight="251693056" behindDoc="1" locked="1" layoutInCell="1" allowOverlap="1" wp14:anchorId="02F545E7" wp14:editId="16875176">
              <wp:simplePos x="0" y="0"/>
              <wp:positionH relativeFrom="page">
                <wp:align>center</wp:align>
              </wp:positionH>
              <wp:positionV relativeFrom="paragraph">
                <wp:posOffset>1270</wp:posOffset>
              </wp:positionV>
              <wp:extent cx="5773003" cy="395785"/>
              <wp:effectExtent l="0" t="0" r="0" b="4445"/>
              <wp:wrapNone/>
              <wp:docPr id="651" name="Text Box 651"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F266CA" w14:textId="6BC1EBB7" w:rsidR="004D4DAE" w:rsidRPr="00324EB0" w:rsidRDefault="00745273" w:rsidP="0086528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F545E7" id="_x0000_t202" coordsize="21600,21600" o:spt="202" path="m,l,21600r21600,l21600,xe">
              <v:stroke joinstyle="miter"/>
              <v:path gradientshapeok="t" o:connecttype="rect"/>
            </v:shapetype>
            <v:shape id="Text Box 651" o:spid="_x0000_s1043" type="#_x0000_t202" alt="Sec-Footerfirstpage" style="position:absolute;margin-left:0;margin-top:.1pt;width:454.55pt;height:31.15pt;z-index:-2516234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lXgQ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" stroked="f" strokeweight=".5pt">
              <v:textbox>
                <w:txbxContent>
                  <w:p w14:paraId="0FF266CA" w14:textId="6BC1EBB7" w:rsidR="004D4DAE" w:rsidRPr="00324EB0" w:rsidRDefault="00745273" w:rsidP="0086528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4A7C0" w14:textId="09A66216" w:rsidR="004D4DAE" w:rsidRPr="00E33C1C" w:rsidRDefault="004D4DAE" w:rsidP="0086528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D4DAE" w14:paraId="4846150C" w14:textId="77777777" w:rsidTr="00B33709">
      <w:tc>
        <w:tcPr>
          <w:tcW w:w="709" w:type="dxa"/>
          <w:tcBorders>
            <w:top w:val="nil"/>
            <w:left w:val="nil"/>
            <w:bottom w:val="nil"/>
            <w:right w:val="nil"/>
          </w:tcBorders>
        </w:tcPr>
        <w:p w14:paraId="4304378F" w14:textId="77777777" w:rsidR="004D4DAE" w:rsidRDefault="004D4DAE" w:rsidP="008A04E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13D43561" w14:textId="7BBFA6FA" w:rsidR="004D4DAE" w:rsidRDefault="004D4DAE" w:rsidP="008A04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5273">
            <w:rPr>
              <w:i/>
              <w:sz w:val="18"/>
            </w:rPr>
            <w:t>Anti-Money Laundering and Counter-Terrorism Financing Rules 2024</w:t>
          </w:r>
          <w:r w:rsidRPr="007A1328">
            <w:rPr>
              <w:i/>
              <w:sz w:val="18"/>
            </w:rPr>
            <w:fldChar w:fldCharType="end"/>
          </w:r>
        </w:p>
      </w:tc>
      <w:tc>
        <w:tcPr>
          <w:tcW w:w="1383" w:type="dxa"/>
          <w:tcBorders>
            <w:top w:val="nil"/>
            <w:left w:val="nil"/>
            <w:bottom w:val="nil"/>
            <w:right w:val="nil"/>
          </w:tcBorders>
        </w:tcPr>
        <w:p w14:paraId="4F108834" w14:textId="77777777" w:rsidR="004D4DAE" w:rsidRDefault="004D4DAE" w:rsidP="008A04E4">
          <w:pPr>
            <w:spacing w:line="0" w:lineRule="atLeast"/>
            <w:jc w:val="right"/>
            <w:rPr>
              <w:sz w:val="18"/>
            </w:rPr>
          </w:pPr>
        </w:p>
      </w:tc>
    </w:tr>
    <w:tr w:rsidR="004D4DAE" w14:paraId="4347849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3A24540" w14:textId="04F7E6AF" w:rsidR="004D4DAE" w:rsidRDefault="004D4DAE" w:rsidP="008A04E4">
          <w:pPr>
            <w:jc w:val="right"/>
            <w:rPr>
              <w:sz w:val="18"/>
            </w:rPr>
          </w:pPr>
          <w:r w:rsidRPr="00ED79B6">
            <w:rPr>
              <w:i/>
              <w:sz w:val="18"/>
            </w:rPr>
            <w:t xml:space="preserve"> </w:t>
          </w:r>
        </w:p>
      </w:tc>
    </w:tr>
  </w:tbl>
  <w:p w14:paraId="29B559C3" w14:textId="77777777" w:rsidR="004D4DAE" w:rsidRPr="00ED79B6" w:rsidRDefault="004D4DAE" w:rsidP="007500C8">
    <w:pPr>
      <w:rPr>
        <w:i/>
        <w:sz w:val="18"/>
      </w:rPr>
    </w:pPr>
    <w:r w:rsidRPr="001769A7">
      <w:rPr>
        <w:b/>
        <w:i/>
        <w:noProof/>
        <w:sz w:val="18"/>
        <w:lang w:val="en-US"/>
      </w:rPr>
      <mc:AlternateContent>
        <mc:Choice Requires="wps">
          <w:drawing>
            <wp:anchor distT="0" distB="0" distL="114300" distR="114300" simplePos="0" relativeHeight="251681792" behindDoc="1" locked="1" layoutInCell="1" allowOverlap="1" wp14:anchorId="34D76CFB" wp14:editId="477CAFA7">
              <wp:simplePos x="0" y="0"/>
              <wp:positionH relativeFrom="page">
                <wp:align>center</wp:align>
              </wp:positionH>
              <wp:positionV relativeFrom="paragraph">
                <wp:posOffset>0</wp:posOffset>
              </wp:positionV>
              <wp:extent cx="5773003" cy="395785"/>
              <wp:effectExtent l="0" t="0" r="0" b="4445"/>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4E537E" w14:textId="3C7AF3CC" w:rsidR="004D4DAE" w:rsidRPr="00324EB0" w:rsidRDefault="00745273" w:rsidP="008A04E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D76CFB" id="_x0000_t202" coordsize="21600,21600" o:spt="202" path="m,l,21600r21600,l21600,xe">
              <v:stroke joinstyle="miter"/>
              <v:path gradientshapeok="t" o:connecttype="rect"/>
            </v:shapetype>
            <v:shape id="Text Box 30" o:spid="_x0000_s1046" type="#_x0000_t202" alt="Sec-Footerevenpage" style="position:absolute;margin-left:0;margin-top:0;width:454.55pt;height:31.15pt;z-index:-2516346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SLfwIAAG4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WLgJR2mmYhPS6h22BkOuqHxls8Vlu+e+fDEHE4JNgNOfnjEQ2rA7ENP&#10;UbIG9+tv7xGPzYtcShqcupL6nxvmBCX6q8G2vhqcn8cxTZfz8QS9Ie6UszzlmE19C9gVA9wxlicy&#10;4oPek9JB/YILYhatIosZjrZLGvbkbeh2AS4YLmazBMLBtCzcm4XlUXVMc2zO5/aFOdt3cMDef4D9&#10;fLLiTSN32ChpYLYJIFXq8mNW+wLgUKc56RdQ3Bqn94Q6rsnpKwA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u8WUi38CAABuBQAA&#10;DgAAAAAAAAAAAAAAAAAuAgAAZHJzL2Uyb0RvYy54bWxQSwECLQAUAAYACAAAACEATjFmLdkAAAAE&#10;AQAADwAAAAAAAAAAAAAAAADZBAAAZHJzL2Rvd25yZXYueG1sUEsFBgAAAAAEAAQA8wAAAN8FAAAA&#10;AA==&#10;" stroked="f" strokeweight=".5pt">
              <v:textbox>
                <w:txbxContent>
                  <w:p w14:paraId="4D4E537E" w14:textId="3C7AF3CC" w:rsidR="004D4DAE" w:rsidRPr="00324EB0" w:rsidRDefault="00745273" w:rsidP="008A04E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014BE" w14:textId="49F85773" w:rsidR="004D4DAE" w:rsidRPr="00E33C1C" w:rsidRDefault="004D4DAE" w:rsidP="0086528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D4DAE" w14:paraId="57783CC1" w14:textId="77777777" w:rsidTr="008A04E4">
      <w:tc>
        <w:tcPr>
          <w:tcW w:w="1384" w:type="dxa"/>
          <w:tcBorders>
            <w:top w:val="nil"/>
            <w:left w:val="nil"/>
            <w:bottom w:val="nil"/>
            <w:right w:val="nil"/>
          </w:tcBorders>
        </w:tcPr>
        <w:p w14:paraId="242887A7" w14:textId="77777777" w:rsidR="004D4DAE" w:rsidRDefault="004D4DAE" w:rsidP="008A04E4">
          <w:pPr>
            <w:spacing w:line="0" w:lineRule="atLeast"/>
            <w:rPr>
              <w:sz w:val="18"/>
            </w:rPr>
          </w:pPr>
        </w:p>
      </w:tc>
      <w:tc>
        <w:tcPr>
          <w:tcW w:w="6379" w:type="dxa"/>
          <w:tcBorders>
            <w:top w:val="nil"/>
            <w:left w:val="nil"/>
            <w:bottom w:val="nil"/>
            <w:right w:val="nil"/>
          </w:tcBorders>
        </w:tcPr>
        <w:p w14:paraId="41E8E836" w14:textId="77E9AD65" w:rsidR="004D4DAE" w:rsidRDefault="004D4DAE" w:rsidP="008A04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5273">
            <w:rPr>
              <w:i/>
              <w:sz w:val="18"/>
            </w:rPr>
            <w:t>Anti-Money Laundering and Counter-Terrorism Financing Rules 2024</w:t>
          </w:r>
          <w:r w:rsidRPr="007A1328">
            <w:rPr>
              <w:i/>
              <w:sz w:val="18"/>
            </w:rPr>
            <w:fldChar w:fldCharType="end"/>
          </w:r>
        </w:p>
      </w:tc>
      <w:tc>
        <w:tcPr>
          <w:tcW w:w="709" w:type="dxa"/>
          <w:tcBorders>
            <w:top w:val="nil"/>
            <w:left w:val="nil"/>
            <w:bottom w:val="nil"/>
            <w:right w:val="nil"/>
          </w:tcBorders>
        </w:tcPr>
        <w:p w14:paraId="1F213197" w14:textId="77777777" w:rsidR="004D4DAE" w:rsidRDefault="004D4DAE" w:rsidP="008A04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D4DAE" w14:paraId="63D8DD98" w14:textId="77777777" w:rsidTr="008A0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BF9C38" w14:textId="14957AF4" w:rsidR="004D4DAE" w:rsidRDefault="004D4DAE" w:rsidP="008A04E4">
          <w:pPr>
            <w:rPr>
              <w:sz w:val="18"/>
            </w:rPr>
          </w:pPr>
          <w:r w:rsidRPr="00ED79B6">
            <w:rPr>
              <w:i/>
              <w:sz w:val="18"/>
            </w:rPr>
            <w:t xml:space="preserve"> </w:t>
          </w:r>
        </w:p>
      </w:tc>
    </w:tr>
  </w:tbl>
  <w:p w14:paraId="11B9F47A" w14:textId="77777777" w:rsidR="004D4DAE" w:rsidRPr="00ED79B6" w:rsidRDefault="004D4DAE" w:rsidP="00472DBE">
    <w:pPr>
      <w:rPr>
        <w:i/>
        <w:sz w:val="18"/>
      </w:rPr>
    </w:pPr>
    <w:r w:rsidRPr="001769A7">
      <w:rPr>
        <w:b/>
        <w:i/>
        <w:noProof/>
        <w:sz w:val="18"/>
        <w:lang w:val="en-US"/>
      </w:rPr>
      <mc:AlternateContent>
        <mc:Choice Requires="wps">
          <w:drawing>
            <wp:anchor distT="0" distB="0" distL="114300" distR="114300" simplePos="0" relativeHeight="251677696" behindDoc="1" locked="1" layoutInCell="1" allowOverlap="1" wp14:anchorId="156B64AD" wp14:editId="5401ED81">
              <wp:simplePos x="0" y="0"/>
              <wp:positionH relativeFrom="page">
                <wp:align>center</wp:align>
              </wp:positionH>
              <wp:positionV relativeFrom="paragraph">
                <wp:posOffset>0</wp:posOffset>
              </wp:positionV>
              <wp:extent cx="5773003" cy="395785"/>
              <wp:effectExtent l="0" t="0" r="0" b="4445"/>
              <wp:wrapNone/>
              <wp:docPr id="28" name="Text Box 2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CE8037" w14:textId="4A42C291" w:rsidR="004D4DAE" w:rsidRPr="00324EB0" w:rsidRDefault="00745273" w:rsidP="008A04E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6B64AD" id="_x0000_t202" coordsize="21600,21600" o:spt="202" path="m,l,21600r21600,l21600,xe">
              <v:stroke joinstyle="miter"/>
              <v:path gradientshapeok="t" o:connecttype="rect"/>
            </v:shapetype>
            <v:shape id="Text Box 28" o:spid="_x0000_s1047" type="#_x0000_t202" alt="Sec-Footerprimary" style="position:absolute;margin-left:0;margin-top:0;width:454.55pt;height:31.15pt;z-index:-2516387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tefwIAAG4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psIJyj8xw0A6Nt3yh8PnumQ9PzOGUIBlw8sMjHlIDdh86&#10;iZINuF9/+x7xSF7UUlLj1BXU/9wyJyjRXw3S+ro3HMYxTZfhaNzHizvXrM41ZlvNAVnRwx1jeRIj&#10;PuiDKB1UL7ggZjEqqpjhGLug4SDOQ7sLcMFwMZslEA6mZeHeLC2PrmObIzmfmxfmbMfggNx/gMN8&#10;sskbIrfYaGlgtg0gVWJ5bHTb1e4BcKjTnHQLKG6N83tCndbk9BU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xHfbXn8CAABuBQAA&#10;DgAAAAAAAAAAAAAAAAAuAgAAZHJzL2Uyb0RvYy54bWxQSwECLQAUAAYACAAAACEATjFmLdkAAAAE&#10;AQAADwAAAAAAAAAAAAAAAADZBAAAZHJzL2Rvd25yZXYueG1sUEsFBgAAAAAEAAQA8wAAAN8FAAAA&#10;AA==&#10;" stroked="f" strokeweight=".5pt">
              <v:textbox>
                <w:txbxContent>
                  <w:p w14:paraId="1FCE8037" w14:textId="4A42C291" w:rsidR="004D4DAE" w:rsidRPr="00324EB0" w:rsidRDefault="00745273" w:rsidP="008A04E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5E3C" w14:textId="10E41507" w:rsidR="004D4DAE" w:rsidRPr="00E33C1C" w:rsidRDefault="004D4DAE"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D4DAE" w14:paraId="5C1B7CC2" w14:textId="77777777" w:rsidTr="00B33709">
      <w:tc>
        <w:tcPr>
          <w:tcW w:w="1384" w:type="dxa"/>
          <w:tcBorders>
            <w:top w:val="nil"/>
            <w:left w:val="nil"/>
            <w:bottom w:val="nil"/>
            <w:right w:val="nil"/>
          </w:tcBorders>
        </w:tcPr>
        <w:p w14:paraId="0314FCE4" w14:textId="77777777" w:rsidR="004D4DAE" w:rsidRDefault="004D4DAE" w:rsidP="008A04E4">
          <w:pPr>
            <w:spacing w:line="0" w:lineRule="atLeast"/>
            <w:rPr>
              <w:sz w:val="18"/>
            </w:rPr>
          </w:pPr>
        </w:p>
      </w:tc>
      <w:tc>
        <w:tcPr>
          <w:tcW w:w="6379" w:type="dxa"/>
          <w:tcBorders>
            <w:top w:val="nil"/>
            <w:left w:val="nil"/>
            <w:bottom w:val="nil"/>
            <w:right w:val="nil"/>
          </w:tcBorders>
        </w:tcPr>
        <w:p w14:paraId="5736692E" w14:textId="5C8EEC81" w:rsidR="004D4DAE" w:rsidRDefault="004D4DAE" w:rsidP="008A04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5273">
            <w:rPr>
              <w:i/>
              <w:sz w:val="18"/>
            </w:rPr>
            <w:t>Anti-Money Laundering and Counter-Terrorism Financing Rules 2024</w:t>
          </w:r>
          <w:r w:rsidRPr="007A1328">
            <w:rPr>
              <w:i/>
              <w:sz w:val="18"/>
            </w:rPr>
            <w:fldChar w:fldCharType="end"/>
          </w:r>
        </w:p>
      </w:tc>
      <w:tc>
        <w:tcPr>
          <w:tcW w:w="709" w:type="dxa"/>
          <w:tcBorders>
            <w:top w:val="nil"/>
            <w:left w:val="nil"/>
            <w:bottom w:val="nil"/>
            <w:right w:val="nil"/>
          </w:tcBorders>
        </w:tcPr>
        <w:p w14:paraId="5D6DE5F3" w14:textId="77777777" w:rsidR="004D4DAE" w:rsidRDefault="004D4DAE" w:rsidP="008A04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D4DAE" w14:paraId="544AD84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58E0462" w14:textId="633204C9" w:rsidR="004D4DAE" w:rsidRDefault="004D4DAE" w:rsidP="008A04E4">
          <w:pPr>
            <w:rPr>
              <w:sz w:val="18"/>
            </w:rPr>
          </w:pPr>
          <w:r w:rsidRPr="00ED79B6">
            <w:rPr>
              <w:i/>
              <w:sz w:val="18"/>
            </w:rPr>
            <w:t xml:space="preserve"> </w:t>
          </w:r>
        </w:p>
      </w:tc>
    </w:tr>
  </w:tbl>
  <w:p w14:paraId="5657E9DE" w14:textId="77777777" w:rsidR="004D4DAE" w:rsidRPr="00ED79B6" w:rsidRDefault="004D4DAE"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6CF7" w14:textId="3703E3B3" w:rsidR="004D4DAE" w:rsidRDefault="004D4DAE" w:rsidP="0086528C">
    <w:pPr>
      <w:pStyle w:val="Foote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4D4DAE" w14:paraId="6D931BC1" w14:textId="77777777" w:rsidTr="008A04E4">
      <w:tc>
        <w:tcPr>
          <w:tcW w:w="8472" w:type="dxa"/>
        </w:tcPr>
        <w:p w14:paraId="2815F635" w14:textId="43850265" w:rsidR="004D4DAE" w:rsidRDefault="004D4DAE" w:rsidP="008A04E4">
          <w:pPr>
            <w:rPr>
              <w:sz w:val="18"/>
            </w:rPr>
          </w:pPr>
          <w:r w:rsidRPr="00ED79B6">
            <w:rPr>
              <w:i/>
              <w:sz w:val="18"/>
            </w:rPr>
            <w:t xml:space="preserve"> </w:t>
          </w:r>
        </w:p>
      </w:tc>
    </w:tr>
  </w:tbl>
  <w:p w14:paraId="3F9CA669" w14:textId="77777777" w:rsidR="004D4DAE" w:rsidRPr="007500C8" w:rsidRDefault="004D4DAE" w:rsidP="007500C8">
    <w:pPr>
      <w:pStyle w:val="Footer"/>
    </w:pPr>
    <w:r w:rsidRPr="00324EB0">
      <w:rPr>
        <w:b/>
        <w:noProof/>
        <w:lang w:val="en-US"/>
      </w:rPr>
      <mc:AlternateContent>
        <mc:Choice Requires="wps">
          <w:drawing>
            <wp:anchor distT="0" distB="0" distL="114300" distR="114300" simplePos="0" relativeHeight="251661312" behindDoc="1" locked="1" layoutInCell="1" allowOverlap="1" wp14:anchorId="6C930E23" wp14:editId="60923A51">
              <wp:simplePos x="0" y="0"/>
              <wp:positionH relativeFrom="page">
                <wp:align>center</wp:align>
              </wp:positionH>
              <wp:positionV relativeFrom="paragraph">
                <wp:posOffset>0</wp:posOffset>
              </wp:positionV>
              <wp:extent cx="5773003" cy="395785"/>
              <wp:effectExtent l="0" t="0" r="0" b="4445"/>
              <wp:wrapNone/>
              <wp:docPr id="20" name="Text Box 2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B8AD7E" w14:textId="25188241" w:rsidR="004D4DAE" w:rsidRPr="00324EB0" w:rsidRDefault="00745273" w:rsidP="008A04E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930E23" id="_x0000_t202" coordsize="21600,21600" o:spt="202" path="m,l,21600r21600,l21600,xe">
              <v:stroke joinstyle="miter"/>
              <v:path gradientshapeok="t" o:connecttype="rect"/>
            </v:shapetype>
            <v:shape id="Text Box 20" o:spid="_x0000_s1029" type="#_x0000_t202" alt="Sec-Footerprimary" style="position:absolute;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21B8AD7E" w14:textId="25188241" w:rsidR="004D4DAE" w:rsidRPr="00324EB0" w:rsidRDefault="00745273" w:rsidP="008A04E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1DA9F" w14:textId="77777777" w:rsidR="004D4DAE" w:rsidRPr="00ED79B6" w:rsidRDefault="004D4DAE"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1C516" w14:textId="22A5E2A3" w:rsidR="004D4DAE" w:rsidRPr="00E33C1C" w:rsidRDefault="004D4DAE" w:rsidP="0086528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D4DAE" w14:paraId="13502B20" w14:textId="77777777" w:rsidTr="00B33709">
      <w:tc>
        <w:tcPr>
          <w:tcW w:w="709" w:type="dxa"/>
          <w:tcBorders>
            <w:top w:val="nil"/>
            <w:left w:val="nil"/>
            <w:bottom w:val="nil"/>
            <w:right w:val="nil"/>
          </w:tcBorders>
        </w:tcPr>
        <w:p w14:paraId="0A329558" w14:textId="77777777" w:rsidR="004D4DAE" w:rsidRDefault="004D4DAE" w:rsidP="008A04E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197F4DC" w14:textId="34CE9493" w:rsidR="004D4DAE" w:rsidRDefault="004D4DAE" w:rsidP="008A04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5273">
            <w:rPr>
              <w:i/>
              <w:sz w:val="18"/>
            </w:rPr>
            <w:t>Anti-Money Laundering and Counter-Terrorism Financing Rules 2024</w:t>
          </w:r>
          <w:r w:rsidRPr="007A1328">
            <w:rPr>
              <w:i/>
              <w:sz w:val="18"/>
            </w:rPr>
            <w:fldChar w:fldCharType="end"/>
          </w:r>
        </w:p>
      </w:tc>
      <w:tc>
        <w:tcPr>
          <w:tcW w:w="1383" w:type="dxa"/>
          <w:tcBorders>
            <w:top w:val="nil"/>
            <w:left w:val="nil"/>
            <w:bottom w:val="nil"/>
            <w:right w:val="nil"/>
          </w:tcBorders>
        </w:tcPr>
        <w:p w14:paraId="4D9975FC" w14:textId="77777777" w:rsidR="004D4DAE" w:rsidRDefault="004D4DAE" w:rsidP="008A04E4">
          <w:pPr>
            <w:spacing w:line="0" w:lineRule="atLeast"/>
            <w:jc w:val="right"/>
            <w:rPr>
              <w:sz w:val="18"/>
            </w:rPr>
          </w:pPr>
        </w:p>
      </w:tc>
    </w:tr>
    <w:tr w:rsidR="004D4DAE" w14:paraId="7BCAD104"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59337A8" w14:textId="45626FFF" w:rsidR="004D4DAE" w:rsidRDefault="004D4DAE" w:rsidP="008A04E4">
          <w:pPr>
            <w:jc w:val="right"/>
            <w:rPr>
              <w:sz w:val="18"/>
            </w:rPr>
          </w:pPr>
          <w:r w:rsidRPr="00ED79B6">
            <w:rPr>
              <w:i/>
              <w:sz w:val="18"/>
            </w:rPr>
            <w:t xml:space="preserve"> </w:t>
          </w:r>
        </w:p>
      </w:tc>
    </w:tr>
  </w:tbl>
  <w:p w14:paraId="2EC16E01" w14:textId="77777777" w:rsidR="004D4DAE" w:rsidRPr="00ED79B6" w:rsidRDefault="004D4DAE" w:rsidP="007500C8">
    <w:pPr>
      <w:rPr>
        <w:i/>
        <w:sz w:val="18"/>
      </w:rPr>
    </w:pPr>
    <w:r w:rsidRPr="001769A7">
      <w:rPr>
        <w:b/>
        <w:i/>
        <w:noProof/>
        <w:sz w:val="18"/>
        <w:lang w:val="en-US"/>
      </w:rPr>
      <mc:AlternateContent>
        <mc:Choice Requires="wps">
          <w:drawing>
            <wp:anchor distT="0" distB="0" distL="114300" distR="114300" simplePos="0" relativeHeight="251673600" behindDoc="1" locked="1" layoutInCell="1" allowOverlap="1" wp14:anchorId="381C5EC7" wp14:editId="336CCC5D">
              <wp:simplePos x="0" y="0"/>
              <wp:positionH relativeFrom="page">
                <wp:align>center</wp:align>
              </wp:positionH>
              <wp:positionV relativeFrom="paragraph">
                <wp:posOffset>0</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FFE5E8" w14:textId="020832EC" w:rsidR="004D4DAE" w:rsidRPr="00324EB0" w:rsidRDefault="00745273" w:rsidP="008A04E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1C5EC7" id="_x0000_t202" coordsize="21600,21600" o:spt="202" path="m,l,21600r21600,l21600,xe">
              <v:stroke joinstyle="miter"/>
              <v:path gradientshapeok="t" o:connecttype="rect"/>
            </v:shapetype>
            <v:shape id="Text Box 26" o:spid="_x0000_s1032" type="#_x0000_t202" alt="Sec-Footerevenpage" style="position:absolute;margin-left:0;margin-top:0;width:454.55pt;height:31.15pt;z-index:-2516428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tCCuAAgAAbQUA&#10;AA4AAAAAAAAAAAAAAAAALgIAAGRycy9lMm9Eb2MueG1sUEsBAi0AFAAGAAgAAAAhAE4xZi3ZAAAA&#10;BAEAAA8AAAAAAAAAAAAAAAAA2gQAAGRycy9kb3ducmV2LnhtbFBLBQYAAAAABAAEAPMAAADgBQAA&#10;AAA=&#10;" stroked="f" strokeweight=".5pt">
              <v:textbox>
                <w:txbxContent>
                  <w:p w14:paraId="77FFE5E8" w14:textId="020832EC" w:rsidR="004D4DAE" w:rsidRPr="00324EB0" w:rsidRDefault="00745273" w:rsidP="008A04E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0F87E" w14:textId="51BF0AB1" w:rsidR="004D4DAE" w:rsidRPr="00E33C1C" w:rsidRDefault="004D4DAE" w:rsidP="0086528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D4DAE" w14:paraId="20D48B69" w14:textId="77777777" w:rsidTr="00B33709">
      <w:tc>
        <w:tcPr>
          <w:tcW w:w="1383" w:type="dxa"/>
          <w:tcBorders>
            <w:top w:val="nil"/>
            <w:left w:val="nil"/>
            <w:bottom w:val="nil"/>
            <w:right w:val="nil"/>
          </w:tcBorders>
        </w:tcPr>
        <w:p w14:paraId="6D19DDF3" w14:textId="77777777" w:rsidR="004D4DAE" w:rsidRDefault="004D4DAE" w:rsidP="008A04E4">
          <w:pPr>
            <w:spacing w:line="0" w:lineRule="atLeast"/>
            <w:rPr>
              <w:sz w:val="18"/>
            </w:rPr>
          </w:pPr>
        </w:p>
      </w:tc>
      <w:tc>
        <w:tcPr>
          <w:tcW w:w="6380" w:type="dxa"/>
          <w:tcBorders>
            <w:top w:val="nil"/>
            <w:left w:val="nil"/>
            <w:bottom w:val="nil"/>
            <w:right w:val="nil"/>
          </w:tcBorders>
        </w:tcPr>
        <w:p w14:paraId="1464ADF0" w14:textId="0A47A592" w:rsidR="004D4DAE" w:rsidRDefault="004D4DAE" w:rsidP="008A04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5273">
            <w:rPr>
              <w:i/>
              <w:sz w:val="18"/>
            </w:rPr>
            <w:t>Anti-Money Laundering and Counter-Terrorism Financing Rules 2024</w:t>
          </w:r>
          <w:r w:rsidRPr="007A1328">
            <w:rPr>
              <w:i/>
              <w:sz w:val="18"/>
            </w:rPr>
            <w:fldChar w:fldCharType="end"/>
          </w:r>
        </w:p>
      </w:tc>
      <w:tc>
        <w:tcPr>
          <w:tcW w:w="709" w:type="dxa"/>
          <w:tcBorders>
            <w:top w:val="nil"/>
            <w:left w:val="nil"/>
            <w:bottom w:val="nil"/>
            <w:right w:val="nil"/>
          </w:tcBorders>
        </w:tcPr>
        <w:p w14:paraId="757190FF" w14:textId="77777777" w:rsidR="004D4DAE" w:rsidRDefault="004D4DAE" w:rsidP="008A04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4D4DAE" w14:paraId="186F6204"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4F50FE4" w14:textId="52317355" w:rsidR="004D4DAE" w:rsidRDefault="004D4DAE" w:rsidP="008A04E4">
          <w:pPr>
            <w:rPr>
              <w:sz w:val="18"/>
            </w:rPr>
          </w:pPr>
          <w:r w:rsidRPr="00ED79B6">
            <w:rPr>
              <w:i/>
              <w:sz w:val="18"/>
            </w:rPr>
            <w:t xml:space="preserve"> </w:t>
          </w:r>
        </w:p>
      </w:tc>
    </w:tr>
  </w:tbl>
  <w:p w14:paraId="040FF22C" w14:textId="77777777" w:rsidR="004D4DAE" w:rsidRPr="00ED79B6" w:rsidRDefault="004D4DAE" w:rsidP="007500C8">
    <w:pPr>
      <w:rPr>
        <w:i/>
        <w:sz w:val="18"/>
      </w:rPr>
    </w:pPr>
    <w:r w:rsidRPr="001769A7">
      <w:rPr>
        <w:b/>
        <w:i/>
        <w:noProof/>
        <w:sz w:val="18"/>
        <w:lang w:val="en-US"/>
      </w:rPr>
      <mc:AlternateContent>
        <mc:Choice Requires="wps">
          <w:drawing>
            <wp:anchor distT="0" distB="0" distL="114300" distR="114300" simplePos="0" relativeHeight="251669504" behindDoc="1" locked="1" layoutInCell="1" allowOverlap="1" wp14:anchorId="6FE8DDFB" wp14:editId="5398C9FD">
              <wp:simplePos x="0" y="0"/>
              <wp:positionH relativeFrom="page">
                <wp:align>center</wp:align>
              </wp:positionH>
              <wp:positionV relativeFrom="paragraph">
                <wp:posOffset>0</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B31D36" w14:textId="45BB4725" w:rsidR="004D4DAE" w:rsidRPr="00324EB0" w:rsidRDefault="00745273" w:rsidP="008A04E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E8DDFB" id="_x0000_t202" coordsize="21600,21600" o:spt="202" path="m,l,21600r21600,l21600,xe">
              <v:stroke joinstyle="miter"/>
              <v:path gradientshapeok="t" o:connecttype="rect"/>
            </v:shapetype>
            <v:shape id="Text Box 24" o:spid="_x0000_s1033" type="#_x0000_t202" alt="Sec-Footerprimary" style="position:absolute;margin-left:0;margin-top:0;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ABfR/6AAgAAbQUA&#10;AA4AAAAAAAAAAAAAAAAALgIAAGRycy9lMm9Eb2MueG1sUEsBAi0AFAAGAAgAAAAhAE4xZi3ZAAAA&#10;BAEAAA8AAAAAAAAAAAAAAAAA2gQAAGRycy9kb3ducmV2LnhtbFBLBQYAAAAABAAEAPMAAADgBQAA&#10;AAA=&#10;" stroked="f" strokeweight=".5pt">
              <v:textbox>
                <w:txbxContent>
                  <w:p w14:paraId="0FB31D36" w14:textId="45BB4725" w:rsidR="004D4DAE" w:rsidRPr="00324EB0" w:rsidRDefault="00745273" w:rsidP="008A04E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33BC5" w14:textId="24A10505" w:rsidR="004D4DAE" w:rsidRPr="008A2C51" w:rsidRDefault="004D4DAE" w:rsidP="0086528C">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4D4DAE" w:rsidRPr="008A2C51" w14:paraId="6357B825" w14:textId="77777777" w:rsidTr="0086528C">
      <w:tc>
        <w:tcPr>
          <w:tcW w:w="365" w:type="pct"/>
        </w:tcPr>
        <w:p w14:paraId="6758A0C6" w14:textId="77777777" w:rsidR="004D4DAE" w:rsidRPr="008A2C51" w:rsidRDefault="004D4DAE" w:rsidP="0086528C">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Pr>
              <w:rFonts w:eastAsia="Calibri" w:cs="Times New Roman"/>
              <w:i/>
              <w:noProof/>
              <w:sz w:val="18"/>
            </w:rPr>
            <w:t>2</w:t>
          </w:r>
          <w:r w:rsidRPr="008A2C51">
            <w:rPr>
              <w:rFonts w:eastAsia="Calibri"/>
              <w:i/>
              <w:sz w:val="18"/>
            </w:rPr>
            <w:fldChar w:fldCharType="end"/>
          </w:r>
        </w:p>
      </w:tc>
      <w:tc>
        <w:tcPr>
          <w:tcW w:w="3688" w:type="pct"/>
        </w:tcPr>
        <w:p w14:paraId="4E1CAC36" w14:textId="36118A76" w:rsidR="004D4DAE" w:rsidRPr="008A2C51" w:rsidRDefault="004D4DAE" w:rsidP="0086528C">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745273">
            <w:rPr>
              <w:rFonts w:eastAsia="Calibri" w:cs="Times New Roman"/>
              <w:i/>
              <w:sz w:val="18"/>
            </w:rPr>
            <w:t>Anti-Money Laundering and Counter-Terrorism Financing Rules 2024</w:t>
          </w:r>
          <w:r w:rsidRPr="008A2C51">
            <w:rPr>
              <w:rFonts w:eastAsia="Calibri"/>
              <w:i/>
              <w:sz w:val="18"/>
            </w:rPr>
            <w:fldChar w:fldCharType="end"/>
          </w:r>
        </w:p>
      </w:tc>
      <w:tc>
        <w:tcPr>
          <w:tcW w:w="947" w:type="pct"/>
        </w:tcPr>
        <w:p w14:paraId="3D077D1E" w14:textId="77777777" w:rsidR="004D4DAE" w:rsidRPr="008A2C51" w:rsidRDefault="004D4DAE" w:rsidP="0086528C">
          <w:pPr>
            <w:spacing w:line="0" w:lineRule="atLeast"/>
            <w:jc w:val="right"/>
            <w:rPr>
              <w:rFonts w:eastAsia="Calibri" w:cs="Times New Roman"/>
              <w:sz w:val="18"/>
            </w:rPr>
          </w:pPr>
        </w:p>
      </w:tc>
    </w:tr>
    <w:tr w:rsidR="004D4DAE" w:rsidRPr="008A2C51" w14:paraId="39924144" w14:textId="77777777" w:rsidTr="0086528C">
      <w:tc>
        <w:tcPr>
          <w:tcW w:w="5000" w:type="pct"/>
          <w:gridSpan w:val="3"/>
        </w:tcPr>
        <w:p w14:paraId="374051E3" w14:textId="07FA747D" w:rsidR="004D4DAE" w:rsidRPr="008A2C51" w:rsidRDefault="004D4DAE" w:rsidP="0086528C">
          <w:pPr>
            <w:jc w:val="right"/>
            <w:rPr>
              <w:rFonts w:eastAsia="Calibri" w:cs="Times New Roman"/>
              <w:sz w:val="18"/>
            </w:rPr>
          </w:pPr>
          <w:r w:rsidRPr="008A2C51">
            <w:rPr>
              <w:rFonts w:eastAsia="Calibri" w:cs="Times New Roman"/>
              <w:i/>
              <w:sz w:val="18"/>
            </w:rPr>
            <w:t xml:space="preserve"> </w:t>
          </w:r>
        </w:p>
      </w:tc>
    </w:tr>
  </w:tbl>
  <w:p w14:paraId="3ADE9257" w14:textId="77777777" w:rsidR="004D4DAE" w:rsidRPr="008A2C51" w:rsidRDefault="004D4DAE" w:rsidP="0086528C">
    <w:pPr>
      <w:rPr>
        <w:rFonts w:eastAsia="Calibri"/>
        <w:i/>
        <w:sz w:val="18"/>
      </w:rPr>
    </w:pPr>
    <w:r w:rsidRPr="004622E0">
      <w:rPr>
        <w:rFonts w:eastAsia="Calibri"/>
        <w:b/>
        <w:i/>
        <w:noProof/>
        <w:sz w:val="18"/>
        <w:lang w:val="en-US"/>
      </w:rPr>
      <mc:AlternateContent>
        <mc:Choice Requires="wps">
          <w:drawing>
            <wp:anchor distT="0" distB="0" distL="114300" distR="114300" simplePos="0" relativeHeight="251687936" behindDoc="1" locked="1" layoutInCell="1" allowOverlap="1" wp14:anchorId="1601C4FD" wp14:editId="5CEEE743">
              <wp:simplePos x="0" y="0"/>
              <wp:positionH relativeFrom="page">
                <wp:align>center</wp:align>
              </wp:positionH>
              <wp:positionV relativeFrom="paragraph">
                <wp:posOffset>1270</wp:posOffset>
              </wp:positionV>
              <wp:extent cx="5773003" cy="395785"/>
              <wp:effectExtent l="0" t="0" r="0" b="4445"/>
              <wp:wrapNone/>
              <wp:docPr id="643" name="Text Box 643"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B3A092" w14:textId="690B9429" w:rsidR="004D4DAE" w:rsidRPr="00324EB0" w:rsidRDefault="00745273" w:rsidP="0086528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01C4FD" id="_x0000_t202" coordsize="21600,21600" o:spt="202" path="m,l,21600r21600,l21600,xe">
              <v:stroke joinstyle="miter"/>
              <v:path gradientshapeok="t" o:connecttype="rect"/>
            </v:shapetype>
            <v:shape id="Text Box 643" o:spid="_x0000_s1036" type="#_x0000_t202" alt="Sec-Footerevenpage" style="position:absolute;margin-left:0;margin-top:.1pt;width:454.55pt;height:31.15pt;z-index:-25162854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" stroked="f" strokeweight=".5pt">
              <v:textbox>
                <w:txbxContent>
                  <w:p w14:paraId="7FB3A092" w14:textId="690B9429" w:rsidR="004D4DAE" w:rsidRPr="00324EB0" w:rsidRDefault="00745273" w:rsidP="0086528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5A8F4" w14:textId="2A2CFAFC" w:rsidR="004D4DAE" w:rsidRPr="008A2C51" w:rsidRDefault="004D4DAE" w:rsidP="0086528C">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4D4DAE" w:rsidRPr="008A2C51" w14:paraId="12F8E91D" w14:textId="77777777" w:rsidTr="0086528C">
      <w:tc>
        <w:tcPr>
          <w:tcW w:w="947" w:type="pct"/>
        </w:tcPr>
        <w:p w14:paraId="659F6FEE" w14:textId="77777777" w:rsidR="004D4DAE" w:rsidRPr="008A2C51" w:rsidRDefault="004D4DAE" w:rsidP="0086528C">
          <w:pPr>
            <w:spacing w:line="0" w:lineRule="atLeast"/>
            <w:rPr>
              <w:rFonts w:eastAsia="Calibri"/>
              <w:sz w:val="18"/>
            </w:rPr>
          </w:pPr>
        </w:p>
      </w:tc>
      <w:tc>
        <w:tcPr>
          <w:tcW w:w="3688" w:type="pct"/>
        </w:tcPr>
        <w:p w14:paraId="3095EEC1" w14:textId="59675B50" w:rsidR="004D4DAE" w:rsidRPr="008A2C51" w:rsidRDefault="004D4DAE" w:rsidP="0086528C">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745273">
            <w:rPr>
              <w:rFonts w:eastAsia="Calibri"/>
              <w:i/>
              <w:sz w:val="18"/>
            </w:rPr>
            <w:t>Anti-Money Laundering and Counter-Terrorism Financing Rules 2024</w:t>
          </w:r>
          <w:r w:rsidRPr="008A2C51">
            <w:rPr>
              <w:rFonts w:eastAsia="Calibri"/>
              <w:i/>
              <w:sz w:val="18"/>
            </w:rPr>
            <w:fldChar w:fldCharType="end"/>
          </w:r>
        </w:p>
      </w:tc>
      <w:tc>
        <w:tcPr>
          <w:tcW w:w="365" w:type="pct"/>
        </w:tcPr>
        <w:p w14:paraId="02F52E2B" w14:textId="77777777" w:rsidR="004D4DAE" w:rsidRPr="008A2C51" w:rsidRDefault="004D4DAE" w:rsidP="0086528C">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1</w:t>
          </w:r>
          <w:r w:rsidRPr="008A2C51">
            <w:rPr>
              <w:rFonts w:eastAsia="Calibri"/>
              <w:i/>
              <w:sz w:val="18"/>
            </w:rPr>
            <w:fldChar w:fldCharType="end"/>
          </w:r>
        </w:p>
      </w:tc>
    </w:tr>
    <w:tr w:rsidR="004D4DAE" w:rsidRPr="008A2C51" w14:paraId="7710790F" w14:textId="77777777" w:rsidTr="0086528C">
      <w:tc>
        <w:tcPr>
          <w:tcW w:w="5000" w:type="pct"/>
          <w:gridSpan w:val="3"/>
        </w:tcPr>
        <w:p w14:paraId="7213A792" w14:textId="19101AE5" w:rsidR="004D4DAE" w:rsidRPr="008A2C51" w:rsidRDefault="004D4DAE" w:rsidP="0086528C">
          <w:pPr>
            <w:rPr>
              <w:rFonts w:eastAsia="Calibri"/>
              <w:sz w:val="18"/>
            </w:rPr>
          </w:pPr>
          <w:r w:rsidRPr="008A2C51">
            <w:rPr>
              <w:rFonts w:eastAsia="Calibri"/>
              <w:i/>
              <w:sz w:val="18"/>
            </w:rPr>
            <w:t xml:space="preserve"> </w:t>
          </w:r>
        </w:p>
      </w:tc>
    </w:tr>
  </w:tbl>
  <w:p w14:paraId="4E011961" w14:textId="77777777" w:rsidR="004D4DAE" w:rsidRPr="008A2C51" w:rsidRDefault="004D4DAE" w:rsidP="0086528C">
    <w:pPr>
      <w:rPr>
        <w:rFonts w:eastAsia="Calibri"/>
        <w:sz w:val="18"/>
      </w:rPr>
    </w:pPr>
    <w:r w:rsidRPr="004622E0">
      <w:rPr>
        <w:rFonts w:eastAsia="Calibri"/>
        <w:b/>
        <w:noProof/>
        <w:sz w:val="18"/>
        <w:lang w:val="en-US"/>
      </w:rPr>
      <mc:AlternateContent>
        <mc:Choice Requires="wps">
          <w:drawing>
            <wp:anchor distT="0" distB="0" distL="114300" distR="114300" simplePos="0" relativeHeight="251685888" behindDoc="1" locked="1" layoutInCell="1" allowOverlap="1" wp14:anchorId="542AEEDF" wp14:editId="0E1AD2AE">
              <wp:simplePos x="0" y="0"/>
              <wp:positionH relativeFrom="page">
                <wp:align>center</wp:align>
              </wp:positionH>
              <wp:positionV relativeFrom="paragraph">
                <wp:posOffset>1270</wp:posOffset>
              </wp:positionV>
              <wp:extent cx="5773003" cy="395785"/>
              <wp:effectExtent l="0" t="0" r="0" b="4445"/>
              <wp:wrapNone/>
              <wp:docPr id="644" name="Text Box 64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D1D360" w14:textId="1279AF90" w:rsidR="004D4DAE" w:rsidRPr="00324EB0" w:rsidRDefault="00745273" w:rsidP="0086528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2AEEDF" id="_x0000_t202" coordsize="21600,21600" o:spt="202" path="m,l,21600r21600,l21600,xe">
              <v:stroke joinstyle="miter"/>
              <v:path gradientshapeok="t" o:connecttype="rect"/>
            </v:shapetype>
            <v:shape id="Text Box 644" o:spid="_x0000_s1037" type="#_x0000_t202" alt="Sec-Footerprimary" style="position:absolute;margin-left:0;margin-top:.1pt;width:454.55pt;height:31.15pt;z-index:-2516305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" stroked="f" strokeweight=".5pt">
              <v:textbox>
                <w:txbxContent>
                  <w:p w14:paraId="65D1D360" w14:textId="1279AF90" w:rsidR="004D4DAE" w:rsidRPr="00324EB0" w:rsidRDefault="00745273" w:rsidP="0086528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37EAA" w14:textId="5B85D99F" w:rsidR="004D4DAE" w:rsidRPr="00E33C1C" w:rsidRDefault="004D4DAE" w:rsidP="0086528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D4DAE" w14:paraId="7A60E74F" w14:textId="77777777" w:rsidTr="0086528C">
      <w:tc>
        <w:tcPr>
          <w:tcW w:w="1384" w:type="dxa"/>
          <w:tcBorders>
            <w:top w:val="nil"/>
            <w:left w:val="nil"/>
            <w:bottom w:val="nil"/>
            <w:right w:val="nil"/>
          </w:tcBorders>
        </w:tcPr>
        <w:p w14:paraId="44BF1AF2" w14:textId="77777777" w:rsidR="004D4DAE" w:rsidRDefault="004D4DAE" w:rsidP="0086528C">
          <w:pPr>
            <w:spacing w:line="0" w:lineRule="atLeast"/>
            <w:rPr>
              <w:sz w:val="18"/>
            </w:rPr>
          </w:pPr>
        </w:p>
      </w:tc>
      <w:tc>
        <w:tcPr>
          <w:tcW w:w="6379" w:type="dxa"/>
          <w:tcBorders>
            <w:top w:val="nil"/>
            <w:left w:val="nil"/>
            <w:bottom w:val="nil"/>
            <w:right w:val="nil"/>
          </w:tcBorders>
        </w:tcPr>
        <w:p w14:paraId="727991EC" w14:textId="0B6ADCC5" w:rsidR="004D4DAE" w:rsidRDefault="004D4DAE" w:rsidP="0086528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5273">
            <w:rPr>
              <w:i/>
              <w:sz w:val="18"/>
            </w:rPr>
            <w:t>Anti-Money Laundering and Counter-Terrorism Financing Rules 2024</w:t>
          </w:r>
          <w:r w:rsidRPr="007A1328">
            <w:rPr>
              <w:i/>
              <w:sz w:val="18"/>
            </w:rPr>
            <w:fldChar w:fldCharType="end"/>
          </w:r>
        </w:p>
      </w:tc>
      <w:tc>
        <w:tcPr>
          <w:tcW w:w="709" w:type="dxa"/>
          <w:tcBorders>
            <w:top w:val="nil"/>
            <w:left w:val="nil"/>
            <w:bottom w:val="nil"/>
            <w:right w:val="nil"/>
          </w:tcBorders>
        </w:tcPr>
        <w:p w14:paraId="3CE00D09" w14:textId="77777777" w:rsidR="004D4DAE" w:rsidRDefault="004D4DAE" w:rsidP="0086528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r w:rsidR="004D4DAE" w14:paraId="1D882202" w14:textId="77777777" w:rsidTr="00865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296C81E" w14:textId="58C55451" w:rsidR="004D4DAE" w:rsidRDefault="004D4DAE" w:rsidP="0086528C">
          <w:pPr>
            <w:rPr>
              <w:sz w:val="18"/>
            </w:rPr>
          </w:pPr>
          <w:r w:rsidRPr="00ED79B6">
            <w:rPr>
              <w:i/>
              <w:sz w:val="18"/>
            </w:rPr>
            <w:t xml:space="preserve"> </w:t>
          </w:r>
        </w:p>
      </w:tc>
    </w:tr>
  </w:tbl>
  <w:p w14:paraId="0A8D6AFD" w14:textId="77777777" w:rsidR="004D4DAE" w:rsidRPr="00ED79B6" w:rsidRDefault="004D4DAE" w:rsidP="0086528C">
    <w:pPr>
      <w:rPr>
        <w:i/>
        <w:sz w:val="18"/>
      </w:rPr>
    </w:pPr>
  </w:p>
  <w:p w14:paraId="6E4E3197" w14:textId="77777777" w:rsidR="004D4DAE" w:rsidRPr="0086528C" w:rsidRDefault="004D4DAE" w:rsidP="0086528C">
    <w:pPr>
      <w:pStyle w:val="Footer"/>
      <w:rPr>
        <w:rFonts w:eastAsia="Calibri"/>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DDEB6" w14:textId="7BA5C6F3" w:rsidR="004D4DAE" w:rsidRPr="008A2C51" w:rsidRDefault="004D4DAE" w:rsidP="0086528C">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4D4DAE" w:rsidRPr="008A2C51" w14:paraId="45AFFAEF" w14:textId="77777777" w:rsidTr="0086528C">
      <w:tc>
        <w:tcPr>
          <w:tcW w:w="365" w:type="pct"/>
        </w:tcPr>
        <w:p w14:paraId="3B45CF66" w14:textId="77777777" w:rsidR="004D4DAE" w:rsidRPr="008A2C51" w:rsidRDefault="004D4DAE" w:rsidP="0086528C">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Pr>
              <w:rFonts w:eastAsia="Calibri" w:cs="Times New Roman"/>
              <w:i/>
              <w:noProof/>
              <w:sz w:val="18"/>
            </w:rPr>
            <w:t>2</w:t>
          </w:r>
          <w:r w:rsidRPr="008A2C51">
            <w:rPr>
              <w:rFonts w:eastAsia="Calibri"/>
              <w:i/>
              <w:sz w:val="18"/>
            </w:rPr>
            <w:fldChar w:fldCharType="end"/>
          </w:r>
        </w:p>
      </w:tc>
      <w:tc>
        <w:tcPr>
          <w:tcW w:w="3688" w:type="pct"/>
        </w:tcPr>
        <w:p w14:paraId="00324963" w14:textId="5F487A48" w:rsidR="004D4DAE" w:rsidRPr="008A2C51" w:rsidRDefault="004D4DAE" w:rsidP="0086528C">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745273">
            <w:rPr>
              <w:rFonts w:eastAsia="Calibri" w:cs="Times New Roman"/>
              <w:i/>
              <w:sz w:val="18"/>
            </w:rPr>
            <w:t>Anti-Money Laundering and Counter-Terrorism Financing Rules 2024</w:t>
          </w:r>
          <w:r w:rsidRPr="008A2C51">
            <w:rPr>
              <w:rFonts w:eastAsia="Calibri"/>
              <w:i/>
              <w:sz w:val="18"/>
            </w:rPr>
            <w:fldChar w:fldCharType="end"/>
          </w:r>
        </w:p>
      </w:tc>
      <w:tc>
        <w:tcPr>
          <w:tcW w:w="947" w:type="pct"/>
        </w:tcPr>
        <w:p w14:paraId="2435F976" w14:textId="77777777" w:rsidR="004D4DAE" w:rsidRPr="008A2C51" w:rsidRDefault="004D4DAE" w:rsidP="0086528C">
          <w:pPr>
            <w:spacing w:line="0" w:lineRule="atLeast"/>
            <w:jc w:val="right"/>
            <w:rPr>
              <w:rFonts w:eastAsia="Calibri" w:cs="Times New Roman"/>
              <w:sz w:val="18"/>
            </w:rPr>
          </w:pPr>
        </w:p>
      </w:tc>
    </w:tr>
    <w:tr w:rsidR="004D4DAE" w:rsidRPr="008A2C51" w14:paraId="6056FA33" w14:textId="77777777" w:rsidTr="0086528C">
      <w:tc>
        <w:tcPr>
          <w:tcW w:w="5000" w:type="pct"/>
          <w:gridSpan w:val="3"/>
        </w:tcPr>
        <w:p w14:paraId="0B3A8D9A" w14:textId="5695E761" w:rsidR="004D4DAE" w:rsidRPr="008A2C51" w:rsidRDefault="004D4DAE" w:rsidP="0086528C">
          <w:pPr>
            <w:jc w:val="right"/>
            <w:rPr>
              <w:rFonts w:eastAsia="Calibri" w:cs="Times New Roman"/>
              <w:sz w:val="18"/>
            </w:rPr>
          </w:pPr>
          <w:r w:rsidRPr="008A2C51">
            <w:rPr>
              <w:rFonts w:eastAsia="Calibri" w:cs="Times New Roman"/>
              <w:i/>
              <w:sz w:val="18"/>
            </w:rPr>
            <w:t xml:space="preserve"> </w:t>
          </w:r>
        </w:p>
      </w:tc>
    </w:tr>
  </w:tbl>
  <w:p w14:paraId="03C96BA5" w14:textId="77777777" w:rsidR="004D4DAE" w:rsidRPr="008A2C51" w:rsidRDefault="004D4DAE" w:rsidP="0086528C">
    <w:pPr>
      <w:rPr>
        <w:rFonts w:eastAsia="Calibri"/>
        <w:i/>
        <w:sz w:val="18"/>
      </w:rPr>
    </w:pPr>
    <w:r w:rsidRPr="004622E0">
      <w:rPr>
        <w:rFonts w:eastAsia="Calibri"/>
        <w:b/>
        <w:i/>
        <w:noProof/>
        <w:sz w:val="18"/>
        <w:lang w:val="en-US"/>
      </w:rPr>
      <mc:AlternateContent>
        <mc:Choice Requires="wps">
          <w:drawing>
            <wp:anchor distT="0" distB="0" distL="114300" distR="114300" simplePos="0" relativeHeight="251694080" behindDoc="1" locked="1" layoutInCell="1" allowOverlap="1" wp14:anchorId="56862512" wp14:editId="734918A6">
              <wp:simplePos x="0" y="0"/>
              <wp:positionH relativeFrom="page">
                <wp:align>center</wp:align>
              </wp:positionH>
              <wp:positionV relativeFrom="paragraph">
                <wp:posOffset>1270</wp:posOffset>
              </wp:positionV>
              <wp:extent cx="5773003" cy="395785"/>
              <wp:effectExtent l="0" t="0" r="0" b="4445"/>
              <wp:wrapNone/>
              <wp:docPr id="648" name="Text Box 648"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0AAEE8" w14:textId="5E50694E" w:rsidR="004D4DAE" w:rsidRPr="00324EB0" w:rsidRDefault="00745273" w:rsidP="0086528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862512" id="_x0000_t202" coordsize="21600,21600" o:spt="202" path="m,l,21600r21600,l21600,xe">
              <v:stroke joinstyle="miter"/>
              <v:path gradientshapeok="t" o:connecttype="rect"/>
            </v:shapetype>
            <v:shape id="Text Box 648" o:spid="_x0000_s1040" type="#_x0000_t202" alt="Sec-Footerevenpage" style="position:absolute;margin-left:0;margin-top:.1pt;width:454.55pt;height:31.15pt;z-index:-25162240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jzgAIAAG4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" stroked="f" strokeweight=".5pt">
              <v:textbox>
                <w:txbxContent>
                  <w:p w14:paraId="150AAEE8" w14:textId="5E50694E" w:rsidR="004D4DAE" w:rsidRPr="00324EB0" w:rsidRDefault="00745273" w:rsidP="0086528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0D905" w14:textId="77777777" w:rsidR="004D4DAE" w:rsidRDefault="004D4DAE" w:rsidP="00715914">
      <w:pPr>
        <w:spacing w:line="240" w:lineRule="auto"/>
      </w:pPr>
      <w:r>
        <w:separator/>
      </w:r>
    </w:p>
  </w:footnote>
  <w:footnote w:type="continuationSeparator" w:id="0">
    <w:p w14:paraId="2D7EFA15" w14:textId="77777777" w:rsidR="004D4DAE" w:rsidRDefault="004D4DA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BBCC7" w14:textId="77777777" w:rsidR="004D4DAE" w:rsidRPr="005F1388" w:rsidRDefault="004D4DAE"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63360" behindDoc="1" locked="1" layoutInCell="1" allowOverlap="1" wp14:anchorId="448467EE" wp14:editId="2693F106">
              <wp:simplePos x="0" y="0"/>
              <wp:positionH relativeFrom="page">
                <wp:align>center</wp:align>
              </wp:positionH>
              <wp:positionV relativeFrom="paragraph">
                <wp:posOffset>-317500</wp:posOffset>
              </wp:positionV>
              <wp:extent cx="5773003" cy="395785"/>
              <wp:effectExtent l="0" t="0" r="0" b="4445"/>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015197" w14:textId="6545FBCD" w:rsidR="004D4DAE" w:rsidRPr="00324EB0" w:rsidRDefault="00745273" w:rsidP="008A04E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8467EE" id="_x0000_t202" coordsize="21600,21600" o:spt="202" path="m,l,21600r21600,l21600,xe">
              <v:stroke joinstyle="miter"/>
              <v:path gradientshapeok="t" o:connecttype="rect"/>
            </v:shapetype>
            <v:shape id="Text Box 21" o:spid="_x0000_s1026"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69015197" w14:textId="6545FBCD" w:rsidR="004D4DAE" w:rsidRPr="00324EB0" w:rsidRDefault="00745273" w:rsidP="008A04E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5EAB7" w14:textId="442974DE" w:rsidR="004D4DAE" w:rsidRPr="008A2C51" w:rsidRDefault="004D4DAE">
    <w:pPr>
      <w:jc w:val="right"/>
      <w:rPr>
        <w:sz w:val="20"/>
      </w:rPr>
    </w:pPr>
    <w:r w:rsidRPr="004622E0">
      <w:rPr>
        <w:b/>
        <w:noProof/>
        <w:sz w:val="20"/>
        <w:lang w:val="en-US"/>
      </w:rPr>
      <mc:AlternateContent>
        <mc:Choice Requires="wps">
          <w:drawing>
            <wp:anchor distT="0" distB="0" distL="114300" distR="114300" simplePos="0" relativeHeight="251688960" behindDoc="1" locked="1" layoutInCell="1" allowOverlap="1" wp14:anchorId="5126D256" wp14:editId="59601804">
              <wp:simplePos x="0" y="0"/>
              <wp:positionH relativeFrom="page">
                <wp:align>center</wp:align>
              </wp:positionH>
              <wp:positionV relativeFrom="paragraph">
                <wp:posOffset>-317500</wp:posOffset>
              </wp:positionV>
              <wp:extent cx="5773003" cy="395785"/>
              <wp:effectExtent l="0" t="0" r="0" b="4445"/>
              <wp:wrapNone/>
              <wp:docPr id="647" name="Text Box 64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B86632" w14:textId="49B758A9" w:rsidR="004D4DAE" w:rsidRPr="00324EB0" w:rsidRDefault="00745273" w:rsidP="0086528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26D256" id="_x0000_t202" coordsize="21600,21600" o:spt="202" path="m,l,21600r21600,l21600,xe">
              <v:stroke joinstyle="miter"/>
              <v:path gradientshapeok="t" o:connecttype="rect"/>
            </v:shapetype>
            <v:shape id="Text Box 647" o:spid="_x0000_s1039" type="#_x0000_t202" alt="Sec-Headerprimary" style="position:absolute;left:0;text-align:left;margin-left:0;margin-top:-25pt;width:454.55pt;height:31.15pt;z-index:-2516275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W0gQ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" stroked="f" strokeweight=".5pt">
              <v:textbox>
                <w:txbxContent>
                  <w:p w14:paraId="34B86632" w14:textId="49B758A9" w:rsidR="004D4DAE" w:rsidRPr="00324EB0" w:rsidRDefault="00745273" w:rsidP="0086528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8A2C51">
      <w:rPr>
        <w:sz w:val="20"/>
      </w:rPr>
      <w:fldChar w:fldCharType="begin"/>
    </w:r>
    <w:r w:rsidRPr="008A2C51">
      <w:rPr>
        <w:sz w:val="20"/>
      </w:rPr>
      <w:instrText xml:space="preserve"> STYLEREF CharChapText </w:instrText>
    </w:r>
    <w:r w:rsidRPr="008A2C51">
      <w:rPr>
        <w:sz w:val="20"/>
      </w:rPr>
      <w:fldChar w:fldCharType="separate"/>
    </w:r>
    <w:r w:rsidR="00C37C1B">
      <w:rPr>
        <w:noProof/>
        <w:sz w:val="20"/>
      </w:rPr>
      <w:t>Forms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C37C1B">
      <w:rPr>
        <w:b/>
        <w:noProof/>
        <w:sz w:val="20"/>
      </w:rPr>
      <w:t>Schedule 1</w:t>
    </w:r>
    <w:r w:rsidRPr="008A2C51">
      <w:rPr>
        <w:b/>
        <w:sz w:val="20"/>
      </w:rPr>
      <w:fldChar w:fldCharType="end"/>
    </w:r>
  </w:p>
  <w:p w14:paraId="301A3477" w14:textId="311A34E3" w:rsidR="004D4DAE" w:rsidRPr="008A2C51" w:rsidRDefault="004D4DAE">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14:paraId="785B85BB" w14:textId="37704A92" w:rsidR="004D4DAE" w:rsidRDefault="004D4DAE" w:rsidP="0086528C">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separate"/>
    </w:r>
    <w:r w:rsidR="00C37C1B">
      <w:rPr>
        <w:noProof/>
        <w:sz w:val="20"/>
      </w:rPr>
      <w:t>Keep open notice</w: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C37C1B">
      <w:rPr>
        <w:b/>
        <w:noProof/>
        <w:sz w:val="20"/>
      </w:rPr>
      <w:t>Form 1</w:t>
    </w:r>
    <w:r>
      <w:rPr>
        <w:b/>
        <w:sz w:val="20"/>
      </w:rPr>
      <w:fldChar w:fldCharType="end"/>
    </w:r>
  </w:p>
  <w:p w14:paraId="6A26423B" w14:textId="77777777" w:rsidR="004D4DAE" w:rsidRPr="004622E0" w:rsidRDefault="004D4DAE" w:rsidP="0086528C">
    <w:pPr>
      <w:pBdr>
        <w:bottom w:val="single" w:sz="6" w:space="1" w:color="auto"/>
      </w:pBdr>
      <w:jc w:val="right"/>
      <w:rPr>
        <w:b/>
      </w:rPr>
    </w:pPr>
  </w:p>
  <w:p w14:paraId="58C7AF78" w14:textId="77777777" w:rsidR="004D4DAE" w:rsidRPr="008A2C51" w:rsidRDefault="004D4DAE" w:rsidP="0086528C">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B2A6C" w14:textId="77777777" w:rsidR="004D4DAE" w:rsidRDefault="004D4DAE">
    <w:r w:rsidRPr="00324EB0">
      <w:rPr>
        <w:b/>
        <w:noProof/>
        <w:lang w:val="en-US"/>
      </w:rPr>
      <mc:AlternateContent>
        <mc:Choice Requires="wps">
          <w:drawing>
            <wp:anchor distT="0" distB="0" distL="114300" distR="114300" simplePos="0" relativeHeight="251689984" behindDoc="1" locked="1" layoutInCell="1" allowOverlap="1" wp14:anchorId="3008C00B" wp14:editId="5ABC4022">
              <wp:simplePos x="0" y="0"/>
              <wp:positionH relativeFrom="page">
                <wp:align>center</wp:align>
              </wp:positionH>
              <wp:positionV relativeFrom="paragraph">
                <wp:posOffset>-317500</wp:posOffset>
              </wp:positionV>
              <wp:extent cx="5773003" cy="395785"/>
              <wp:effectExtent l="0" t="0" r="0" b="4445"/>
              <wp:wrapNone/>
              <wp:docPr id="650" name="Text Box 650"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278980" w14:textId="11E86CE9" w:rsidR="004D4DAE" w:rsidRPr="00324EB0" w:rsidRDefault="00745273" w:rsidP="0086528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08C00B" id="_x0000_t202" coordsize="21600,21600" o:spt="202" path="m,l,21600r21600,l21600,xe">
              <v:stroke joinstyle="miter"/>
              <v:path gradientshapeok="t" o:connecttype="rect"/>
            </v:shapetype>
            <v:shape id="Text Box 650" o:spid="_x0000_s1042" type="#_x0000_t202" alt="Sec-Headerfirstpage" style="position:absolute;margin-left:0;margin-top:-25pt;width:454.55pt;height:31.15pt;z-index:-25162649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GgFmgoACAABu&#10;BQAADgAAAAAAAAAAAAAAAAAuAgAAZHJzL2Uyb0RvYy54bWxQSwECLQAUAAYACAAAACEARkHJhtsA&#10;AAAHAQAADwAAAAAAAAAAAAAAAADaBAAAZHJzL2Rvd25yZXYueG1sUEsFBgAAAAAEAAQA8wAAAOIF&#10;AAAAAA==&#10;" stroked="f" strokeweight=".5pt">
              <v:textbox>
                <w:txbxContent>
                  <w:p w14:paraId="0A278980" w14:textId="11E86CE9" w:rsidR="004D4DAE" w:rsidRPr="00324EB0" w:rsidRDefault="00745273" w:rsidP="0086528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70C5C" w14:textId="19BB168F" w:rsidR="004D4DAE" w:rsidRDefault="004D4DAE" w:rsidP="00715914">
    <w:pPr>
      <w:rPr>
        <w:sz w:val="20"/>
      </w:rPr>
    </w:pPr>
    <w:r w:rsidRPr="001769A7">
      <w:rPr>
        <w:b/>
        <w:noProof/>
        <w:sz w:val="20"/>
        <w:lang w:val="en-US"/>
      </w:rPr>
      <mc:AlternateContent>
        <mc:Choice Requires="wps">
          <w:drawing>
            <wp:anchor distT="0" distB="0" distL="114300" distR="114300" simplePos="0" relativeHeight="251679744" behindDoc="1" locked="1" layoutInCell="1" allowOverlap="1" wp14:anchorId="604CEB97" wp14:editId="01F6FAE4">
              <wp:simplePos x="0" y="0"/>
              <wp:positionH relativeFrom="page">
                <wp:align>center</wp:align>
              </wp:positionH>
              <wp:positionV relativeFrom="paragraph">
                <wp:posOffset>-317500</wp:posOffset>
              </wp:positionV>
              <wp:extent cx="5773003" cy="395785"/>
              <wp:effectExtent l="0" t="0" r="0" b="4445"/>
              <wp:wrapNone/>
              <wp:docPr id="29" name="Text Box 2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3C54EF" w14:textId="51B20D08" w:rsidR="004D4DAE" w:rsidRPr="00324EB0" w:rsidRDefault="00745273" w:rsidP="008A04E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4CEB97" id="_x0000_t202" coordsize="21600,21600" o:spt="202" path="m,l,21600r21600,l21600,xe">
              <v:stroke joinstyle="miter"/>
              <v:path gradientshapeok="t" o:connecttype="rect"/>
            </v:shapetype>
            <v:shape id="Text Box 29" o:spid="_x0000_s1044" type="#_x0000_t202" alt="Sec-Headerevenpage" style="position:absolute;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wMgAIAAG4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HBkwNWBAiso98gMB+3QeMsXCp9vyXx4ZA6nBMmAkx8e8JAasPvQ&#10;SZRswP362/eIR/KilpIap66g/ueWOUGJ/mqQ1te94TCOaboMR+M+Xty5ZnWuMdvqFpAVPdwxlicx&#10;4oM+iNJB9YILYh6joooZjrELGg7ibWh3AS4YLubzBMLBtCwszZPl0XVscyTnc/PCnO0YHJD793CY&#10;TzZ5Q+QWGy0NzLcBpEosj41uu9o9AA51mpNuAcWtcX5PqNOanL0C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ZiqcDIACAABu&#10;BQAADgAAAAAAAAAAAAAAAAAuAgAAZHJzL2Uyb0RvYy54bWxQSwECLQAUAAYACAAAACEARkHJhtsA&#10;AAAHAQAADwAAAAAAAAAAAAAAAADaBAAAZHJzL2Rvd25yZXYueG1sUEsFBgAAAAAEAAQA8wAAAOIF&#10;AAAAAA==&#10;" stroked="f" strokeweight=".5pt">
              <v:textbox>
                <w:txbxContent>
                  <w:p w14:paraId="723C54EF" w14:textId="51B20D08" w:rsidR="004D4DAE" w:rsidRPr="00324EB0" w:rsidRDefault="00745273" w:rsidP="008A04E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separate"/>
    </w:r>
    <w:r w:rsidR="00745273">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45273">
      <w:rPr>
        <w:noProof/>
        <w:sz w:val="20"/>
      </w:rPr>
      <w:t>Forms</w:t>
    </w:r>
    <w:r>
      <w:rPr>
        <w:sz w:val="20"/>
      </w:rPr>
      <w:fldChar w:fldCharType="end"/>
    </w:r>
  </w:p>
  <w:p w14:paraId="28B1D5C1" w14:textId="15FC363A" w:rsidR="004D4DAE" w:rsidRDefault="004D4DA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45273">
      <w:rPr>
        <w:b/>
        <w:noProof/>
        <w:sz w:val="20"/>
      </w:rPr>
      <w:t>Part 12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45273">
      <w:rPr>
        <w:noProof/>
        <w:sz w:val="20"/>
      </w:rPr>
      <w:t>Application, saving and transitional provisions [to be drafted]</w:t>
    </w:r>
    <w:r>
      <w:rPr>
        <w:sz w:val="20"/>
      </w:rPr>
      <w:fldChar w:fldCharType="end"/>
    </w:r>
  </w:p>
  <w:p w14:paraId="496206A8" w14:textId="0B43FE33" w:rsidR="004D4DAE" w:rsidRPr="007A1328" w:rsidRDefault="004D4DAE" w:rsidP="00715914">
    <w:pPr>
      <w:rPr>
        <w:sz w:val="20"/>
      </w:rPr>
    </w:pPr>
    <w:r>
      <w:rPr>
        <w:b/>
        <w:sz w:val="20"/>
      </w:rPr>
      <w:fldChar w:fldCharType="begin"/>
    </w:r>
    <w:r>
      <w:rPr>
        <w:b/>
        <w:sz w:val="20"/>
      </w:rPr>
      <w:instrText xml:space="preserve"> STYLEREF CharDivNo </w:instrText>
    </w:r>
    <w:r>
      <w:rPr>
        <w:b/>
        <w:sz w:val="20"/>
      </w:rPr>
      <w:fldChar w:fldCharType="separate"/>
    </w:r>
    <w:r w:rsidR="00745273">
      <w:rPr>
        <w:b/>
        <w:noProof/>
        <w:sz w:val="20"/>
      </w:rPr>
      <w:t>Form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745273">
      <w:rPr>
        <w:noProof/>
        <w:sz w:val="20"/>
      </w:rPr>
      <w:t>Application to issue extension notice</w:t>
    </w:r>
    <w:r>
      <w:rPr>
        <w:sz w:val="20"/>
      </w:rPr>
      <w:fldChar w:fldCharType="end"/>
    </w:r>
  </w:p>
  <w:p w14:paraId="50A6480D" w14:textId="77777777" w:rsidR="004D4DAE" w:rsidRPr="007A1328" w:rsidRDefault="004D4DAE" w:rsidP="00715914">
    <w:pPr>
      <w:rPr>
        <w:b/>
        <w:sz w:val="24"/>
      </w:rPr>
    </w:pPr>
  </w:p>
  <w:p w14:paraId="1626FF94" w14:textId="1CD6D0BD" w:rsidR="004D4DAE" w:rsidRPr="007A1328" w:rsidRDefault="004D4DAE" w:rsidP="0086528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4527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45273">
      <w:rPr>
        <w:noProof/>
        <w:sz w:val="24"/>
      </w:rPr>
      <w:t>68</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7AFDE" w14:textId="325173CC" w:rsidR="004D4DAE" w:rsidRPr="007A1328" w:rsidRDefault="004D4DAE" w:rsidP="00715914">
    <w:pPr>
      <w:jc w:val="right"/>
      <w:rPr>
        <w:sz w:val="20"/>
      </w:rPr>
    </w:pPr>
    <w:r w:rsidRPr="001769A7">
      <w:rPr>
        <w:b/>
        <w:noProof/>
        <w:sz w:val="20"/>
        <w:lang w:val="en-US"/>
      </w:rPr>
      <mc:AlternateContent>
        <mc:Choice Requires="wps">
          <w:drawing>
            <wp:anchor distT="0" distB="0" distL="114300" distR="114300" simplePos="0" relativeHeight="251675648" behindDoc="1" locked="1" layoutInCell="1" allowOverlap="1" wp14:anchorId="7B03BA0B" wp14:editId="59052132">
              <wp:simplePos x="0" y="0"/>
              <wp:positionH relativeFrom="page">
                <wp:align>center</wp:align>
              </wp:positionH>
              <wp:positionV relativeFrom="paragraph">
                <wp:posOffset>-317500</wp:posOffset>
              </wp:positionV>
              <wp:extent cx="5773003" cy="395785"/>
              <wp:effectExtent l="0" t="0" r="0" b="4445"/>
              <wp:wrapNone/>
              <wp:docPr id="27" name="Text Box 2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973451" w14:textId="1252B685" w:rsidR="004D4DAE" w:rsidRPr="00324EB0" w:rsidRDefault="00745273" w:rsidP="008A04E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03BA0B" id="_x0000_t202" coordsize="21600,21600" o:spt="202" path="m,l,21600r21600,l21600,xe">
              <v:stroke joinstyle="miter"/>
              <v:path gradientshapeok="t" o:connecttype="rect"/>
            </v:shapetype>
            <v:shape id="Text Box 27" o:spid="_x0000_s1045" type="#_x0000_t202" alt="Sec-Headerprimary" style="position:absolute;left:0;text-align:left;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PZgAIAAG4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HIgPGBAiso98gMB+3QeMsXCp/vnvnwxBxOCZIBJz884iE1YPeh&#10;kyjZgPv1t+8Rj+RFLSU1Tl1B/c8tc4IS/dUgrcf9y8s4pulyORxd4MWda1bnGrOt5oCs6OOOsTyJ&#10;ER/0QZQOqhdcELMYFVXMcIxd0HAQ56HdBbhguJjNEggH07Jwb5aWR9exzZGcz80Lc7ZjcEDuP8Bh&#10;PtnkDZFbbLQ0MNsGkCqxPDa67Wr3ADjUaU66BRS3xvk9oU5rcvoK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GZjT2YACAABu&#10;BQAADgAAAAAAAAAAAAAAAAAuAgAAZHJzL2Uyb0RvYy54bWxQSwECLQAUAAYACAAAACEARkHJhtsA&#10;AAAHAQAADwAAAAAAAAAAAAAAAADaBAAAZHJzL2Rvd25yZXYueG1sUEsFBgAAAAAEAAQA8wAAAOIF&#10;AAAAAA==&#10;" stroked="f" strokeweight=".5pt">
              <v:textbox>
                <w:txbxContent>
                  <w:p w14:paraId="1D973451" w14:textId="1252B685" w:rsidR="004D4DAE" w:rsidRPr="00324EB0" w:rsidRDefault="00745273" w:rsidP="008A04E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sidR="00745273">
      <w:rPr>
        <w:noProof/>
        <w:sz w:val="20"/>
      </w:rPr>
      <w:t>Forms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45273">
      <w:rPr>
        <w:b/>
        <w:noProof/>
        <w:sz w:val="20"/>
      </w:rPr>
      <w:t>Schedule 1</w:t>
    </w:r>
    <w:r>
      <w:rPr>
        <w:b/>
        <w:sz w:val="20"/>
      </w:rPr>
      <w:fldChar w:fldCharType="end"/>
    </w:r>
  </w:p>
  <w:p w14:paraId="6B829038" w14:textId="5A3319E7" w:rsidR="004D4DAE" w:rsidRPr="007A1328" w:rsidRDefault="004D4DA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45273">
      <w:rPr>
        <w:noProof/>
        <w:sz w:val="20"/>
      </w:rPr>
      <w:t>Application, saving and transitional provisions [to be drafted]</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45273">
      <w:rPr>
        <w:b/>
        <w:noProof/>
        <w:sz w:val="20"/>
      </w:rPr>
      <w:t>Part 12</w:t>
    </w:r>
    <w:r>
      <w:rPr>
        <w:b/>
        <w:sz w:val="20"/>
      </w:rPr>
      <w:fldChar w:fldCharType="end"/>
    </w:r>
  </w:p>
  <w:p w14:paraId="0AE39382" w14:textId="7B7AA923" w:rsidR="004D4DAE" w:rsidRPr="007A1328" w:rsidRDefault="004D4DA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745273">
      <w:rPr>
        <w:noProof/>
        <w:sz w:val="20"/>
      </w:rPr>
      <w:t>Application to issue extension notice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745273">
      <w:rPr>
        <w:b/>
        <w:noProof/>
        <w:sz w:val="20"/>
      </w:rPr>
      <w:t>Form 3</w:t>
    </w:r>
    <w:r>
      <w:rPr>
        <w:b/>
        <w:sz w:val="20"/>
      </w:rPr>
      <w:fldChar w:fldCharType="end"/>
    </w:r>
  </w:p>
  <w:p w14:paraId="579E89B6" w14:textId="77777777" w:rsidR="004D4DAE" w:rsidRPr="007A1328" w:rsidRDefault="004D4DAE" w:rsidP="00715914">
    <w:pPr>
      <w:jc w:val="right"/>
      <w:rPr>
        <w:b/>
        <w:sz w:val="24"/>
      </w:rPr>
    </w:pPr>
  </w:p>
  <w:p w14:paraId="781600C0" w14:textId="1A277FA5" w:rsidR="004D4DAE" w:rsidRPr="007A1328" w:rsidRDefault="004D4DAE" w:rsidP="0086528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4527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45273">
      <w:rPr>
        <w:noProof/>
        <w:sz w:val="24"/>
      </w:rPr>
      <w:t>68</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6E474" w14:textId="77777777" w:rsidR="004D4DAE" w:rsidRPr="007A1328" w:rsidRDefault="004D4DAE"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481B2" w14:textId="77777777" w:rsidR="004D4DAE" w:rsidRPr="005F1388" w:rsidRDefault="004D4DAE"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59264" behindDoc="1" locked="1" layoutInCell="1" allowOverlap="1" wp14:anchorId="14924BAC" wp14:editId="4B6DCCD1">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6056C6" w14:textId="1F22F374" w:rsidR="004D4DAE" w:rsidRPr="00324EB0" w:rsidRDefault="00745273" w:rsidP="008A04E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924BAC"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196056C6" w14:textId="1F22F374" w:rsidR="004D4DAE" w:rsidRPr="00324EB0" w:rsidRDefault="00745273" w:rsidP="008A04E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004FA" w14:textId="77777777" w:rsidR="004D4DAE" w:rsidRPr="005F1388" w:rsidRDefault="004D4DA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5877" w14:textId="77777777" w:rsidR="004D4DAE" w:rsidRPr="00ED79B6" w:rsidRDefault="004D4DAE"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71552" behindDoc="1" locked="1" layoutInCell="1" allowOverlap="1" wp14:anchorId="64D41AF4" wp14:editId="381AE133">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7FE6BE" w14:textId="44B517E7" w:rsidR="004D4DAE" w:rsidRPr="00324EB0" w:rsidRDefault="00745273" w:rsidP="008A04E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D41AF4" id="_x0000_t202" coordsize="21600,21600" o:spt="202" path="m,l,21600r21600,l21600,xe">
              <v:stroke joinstyle="miter"/>
              <v:path gradientshapeok="t" o:connecttype="rect"/>
            </v:shapetype>
            <v:shape id="Text Box 25" o:spid="_x0000_s1030" type="#_x0000_t202" alt="Sec-Headerevenpage" style="position:absolute;margin-left:0;margin-top:-25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0C7FE6BE" w14:textId="44B517E7" w:rsidR="004D4DAE" w:rsidRPr="00324EB0" w:rsidRDefault="00745273" w:rsidP="008A04E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FFEA9" w14:textId="77777777" w:rsidR="004D4DAE" w:rsidRPr="00ED79B6" w:rsidRDefault="004D4DAE"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7456" behindDoc="1" locked="1" layoutInCell="1" allowOverlap="1" wp14:anchorId="7A3E4434" wp14:editId="41CB878F">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43F8C4" w14:textId="76C1FEA6" w:rsidR="004D4DAE" w:rsidRPr="00324EB0" w:rsidRDefault="00745273" w:rsidP="008A04E4">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3E4434" id="_x0000_t202" coordsize="21600,21600" o:spt="202" path="m,l,21600r21600,l21600,xe">
              <v:stroke joinstyle="miter"/>
              <v:path gradientshapeok="t" o:connecttype="rect"/>
            </v:shapetype>
            <v:shape id="Text Box 23" o:spid="_x0000_s1031" type="#_x0000_t202" alt="Sec-Headerprimary"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6C43F8C4" w14:textId="76C1FEA6" w:rsidR="004D4DAE" w:rsidRPr="00324EB0" w:rsidRDefault="00745273" w:rsidP="008A04E4">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29F57" w14:textId="77777777" w:rsidR="004D4DAE" w:rsidRPr="00ED79B6" w:rsidRDefault="004D4DA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AAA39" w14:textId="6B9AAB39" w:rsidR="004D4DAE" w:rsidRPr="008A2C51" w:rsidRDefault="004D4DAE" w:rsidP="0086528C">
    <w:pPr>
      <w:rPr>
        <w:rFonts w:eastAsia="Calibri"/>
        <w:sz w:val="20"/>
      </w:rPr>
    </w:pPr>
    <w:r w:rsidRPr="004622E0">
      <w:rPr>
        <w:rFonts w:eastAsia="Calibri"/>
        <w:b/>
        <w:noProof/>
        <w:sz w:val="20"/>
        <w:lang w:val="en-US"/>
      </w:rPr>
      <mc:AlternateContent>
        <mc:Choice Requires="wps">
          <w:drawing>
            <wp:anchor distT="0" distB="0" distL="114300" distR="114300" simplePos="0" relativeHeight="251684864" behindDoc="1" locked="1" layoutInCell="1" allowOverlap="1" wp14:anchorId="2789C6A7" wp14:editId="6B96C30A">
              <wp:simplePos x="0" y="0"/>
              <wp:positionH relativeFrom="page">
                <wp:align>center</wp:align>
              </wp:positionH>
              <wp:positionV relativeFrom="paragraph">
                <wp:posOffset>-317500</wp:posOffset>
              </wp:positionV>
              <wp:extent cx="5773003" cy="395785"/>
              <wp:effectExtent l="0" t="0" r="0" b="4445"/>
              <wp:wrapNone/>
              <wp:docPr id="641" name="Text Box 64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3B0959" w14:textId="3C51DCF9" w:rsidR="004D4DAE" w:rsidRPr="00324EB0" w:rsidRDefault="00745273" w:rsidP="0086528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89C6A7" id="_x0000_t202" coordsize="21600,21600" o:spt="202" path="m,l,21600r21600,l21600,xe">
              <v:stroke joinstyle="miter"/>
              <v:path gradientshapeok="t" o:connecttype="rect"/>
            </v:shapetype>
            <v:shape id="Text Box 641" o:spid="_x0000_s1034" type="#_x0000_t202" alt="Sec-Headerevenpage" style="position:absolute;margin-left:0;margin-top:-25pt;width:454.55pt;height:31.15pt;z-index:-2516316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14:paraId="3B3B0959" w14:textId="3C51DCF9" w:rsidR="004D4DAE" w:rsidRPr="00324EB0" w:rsidRDefault="00745273" w:rsidP="0086528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14:paraId="0BA12533" w14:textId="72C1D16D" w:rsidR="004D4DAE" w:rsidRPr="008A2C51" w:rsidRDefault="004D4DAE" w:rsidP="0086528C">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separate"/>
    </w:r>
    <w:r w:rsidR="00C37C1B">
      <w:rPr>
        <w:rFonts w:eastAsia="Calibri"/>
        <w:b/>
        <w:noProof/>
        <w:sz w:val="20"/>
      </w:rPr>
      <w:t>Part 8</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separate"/>
    </w:r>
    <w:r w:rsidR="00C37C1B">
      <w:rPr>
        <w:rFonts w:eastAsia="Calibri"/>
        <w:noProof/>
        <w:sz w:val="20"/>
      </w:rPr>
      <w:t>Reporting</w:t>
    </w:r>
    <w:r w:rsidRPr="008A2C51">
      <w:rPr>
        <w:rFonts w:eastAsia="Calibri"/>
        <w:sz w:val="20"/>
      </w:rPr>
      <w:fldChar w:fldCharType="end"/>
    </w:r>
  </w:p>
  <w:p w14:paraId="401CDCDC" w14:textId="3A8586D3" w:rsidR="004D4DAE" w:rsidRPr="008A2C51" w:rsidRDefault="004D4DAE" w:rsidP="0086528C">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00C37C1B">
      <w:rPr>
        <w:rFonts w:eastAsia="Calibri"/>
        <w:b/>
        <w:sz w:val="20"/>
      </w:rPr>
      <w:fldChar w:fldCharType="separate"/>
    </w:r>
    <w:r w:rsidR="00C37C1B">
      <w:rPr>
        <w:rFonts w:eastAsia="Calibri"/>
        <w:b/>
        <w:noProof/>
        <w:sz w:val="20"/>
      </w:rPr>
      <w:t>Division 2</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00C37C1B">
      <w:rPr>
        <w:rFonts w:eastAsia="Calibri"/>
        <w:sz w:val="20"/>
      </w:rPr>
      <w:fldChar w:fldCharType="separate"/>
    </w:r>
    <w:r w:rsidR="00C37C1B">
      <w:rPr>
        <w:rFonts w:eastAsia="Calibri"/>
        <w:noProof/>
        <w:sz w:val="20"/>
      </w:rPr>
      <w:t>Threshold transaction reports [to be drafted]</w:t>
    </w:r>
    <w:r w:rsidRPr="008A2C51">
      <w:rPr>
        <w:rFonts w:eastAsia="Calibri"/>
        <w:sz w:val="20"/>
      </w:rPr>
      <w:fldChar w:fldCharType="end"/>
    </w:r>
  </w:p>
  <w:p w14:paraId="2E51BAC4" w14:textId="77777777" w:rsidR="004D4DAE" w:rsidRPr="008A2C51" w:rsidRDefault="004D4DAE" w:rsidP="0086528C">
    <w:pPr>
      <w:rPr>
        <w:rFonts w:eastAsia="Calibri"/>
        <w:b/>
        <w:sz w:val="24"/>
      </w:rPr>
    </w:pPr>
  </w:p>
  <w:p w14:paraId="1076B8B0" w14:textId="1326951B" w:rsidR="004D4DAE" w:rsidRPr="008A2C51" w:rsidRDefault="004D4DAE" w:rsidP="0086528C">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745273">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C37C1B">
      <w:rPr>
        <w:rFonts w:eastAsia="Calibri"/>
        <w:noProof/>
        <w:sz w:val="24"/>
      </w:rPr>
      <w:t>60</w:t>
    </w:r>
    <w:r w:rsidRPr="008A2C51">
      <w:rPr>
        <w:rFonts w:eastAsia="Calibri"/>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2C04D" w14:textId="13DF1D71" w:rsidR="004D4DAE" w:rsidRDefault="004D4DAE">
    <w:pPr>
      <w:jc w:val="right"/>
      <w:rPr>
        <w:sz w:val="20"/>
      </w:rPr>
    </w:pPr>
    <w:r w:rsidRPr="004622E0">
      <w:rPr>
        <w:b/>
        <w:noProof/>
        <w:sz w:val="20"/>
        <w:lang w:val="en-US"/>
      </w:rPr>
      <mc:AlternateContent>
        <mc:Choice Requires="wps">
          <w:drawing>
            <wp:anchor distT="0" distB="0" distL="114300" distR="114300" simplePos="0" relativeHeight="251683840" behindDoc="1" locked="1" layoutInCell="1" allowOverlap="1" wp14:anchorId="11C556B0" wp14:editId="5A9B61BF">
              <wp:simplePos x="0" y="0"/>
              <wp:positionH relativeFrom="page">
                <wp:align>center</wp:align>
              </wp:positionH>
              <wp:positionV relativeFrom="paragraph">
                <wp:posOffset>-317500</wp:posOffset>
              </wp:positionV>
              <wp:extent cx="5773003" cy="395785"/>
              <wp:effectExtent l="0" t="0" r="0" b="4445"/>
              <wp:wrapNone/>
              <wp:docPr id="642" name="Text Box 642"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8DD7FB" w14:textId="1DFB2D5B" w:rsidR="004D4DAE" w:rsidRPr="00324EB0" w:rsidRDefault="00745273" w:rsidP="0086528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C556B0" id="_x0000_t202" coordsize="21600,21600" o:spt="202" path="m,l,21600r21600,l21600,xe">
              <v:stroke joinstyle="miter"/>
              <v:path gradientshapeok="t" o:connecttype="rect"/>
            </v:shapetype>
            <v:shape id="Text Box 642" o:spid="_x0000_s1035" type="#_x0000_t202" alt="Sec-Headerprimary" style="position:absolute;left:0;text-align:left;margin-left:0;margin-top:-25pt;width:454.55pt;height:31.15pt;z-index:-2516326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14:paraId="238DD7FB" w14:textId="1DFB2D5B" w:rsidR="004D4DAE" w:rsidRPr="00324EB0" w:rsidRDefault="00745273" w:rsidP="0086528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2D280924" w14:textId="70D90C3D" w:rsidR="004D4DAE" w:rsidRDefault="004D4DAE">
    <w:pPr>
      <w:jc w:val="right"/>
      <w:rPr>
        <w:b/>
        <w:sz w:val="20"/>
      </w:rPr>
    </w:pPr>
    <w:r>
      <w:rPr>
        <w:sz w:val="20"/>
      </w:rPr>
      <w:fldChar w:fldCharType="begin"/>
    </w:r>
    <w:r>
      <w:rPr>
        <w:sz w:val="20"/>
      </w:rPr>
      <w:instrText xml:space="preserve"> STYLEREF CharPartText </w:instrText>
    </w:r>
    <w:r>
      <w:rPr>
        <w:sz w:val="20"/>
      </w:rPr>
      <w:fldChar w:fldCharType="separate"/>
    </w:r>
    <w:r w:rsidR="00C37C1B">
      <w:rPr>
        <w:noProof/>
        <w:sz w:val="20"/>
      </w:rPr>
      <w:t>Reporting</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C37C1B">
      <w:rPr>
        <w:b/>
        <w:noProof/>
        <w:sz w:val="20"/>
      </w:rPr>
      <w:t>Part 8</w:t>
    </w:r>
    <w:r>
      <w:rPr>
        <w:b/>
        <w:sz w:val="20"/>
      </w:rPr>
      <w:fldChar w:fldCharType="end"/>
    </w:r>
  </w:p>
  <w:p w14:paraId="73F36246" w14:textId="69FD1831" w:rsidR="004D4DAE" w:rsidRDefault="004D4DAE">
    <w:pPr>
      <w:jc w:val="right"/>
      <w:rPr>
        <w:sz w:val="20"/>
      </w:rPr>
    </w:pPr>
    <w:r>
      <w:rPr>
        <w:sz w:val="20"/>
      </w:rPr>
      <w:fldChar w:fldCharType="begin"/>
    </w:r>
    <w:r>
      <w:rPr>
        <w:sz w:val="20"/>
      </w:rPr>
      <w:instrText xml:space="preserve"> STYLEREF CharDivText </w:instrText>
    </w:r>
    <w:r w:rsidR="00C37C1B">
      <w:rPr>
        <w:sz w:val="20"/>
      </w:rPr>
      <w:fldChar w:fldCharType="separate"/>
    </w:r>
    <w:r w:rsidR="00C37C1B">
      <w:rPr>
        <w:noProof/>
        <w:sz w:val="20"/>
      </w:rPr>
      <w:t>International value transfer reports [to be drafted]</w:t>
    </w:r>
    <w:r>
      <w:rPr>
        <w:sz w:val="20"/>
      </w:rPr>
      <w:fldChar w:fldCharType="end"/>
    </w:r>
    <w:r>
      <w:rPr>
        <w:sz w:val="20"/>
      </w:rPr>
      <w:t xml:space="preserve">  </w:t>
    </w:r>
    <w:r>
      <w:rPr>
        <w:b/>
        <w:sz w:val="20"/>
      </w:rPr>
      <w:fldChar w:fldCharType="begin"/>
    </w:r>
    <w:r>
      <w:rPr>
        <w:b/>
        <w:sz w:val="20"/>
      </w:rPr>
      <w:instrText xml:space="preserve"> STYLEREF CharDivNo </w:instrText>
    </w:r>
    <w:r w:rsidR="00C37C1B">
      <w:rPr>
        <w:b/>
        <w:sz w:val="20"/>
      </w:rPr>
      <w:fldChar w:fldCharType="separate"/>
    </w:r>
    <w:r w:rsidR="00C37C1B">
      <w:rPr>
        <w:b/>
        <w:noProof/>
        <w:sz w:val="20"/>
      </w:rPr>
      <w:t>Division 3</w:t>
    </w:r>
    <w:r>
      <w:rPr>
        <w:b/>
        <w:sz w:val="20"/>
      </w:rPr>
      <w:fldChar w:fldCharType="end"/>
    </w:r>
  </w:p>
  <w:p w14:paraId="5B0DFA1C" w14:textId="77777777" w:rsidR="004D4DAE" w:rsidRDefault="004D4DAE">
    <w:pPr>
      <w:jc w:val="right"/>
      <w:rPr>
        <w:b/>
      </w:rPr>
    </w:pPr>
  </w:p>
  <w:p w14:paraId="4240E68E" w14:textId="6BD20301" w:rsidR="004D4DAE" w:rsidRDefault="004D4DAE" w:rsidP="0086528C">
    <w:pPr>
      <w:pBdr>
        <w:bottom w:val="single" w:sz="6" w:space="1" w:color="auto"/>
      </w:pBdr>
      <w:spacing w:after="120"/>
      <w:jc w:val="right"/>
    </w:pPr>
    <w:r>
      <w:t xml:space="preserve">Section </w:t>
    </w:r>
    <w:r w:rsidR="00915C3D">
      <w:fldChar w:fldCharType="begin"/>
    </w:r>
    <w:r w:rsidR="00915C3D">
      <w:instrText xml:space="preserve"> STYLEREF CharSectno </w:instrText>
    </w:r>
    <w:r w:rsidR="00915C3D">
      <w:fldChar w:fldCharType="separate"/>
    </w:r>
    <w:r w:rsidR="00C37C1B">
      <w:rPr>
        <w:noProof/>
      </w:rPr>
      <w:t>60</w:t>
    </w:r>
    <w:r w:rsidR="00915C3D">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ACC1D" w14:textId="776016C5" w:rsidR="004D4DAE" w:rsidRDefault="004D4DAE">
    <w:pPr>
      <w:rPr>
        <w:sz w:val="20"/>
      </w:rPr>
    </w:pPr>
    <w:r w:rsidRPr="004622E0">
      <w:rPr>
        <w:b/>
        <w:noProof/>
        <w:sz w:val="20"/>
        <w:lang w:val="en-US"/>
      </w:rPr>
      <mc:AlternateContent>
        <mc:Choice Requires="wps">
          <w:drawing>
            <wp:anchor distT="0" distB="0" distL="114300" distR="114300" simplePos="0" relativeHeight="251691008" behindDoc="1" locked="1" layoutInCell="1" allowOverlap="1" wp14:anchorId="361125BE" wp14:editId="4AE1BD45">
              <wp:simplePos x="0" y="0"/>
              <wp:positionH relativeFrom="page">
                <wp:align>center</wp:align>
              </wp:positionH>
              <wp:positionV relativeFrom="paragraph">
                <wp:posOffset>-317500</wp:posOffset>
              </wp:positionV>
              <wp:extent cx="5773003" cy="395785"/>
              <wp:effectExtent l="0" t="0" r="0" b="4445"/>
              <wp:wrapNone/>
              <wp:docPr id="646" name="Text Box 646"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5DCAEF" w14:textId="4665B570" w:rsidR="004D4DAE" w:rsidRPr="00324EB0" w:rsidRDefault="00745273" w:rsidP="0086528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1125BE" id="_x0000_t202" coordsize="21600,21600" o:spt="202" path="m,l,21600r21600,l21600,xe">
              <v:stroke joinstyle="miter"/>
              <v:path gradientshapeok="t" o:connecttype="rect"/>
            </v:shapetype>
            <v:shape id="Text Box 646" o:spid="_x0000_s1038" type="#_x0000_t202" alt="Sec-Headerevenpage" style="position:absolute;margin-left:0;margin-top:-25pt;width:454.55pt;height:31.15pt;z-index:-2516254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phgAIAAG4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HIgP6BAiso98gMB+3QeMsXCp/vnvnwxBxOCZIBJz884iE1YPeh&#10;kyjZgPv1t+8Rj+RFLSU1Tl1B/c8tc4IS/dUgra97w2Ec03QZjsZ9vLhzzepcY7bVHJAVPdwxlicx&#10;4oM+iNJB9YILYhajoooZjrELGg7iPLS7ABcMF7NZAuFgWhbuzdLy6Dq2OZLzuXlhznYMDsj9BzjM&#10;J5u8IXKLjZYGZtsAUiWWx0a3Xe0eAIc6zUm3gOLWOL8n1GlNTl8B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ZMS6YYACAABu&#10;BQAADgAAAAAAAAAAAAAAAAAuAgAAZHJzL2Uyb0RvYy54bWxQSwECLQAUAAYACAAAACEARkHJhtsA&#10;AAAHAQAADwAAAAAAAAAAAAAAAADaBAAAZHJzL2Rvd25yZXYueG1sUEsFBgAAAAAEAAQA8wAAAOIF&#10;AAAAAA==&#10;" stroked="f" strokeweight=".5pt">
              <v:textbox>
                <w:txbxContent>
                  <w:p w14:paraId="475DCAEF" w14:textId="4665B570" w:rsidR="004D4DAE" w:rsidRPr="00324EB0" w:rsidRDefault="00745273" w:rsidP="0086528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Pr>
        <w:b/>
        <w:sz w:val="20"/>
      </w:rPr>
      <w:fldChar w:fldCharType="begin"/>
    </w:r>
    <w:r>
      <w:rPr>
        <w:b/>
        <w:sz w:val="20"/>
      </w:rPr>
      <w:instrText xml:space="preserve"> STYLEREF CharChapNo </w:instrText>
    </w:r>
    <w:r>
      <w:rPr>
        <w:b/>
        <w:sz w:val="20"/>
      </w:rPr>
      <w:fldChar w:fldCharType="separate"/>
    </w:r>
    <w:r w:rsidR="00C37C1B">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C37C1B">
      <w:rPr>
        <w:noProof/>
        <w:sz w:val="20"/>
      </w:rPr>
      <w:t>Forms</w:t>
    </w:r>
    <w:r>
      <w:rPr>
        <w:sz w:val="20"/>
      </w:rPr>
      <w:fldChar w:fldCharType="end"/>
    </w:r>
  </w:p>
  <w:p w14:paraId="2A4531AE" w14:textId="5DCB3D67" w:rsidR="004D4DAE" w:rsidRDefault="004D4DA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3B8F9C14" w14:textId="3A7C6B63" w:rsidR="004D4DAE" w:rsidRDefault="004D4DAE" w:rsidP="0086528C">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separate"/>
    </w:r>
    <w:r w:rsidR="00C37C1B">
      <w:rPr>
        <w:b/>
        <w:noProof/>
        <w:sz w:val="20"/>
      </w:rPr>
      <w:t>Form 1</w: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separate"/>
    </w:r>
    <w:r w:rsidR="00C37C1B">
      <w:rPr>
        <w:noProof/>
        <w:sz w:val="20"/>
      </w:rPr>
      <w:t>Keep open notice</w:t>
    </w:r>
    <w:r>
      <w:rPr>
        <w:sz w:val="20"/>
      </w:rPr>
      <w:fldChar w:fldCharType="end"/>
    </w:r>
  </w:p>
  <w:p w14:paraId="0F638A21" w14:textId="77777777" w:rsidR="004D4DAE" w:rsidRPr="004622E0" w:rsidRDefault="004D4DAE" w:rsidP="0086528C">
    <w:pPr>
      <w:pBdr>
        <w:bottom w:val="single" w:sz="6" w:space="1" w:color="auto"/>
      </w:pBdr>
      <w:rPr>
        <w:b/>
      </w:rPr>
    </w:pPr>
  </w:p>
  <w:p w14:paraId="78B6C5D0" w14:textId="77777777" w:rsidR="004D4DAE" w:rsidRDefault="004D4DAE" w:rsidP="0086528C">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8870D7"/>
    <w:multiLevelType w:val="hybridMultilevel"/>
    <w:tmpl w:val="8A823BF8"/>
    <w:lvl w:ilvl="0" w:tplc="6C86C8BE">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7B0B3972"/>
    <w:multiLevelType w:val="hybridMultilevel"/>
    <w:tmpl w:val="0B40DB80"/>
    <w:lvl w:ilvl="0" w:tplc="0C09000F">
      <w:start w:val="1"/>
      <w:numFmt w:val="decimal"/>
      <w:lvlText w:val="%1."/>
      <w:lvlJc w:val="left"/>
      <w:pPr>
        <w:ind w:left="360" w:hanging="360"/>
      </w:pPr>
      <w:rPr>
        <w:rFonts w:hint="default"/>
        <w:b w:val="0"/>
        <w:i w:val="0"/>
        <w:color w:val="auto"/>
        <w:sz w:val="24"/>
        <w:szCs w:val="24"/>
      </w:rPr>
    </w:lvl>
    <w:lvl w:ilvl="1" w:tplc="A36846EC">
      <w:start w:val="1"/>
      <w:numFmt w:val="lowerLetter"/>
      <w:lvlText w:val="(%2)"/>
      <w:lvlJc w:val="left"/>
      <w:pPr>
        <w:ind w:left="928" w:hanging="360"/>
      </w:pPr>
      <w:rPr>
        <w:rFonts w:hint="default"/>
        <w:i w:val="0"/>
        <w:color w:val="auto"/>
      </w:rPr>
    </w:lvl>
    <w:lvl w:ilvl="2" w:tplc="D026F7A2">
      <w:start w:val="4"/>
      <w:numFmt w:val="lowerRoman"/>
      <w:lvlText w:val="(%3)"/>
      <w:lvlJc w:val="left"/>
      <w:pPr>
        <w:ind w:left="1031" w:hanging="180"/>
      </w:pPr>
      <w:rPr>
        <w:rFonts w:hint="default"/>
        <w:u w:val="none"/>
      </w:rPr>
    </w:lvl>
    <w:lvl w:ilvl="3" w:tplc="12F6E478">
      <w:numFmt w:val="bullet"/>
      <w:lvlText w:val="•"/>
      <w:lvlJc w:val="left"/>
      <w:pPr>
        <w:ind w:left="2880" w:hanging="360"/>
      </w:pPr>
      <w:rPr>
        <w:rFonts w:ascii="Times New Roman" w:eastAsiaTheme="minorEastAsia" w:hAnsi="Times New Roman" w:cs="Times New Roman" w:hint="default"/>
      </w:rPr>
    </w:lvl>
    <w:lvl w:ilvl="4" w:tplc="D026F7A2">
      <w:start w:val="4"/>
      <w:numFmt w:val="lowerRoman"/>
      <w:lvlText w:val="(%5)"/>
      <w:lvlJc w:val="left"/>
      <w:pPr>
        <w:ind w:left="3960" w:hanging="720"/>
      </w:pPr>
      <w:rPr>
        <w:rFonts w:hint="default"/>
        <w:u w:val="none"/>
      </w:r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06978096">
    <w:abstractNumId w:val="9"/>
  </w:num>
  <w:num w:numId="2" w16cid:durableId="263193032">
    <w:abstractNumId w:val="7"/>
  </w:num>
  <w:num w:numId="3" w16cid:durableId="937177879">
    <w:abstractNumId w:val="6"/>
  </w:num>
  <w:num w:numId="4" w16cid:durableId="1551569947">
    <w:abstractNumId w:val="5"/>
  </w:num>
  <w:num w:numId="5" w16cid:durableId="1731271419">
    <w:abstractNumId w:val="4"/>
  </w:num>
  <w:num w:numId="6" w16cid:durableId="1086535604">
    <w:abstractNumId w:val="8"/>
  </w:num>
  <w:num w:numId="7" w16cid:durableId="1442341415">
    <w:abstractNumId w:val="3"/>
  </w:num>
  <w:num w:numId="8" w16cid:durableId="793014212">
    <w:abstractNumId w:val="2"/>
  </w:num>
  <w:num w:numId="9" w16cid:durableId="315186104">
    <w:abstractNumId w:val="1"/>
  </w:num>
  <w:num w:numId="10" w16cid:durableId="2073118695">
    <w:abstractNumId w:val="0"/>
  </w:num>
  <w:num w:numId="11" w16cid:durableId="955411714">
    <w:abstractNumId w:val="16"/>
  </w:num>
  <w:num w:numId="12" w16cid:durableId="268395244">
    <w:abstractNumId w:val="11"/>
  </w:num>
  <w:num w:numId="13" w16cid:durableId="1705671513">
    <w:abstractNumId w:val="12"/>
  </w:num>
  <w:num w:numId="14" w16cid:durableId="1687095025">
    <w:abstractNumId w:val="15"/>
  </w:num>
  <w:num w:numId="15" w16cid:durableId="1476679677">
    <w:abstractNumId w:val="13"/>
  </w:num>
  <w:num w:numId="16" w16cid:durableId="1805731926">
    <w:abstractNumId w:val="10"/>
  </w:num>
  <w:num w:numId="17" w16cid:durableId="1417825340">
    <w:abstractNumId w:val="18"/>
  </w:num>
  <w:num w:numId="18" w16cid:durableId="810370682">
    <w:abstractNumId w:val="17"/>
  </w:num>
  <w:num w:numId="19" w16cid:durableId="375005405">
    <w:abstractNumId w:val="16"/>
  </w:num>
  <w:num w:numId="20" w16cid:durableId="1001080463">
    <w:abstractNumId w:val="14"/>
  </w:num>
  <w:num w:numId="21" w16cid:durableId="19674699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removePersonalInformation/>
  <w:embedTrueTypeFonts/>
  <w:saveSubsetFonts/>
  <w:activeWritingStyle w:appName="MSWord" w:lang="en-AU" w:vendorID="64" w:dllVersion="0" w:nlCheck="1" w:checkStyle="0"/>
  <w:activeWritingStyle w:appName="MSWord" w:lang="en-US" w:vendorID="64" w:dllVersion="0"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email"/>
    <w:dataType w:val="textFile"/>
    <w:activeRecord w:val="-1"/>
  </w:mailMerge>
  <w:defaultTabStop w:val="720"/>
  <w:evenAndOddHeaders/>
  <w:drawingGridHorizontalSpacing w:val="110"/>
  <w:displayHorizontalDrawingGridEvery w:val="2"/>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6FBA"/>
    <w:rsid w:val="000001A4"/>
    <w:rsid w:val="00000758"/>
    <w:rsid w:val="00001489"/>
    <w:rsid w:val="000043A6"/>
    <w:rsid w:val="00004470"/>
    <w:rsid w:val="00004A27"/>
    <w:rsid w:val="0000796D"/>
    <w:rsid w:val="00007B86"/>
    <w:rsid w:val="000122BB"/>
    <w:rsid w:val="0001341D"/>
    <w:rsid w:val="000136AF"/>
    <w:rsid w:val="000144AD"/>
    <w:rsid w:val="00014919"/>
    <w:rsid w:val="00014D10"/>
    <w:rsid w:val="00015EC2"/>
    <w:rsid w:val="00023F30"/>
    <w:rsid w:val="00024B75"/>
    <w:rsid w:val="00024DC6"/>
    <w:rsid w:val="00030D44"/>
    <w:rsid w:val="00041B89"/>
    <w:rsid w:val="0004291D"/>
    <w:rsid w:val="000437C1"/>
    <w:rsid w:val="000444BC"/>
    <w:rsid w:val="0004592D"/>
    <w:rsid w:val="000466E1"/>
    <w:rsid w:val="00050A7B"/>
    <w:rsid w:val="0005106A"/>
    <w:rsid w:val="00052D03"/>
    <w:rsid w:val="000532D3"/>
    <w:rsid w:val="0005365D"/>
    <w:rsid w:val="00054208"/>
    <w:rsid w:val="000545F8"/>
    <w:rsid w:val="0005777B"/>
    <w:rsid w:val="00057A5C"/>
    <w:rsid w:val="00060036"/>
    <w:rsid w:val="000614BF"/>
    <w:rsid w:val="0006292F"/>
    <w:rsid w:val="000636C9"/>
    <w:rsid w:val="000646F3"/>
    <w:rsid w:val="00064F0D"/>
    <w:rsid w:val="00064F2D"/>
    <w:rsid w:val="000672B4"/>
    <w:rsid w:val="00070B79"/>
    <w:rsid w:val="00072042"/>
    <w:rsid w:val="000724A6"/>
    <w:rsid w:val="0007380E"/>
    <w:rsid w:val="00074926"/>
    <w:rsid w:val="00077411"/>
    <w:rsid w:val="00077E27"/>
    <w:rsid w:val="000857CB"/>
    <w:rsid w:val="00085B60"/>
    <w:rsid w:val="000867A3"/>
    <w:rsid w:val="000875AA"/>
    <w:rsid w:val="00092B1C"/>
    <w:rsid w:val="00094CAD"/>
    <w:rsid w:val="000960E6"/>
    <w:rsid w:val="000966C9"/>
    <w:rsid w:val="000969B1"/>
    <w:rsid w:val="000A2AA1"/>
    <w:rsid w:val="000A2E51"/>
    <w:rsid w:val="000A3338"/>
    <w:rsid w:val="000A3955"/>
    <w:rsid w:val="000A4E06"/>
    <w:rsid w:val="000A5BA7"/>
    <w:rsid w:val="000A6D93"/>
    <w:rsid w:val="000A7C72"/>
    <w:rsid w:val="000B0ACD"/>
    <w:rsid w:val="000B0C75"/>
    <w:rsid w:val="000B2270"/>
    <w:rsid w:val="000B39EF"/>
    <w:rsid w:val="000B3CAC"/>
    <w:rsid w:val="000B58FA"/>
    <w:rsid w:val="000B5DB2"/>
    <w:rsid w:val="000B6153"/>
    <w:rsid w:val="000B6F44"/>
    <w:rsid w:val="000B7E30"/>
    <w:rsid w:val="000C28A3"/>
    <w:rsid w:val="000C2E5D"/>
    <w:rsid w:val="000C3619"/>
    <w:rsid w:val="000C387A"/>
    <w:rsid w:val="000C3955"/>
    <w:rsid w:val="000C498F"/>
    <w:rsid w:val="000C664D"/>
    <w:rsid w:val="000D01D9"/>
    <w:rsid w:val="000D05EF"/>
    <w:rsid w:val="000D0650"/>
    <w:rsid w:val="000D1143"/>
    <w:rsid w:val="000D1E4E"/>
    <w:rsid w:val="000D205A"/>
    <w:rsid w:val="000D2FFD"/>
    <w:rsid w:val="000D32C8"/>
    <w:rsid w:val="000D77EC"/>
    <w:rsid w:val="000E137C"/>
    <w:rsid w:val="000E1AAB"/>
    <w:rsid w:val="000E1E86"/>
    <w:rsid w:val="000E2261"/>
    <w:rsid w:val="000E36D2"/>
    <w:rsid w:val="000E48FD"/>
    <w:rsid w:val="000E584E"/>
    <w:rsid w:val="000E6AF7"/>
    <w:rsid w:val="000E6E56"/>
    <w:rsid w:val="000F0ACC"/>
    <w:rsid w:val="000F21C1"/>
    <w:rsid w:val="000F3972"/>
    <w:rsid w:val="000F4413"/>
    <w:rsid w:val="000F52AC"/>
    <w:rsid w:val="000F57DF"/>
    <w:rsid w:val="000F6B6A"/>
    <w:rsid w:val="000F7250"/>
    <w:rsid w:val="0010108D"/>
    <w:rsid w:val="001039BB"/>
    <w:rsid w:val="001039FE"/>
    <w:rsid w:val="00103EEA"/>
    <w:rsid w:val="001062A1"/>
    <w:rsid w:val="001070E8"/>
    <w:rsid w:val="00107395"/>
    <w:rsid w:val="0010745C"/>
    <w:rsid w:val="00111BB0"/>
    <w:rsid w:val="00112229"/>
    <w:rsid w:val="00113D5E"/>
    <w:rsid w:val="00113EA0"/>
    <w:rsid w:val="0011553A"/>
    <w:rsid w:val="00116B89"/>
    <w:rsid w:val="00116FBA"/>
    <w:rsid w:val="00120211"/>
    <w:rsid w:val="00121746"/>
    <w:rsid w:val="00122561"/>
    <w:rsid w:val="001243BA"/>
    <w:rsid w:val="00126BB4"/>
    <w:rsid w:val="001306C5"/>
    <w:rsid w:val="00130B58"/>
    <w:rsid w:val="00130FEC"/>
    <w:rsid w:val="00132C67"/>
    <w:rsid w:val="00132CEB"/>
    <w:rsid w:val="00134184"/>
    <w:rsid w:val="0013505C"/>
    <w:rsid w:val="0013533A"/>
    <w:rsid w:val="00141372"/>
    <w:rsid w:val="001423FA"/>
    <w:rsid w:val="00142B62"/>
    <w:rsid w:val="00142FC6"/>
    <w:rsid w:val="00144190"/>
    <w:rsid w:val="0014529D"/>
    <w:rsid w:val="0014539C"/>
    <w:rsid w:val="00147E33"/>
    <w:rsid w:val="00150B31"/>
    <w:rsid w:val="00152276"/>
    <w:rsid w:val="00152A33"/>
    <w:rsid w:val="00152A63"/>
    <w:rsid w:val="00153893"/>
    <w:rsid w:val="00154463"/>
    <w:rsid w:val="00154EDD"/>
    <w:rsid w:val="00157AB2"/>
    <w:rsid w:val="00157B8B"/>
    <w:rsid w:val="00157CB0"/>
    <w:rsid w:val="001601DC"/>
    <w:rsid w:val="00161DFB"/>
    <w:rsid w:val="0016247A"/>
    <w:rsid w:val="00162EAA"/>
    <w:rsid w:val="00163435"/>
    <w:rsid w:val="00164EC4"/>
    <w:rsid w:val="00166C2F"/>
    <w:rsid w:val="00167262"/>
    <w:rsid w:val="0017048D"/>
    <w:rsid w:val="00170DDA"/>
    <w:rsid w:val="001717F2"/>
    <w:rsid w:val="00171D1C"/>
    <w:rsid w:val="001721AC"/>
    <w:rsid w:val="001732AA"/>
    <w:rsid w:val="00173F01"/>
    <w:rsid w:val="00174C65"/>
    <w:rsid w:val="001752EB"/>
    <w:rsid w:val="001769A7"/>
    <w:rsid w:val="00177EEB"/>
    <w:rsid w:val="00180351"/>
    <w:rsid w:val="001809D7"/>
    <w:rsid w:val="00183453"/>
    <w:rsid w:val="0018364D"/>
    <w:rsid w:val="001923EA"/>
    <w:rsid w:val="001939E1"/>
    <w:rsid w:val="001948F6"/>
    <w:rsid w:val="00194C3E"/>
    <w:rsid w:val="00195382"/>
    <w:rsid w:val="00195B90"/>
    <w:rsid w:val="001979FD"/>
    <w:rsid w:val="001A0ABF"/>
    <w:rsid w:val="001A21D7"/>
    <w:rsid w:val="001A391A"/>
    <w:rsid w:val="001A48FE"/>
    <w:rsid w:val="001A64D2"/>
    <w:rsid w:val="001A74CC"/>
    <w:rsid w:val="001B1016"/>
    <w:rsid w:val="001B3138"/>
    <w:rsid w:val="001B46C2"/>
    <w:rsid w:val="001B472F"/>
    <w:rsid w:val="001B7064"/>
    <w:rsid w:val="001C10EF"/>
    <w:rsid w:val="001C20F8"/>
    <w:rsid w:val="001C2519"/>
    <w:rsid w:val="001C2BFE"/>
    <w:rsid w:val="001C2F2B"/>
    <w:rsid w:val="001C3ECB"/>
    <w:rsid w:val="001C53BC"/>
    <w:rsid w:val="001C5C86"/>
    <w:rsid w:val="001C61C5"/>
    <w:rsid w:val="001C69C4"/>
    <w:rsid w:val="001C78F9"/>
    <w:rsid w:val="001D19E2"/>
    <w:rsid w:val="001D2C38"/>
    <w:rsid w:val="001D37EF"/>
    <w:rsid w:val="001D3FBB"/>
    <w:rsid w:val="001D45A6"/>
    <w:rsid w:val="001D5F6F"/>
    <w:rsid w:val="001D676D"/>
    <w:rsid w:val="001E0079"/>
    <w:rsid w:val="001E07AC"/>
    <w:rsid w:val="001E1899"/>
    <w:rsid w:val="001E1C52"/>
    <w:rsid w:val="001E1F6A"/>
    <w:rsid w:val="001E3590"/>
    <w:rsid w:val="001E6264"/>
    <w:rsid w:val="001E658D"/>
    <w:rsid w:val="001E7407"/>
    <w:rsid w:val="001E7D65"/>
    <w:rsid w:val="001F098B"/>
    <w:rsid w:val="001F1D42"/>
    <w:rsid w:val="001F2312"/>
    <w:rsid w:val="001F436C"/>
    <w:rsid w:val="001F5548"/>
    <w:rsid w:val="001F5D5E"/>
    <w:rsid w:val="001F6219"/>
    <w:rsid w:val="001F6CD4"/>
    <w:rsid w:val="001F77D9"/>
    <w:rsid w:val="001F794C"/>
    <w:rsid w:val="001F7E1D"/>
    <w:rsid w:val="001F7EC5"/>
    <w:rsid w:val="0020061F"/>
    <w:rsid w:val="002015D3"/>
    <w:rsid w:val="0020190B"/>
    <w:rsid w:val="0020276D"/>
    <w:rsid w:val="00204723"/>
    <w:rsid w:val="0020657D"/>
    <w:rsid w:val="00206C4D"/>
    <w:rsid w:val="00206CA6"/>
    <w:rsid w:val="0021053C"/>
    <w:rsid w:val="00211707"/>
    <w:rsid w:val="00212D13"/>
    <w:rsid w:val="0021363B"/>
    <w:rsid w:val="00214264"/>
    <w:rsid w:val="002150FD"/>
    <w:rsid w:val="00215AF1"/>
    <w:rsid w:val="002169CE"/>
    <w:rsid w:val="00221B12"/>
    <w:rsid w:val="00222D05"/>
    <w:rsid w:val="00225128"/>
    <w:rsid w:val="002254AB"/>
    <w:rsid w:val="00226562"/>
    <w:rsid w:val="002275ED"/>
    <w:rsid w:val="00231875"/>
    <w:rsid w:val="002321E8"/>
    <w:rsid w:val="0023230A"/>
    <w:rsid w:val="00232966"/>
    <w:rsid w:val="0023319F"/>
    <w:rsid w:val="002337ED"/>
    <w:rsid w:val="00233FC5"/>
    <w:rsid w:val="00234E74"/>
    <w:rsid w:val="00236EEC"/>
    <w:rsid w:val="0024010F"/>
    <w:rsid w:val="00240749"/>
    <w:rsid w:val="0024093D"/>
    <w:rsid w:val="0024183E"/>
    <w:rsid w:val="00243018"/>
    <w:rsid w:val="002456ED"/>
    <w:rsid w:val="002461FA"/>
    <w:rsid w:val="002468B3"/>
    <w:rsid w:val="002475A2"/>
    <w:rsid w:val="002502B0"/>
    <w:rsid w:val="00250ED9"/>
    <w:rsid w:val="002511EE"/>
    <w:rsid w:val="00251E38"/>
    <w:rsid w:val="0025341F"/>
    <w:rsid w:val="002564A4"/>
    <w:rsid w:val="00256638"/>
    <w:rsid w:val="0026070C"/>
    <w:rsid w:val="0026677E"/>
    <w:rsid w:val="0026736C"/>
    <w:rsid w:val="00270E8B"/>
    <w:rsid w:val="002714CA"/>
    <w:rsid w:val="002767AC"/>
    <w:rsid w:val="00276E74"/>
    <w:rsid w:val="00277A73"/>
    <w:rsid w:val="00280545"/>
    <w:rsid w:val="00281308"/>
    <w:rsid w:val="00284719"/>
    <w:rsid w:val="002851D8"/>
    <w:rsid w:val="00285293"/>
    <w:rsid w:val="00290CC0"/>
    <w:rsid w:val="00291129"/>
    <w:rsid w:val="00291C54"/>
    <w:rsid w:val="002955DD"/>
    <w:rsid w:val="00297ECB"/>
    <w:rsid w:val="002A17A2"/>
    <w:rsid w:val="002A1989"/>
    <w:rsid w:val="002A23F1"/>
    <w:rsid w:val="002A25A1"/>
    <w:rsid w:val="002A2E38"/>
    <w:rsid w:val="002A333C"/>
    <w:rsid w:val="002A507A"/>
    <w:rsid w:val="002A5DD7"/>
    <w:rsid w:val="002A709E"/>
    <w:rsid w:val="002A7539"/>
    <w:rsid w:val="002A77DC"/>
    <w:rsid w:val="002A7BCF"/>
    <w:rsid w:val="002B0430"/>
    <w:rsid w:val="002B0856"/>
    <w:rsid w:val="002B2FF1"/>
    <w:rsid w:val="002B3896"/>
    <w:rsid w:val="002B3EBF"/>
    <w:rsid w:val="002B4681"/>
    <w:rsid w:val="002B47E0"/>
    <w:rsid w:val="002C1741"/>
    <w:rsid w:val="002C22A2"/>
    <w:rsid w:val="002C23F0"/>
    <w:rsid w:val="002C4A40"/>
    <w:rsid w:val="002C71C0"/>
    <w:rsid w:val="002C7802"/>
    <w:rsid w:val="002D043A"/>
    <w:rsid w:val="002D0993"/>
    <w:rsid w:val="002D5FC8"/>
    <w:rsid w:val="002D607B"/>
    <w:rsid w:val="002D6224"/>
    <w:rsid w:val="002D674D"/>
    <w:rsid w:val="002D6F63"/>
    <w:rsid w:val="002D720C"/>
    <w:rsid w:val="002E1E48"/>
    <w:rsid w:val="002E353F"/>
    <w:rsid w:val="002E3F4B"/>
    <w:rsid w:val="002F09AF"/>
    <w:rsid w:val="002F1880"/>
    <w:rsid w:val="002F36A5"/>
    <w:rsid w:val="002F4171"/>
    <w:rsid w:val="002F4595"/>
    <w:rsid w:val="002F6D28"/>
    <w:rsid w:val="002F7317"/>
    <w:rsid w:val="002F794E"/>
    <w:rsid w:val="00301ADB"/>
    <w:rsid w:val="00302DBD"/>
    <w:rsid w:val="0030345C"/>
    <w:rsid w:val="00304F8B"/>
    <w:rsid w:val="003054A6"/>
    <w:rsid w:val="00307A16"/>
    <w:rsid w:val="00307CE1"/>
    <w:rsid w:val="00310893"/>
    <w:rsid w:val="00310D03"/>
    <w:rsid w:val="003134D4"/>
    <w:rsid w:val="00313BD3"/>
    <w:rsid w:val="003172A6"/>
    <w:rsid w:val="00317F01"/>
    <w:rsid w:val="00321F0F"/>
    <w:rsid w:val="00322502"/>
    <w:rsid w:val="003232F8"/>
    <w:rsid w:val="00324B37"/>
    <w:rsid w:val="00327FED"/>
    <w:rsid w:val="00331D38"/>
    <w:rsid w:val="00331D93"/>
    <w:rsid w:val="0033392A"/>
    <w:rsid w:val="00334A29"/>
    <w:rsid w:val="00334CF7"/>
    <w:rsid w:val="003354D2"/>
    <w:rsid w:val="00335BC6"/>
    <w:rsid w:val="00337451"/>
    <w:rsid w:val="003415D3"/>
    <w:rsid w:val="0034277E"/>
    <w:rsid w:val="003433BE"/>
    <w:rsid w:val="00344701"/>
    <w:rsid w:val="00345DAA"/>
    <w:rsid w:val="00352B0F"/>
    <w:rsid w:val="00356690"/>
    <w:rsid w:val="003567D1"/>
    <w:rsid w:val="00356A1F"/>
    <w:rsid w:val="0035709B"/>
    <w:rsid w:val="00360104"/>
    <w:rsid w:val="00360459"/>
    <w:rsid w:val="003609F4"/>
    <w:rsid w:val="00361150"/>
    <w:rsid w:val="00361431"/>
    <w:rsid w:val="00363CAC"/>
    <w:rsid w:val="003644DC"/>
    <w:rsid w:val="00367061"/>
    <w:rsid w:val="00367243"/>
    <w:rsid w:val="003679DF"/>
    <w:rsid w:val="00367E2F"/>
    <w:rsid w:val="00371406"/>
    <w:rsid w:val="00371855"/>
    <w:rsid w:val="00371ACB"/>
    <w:rsid w:val="00372608"/>
    <w:rsid w:val="003743E0"/>
    <w:rsid w:val="00376A9B"/>
    <w:rsid w:val="00377862"/>
    <w:rsid w:val="00381CA7"/>
    <w:rsid w:val="0038773C"/>
    <w:rsid w:val="00387939"/>
    <w:rsid w:val="00390275"/>
    <w:rsid w:val="00390B9D"/>
    <w:rsid w:val="00394379"/>
    <w:rsid w:val="00395045"/>
    <w:rsid w:val="00395D26"/>
    <w:rsid w:val="003965D2"/>
    <w:rsid w:val="003978F1"/>
    <w:rsid w:val="003A0177"/>
    <w:rsid w:val="003A0887"/>
    <w:rsid w:val="003A2878"/>
    <w:rsid w:val="003A4669"/>
    <w:rsid w:val="003A5AB8"/>
    <w:rsid w:val="003A7036"/>
    <w:rsid w:val="003A7F99"/>
    <w:rsid w:val="003B0F73"/>
    <w:rsid w:val="003B3D8E"/>
    <w:rsid w:val="003B3F30"/>
    <w:rsid w:val="003B49DB"/>
    <w:rsid w:val="003B530E"/>
    <w:rsid w:val="003B5E27"/>
    <w:rsid w:val="003B7395"/>
    <w:rsid w:val="003B77A7"/>
    <w:rsid w:val="003B7978"/>
    <w:rsid w:val="003C10EC"/>
    <w:rsid w:val="003C1FAF"/>
    <w:rsid w:val="003C4760"/>
    <w:rsid w:val="003C572C"/>
    <w:rsid w:val="003C5C8C"/>
    <w:rsid w:val="003C6231"/>
    <w:rsid w:val="003C65BD"/>
    <w:rsid w:val="003C6D54"/>
    <w:rsid w:val="003C6DFD"/>
    <w:rsid w:val="003C7079"/>
    <w:rsid w:val="003D0BFE"/>
    <w:rsid w:val="003D0D51"/>
    <w:rsid w:val="003D156B"/>
    <w:rsid w:val="003D1D1E"/>
    <w:rsid w:val="003D2C1F"/>
    <w:rsid w:val="003D2FD8"/>
    <w:rsid w:val="003D5700"/>
    <w:rsid w:val="003D622A"/>
    <w:rsid w:val="003D638D"/>
    <w:rsid w:val="003D696A"/>
    <w:rsid w:val="003E0074"/>
    <w:rsid w:val="003E0A8C"/>
    <w:rsid w:val="003E1BF5"/>
    <w:rsid w:val="003E327F"/>
    <w:rsid w:val="003E341B"/>
    <w:rsid w:val="003E3A86"/>
    <w:rsid w:val="003E4CDB"/>
    <w:rsid w:val="003E4DD8"/>
    <w:rsid w:val="003E573E"/>
    <w:rsid w:val="003F074B"/>
    <w:rsid w:val="003F1F33"/>
    <w:rsid w:val="00400247"/>
    <w:rsid w:val="004014C0"/>
    <w:rsid w:val="00403C1B"/>
    <w:rsid w:val="00404953"/>
    <w:rsid w:val="00404FC8"/>
    <w:rsid w:val="004116CD"/>
    <w:rsid w:val="00412E43"/>
    <w:rsid w:val="0041387C"/>
    <w:rsid w:val="00413EFB"/>
    <w:rsid w:val="004140DD"/>
    <w:rsid w:val="004144EC"/>
    <w:rsid w:val="00417EB9"/>
    <w:rsid w:val="004206C3"/>
    <w:rsid w:val="004209BB"/>
    <w:rsid w:val="00421672"/>
    <w:rsid w:val="00424CA9"/>
    <w:rsid w:val="00425B54"/>
    <w:rsid w:val="00426347"/>
    <w:rsid w:val="00426782"/>
    <w:rsid w:val="00426DB9"/>
    <w:rsid w:val="00427621"/>
    <w:rsid w:val="00431E9B"/>
    <w:rsid w:val="0043459E"/>
    <w:rsid w:val="00434A5F"/>
    <w:rsid w:val="004367CB"/>
    <w:rsid w:val="004375D2"/>
    <w:rsid w:val="004379E3"/>
    <w:rsid w:val="00437E5C"/>
    <w:rsid w:val="0044015E"/>
    <w:rsid w:val="00440C37"/>
    <w:rsid w:val="0044277E"/>
    <w:rsid w:val="0044291A"/>
    <w:rsid w:val="00444ABD"/>
    <w:rsid w:val="00446FC6"/>
    <w:rsid w:val="004478B4"/>
    <w:rsid w:val="004504CE"/>
    <w:rsid w:val="00451B3D"/>
    <w:rsid w:val="0045269B"/>
    <w:rsid w:val="00453D05"/>
    <w:rsid w:val="00461B16"/>
    <w:rsid w:val="00461C81"/>
    <w:rsid w:val="00461EFE"/>
    <w:rsid w:val="00462A87"/>
    <w:rsid w:val="0046352C"/>
    <w:rsid w:val="00464D6F"/>
    <w:rsid w:val="00464DA2"/>
    <w:rsid w:val="00464E82"/>
    <w:rsid w:val="00466884"/>
    <w:rsid w:val="00466A7C"/>
    <w:rsid w:val="00466D63"/>
    <w:rsid w:val="00467661"/>
    <w:rsid w:val="004705B7"/>
    <w:rsid w:val="00470616"/>
    <w:rsid w:val="00472275"/>
    <w:rsid w:val="00472DBE"/>
    <w:rsid w:val="00473879"/>
    <w:rsid w:val="00474A19"/>
    <w:rsid w:val="00475F21"/>
    <w:rsid w:val="00477732"/>
    <w:rsid w:val="004827B7"/>
    <w:rsid w:val="0048620F"/>
    <w:rsid w:val="00486CF5"/>
    <w:rsid w:val="00487453"/>
    <w:rsid w:val="004879F0"/>
    <w:rsid w:val="00490274"/>
    <w:rsid w:val="00494A65"/>
    <w:rsid w:val="00495BC3"/>
    <w:rsid w:val="004968B1"/>
    <w:rsid w:val="00496F97"/>
    <w:rsid w:val="004973AC"/>
    <w:rsid w:val="00497DAA"/>
    <w:rsid w:val="00497F9C"/>
    <w:rsid w:val="004A2A15"/>
    <w:rsid w:val="004A6494"/>
    <w:rsid w:val="004A6C00"/>
    <w:rsid w:val="004A7589"/>
    <w:rsid w:val="004B0DB7"/>
    <w:rsid w:val="004B0E81"/>
    <w:rsid w:val="004B21E2"/>
    <w:rsid w:val="004B3F89"/>
    <w:rsid w:val="004B5CCB"/>
    <w:rsid w:val="004B73FE"/>
    <w:rsid w:val="004C13FB"/>
    <w:rsid w:val="004C1A29"/>
    <w:rsid w:val="004C1F20"/>
    <w:rsid w:val="004C2910"/>
    <w:rsid w:val="004C2BA4"/>
    <w:rsid w:val="004C5696"/>
    <w:rsid w:val="004C6AE8"/>
    <w:rsid w:val="004C706E"/>
    <w:rsid w:val="004D0F6D"/>
    <w:rsid w:val="004D1559"/>
    <w:rsid w:val="004D15CC"/>
    <w:rsid w:val="004D1E4D"/>
    <w:rsid w:val="004D2CBA"/>
    <w:rsid w:val="004D3593"/>
    <w:rsid w:val="004D4DAE"/>
    <w:rsid w:val="004D5377"/>
    <w:rsid w:val="004D58EA"/>
    <w:rsid w:val="004D76D2"/>
    <w:rsid w:val="004E063A"/>
    <w:rsid w:val="004E28A7"/>
    <w:rsid w:val="004E6A27"/>
    <w:rsid w:val="004E7BEC"/>
    <w:rsid w:val="004F02BB"/>
    <w:rsid w:val="004F2AC3"/>
    <w:rsid w:val="004F39EB"/>
    <w:rsid w:val="004F3FDC"/>
    <w:rsid w:val="004F45A5"/>
    <w:rsid w:val="004F475A"/>
    <w:rsid w:val="004F53FA"/>
    <w:rsid w:val="004F605A"/>
    <w:rsid w:val="004F7E1F"/>
    <w:rsid w:val="00500437"/>
    <w:rsid w:val="00501729"/>
    <w:rsid w:val="00502254"/>
    <w:rsid w:val="00504EFF"/>
    <w:rsid w:val="00505915"/>
    <w:rsid w:val="00505D3D"/>
    <w:rsid w:val="00505E9D"/>
    <w:rsid w:val="00506AF6"/>
    <w:rsid w:val="00506BAF"/>
    <w:rsid w:val="00507B74"/>
    <w:rsid w:val="00511422"/>
    <w:rsid w:val="0051188C"/>
    <w:rsid w:val="005119C3"/>
    <w:rsid w:val="00511B0B"/>
    <w:rsid w:val="005122B1"/>
    <w:rsid w:val="0051372F"/>
    <w:rsid w:val="0051427F"/>
    <w:rsid w:val="005147E1"/>
    <w:rsid w:val="00514D82"/>
    <w:rsid w:val="00515ECA"/>
    <w:rsid w:val="00516B8D"/>
    <w:rsid w:val="005221F7"/>
    <w:rsid w:val="00523F86"/>
    <w:rsid w:val="00524B7D"/>
    <w:rsid w:val="00526B47"/>
    <w:rsid w:val="00530913"/>
    <w:rsid w:val="00530C49"/>
    <w:rsid w:val="00531386"/>
    <w:rsid w:val="0053158F"/>
    <w:rsid w:val="00532B47"/>
    <w:rsid w:val="005337A2"/>
    <w:rsid w:val="00534522"/>
    <w:rsid w:val="00536C4A"/>
    <w:rsid w:val="00536EDF"/>
    <w:rsid w:val="00537FBC"/>
    <w:rsid w:val="005405F9"/>
    <w:rsid w:val="00541242"/>
    <w:rsid w:val="00541C54"/>
    <w:rsid w:val="00543CF9"/>
    <w:rsid w:val="005450F3"/>
    <w:rsid w:val="00547DAE"/>
    <w:rsid w:val="00550D67"/>
    <w:rsid w:val="00552133"/>
    <w:rsid w:val="00552CCC"/>
    <w:rsid w:val="00554954"/>
    <w:rsid w:val="00556396"/>
    <w:rsid w:val="005574D1"/>
    <w:rsid w:val="005577B2"/>
    <w:rsid w:val="00561AC6"/>
    <w:rsid w:val="005623B9"/>
    <w:rsid w:val="00563A6B"/>
    <w:rsid w:val="00563C1C"/>
    <w:rsid w:val="00564A09"/>
    <w:rsid w:val="0057082B"/>
    <w:rsid w:val="00572348"/>
    <w:rsid w:val="005727C2"/>
    <w:rsid w:val="00572DFE"/>
    <w:rsid w:val="0057412B"/>
    <w:rsid w:val="005745D7"/>
    <w:rsid w:val="00575F97"/>
    <w:rsid w:val="0057676E"/>
    <w:rsid w:val="005768EA"/>
    <w:rsid w:val="00581F2A"/>
    <w:rsid w:val="005847C0"/>
    <w:rsid w:val="00584811"/>
    <w:rsid w:val="00585345"/>
    <w:rsid w:val="00585784"/>
    <w:rsid w:val="00585B59"/>
    <w:rsid w:val="00586868"/>
    <w:rsid w:val="005909A8"/>
    <w:rsid w:val="005928CC"/>
    <w:rsid w:val="00593AA6"/>
    <w:rsid w:val="00594161"/>
    <w:rsid w:val="00594749"/>
    <w:rsid w:val="00596574"/>
    <w:rsid w:val="00596AB4"/>
    <w:rsid w:val="005A1F5F"/>
    <w:rsid w:val="005A1F80"/>
    <w:rsid w:val="005A38C6"/>
    <w:rsid w:val="005A4906"/>
    <w:rsid w:val="005A4D14"/>
    <w:rsid w:val="005A61E5"/>
    <w:rsid w:val="005A7A7A"/>
    <w:rsid w:val="005B0A17"/>
    <w:rsid w:val="005B0DD0"/>
    <w:rsid w:val="005B1744"/>
    <w:rsid w:val="005B2024"/>
    <w:rsid w:val="005B311B"/>
    <w:rsid w:val="005B35B7"/>
    <w:rsid w:val="005B4067"/>
    <w:rsid w:val="005B7922"/>
    <w:rsid w:val="005C1302"/>
    <w:rsid w:val="005C2AA6"/>
    <w:rsid w:val="005C3F41"/>
    <w:rsid w:val="005C4147"/>
    <w:rsid w:val="005C6060"/>
    <w:rsid w:val="005C6FCD"/>
    <w:rsid w:val="005D0119"/>
    <w:rsid w:val="005D0253"/>
    <w:rsid w:val="005D0478"/>
    <w:rsid w:val="005D126E"/>
    <w:rsid w:val="005D2ADE"/>
    <w:rsid w:val="005D2D09"/>
    <w:rsid w:val="005D53E7"/>
    <w:rsid w:val="005D556D"/>
    <w:rsid w:val="005D6D40"/>
    <w:rsid w:val="005D78E0"/>
    <w:rsid w:val="005E0256"/>
    <w:rsid w:val="005E3469"/>
    <w:rsid w:val="005E51EB"/>
    <w:rsid w:val="005E7049"/>
    <w:rsid w:val="005F01E9"/>
    <w:rsid w:val="005F2FA8"/>
    <w:rsid w:val="005F4796"/>
    <w:rsid w:val="005F6F85"/>
    <w:rsid w:val="005F7F1C"/>
    <w:rsid w:val="00600219"/>
    <w:rsid w:val="00600968"/>
    <w:rsid w:val="00601260"/>
    <w:rsid w:val="00603DC4"/>
    <w:rsid w:val="00606BBD"/>
    <w:rsid w:val="00607ABC"/>
    <w:rsid w:val="00607B98"/>
    <w:rsid w:val="00610A58"/>
    <w:rsid w:val="00610A83"/>
    <w:rsid w:val="0061500C"/>
    <w:rsid w:val="00617648"/>
    <w:rsid w:val="006179B8"/>
    <w:rsid w:val="00617A7B"/>
    <w:rsid w:val="00617D6E"/>
    <w:rsid w:val="00617F83"/>
    <w:rsid w:val="00620076"/>
    <w:rsid w:val="0062128F"/>
    <w:rsid w:val="00623F89"/>
    <w:rsid w:val="006241E1"/>
    <w:rsid w:val="006252A6"/>
    <w:rsid w:val="00626E96"/>
    <w:rsid w:val="006316A6"/>
    <w:rsid w:val="00631BFF"/>
    <w:rsid w:val="00631C0C"/>
    <w:rsid w:val="00633308"/>
    <w:rsid w:val="006340E8"/>
    <w:rsid w:val="006349C1"/>
    <w:rsid w:val="006352B6"/>
    <w:rsid w:val="00640E6D"/>
    <w:rsid w:val="00642502"/>
    <w:rsid w:val="0064319E"/>
    <w:rsid w:val="00643B82"/>
    <w:rsid w:val="00643BB2"/>
    <w:rsid w:val="006447FC"/>
    <w:rsid w:val="00644DC4"/>
    <w:rsid w:val="0064635D"/>
    <w:rsid w:val="00647693"/>
    <w:rsid w:val="00650DCA"/>
    <w:rsid w:val="00651325"/>
    <w:rsid w:val="00651B7C"/>
    <w:rsid w:val="00651CB8"/>
    <w:rsid w:val="00651D6D"/>
    <w:rsid w:val="0065214C"/>
    <w:rsid w:val="0065256A"/>
    <w:rsid w:val="006539A9"/>
    <w:rsid w:val="00656D53"/>
    <w:rsid w:val="00660803"/>
    <w:rsid w:val="00661BE2"/>
    <w:rsid w:val="00661F2A"/>
    <w:rsid w:val="00664FD0"/>
    <w:rsid w:val="006650CB"/>
    <w:rsid w:val="00666513"/>
    <w:rsid w:val="00667082"/>
    <w:rsid w:val="00667B2B"/>
    <w:rsid w:val="00670EA1"/>
    <w:rsid w:val="006715DB"/>
    <w:rsid w:val="00671B04"/>
    <w:rsid w:val="00675B8D"/>
    <w:rsid w:val="006765A5"/>
    <w:rsid w:val="00676ECD"/>
    <w:rsid w:val="00676EF4"/>
    <w:rsid w:val="00677CC2"/>
    <w:rsid w:val="00682793"/>
    <w:rsid w:val="0068405B"/>
    <w:rsid w:val="00686269"/>
    <w:rsid w:val="00686527"/>
    <w:rsid w:val="006879C9"/>
    <w:rsid w:val="006905DE"/>
    <w:rsid w:val="0069174B"/>
    <w:rsid w:val="0069207B"/>
    <w:rsid w:val="00692DB7"/>
    <w:rsid w:val="00693FC4"/>
    <w:rsid w:val="006944A8"/>
    <w:rsid w:val="00694678"/>
    <w:rsid w:val="00696711"/>
    <w:rsid w:val="00696B16"/>
    <w:rsid w:val="00697331"/>
    <w:rsid w:val="006A2280"/>
    <w:rsid w:val="006A3146"/>
    <w:rsid w:val="006A4C66"/>
    <w:rsid w:val="006A6C83"/>
    <w:rsid w:val="006A7AC6"/>
    <w:rsid w:val="006B0FE8"/>
    <w:rsid w:val="006B164E"/>
    <w:rsid w:val="006B19BE"/>
    <w:rsid w:val="006B2579"/>
    <w:rsid w:val="006B2C97"/>
    <w:rsid w:val="006B31E4"/>
    <w:rsid w:val="006B5450"/>
    <w:rsid w:val="006B5789"/>
    <w:rsid w:val="006B6A99"/>
    <w:rsid w:val="006C0304"/>
    <w:rsid w:val="006C14B7"/>
    <w:rsid w:val="006C1C80"/>
    <w:rsid w:val="006C2563"/>
    <w:rsid w:val="006C259B"/>
    <w:rsid w:val="006C30C5"/>
    <w:rsid w:val="006C5B2B"/>
    <w:rsid w:val="006C7327"/>
    <w:rsid w:val="006C75B3"/>
    <w:rsid w:val="006C7F8C"/>
    <w:rsid w:val="006D1E1E"/>
    <w:rsid w:val="006D1E7E"/>
    <w:rsid w:val="006D2E96"/>
    <w:rsid w:val="006D2EFF"/>
    <w:rsid w:val="006D43F4"/>
    <w:rsid w:val="006D5AB7"/>
    <w:rsid w:val="006D63A7"/>
    <w:rsid w:val="006E0307"/>
    <w:rsid w:val="006E0369"/>
    <w:rsid w:val="006E09DE"/>
    <w:rsid w:val="006E10BA"/>
    <w:rsid w:val="006E1A1D"/>
    <w:rsid w:val="006E2AEC"/>
    <w:rsid w:val="006E40BE"/>
    <w:rsid w:val="006E456B"/>
    <w:rsid w:val="006E6246"/>
    <w:rsid w:val="006E7139"/>
    <w:rsid w:val="006F134E"/>
    <w:rsid w:val="006F15FE"/>
    <w:rsid w:val="006F2ABD"/>
    <w:rsid w:val="006F318F"/>
    <w:rsid w:val="006F35EB"/>
    <w:rsid w:val="006F4226"/>
    <w:rsid w:val="006F53F8"/>
    <w:rsid w:val="006F6393"/>
    <w:rsid w:val="006F64CE"/>
    <w:rsid w:val="006F6E00"/>
    <w:rsid w:val="006F7231"/>
    <w:rsid w:val="006F7641"/>
    <w:rsid w:val="0070017E"/>
    <w:rsid w:val="0070081E"/>
    <w:rsid w:val="00700B2C"/>
    <w:rsid w:val="00701212"/>
    <w:rsid w:val="007019AD"/>
    <w:rsid w:val="00702A26"/>
    <w:rsid w:val="00702D82"/>
    <w:rsid w:val="0070455F"/>
    <w:rsid w:val="007050A2"/>
    <w:rsid w:val="007057BD"/>
    <w:rsid w:val="00707EC7"/>
    <w:rsid w:val="00713084"/>
    <w:rsid w:val="007144D8"/>
    <w:rsid w:val="00714F20"/>
    <w:rsid w:val="00715299"/>
    <w:rsid w:val="0071565C"/>
    <w:rsid w:val="0071590F"/>
    <w:rsid w:val="00715914"/>
    <w:rsid w:val="00715B09"/>
    <w:rsid w:val="00715C70"/>
    <w:rsid w:val="00716873"/>
    <w:rsid w:val="00720075"/>
    <w:rsid w:val="00720135"/>
    <w:rsid w:val="0072435C"/>
    <w:rsid w:val="007247E2"/>
    <w:rsid w:val="007263A8"/>
    <w:rsid w:val="00726A03"/>
    <w:rsid w:val="00727867"/>
    <w:rsid w:val="007278FD"/>
    <w:rsid w:val="00730810"/>
    <w:rsid w:val="00730DF3"/>
    <w:rsid w:val="00731E00"/>
    <w:rsid w:val="00732A14"/>
    <w:rsid w:val="00733EB6"/>
    <w:rsid w:val="00734D32"/>
    <w:rsid w:val="0073689F"/>
    <w:rsid w:val="007372D6"/>
    <w:rsid w:val="007400F6"/>
    <w:rsid w:val="0074057C"/>
    <w:rsid w:val="007411C6"/>
    <w:rsid w:val="00741728"/>
    <w:rsid w:val="007440B7"/>
    <w:rsid w:val="00744DAE"/>
    <w:rsid w:val="00745273"/>
    <w:rsid w:val="00745CD8"/>
    <w:rsid w:val="00745F1D"/>
    <w:rsid w:val="007471BC"/>
    <w:rsid w:val="00747921"/>
    <w:rsid w:val="007500C8"/>
    <w:rsid w:val="007554A3"/>
    <w:rsid w:val="00755CFD"/>
    <w:rsid w:val="00756272"/>
    <w:rsid w:val="007604FF"/>
    <w:rsid w:val="007629F9"/>
    <w:rsid w:val="00763784"/>
    <w:rsid w:val="00765781"/>
    <w:rsid w:val="00766603"/>
    <w:rsid w:val="0076681A"/>
    <w:rsid w:val="007677B0"/>
    <w:rsid w:val="007715C9"/>
    <w:rsid w:val="00771613"/>
    <w:rsid w:val="00774127"/>
    <w:rsid w:val="00774EDD"/>
    <w:rsid w:val="007751BE"/>
    <w:rsid w:val="007757EC"/>
    <w:rsid w:val="00776B27"/>
    <w:rsid w:val="00777497"/>
    <w:rsid w:val="007802D1"/>
    <w:rsid w:val="007829A2"/>
    <w:rsid w:val="00783E89"/>
    <w:rsid w:val="007841DF"/>
    <w:rsid w:val="00784797"/>
    <w:rsid w:val="00784F21"/>
    <w:rsid w:val="0078589A"/>
    <w:rsid w:val="00786457"/>
    <w:rsid w:val="0078727B"/>
    <w:rsid w:val="007874F9"/>
    <w:rsid w:val="00793894"/>
    <w:rsid w:val="00793911"/>
    <w:rsid w:val="00793915"/>
    <w:rsid w:val="00793D96"/>
    <w:rsid w:val="007940DD"/>
    <w:rsid w:val="0079428D"/>
    <w:rsid w:val="00794632"/>
    <w:rsid w:val="007A0B4C"/>
    <w:rsid w:val="007A31C7"/>
    <w:rsid w:val="007A5CD7"/>
    <w:rsid w:val="007A6863"/>
    <w:rsid w:val="007A6878"/>
    <w:rsid w:val="007A6DB1"/>
    <w:rsid w:val="007B38AA"/>
    <w:rsid w:val="007B59BB"/>
    <w:rsid w:val="007B5B43"/>
    <w:rsid w:val="007B7764"/>
    <w:rsid w:val="007B7ABE"/>
    <w:rsid w:val="007C2253"/>
    <w:rsid w:val="007C620D"/>
    <w:rsid w:val="007D3CD5"/>
    <w:rsid w:val="007D3ECD"/>
    <w:rsid w:val="007D4AD2"/>
    <w:rsid w:val="007D5A63"/>
    <w:rsid w:val="007D6616"/>
    <w:rsid w:val="007D7B81"/>
    <w:rsid w:val="007E10C0"/>
    <w:rsid w:val="007E163D"/>
    <w:rsid w:val="007E23C0"/>
    <w:rsid w:val="007E25FC"/>
    <w:rsid w:val="007E317E"/>
    <w:rsid w:val="007E40E1"/>
    <w:rsid w:val="007E5831"/>
    <w:rsid w:val="007E667A"/>
    <w:rsid w:val="007E71BA"/>
    <w:rsid w:val="007F026D"/>
    <w:rsid w:val="007F28C9"/>
    <w:rsid w:val="007F403F"/>
    <w:rsid w:val="007F537D"/>
    <w:rsid w:val="007F637C"/>
    <w:rsid w:val="007F699C"/>
    <w:rsid w:val="007F6A9D"/>
    <w:rsid w:val="00800FAF"/>
    <w:rsid w:val="008021BE"/>
    <w:rsid w:val="008022C0"/>
    <w:rsid w:val="00803587"/>
    <w:rsid w:val="00804BC6"/>
    <w:rsid w:val="00806C1C"/>
    <w:rsid w:val="0080707F"/>
    <w:rsid w:val="008074FE"/>
    <w:rsid w:val="00807626"/>
    <w:rsid w:val="008105A5"/>
    <w:rsid w:val="00810E7C"/>
    <w:rsid w:val="008117D4"/>
    <w:rsid w:val="008117E9"/>
    <w:rsid w:val="00812061"/>
    <w:rsid w:val="00812E44"/>
    <w:rsid w:val="00813056"/>
    <w:rsid w:val="008136D3"/>
    <w:rsid w:val="00814D90"/>
    <w:rsid w:val="008154BE"/>
    <w:rsid w:val="00816EBC"/>
    <w:rsid w:val="00822845"/>
    <w:rsid w:val="008234EE"/>
    <w:rsid w:val="0082362F"/>
    <w:rsid w:val="00824498"/>
    <w:rsid w:val="00824CD0"/>
    <w:rsid w:val="00824DE9"/>
    <w:rsid w:val="00825876"/>
    <w:rsid w:val="00826EE9"/>
    <w:rsid w:val="008308DD"/>
    <w:rsid w:val="00831704"/>
    <w:rsid w:val="00832ED8"/>
    <w:rsid w:val="008339F7"/>
    <w:rsid w:val="008350C7"/>
    <w:rsid w:val="0083525F"/>
    <w:rsid w:val="00836196"/>
    <w:rsid w:val="0083643E"/>
    <w:rsid w:val="00840634"/>
    <w:rsid w:val="00841BD7"/>
    <w:rsid w:val="00842B5D"/>
    <w:rsid w:val="0084302B"/>
    <w:rsid w:val="008447A4"/>
    <w:rsid w:val="00845A39"/>
    <w:rsid w:val="008513AC"/>
    <w:rsid w:val="00854665"/>
    <w:rsid w:val="00854949"/>
    <w:rsid w:val="008568F2"/>
    <w:rsid w:val="00856A31"/>
    <w:rsid w:val="008617DF"/>
    <w:rsid w:val="008617F9"/>
    <w:rsid w:val="008627CC"/>
    <w:rsid w:val="00862CC7"/>
    <w:rsid w:val="008642C5"/>
    <w:rsid w:val="00864B24"/>
    <w:rsid w:val="00864F6B"/>
    <w:rsid w:val="00864FAA"/>
    <w:rsid w:val="00865045"/>
    <w:rsid w:val="0086528C"/>
    <w:rsid w:val="00867B37"/>
    <w:rsid w:val="00871370"/>
    <w:rsid w:val="0087303A"/>
    <w:rsid w:val="008754D0"/>
    <w:rsid w:val="008763E4"/>
    <w:rsid w:val="00880815"/>
    <w:rsid w:val="008808DD"/>
    <w:rsid w:val="00880A68"/>
    <w:rsid w:val="008810FB"/>
    <w:rsid w:val="0088282D"/>
    <w:rsid w:val="0088287E"/>
    <w:rsid w:val="008830BF"/>
    <w:rsid w:val="00883765"/>
    <w:rsid w:val="00883E3A"/>
    <w:rsid w:val="00883EFD"/>
    <w:rsid w:val="00884922"/>
    <w:rsid w:val="00884B13"/>
    <w:rsid w:val="008855C9"/>
    <w:rsid w:val="00886456"/>
    <w:rsid w:val="0088661B"/>
    <w:rsid w:val="00891016"/>
    <w:rsid w:val="00891459"/>
    <w:rsid w:val="00891B7B"/>
    <w:rsid w:val="0089230C"/>
    <w:rsid w:val="008923B4"/>
    <w:rsid w:val="00893A59"/>
    <w:rsid w:val="00897D25"/>
    <w:rsid w:val="008A04E4"/>
    <w:rsid w:val="008A0923"/>
    <w:rsid w:val="008A206C"/>
    <w:rsid w:val="008A46E1"/>
    <w:rsid w:val="008A4DE3"/>
    <w:rsid w:val="008A4F43"/>
    <w:rsid w:val="008A6405"/>
    <w:rsid w:val="008A6813"/>
    <w:rsid w:val="008B0EF5"/>
    <w:rsid w:val="008B2706"/>
    <w:rsid w:val="008B4086"/>
    <w:rsid w:val="008B6CFA"/>
    <w:rsid w:val="008C0F13"/>
    <w:rsid w:val="008C12B9"/>
    <w:rsid w:val="008C242B"/>
    <w:rsid w:val="008C2B01"/>
    <w:rsid w:val="008C5084"/>
    <w:rsid w:val="008C63DE"/>
    <w:rsid w:val="008C70EF"/>
    <w:rsid w:val="008D0EE0"/>
    <w:rsid w:val="008D4D00"/>
    <w:rsid w:val="008E18A8"/>
    <w:rsid w:val="008E1E4E"/>
    <w:rsid w:val="008E3682"/>
    <w:rsid w:val="008E43EA"/>
    <w:rsid w:val="008E4634"/>
    <w:rsid w:val="008E55F5"/>
    <w:rsid w:val="008E6067"/>
    <w:rsid w:val="008F2003"/>
    <w:rsid w:val="008F319D"/>
    <w:rsid w:val="008F31D2"/>
    <w:rsid w:val="008F54E7"/>
    <w:rsid w:val="008F62DC"/>
    <w:rsid w:val="009002B5"/>
    <w:rsid w:val="0090067D"/>
    <w:rsid w:val="0090206A"/>
    <w:rsid w:val="00903422"/>
    <w:rsid w:val="009050D9"/>
    <w:rsid w:val="00905145"/>
    <w:rsid w:val="00906D84"/>
    <w:rsid w:val="00910CFE"/>
    <w:rsid w:val="009113CB"/>
    <w:rsid w:val="00912858"/>
    <w:rsid w:val="009128DE"/>
    <w:rsid w:val="00914D2E"/>
    <w:rsid w:val="00914F3D"/>
    <w:rsid w:val="009151CA"/>
    <w:rsid w:val="00915AB5"/>
    <w:rsid w:val="00915C3D"/>
    <w:rsid w:val="00915DF9"/>
    <w:rsid w:val="009163C3"/>
    <w:rsid w:val="009168C6"/>
    <w:rsid w:val="00917746"/>
    <w:rsid w:val="00920FC3"/>
    <w:rsid w:val="009232B0"/>
    <w:rsid w:val="00924853"/>
    <w:rsid w:val="00924F52"/>
    <w:rsid w:val="009250C5"/>
    <w:rsid w:val="00925492"/>
    <w:rsid w:val="009254C3"/>
    <w:rsid w:val="009260EB"/>
    <w:rsid w:val="0092694B"/>
    <w:rsid w:val="00926B3C"/>
    <w:rsid w:val="0092706C"/>
    <w:rsid w:val="00930F5E"/>
    <w:rsid w:val="00931C44"/>
    <w:rsid w:val="0093202F"/>
    <w:rsid w:val="00932377"/>
    <w:rsid w:val="009352AB"/>
    <w:rsid w:val="009360F3"/>
    <w:rsid w:val="00937950"/>
    <w:rsid w:val="009423CE"/>
    <w:rsid w:val="00942ECC"/>
    <w:rsid w:val="0094475F"/>
    <w:rsid w:val="009478B6"/>
    <w:rsid w:val="00947D5A"/>
    <w:rsid w:val="00950BF4"/>
    <w:rsid w:val="009525B2"/>
    <w:rsid w:val="009532A5"/>
    <w:rsid w:val="00953C60"/>
    <w:rsid w:val="00954DC0"/>
    <w:rsid w:val="009550CD"/>
    <w:rsid w:val="009568BD"/>
    <w:rsid w:val="009605AE"/>
    <w:rsid w:val="00962AEC"/>
    <w:rsid w:val="0096391D"/>
    <w:rsid w:val="00963937"/>
    <w:rsid w:val="0096541A"/>
    <w:rsid w:val="00965423"/>
    <w:rsid w:val="009661BB"/>
    <w:rsid w:val="009678C0"/>
    <w:rsid w:val="00967D02"/>
    <w:rsid w:val="009738E0"/>
    <w:rsid w:val="00973CE1"/>
    <w:rsid w:val="009762A2"/>
    <w:rsid w:val="00980A4E"/>
    <w:rsid w:val="00980C03"/>
    <w:rsid w:val="00980C40"/>
    <w:rsid w:val="00982242"/>
    <w:rsid w:val="009846FF"/>
    <w:rsid w:val="00984A40"/>
    <w:rsid w:val="009852A3"/>
    <w:rsid w:val="009868E9"/>
    <w:rsid w:val="0099399F"/>
    <w:rsid w:val="00994CBD"/>
    <w:rsid w:val="0099557E"/>
    <w:rsid w:val="00996220"/>
    <w:rsid w:val="00996F25"/>
    <w:rsid w:val="009A13C6"/>
    <w:rsid w:val="009A14FA"/>
    <w:rsid w:val="009A4059"/>
    <w:rsid w:val="009A4CFC"/>
    <w:rsid w:val="009A5155"/>
    <w:rsid w:val="009A5B2C"/>
    <w:rsid w:val="009A6E76"/>
    <w:rsid w:val="009B152C"/>
    <w:rsid w:val="009B26A4"/>
    <w:rsid w:val="009B2A06"/>
    <w:rsid w:val="009B2CDB"/>
    <w:rsid w:val="009B3D13"/>
    <w:rsid w:val="009B51DE"/>
    <w:rsid w:val="009B5733"/>
    <w:rsid w:val="009B58BE"/>
    <w:rsid w:val="009B5AB3"/>
    <w:rsid w:val="009C0FAA"/>
    <w:rsid w:val="009C2010"/>
    <w:rsid w:val="009C25E5"/>
    <w:rsid w:val="009C2BF1"/>
    <w:rsid w:val="009C4311"/>
    <w:rsid w:val="009C480C"/>
    <w:rsid w:val="009C6119"/>
    <w:rsid w:val="009C743B"/>
    <w:rsid w:val="009D1249"/>
    <w:rsid w:val="009D1AC7"/>
    <w:rsid w:val="009D1BC0"/>
    <w:rsid w:val="009D1E83"/>
    <w:rsid w:val="009D2BC4"/>
    <w:rsid w:val="009D2D1D"/>
    <w:rsid w:val="009D33D3"/>
    <w:rsid w:val="009D4B64"/>
    <w:rsid w:val="009D5FCF"/>
    <w:rsid w:val="009D757D"/>
    <w:rsid w:val="009E1604"/>
    <w:rsid w:val="009E1C5C"/>
    <w:rsid w:val="009E26A2"/>
    <w:rsid w:val="009E2753"/>
    <w:rsid w:val="009E40F8"/>
    <w:rsid w:val="009E5CFC"/>
    <w:rsid w:val="009E5DA3"/>
    <w:rsid w:val="009E7450"/>
    <w:rsid w:val="009F1F55"/>
    <w:rsid w:val="009F2E97"/>
    <w:rsid w:val="009F34BB"/>
    <w:rsid w:val="009F3814"/>
    <w:rsid w:val="009F39A0"/>
    <w:rsid w:val="009F506B"/>
    <w:rsid w:val="009F5439"/>
    <w:rsid w:val="009F583A"/>
    <w:rsid w:val="009F66A4"/>
    <w:rsid w:val="00A00E8B"/>
    <w:rsid w:val="00A013A8"/>
    <w:rsid w:val="00A020C3"/>
    <w:rsid w:val="00A02524"/>
    <w:rsid w:val="00A029E2"/>
    <w:rsid w:val="00A03C64"/>
    <w:rsid w:val="00A04B0F"/>
    <w:rsid w:val="00A079CB"/>
    <w:rsid w:val="00A07C1C"/>
    <w:rsid w:val="00A12128"/>
    <w:rsid w:val="00A128D2"/>
    <w:rsid w:val="00A133EA"/>
    <w:rsid w:val="00A1384D"/>
    <w:rsid w:val="00A2234D"/>
    <w:rsid w:val="00A22452"/>
    <w:rsid w:val="00A22C98"/>
    <w:rsid w:val="00A231E2"/>
    <w:rsid w:val="00A233A1"/>
    <w:rsid w:val="00A24E7C"/>
    <w:rsid w:val="00A25750"/>
    <w:rsid w:val="00A25E52"/>
    <w:rsid w:val="00A26E8F"/>
    <w:rsid w:val="00A305AE"/>
    <w:rsid w:val="00A31101"/>
    <w:rsid w:val="00A31B05"/>
    <w:rsid w:val="00A34914"/>
    <w:rsid w:val="00A35B8A"/>
    <w:rsid w:val="00A3627C"/>
    <w:rsid w:val="00A36708"/>
    <w:rsid w:val="00A3674E"/>
    <w:rsid w:val="00A36A2E"/>
    <w:rsid w:val="00A4026B"/>
    <w:rsid w:val="00A4075D"/>
    <w:rsid w:val="00A42818"/>
    <w:rsid w:val="00A44370"/>
    <w:rsid w:val="00A4455C"/>
    <w:rsid w:val="00A46813"/>
    <w:rsid w:val="00A50E91"/>
    <w:rsid w:val="00A52097"/>
    <w:rsid w:val="00A53C9F"/>
    <w:rsid w:val="00A55F6E"/>
    <w:rsid w:val="00A57C61"/>
    <w:rsid w:val="00A61DE3"/>
    <w:rsid w:val="00A62627"/>
    <w:rsid w:val="00A6287F"/>
    <w:rsid w:val="00A6366E"/>
    <w:rsid w:val="00A64912"/>
    <w:rsid w:val="00A65323"/>
    <w:rsid w:val="00A6620B"/>
    <w:rsid w:val="00A6639F"/>
    <w:rsid w:val="00A70A74"/>
    <w:rsid w:val="00A74B9B"/>
    <w:rsid w:val="00A75B75"/>
    <w:rsid w:val="00A75ED3"/>
    <w:rsid w:val="00A77CC4"/>
    <w:rsid w:val="00A82E91"/>
    <w:rsid w:val="00A96B48"/>
    <w:rsid w:val="00AA1221"/>
    <w:rsid w:val="00AA2786"/>
    <w:rsid w:val="00AA3F24"/>
    <w:rsid w:val="00AB0F07"/>
    <w:rsid w:val="00AB13F2"/>
    <w:rsid w:val="00AB1E1E"/>
    <w:rsid w:val="00AB2769"/>
    <w:rsid w:val="00AB3EF7"/>
    <w:rsid w:val="00AB5644"/>
    <w:rsid w:val="00AB56EA"/>
    <w:rsid w:val="00AB693F"/>
    <w:rsid w:val="00AC07BB"/>
    <w:rsid w:val="00AC4C05"/>
    <w:rsid w:val="00AC52A5"/>
    <w:rsid w:val="00AC6006"/>
    <w:rsid w:val="00AC79DD"/>
    <w:rsid w:val="00AD02E3"/>
    <w:rsid w:val="00AD0A1A"/>
    <w:rsid w:val="00AD13D5"/>
    <w:rsid w:val="00AD1E40"/>
    <w:rsid w:val="00AD29E5"/>
    <w:rsid w:val="00AD5641"/>
    <w:rsid w:val="00AD7889"/>
    <w:rsid w:val="00AD78F2"/>
    <w:rsid w:val="00AE005E"/>
    <w:rsid w:val="00AE0359"/>
    <w:rsid w:val="00AE2A7F"/>
    <w:rsid w:val="00AE3652"/>
    <w:rsid w:val="00AE3B79"/>
    <w:rsid w:val="00AE404F"/>
    <w:rsid w:val="00AE6BE6"/>
    <w:rsid w:val="00AF021B"/>
    <w:rsid w:val="00AF06CF"/>
    <w:rsid w:val="00AF114E"/>
    <w:rsid w:val="00AF18E0"/>
    <w:rsid w:val="00AF2D0C"/>
    <w:rsid w:val="00AF33C4"/>
    <w:rsid w:val="00AF4BCF"/>
    <w:rsid w:val="00AF57CB"/>
    <w:rsid w:val="00AF684E"/>
    <w:rsid w:val="00AF6FAB"/>
    <w:rsid w:val="00B00A4B"/>
    <w:rsid w:val="00B01509"/>
    <w:rsid w:val="00B01DD0"/>
    <w:rsid w:val="00B01EF1"/>
    <w:rsid w:val="00B03DFA"/>
    <w:rsid w:val="00B05CF4"/>
    <w:rsid w:val="00B07CDB"/>
    <w:rsid w:val="00B10094"/>
    <w:rsid w:val="00B10C9C"/>
    <w:rsid w:val="00B11711"/>
    <w:rsid w:val="00B11D48"/>
    <w:rsid w:val="00B11DA4"/>
    <w:rsid w:val="00B11FBC"/>
    <w:rsid w:val="00B12315"/>
    <w:rsid w:val="00B137EB"/>
    <w:rsid w:val="00B14ACD"/>
    <w:rsid w:val="00B166A6"/>
    <w:rsid w:val="00B16A31"/>
    <w:rsid w:val="00B179CB"/>
    <w:rsid w:val="00B17DFD"/>
    <w:rsid w:val="00B2019D"/>
    <w:rsid w:val="00B211F1"/>
    <w:rsid w:val="00B227A6"/>
    <w:rsid w:val="00B23E3D"/>
    <w:rsid w:val="00B24200"/>
    <w:rsid w:val="00B308FE"/>
    <w:rsid w:val="00B3216E"/>
    <w:rsid w:val="00B32528"/>
    <w:rsid w:val="00B33709"/>
    <w:rsid w:val="00B33B3C"/>
    <w:rsid w:val="00B33ED0"/>
    <w:rsid w:val="00B34875"/>
    <w:rsid w:val="00B353BB"/>
    <w:rsid w:val="00B36048"/>
    <w:rsid w:val="00B37671"/>
    <w:rsid w:val="00B417DE"/>
    <w:rsid w:val="00B42B42"/>
    <w:rsid w:val="00B42CBD"/>
    <w:rsid w:val="00B42D4B"/>
    <w:rsid w:val="00B42FBE"/>
    <w:rsid w:val="00B47835"/>
    <w:rsid w:val="00B50ADC"/>
    <w:rsid w:val="00B566B1"/>
    <w:rsid w:val="00B56F46"/>
    <w:rsid w:val="00B57A39"/>
    <w:rsid w:val="00B57E35"/>
    <w:rsid w:val="00B57FB9"/>
    <w:rsid w:val="00B6032A"/>
    <w:rsid w:val="00B62058"/>
    <w:rsid w:val="00B6227B"/>
    <w:rsid w:val="00B62591"/>
    <w:rsid w:val="00B63834"/>
    <w:rsid w:val="00B64937"/>
    <w:rsid w:val="00B65F8A"/>
    <w:rsid w:val="00B70DFD"/>
    <w:rsid w:val="00B72363"/>
    <w:rsid w:val="00B72734"/>
    <w:rsid w:val="00B74AA8"/>
    <w:rsid w:val="00B74CB8"/>
    <w:rsid w:val="00B74D7B"/>
    <w:rsid w:val="00B7699C"/>
    <w:rsid w:val="00B76C99"/>
    <w:rsid w:val="00B76D70"/>
    <w:rsid w:val="00B77985"/>
    <w:rsid w:val="00B779BF"/>
    <w:rsid w:val="00B80199"/>
    <w:rsid w:val="00B83204"/>
    <w:rsid w:val="00B83837"/>
    <w:rsid w:val="00B9364A"/>
    <w:rsid w:val="00B94706"/>
    <w:rsid w:val="00B95A6F"/>
    <w:rsid w:val="00B95BEC"/>
    <w:rsid w:val="00B973E2"/>
    <w:rsid w:val="00B97715"/>
    <w:rsid w:val="00BA0C87"/>
    <w:rsid w:val="00BA18CE"/>
    <w:rsid w:val="00BA220B"/>
    <w:rsid w:val="00BA2CC4"/>
    <w:rsid w:val="00BA358C"/>
    <w:rsid w:val="00BA3A57"/>
    <w:rsid w:val="00BA5782"/>
    <w:rsid w:val="00BA5D06"/>
    <w:rsid w:val="00BA659C"/>
    <w:rsid w:val="00BA691F"/>
    <w:rsid w:val="00BB168F"/>
    <w:rsid w:val="00BB1BD3"/>
    <w:rsid w:val="00BB271A"/>
    <w:rsid w:val="00BB4706"/>
    <w:rsid w:val="00BB4E1A"/>
    <w:rsid w:val="00BB5E17"/>
    <w:rsid w:val="00BB6D37"/>
    <w:rsid w:val="00BC015E"/>
    <w:rsid w:val="00BC0D9B"/>
    <w:rsid w:val="00BC4A61"/>
    <w:rsid w:val="00BC4C31"/>
    <w:rsid w:val="00BC6999"/>
    <w:rsid w:val="00BC76AC"/>
    <w:rsid w:val="00BD07C0"/>
    <w:rsid w:val="00BD0ABC"/>
    <w:rsid w:val="00BD0ECB"/>
    <w:rsid w:val="00BD3F6C"/>
    <w:rsid w:val="00BD3FF1"/>
    <w:rsid w:val="00BE06FA"/>
    <w:rsid w:val="00BE2124"/>
    <w:rsid w:val="00BE2155"/>
    <w:rsid w:val="00BE2213"/>
    <w:rsid w:val="00BE4814"/>
    <w:rsid w:val="00BE4A7A"/>
    <w:rsid w:val="00BE4B2E"/>
    <w:rsid w:val="00BE5339"/>
    <w:rsid w:val="00BE5892"/>
    <w:rsid w:val="00BE6A72"/>
    <w:rsid w:val="00BE719A"/>
    <w:rsid w:val="00BE720A"/>
    <w:rsid w:val="00BE781D"/>
    <w:rsid w:val="00BF0C64"/>
    <w:rsid w:val="00BF0D73"/>
    <w:rsid w:val="00BF2465"/>
    <w:rsid w:val="00BF5AE0"/>
    <w:rsid w:val="00BF5B50"/>
    <w:rsid w:val="00BF5E70"/>
    <w:rsid w:val="00BF71F1"/>
    <w:rsid w:val="00BF7333"/>
    <w:rsid w:val="00BF750B"/>
    <w:rsid w:val="00C006F2"/>
    <w:rsid w:val="00C041F9"/>
    <w:rsid w:val="00C05E75"/>
    <w:rsid w:val="00C06F0F"/>
    <w:rsid w:val="00C12B0F"/>
    <w:rsid w:val="00C12E6E"/>
    <w:rsid w:val="00C12EAC"/>
    <w:rsid w:val="00C1369B"/>
    <w:rsid w:val="00C15EB9"/>
    <w:rsid w:val="00C16F04"/>
    <w:rsid w:val="00C172D4"/>
    <w:rsid w:val="00C1741A"/>
    <w:rsid w:val="00C20239"/>
    <w:rsid w:val="00C20335"/>
    <w:rsid w:val="00C20733"/>
    <w:rsid w:val="00C22A92"/>
    <w:rsid w:val="00C23D8C"/>
    <w:rsid w:val="00C256E4"/>
    <w:rsid w:val="00C25E7F"/>
    <w:rsid w:val="00C26F36"/>
    <w:rsid w:val="00C2746F"/>
    <w:rsid w:val="00C324A0"/>
    <w:rsid w:val="00C3300F"/>
    <w:rsid w:val="00C334B1"/>
    <w:rsid w:val="00C3353A"/>
    <w:rsid w:val="00C33916"/>
    <w:rsid w:val="00C33D80"/>
    <w:rsid w:val="00C34E32"/>
    <w:rsid w:val="00C35AC3"/>
    <w:rsid w:val="00C3774E"/>
    <w:rsid w:val="00C37C1B"/>
    <w:rsid w:val="00C40859"/>
    <w:rsid w:val="00C42195"/>
    <w:rsid w:val="00C421C0"/>
    <w:rsid w:val="00C42BF8"/>
    <w:rsid w:val="00C438B7"/>
    <w:rsid w:val="00C4592E"/>
    <w:rsid w:val="00C464DF"/>
    <w:rsid w:val="00C50043"/>
    <w:rsid w:val="00C5576B"/>
    <w:rsid w:val="00C57678"/>
    <w:rsid w:val="00C605A2"/>
    <w:rsid w:val="00C60789"/>
    <w:rsid w:val="00C6293D"/>
    <w:rsid w:val="00C63165"/>
    <w:rsid w:val="00C67651"/>
    <w:rsid w:val="00C71C7B"/>
    <w:rsid w:val="00C71E60"/>
    <w:rsid w:val="00C723F3"/>
    <w:rsid w:val="00C7261F"/>
    <w:rsid w:val="00C733BF"/>
    <w:rsid w:val="00C7573B"/>
    <w:rsid w:val="00C76F51"/>
    <w:rsid w:val="00C80016"/>
    <w:rsid w:val="00C812C7"/>
    <w:rsid w:val="00C83BC2"/>
    <w:rsid w:val="00C85D10"/>
    <w:rsid w:val="00C86CE6"/>
    <w:rsid w:val="00C873C3"/>
    <w:rsid w:val="00C87D0A"/>
    <w:rsid w:val="00C90F4A"/>
    <w:rsid w:val="00C929DC"/>
    <w:rsid w:val="00C93C03"/>
    <w:rsid w:val="00C9612E"/>
    <w:rsid w:val="00CA07EC"/>
    <w:rsid w:val="00CA0A3F"/>
    <w:rsid w:val="00CA2283"/>
    <w:rsid w:val="00CA228A"/>
    <w:rsid w:val="00CA4CC4"/>
    <w:rsid w:val="00CA4DF7"/>
    <w:rsid w:val="00CA692B"/>
    <w:rsid w:val="00CB2914"/>
    <w:rsid w:val="00CB2C8E"/>
    <w:rsid w:val="00CB32A8"/>
    <w:rsid w:val="00CB3A4A"/>
    <w:rsid w:val="00CB4461"/>
    <w:rsid w:val="00CB5EE7"/>
    <w:rsid w:val="00CB602E"/>
    <w:rsid w:val="00CB6A92"/>
    <w:rsid w:val="00CB6F27"/>
    <w:rsid w:val="00CB7BEA"/>
    <w:rsid w:val="00CC14AD"/>
    <w:rsid w:val="00CC1771"/>
    <w:rsid w:val="00CC54FC"/>
    <w:rsid w:val="00CC7404"/>
    <w:rsid w:val="00CD2171"/>
    <w:rsid w:val="00CD24DA"/>
    <w:rsid w:val="00CD4981"/>
    <w:rsid w:val="00CD6A08"/>
    <w:rsid w:val="00CD70A4"/>
    <w:rsid w:val="00CD7E3C"/>
    <w:rsid w:val="00CE051D"/>
    <w:rsid w:val="00CE06C9"/>
    <w:rsid w:val="00CE12EF"/>
    <w:rsid w:val="00CE1335"/>
    <w:rsid w:val="00CE2640"/>
    <w:rsid w:val="00CE28DD"/>
    <w:rsid w:val="00CE29EE"/>
    <w:rsid w:val="00CE493D"/>
    <w:rsid w:val="00CE49E6"/>
    <w:rsid w:val="00CE603F"/>
    <w:rsid w:val="00CE6E70"/>
    <w:rsid w:val="00CE7BDD"/>
    <w:rsid w:val="00CF0355"/>
    <w:rsid w:val="00CF0684"/>
    <w:rsid w:val="00CF07FA"/>
    <w:rsid w:val="00CF0BB2"/>
    <w:rsid w:val="00CF107D"/>
    <w:rsid w:val="00CF1797"/>
    <w:rsid w:val="00CF2925"/>
    <w:rsid w:val="00CF3EE8"/>
    <w:rsid w:val="00CF59E2"/>
    <w:rsid w:val="00CF5E40"/>
    <w:rsid w:val="00CF789B"/>
    <w:rsid w:val="00D01B2A"/>
    <w:rsid w:val="00D04D2E"/>
    <w:rsid w:val="00D050E6"/>
    <w:rsid w:val="00D06C2E"/>
    <w:rsid w:val="00D070F2"/>
    <w:rsid w:val="00D07296"/>
    <w:rsid w:val="00D124A3"/>
    <w:rsid w:val="00D124FB"/>
    <w:rsid w:val="00D13441"/>
    <w:rsid w:val="00D13CFD"/>
    <w:rsid w:val="00D14E8A"/>
    <w:rsid w:val="00D150E7"/>
    <w:rsid w:val="00D15899"/>
    <w:rsid w:val="00D17C6D"/>
    <w:rsid w:val="00D17E94"/>
    <w:rsid w:val="00D21ADF"/>
    <w:rsid w:val="00D225BC"/>
    <w:rsid w:val="00D22B47"/>
    <w:rsid w:val="00D23B18"/>
    <w:rsid w:val="00D32F65"/>
    <w:rsid w:val="00D33CC8"/>
    <w:rsid w:val="00D357B1"/>
    <w:rsid w:val="00D35AB5"/>
    <w:rsid w:val="00D3723E"/>
    <w:rsid w:val="00D374D4"/>
    <w:rsid w:val="00D37A56"/>
    <w:rsid w:val="00D45C69"/>
    <w:rsid w:val="00D46E5C"/>
    <w:rsid w:val="00D47870"/>
    <w:rsid w:val="00D479A1"/>
    <w:rsid w:val="00D47C5C"/>
    <w:rsid w:val="00D50E6C"/>
    <w:rsid w:val="00D525B3"/>
    <w:rsid w:val="00D52DC2"/>
    <w:rsid w:val="00D53BCC"/>
    <w:rsid w:val="00D57540"/>
    <w:rsid w:val="00D57EA6"/>
    <w:rsid w:val="00D60F73"/>
    <w:rsid w:val="00D60FA4"/>
    <w:rsid w:val="00D650DF"/>
    <w:rsid w:val="00D65651"/>
    <w:rsid w:val="00D65A2E"/>
    <w:rsid w:val="00D66814"/>
    <w:rsid w:val="00D66CCA"/>
    <w:rsid w:val="00D67730"/>
    <w:rsid w:val="00D6793F"/>
    <w:rsid w:val="00D67E8A"/>
    <w:rsid w:val="00D70AB1"/>
    <w:rsid w:val="00D70DFB"/>
    <w:rsid w:val="00D766DF"/>
    <w:rsid w:val="00D81D75"/>
    <w:rsid w:val="00D82200"/>
    <w:rsid w:val="00D83603"/>
    <w:rsid w:val="00D83B97"/>
    <w:rsid w:val="00D84A6C"/>
    <w:rsid w:val="00D86399"/>
    <w:rsid w:val="00D86675"/>
    <w:rsid w:val="00D86E27"/>
    <w:rsid w:val="00D8730C"/>
    <w:rsid w:val="00D876F7"/>
    <w:rsid w:val="00D87EFF"/>
    <w:rsid w:val="00D92E91"/>
    <w:rsid w:val="00D958E4"/>
    <w:rsid w:val="00D95B38"/>
    <w:rsid w:val="00D960BE"/>
    <w:rsid w:val="00D96EAA"/>
    <w:rsid w:val="00D97047"/>
    <w:rsid w:val="00D977C4"/>
    <w:rsid w:val="00DA0062"/>
    <w:rsid w:val="00DA0B76"/>
    <w:rsid w:val="00DA1335"/>
    <w:rsid w:val="00DA1353"/>
    <w:rsid w:val="00DA186E"/>
    <w:rsid w:val="00DA31F1"/>
    <w:rsid w:val="00DA35E9"/>
    <w:rsid w:val="00DA3FDC"/>
    <w:rsid w:val="00DA4116"/>
    <w:rsid w:val="00DA491D"/>
    <w:rsid w:val="00DA7C79"/>
    <w:rsid w:val="00DA7CFE"/>
    <w:rsid w:val="00DB179D"/>
    <w:rsid w:val="00DB251C"/>
    <w:rsid w:val="00DB3958"/>
    <w:rsid w:val="00DB3B0B"/>
    <w:rsid w:val="00DB4630"/>
    <w:rsid w:val="00DB5654"/>
    <w:rsid w:val="00DB5F14"/>
    <w:rsid w:val="00DB6DAC"/>
    <w:rsid w:val="00DC04F8"/>
    <w:rsid w:val="00DC0CF0"/>
    <w:rsid w:val="00DC0FE8"/>
    <w:rsid w:val="00DC119F"/>
    <w:rsid w:val="00DC2C72"/>
    <w:rsid w:val="00DC35F3"/>
    <w:rsid w:val="00DC4D9B"/>
    <w:rsid w:val="00DC4F88"/>
    <w:rsid w:val="00DC5C37"/>
    <w:rsid w:val="00DC62C3"/>
    <w:rsid w:val="00DC6588"/>
    <w:rsid w:val="00DC703D"/>
    <w:rsid w:val="00DC7435"/>
    <w:rsid w:val="00DC7AEB"/>
    <w:rsid w:val="00DD15E4"/>
    <w:rsid w:val="00DD1913"/>
    <w:rsid w:val="00DD5C03"/>
    <w:rsid w:val="00DD721B"/>
    <w:rsid w:val="00DE02EA"/>
    <w:rsid w:val="00DE1EEF"/>
    <w:rsid w:val="00DE2F1A"/>
    <w:rsid w:val="00DE38F4"/>
    <w:rsid w:val="00DE3A15"/>
    <w:rsid w:val="00DE4C07"/>
    <w:rsid w:val="00DE5A09"/>
    <w:rsid w:val="00DE72A4"/>
    <w:rsid w:val="00DE7F49"/>
    <w:rsid w:val="00DF0198"/>
    <w:rsid w:val="00DF11A5"/>
    <w:rsid w:val="00DF1DC1"/>
    <w:rsid w:val="00DF4682"/>
    <w:rsid w:val="00DF6E3A"/>
    <w:rsid w:val="00DF7054"/>
    <w:rsid w:val="00DF77F1"/>
    <w:rsid w:val="00E0008B"/>
    <w:rsid w:val="00E006EB"/>
    <w:rsid w:val="00E027FC"/>
    <w:rsid w:val="00E02E43"/>
    <w:rsid w:val="00E031B1"/>
    <w:rsid w:val="00E03510"/>
    <w:rsid w:val="00E05704"/>
    <w:rsid w:val="00E05C63"/>
    <w:rsid w:val="00E06027"/>
    <w:rsid w:val="00E10D33"/>
    <w:rsid w:val="00E11E44"/>
    <w:rsid w:val="00E1214A"/>
    <w:rsid w:val="00E15C45"/>
    <w:rsid w:val="00E16EBC"/>
    <w:rsid w:val="00E17AF1"/>
    <w:rsid w:val="00E200DA"/>
    <w:rsid w:val="00E20280"/>
    <w:rsid w:val="00E23E76"/>
    <w:rsid w:val="00E23EEB"/>
    <w:rsid w:val="00E24409"/>
    <w:rsid w:val="00E26D98"/>
    <w:rsid w:val="00E320B7"/>
    <w:rsid w:val="00E3270E"/>
    <w:rsid w:val="00E32A47"/>
    <w:rsid w:val="00E338EF"/>
    <w:rsid w:val="00E33A72"/>
    <w:rsid w:val="00E343F0"/>
    <w:rsid w:val="00E35514"/>
    <w:rsid w:val="00E3778F"/>
    <w:rsid w:val="00E37F11"/>
    <w:rsid w:val="00E40D9A"/>
    <w:rsid w:val="00E41234"/>
    <w:rsid w:val="00E420E5"/>
    <w:rsid w:val="00E43969"/>
    <w:rsid w:val="00E4506D"/>
    <w:rsid w:val="00E50935"/>
    <w:rsid w:val="00E5103B"/>
    <w:rsid w:val="00E517C8"/>
    <w:rsid w:val="00E53D4B"/>
    <w:rsid w:val="00E53FF7"/>
    <w:rsid w:val="00E5431A"/>
    <w:rsid w:val="00E544BB"/>
    <w:rsid w:val="00E54CE4"/>
    <w:rsid w:val="00E56542"/>
    <w:rsid w:val="00E56CCF"/>
    <w:rsid w:val="00E570BB"/>
    <w:rsid w:val="00E57C42"/>
    <w:rsid w:val="00E60ADC"/>
    <w:rsid w:val="00E61743"/>
    <w:rsid w:val="00E662CB"/>
    <w:rsid w:val="00E66B46"/>
    <w:rsid w:val="00E67652"/>
    <w:rsid w:val="00E67951"/>
    <w:rsid w:val="00E7366D"/>
    <w:rsid w:val="00E73FF9"/>
    <w:rsid w:val="00E74351"/>
    <w:rsid w:val="00E743A8"/>
    <w:rsid w:val="00E74DC7"/>
    <w:rsid w:val="00E750AA"/>
    <w:rsid w:val="00E76806"/>
    <w:rsid w:val="00E775B0"/>
    <w:rsid w:val="00E8075A"/>
    <w:rsid w:val="00E8090B"/>
    <w:rsid w:val="00E84C7F"/>
    <w:rsid w:val="00E85292"/>
    <w:rsid w:val="00E86B03"/>
    <w:rsid w:val="00E87636"/>
    <w:rsid w:val="00E87B5F"/>
    <w:rsid w:val="00E9120A"/>
    <w:rsid w:val="00E92CCC"/>
    <w:rsid w:val="00E93BAE"/>
    <w:rsid w:val="00E93E3D"/>
    <w:rsid w:val="00E94D5E"/>
    <w:rsid w:val="00E96B24"/>
    <w:rsid w:val="00EA085E"/>
    <w:rsid w:val="00EA440B"/>
    <w:rsid w:val="00EA6F60"/>
    <w:rsid w:val="00EA7100"/>
    <w:rsid w:val="00EA7F12"/>
    <w:rsid w:val="00EA7F9F"/>
    <w:rsid w:val="00EB1274"/>
    <w:rsid w:val="00EB68EE"/>
    <w:rsid w:val="00EB6AD0"/>
    <w:rsid w:val="00EC20CD"/>
    <w:rsid w:val="00EC213F"/>
    <w:rsid w:val="00EC2603"/>
    <w:rsid w:val="00EC6F8E"/>
    <w:rsid w:val="00ED0799"/>
    <w:rsid w:val="00ED16D4"/>
    <w:rsid w:val="00ED2BB6"/>
    <w:rsid w:val="00ED30AC"/>
    <w:rsid w:val="00ED34E1"/>
    <w:rsid w:val="00ED3B8D"/>
    <w:rsid w:val="00ED56FD"/>
    <w:rsid w:val="00ED6129"/>
    <w:rsid w:val="00ED659C"/>
    <w:rsid w:val="00ED712B"/>
    <w:rsid w:val="00ED74C0"/>
    <w:rsid w:val="00ED77FF"/>
    <w:rsid w:val="00ED7C87"/>
    <w:rsid w:val="00EE688C"/>
    <w:rsid w:val="00EE7C92"/>
    <w:rsid w:val="00EF0BF0"/>
    <w:rsid w:val="00EF10AE"/>
    <w:rsid w:val="00EF1CA9"/>
    <w:rsid w:val="00EF2E3A"/>
    <w:rsid w:val="00EF39B0"/>
    <w:rsid w:val="00EF3E06"/>
    <w:rsid w:val="00EF6599"/>
    <w:rsid w:val="00F009A3"/>
    <w:rsid w:val="00F00EC5"/>
    <w:rsid w:val="00F01E1E"/>
    <w:rsid w:val="00F072A7"/>
    <w:rsid w:val="00F078DC"/>
    <w:rsid w:val="00F11FE9"/>
    <w:rsid w:val="00F1490F"/>
    <w:rsid w:val="00F24117"/>
    <w:rsid w:val="00F2542B"/>
    <w:rsid w:val="00F25A56"/>
    <w:rsid w:val="00F26E55"/>
    <w:rsid w:val="00F271B8"/>
    <w:rsid w:val="00F323A0"/>
    <w:rsid w:val="00F325BB"/>
    <w:rsid w:val="00F32BA8"/>
    <w:rsid w:val="00F349F1"/>
    <w:rsid w:val="00F37216"/>
    <w:rsid w:val="00F37E62"/>
    <w:rsid w:val="00F4350D"/>
    <w:rsid w:val="00F44D76"/>
    <w:rsid w:val="00F4587F"/>
    <w:rsid w:val="00F46CFB"/>
    <w:rsid w:val="00F47DAA"/>
    <w:rsid w:val="00F52D09"/>
    <w:rsid w:val="00F53593"/>
    <w:rsid w:val="00F55250"/>
    <w:rsid w:val="00F55AD2"/>
    <w:rsid w:val="00F560FE"/>
    <w:rsid w:val="00F567F7"/>
    <w:rsid w:val="00F57673"/>
    <w:rsid w:val="00F6022F"/>
    <w:rsid w:val="00F61DC3"/>
    <w:rsid w:val="00F62036"/>
    <w:rsid w:val="00F620CE"/>
    <w:rsid w:val="00F644A2"/>
    <w:rsid w:val="00F651BA"/>
    <w:rsid w:val="00F65B52"/>
    <w:rsid w:val="00F67BCA"/>
    <w:rsid w:val="00F70FCD"/>
    <w:rsid w:val="00F7225A"/>
    <w:rsid w:val="00F73BD6"/>
    <w:rsid w:val="00F73CE2"/>
    <w:rsid w:val="00F83989"/>
    <w:rsid w:val="00F85099"/>
    <w:rsid w:val="00F8682A"/>
    <w:rsid w:val="00F87CE5"/>
    <w:rsid w:val="00F9379C"/>
    <w:rsid w:val="00F93BE8"/>
    <w:rsid w:val="00F94444"/>
    <w:rsid w:val="00F94998"/>
    <w:rsid w:val="00F95524"/>
    <w:rsid w:val="00F9597A"/>
    <w:rsid w:val="00F9632C"/>
    <w:rsid w:val="00F9762E"/>
    <w:rsid w:val="00F97BA3"/>
    <w:rsid w:val="00FA1ACF"/>
    <w:rsid w:val="00FA1E52"/>
    <w:rsid w:val="00FA2AA9"/>
    <w:rsid w:val="00FA4638"/>
    <w:rsid w:val="00FA6312"/>
    <w:rsid w:val="00FA70C4"/>
    <w:rsid w:val="00FA75A8"/>
    <w:rsid w:val="00FB1409"/>
    <w:rsid w:val="00FB45EE"/>
    <w:rsid w:val="00FB6588"/>
    <w:rsid w:val="00FB7B6F"/>
    <w:rsid w:val="00FB7E93"/>
    <w:rsid w:val="00FC2D81"/>
    <w:rsid w:val="00FC5D46"/>
    <w:rsid w:val="00FC5D76"/>
    <w:rsid w:val="00FC5DE7"/>
    <w:rsid w:val="00FC7393"/>
    <w:rsid w:val="00FD09FC"/>
    <w:rsid w:val="00FD276C"/>
    <w:rsid w:val="00FD2B49"/>
    <w:rsid w:val="00FD3B7C"/>
    <w:rsid w:val="00FD5378"/>
    <w:rsid w:val="00FD5B63"/>
    <w:rsid w:val="00FD5DB7"/>
    <w:rsid w:val="00FD5F44"/>
    <w:rsid w:val="00FD7CA6"/>
    <w:rsid w:val="00FE0567"/>
    <w:rsid w:val="00FE13F5"/>
    <w:rsid w:val="00FE29F7"/>
    <w:rsid w:val="00FE2F8A"/>
    <w:rsid w:val="00FE3B0F"/>
    <w:rsid w:val="00FE4688"/>
    <w:rsid w:val="00FE7E73"/>
    <w:rsid w:val="00FE7EF3"/>
    <w:rsid w:val="00FF18CE"/>
    <w:rsid w:val="00FF540A"/>
    <w:rsid w:val="00FF5941"/>
    <w:rsid w:val="00FF5A4A"/>
    <w:rsid w:val="00FF7865"/>
    <w:rsid w:val="00FF7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2B88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A7589"/>
    <w:pPr>
      <w:spacing w:line="260" w:lineRule="atLeast"/>
    </w:pPr>
    <w:rPr>
      <w:sz w:val="22"/>
    </w:rPr>
  </w:style>
  <w:style w:type="paragraph" w:styleId="Heading1">
    <w:name w:val="heading 1"/>
    <w:basedOn w:val="Normal"/>
    <w:next w:val="Normal"/>
    <w:link w:val="Heading1Char"/>
    <w:uiPriority w:val="9"/>
    <w:qFormat/>
    <w:rsid w:val="004A758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758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758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A758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A758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758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A758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A758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A758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A7589"/>
  </w:style>
  <w:style w:type="paragraph" w:customStyle="1" w:styleId="OPCParaBase">
    <w:name w:val="OPCParaBase"/>
    <w:qFormat/>
    <w:rsid w:val="004A7589"/>
    <w:pPr>
      <w:spacing w:line="260" w:lineRule="atLeast"/>
    </w:pPr>
    <w:rPr>
      <w:rFonts w:eastAsia="Times New Roman" w:cs="Times New Roman"/>
      <w:sz w:val="22"/>
      <w:lang w:eastAsia="en-AU"/>
    </w:rPr>
  </w:style>
  <w:style w:type="paragraph" w:customStyle="1" w:styleId="ShortT">
    <w:name w:val="ShortT"/>
    <w:basedOn w:val="OPCParaBase"/>
    <w:next w:val="Normal"/>
    <w:qFormat/>
    <w:rsid w:val="004A7589"/>
    <w:pPr>
      <w:spacing w:line="240" w:lineRule="auto"/>
    </w:pPr>
    <w:rPr>
      <w:b/>
      <w:sz w:val="40"/>
    </w:rPr>
  </w:style>
  <w:style w:type="paragraph" w:customStyle="1" w:styleId="ActHead1">
    <w:name w:val="ActHead 1"/>
    <w:aliases w:val="c"/>
    <w:basedOn w:val="OPCParaBase"/>
    <w:next w:val="Normal"/>
    <w:qFormat/>
    <w:rsid w:val="004A758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758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758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758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A758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758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758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758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758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A7589"/>
  </w:style>
  <w:style w:type="paragraph" w:customStyle="1" w:styleId="Blocks">
    <w:name w:val="Blocks"/>
    <w:aliases w:val="bb"/>
    <w:basedOn w:val="OPCParaBase"/>
    <w:qFormat/>
    <w:rsid w:val="004A7589"/>
    <w:pPr>
      <w:spacing w:line="240" w:lineRule="auto"/>
    </w:pPr>
    <w:rPr>
      <w:sz w:val="24"/>
    </w:rPr>
  </w:style>
  <w:style w:type="paragraph" w:customStyle="1" w:styleId="BoxText">
    <w:name w:val="BoxText"/>
    <w:aliases w:val="bt"/>
    <w:basedOn w:val="OPCParaBase"/>
    <w:qFormat/>
    <w:rsid w:val="004A758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7589"/>
    <w:rPr>
      <w:b/>
    </w:rPr>
  </w:style>
  <w:style w:type="paragraph" w:customStyle="1" w:styleId="BoxHeadItalic">
    <w:name w:val="BoxHeadItalic"/>
    <w:aliases w:val="bhi"/>
    <w:basedOn w:val="BoxText"/>
    <w:next w:val="BoxStep"/>
    <w:qFormat/>
    <w:rsid w:val="004A7589"/>
    <w:rPr>
      <w:i/>
    </w:rPr>
  </w:style>
  <w:style w:type="paragraph" w:customStyle="1" w:styleId="BoxList">
    <w:name w:val="BoxList"/>
    <w:aliases w:val="bl"/>
    <w:basedOn w:val="BoxText"/>
    <w:qFormat/>
    <w:rsid w:val="004A7589"/>
    <w:pPr>
      <w:ind w:left="1559" w:hanging="425"/>
    </w:pPr>
  </w:style>
  <w:style w:type="paragraph" w:customStyle="1" w:styleId="BoxNote">
    <w:name w:val="BoxNote"/>
    <w:aliases w:val="bn"/>
    <w:basedOn w:val="BoxText"/>
    <w:qFormat/>
    <w:rsid w:val="004A7589"/>
    <w:pPr>
      <w:tabs>
        <w:tab w:val="left" w:pos="1985"/>
      </w:tabs>
      <w:spacing w:before="122" w:line="198" w:lineRule="exact"/>
      <w:ind w:left="2948" w:hanging="1814"/>
    </w:pPr>
    <w:rPr>
      <w:sz w:val="18"/>
    </w:rPr>
  </w:style>
  <w:style w:type="paragraph" w:customStyle="1" w:styleId="BoxPara">
    <w:name w:val="BoxPara"/>
    <w:aliases w:val="bp"/>
    <w:basedOn w:val="BoxText"/>
    <w:qFormat/>
    <w:rsid w:val="004A7589"/>
    <w:pPr>
      <w:tabs>
        <w:tab w:val="right" w:pos="2268"/>
      </w:tabs>
      <w:ind w:left="2552" w:hanging="1418"/>
    </w:pPr>
  </w:style>
  <w:style w:type="paragraph" w:customStyle="1" w:styleId="BoxStep">
    <w:name w:val="BoxStep"/>
    <w:aliases w:val="bs"/>
    <w:basedOn w:val="BoxText"/>
    <w:qFormat/>
    <w:rsid w:val="004A7589"/>
    <w:pPr>
      <w:ind w:left="1985" w:hanging="851"/>
    </w:pPr>
  </w:style>
  <w:style w:type="character" w:customStyle="1" w:styleId="CharAmPartNo">
    <w:name w:val="CharAmPartNo"/>
    <w:basedOn w:val="OPCCharBase"/>
    <w:qFormat/>
    <w:rsid w:val="004A7589"/>
  </w:style>
  <w:style w:type="character" w:customStyle="1" w:styleId="CharAmPartText">
    <w:name w:val="CharAmPartText"/>
    <w:basedOn w:val="OPCCharBase"/>
    <w:qFormat/>
    <w:rsid w:val="004A7589"/>
  </w:style>
  <w:style w:type="character" w:customStyle="1" w:styleId="CharAmSchNo">
    <w:name w:val="CharAmSchNo"/>
    <w:basedOn w:val="OPCCharBase"/>
    <w:qFormat/>
    <w:rsid w:val="004A7589"/>
  </w:style>
  <w:style w:type="character" w:customStyle="1" w:styleId="CharAmSchText">
    <w:name w:val="CharAmSchText"/>
    <w:basedOn w:val="OPCCharBase"/>
    <w:qFormat/>
    <w:rsid w:val="004A7589"/>
  </w:style>
  <w:style w:type="character" w:customStyle="1" w:styleId="CharBoldItalic">
    <w:name w:val="CharBoldItalic"/>
    <w:basedOn w:val="OPCCharBase"/>
    <w:uiPriority w:val="1"/>
    <w:qFormat/>
    <w:rsid w:val="004A7589"/>
    <w:rPr>
      <w:b/>
      <w:i/>
    </w:rPr>
  </w:style>
  <w:style w:type="character" w:customStyle="1" w:styleId="CharChapNo">
    <w:name w:val="CharChapNo"/>
    <w:basedOn w:val="OPCCharBase"/>
    <w:uiPriority w:val="1"/>
    <w:qFormat/>
    <w:rsid w:val="004A7589"/>
  </w:style>
  <w:style w:type="character" w:customStyle="1" w:styleId="CharChapText">
    <w:name w:val="CharChapText"/>
    <w:basedOn w:val="OPCCharBase"/>
    <w:uiPriority w:val="1"/>
    <w:qFormat/>
    <w:rsid w:val="004A7589"/>
  </w:style>
  <w:style w:type="character" w:customStyle="1" w:styleId="CharDivNo">
    <w:name w:val="CharDivNo"/>
    <w:basedOn w:val="OPCCharBase"/>
    <w:uiPriority w:val="1"/>
    <w:qFormat/>
    <w:rsid w:val="004A7589"/>
  </w:style>
  <w:style w:type="character" w:customStyle="1" w:styleId="CharDivText">
    <w:name w:val="CharDivText"/>
    <w:basedOn w:val="OPCCharBase"/>
    <w:uiPriority w:val="1"/>
    <w:qFormat/>
    <w:rsid w:val="004A7589"/>
  </w:style>
  <w:style w:type="character" w:customStyle="1" w:styleId="CharItalic">
    <w:name w:val="CharItalic"/>
    <w:basedOn w:val="OPCCharBase"/>
    <w:uiPriority w:val="1"/>
    <w:qFormat/>
    <w:rsid w:val="004A7589"/>
    <w:rPr>
      <w:i/>
    </w:rPr>
  </w:style>
  <w:style w:type="character" w:customStyle="1" w:styleId="CharPartNo">
    <w:name w:val="CharPartNo"/>
    <w:basedOn w:val="OPCCharBase"/>
    <w:uiPriority w:val="1"/>
    <w:qFormat/>
    <w:rsid w:val="004A7589"/>
  </w:style>
  <w:style w:type="character" w:customStyle="1" w:styleId="CharPartText">
    <w:name w:val="CharPartText"/>
    <w:basedOn w:val="OPCCharBase"/>
    <w:uiPriority w:val="1"/>
    <w:qFormat/>
    <w:rsid w:val="004A7589"/>
  </w:style>
  <w:style w:type="character" w:customStyle="1" w:styleId="CharSectno">
    <w:name w:val="CharSectno"/>
    <w:basedOn w:val="OPCCharBase"/>
    <w:qFormat/>
    <w:rsid w:val="004A7589"/>
  </w:style>
  <w:style w:type="character" w:customStyle="1" w:styleId="CharSubdNo">
    <w:name w:val="CharSubdNo"/>
    <w:basedOn w:val="OPCCharBase"/>
    <w:uiPriority w:val="1"/>
    <w:qFormat/>
    <w:rsid w:val="004A7589"/>
  </w:style>
  <w:style w:type="character" w:customStyle="1" w:styleId="CharSubdText">
    <w:name w:val="CharSubdText"/>
    <w:basedOn w:val="OPCCharBase"/>
    <w:uiPriority w:val="1"/>
    <w:qFormat/>
    <w:rsid w:val="004A7589"/>
  </w:style>
  <w:style w:type="paragraph" w:customStyle="1" w:styleId="CTA--">
    <w:name w:val="CTA --"/>
    <w:basedOn w:val="OPCParaBase"/>
    <w:next w:val="Normal"/>
    <w:rsid w:val="004A7589"/>
    <w:pPr>
      <w:spacing w:before="60" w:line="240" w:lineRule="atLeast"/>
      <w:ind w:left="142" w:hanging="142"/>
    </w:pPr>
    <w:rPr>
      <w:sz w:val="20"/>
    </w:rPr>
  </w:style>
  <w:style w:type="paragraph" w:customStyle="1" w:styleId="CTA-">
    <w:name w:val="CTA -"/>
    <w:basedOn w:val="OPCParaBase"/>
    <w:rsid w:val="004A7589"/>
    <w:pPr>
      <w:spacing w:before="60" w:line="240" w:lineRule="atLeast"/>
      <w:ind w:left="85" w:hanging="85"/>
    </w:pPr>
    <w:rPr>
      <w:sz w:val="20"/>
    </w:rPr>
  </w:style>
  <w:style w:type="paragraph" w:customStyle="1" w:styleId="CTA---">
    <w:name w:val="CTA ---"/>
    <w:basedOn w:val="OPCParaBase"/>
    <w:next w:val="Normal"/>
    <w:rsid w:val="004A7589"/>
    <w:pPr>
      <w:spacing w:before="60" w:line="240" w:lineRule="atLeast"/>
      <w:ind w:left="198" w:hanging="198"/>
    </w:pPr>
    <w:rPr>
      <w:sz w:val="20"/>
    </w:rPr>
  </w:style>
  <w:style w:type="paragraph" w:customStyle="1" w:styleId="CTA----">
    <w:name w:val="CTA ----"/>
    <w:basedOn w:val="OPCParaBase"/>
    <w:next w:val="Normal"/>
    <w:rsid w:val="004A7589"/>
    <w:pPr>
      <w:spacing w:before="60" w:line="240" w:lineRule="atLeast"/>
      <w:ind w:left="255" w:hanging="255"/>
    </w:pPr>
    <w:rPr>
      <w:sz w:val="20"/>
    </w:rPr>
  </w:style>
  <w:style w:type="paragraph" w:customStyle="1" w:styleId="CTA1a">
    <w:name w:val="CTA 1(a)"/>
    <w:basedOn w:val="OPCParaBase"/>
    <w:rsid w:val="004A7589"/>
    <w:pPr>
      <w:tabs>
        <w:tab w:val="right" w:pos="414"/>
      </w:tabs>
      <w:spacing w:before="40" w:line="240" w:lineRule="atLeast"/>
      <w:ind w:left="675" w:hanging="675"/>
    </w:pPr>
    <w:rPr>
      <w:sz w:val="20"/>
    </w:rPr>
  </w:style>
  <w:style w:type="paragraph" w:customStyle="1" w:styleId="CTA1ai">
    <w:name w:val="CTA 1(a)(i)"/>
    <w:basedOn w:val="OPCParaBase"/>
    <w:rsid w:val="004A7589"/>
    <w:pPr>
      <w:tabs>
        <w:tab w:val="right" w:pos="1004"/>
      </w:tabs>
      <w:spacing w:before="40" w:line="240" w:lineRule="atLeast"/>
      <w:ind w:left="1253" w:hanging="1253"/>
    </w:pPr>
    <w:rPr>
      <w:sz w:val="20"/>
    </w:rPr>
  </w:style>
  <w:style w:type="paragraph" w:customStyle="1" w:styleId="CTA2a">
    <w:name w:val="CTA 2(a)"/>
    <w:basedOn w:val="OPCParaBase"/>
    <w:rsid w:val="004A7589"/>
    <w:pPr>
      <w:tabs>
        <w:tab w:val="right" w:pos="482"/>
      </w:tabs>
      <w:spacing w:before="40" w:line="240" w:lineRule="atLeast"/>
      <w:ind w:left="748" w:hanging="748"/>
    </w:pPr>
    <w:rPr>
      <w:sz w:val="20"/>
    </w:rPr>
  </w:style>
  <w:style w:type="paragraph" w:customStyle="1" w:styleId="CTA2ai">
    <w:name w:val="CTA 2(a)(i)"/>
    <w:basedOn w:val="OPCParaBase"/>
    <w:rsid w:val="004A7589"/>
    <w:pPr>
      <w:tabs>
        <w:tab w:val="right" w:pos="1089"/>
      </w:tabs>
      <w:spacing w:before="40" w:line="240" w:lineRule="atLeast"/>
      <w:ind w:left="1327" w:hanging="1327"/>
    </w:pPr>
    <w:rPr>
      <w:sz w:val="20"/>
    </w:rPr>
  </w:style>
  <w:style w:type="paragraph" w:customStyle="1" w:styleId="CTA3a">
    <w:name w:val="CTA 3(a)"/>
    <w:basedOn w:val="OPCParaBase"/>
    <w:rsid w:val="004A7589"/>
    <w:pPr>
      <w:tabs>
        <w:tab w:val="right" w:pos="556"/>
      </w:tabs>
      <w:spacing w:before="40" w:line="240" w:lineRule="atLeast"/>
      <w:ind w:left="805" w:hanging="805"/>
    </w:pPr>
    <w:rPr>
      <w:sz w:val="20"/>
    </w:rPr>
  </w:style>
  <w:style w:type="paragraph" w:customStyle="1" w:styleId="CTA3ai">
    <w:name w:val="CTA 3(a)(i)"/>
    <w:basedOn w:val="OPCParaBase"/>
    <w:rsid w:val="004A7589"/>
    <w:pPr>
      <w:tabs>
        <w:tab w:val="right" w:pos="1140"/>
      </w:tabs>
      <w:spacing w:before="40" w:line="240" w:lineRule="atLeast"/>
      <w:ind w:left="1361" w:hanging="1361"/>
    </w:pPr>
    <w:rPr>
      <w:sz w:val="20"/>
    </w:rPr>
  </w:style>
  <w:style w:type="paragraph" w:customStyle="1" w:styleId="CTA4a">
    <w:name w:val="CTA 4(a)"/>
    <w:basedOn w:val="OPCParaBase"/>
    <w:rsid w:val="004A7589"/>
    <w:pPr>
      <w:tabs>
        <w:tab w:val="right" w:pos="624"/>
      </w:tabs>
      <w:spacing w:before="40" w:line="240" w:lineRule="atLeast"/>
      <w:ind w:left="873" w:hanging="873"/>
    </w:pPr>
    <w:rPr>
      <w:sz w:val="20"/>
    </w:rPr>
  </w:style>
  <w:style w:type="paragraph" w:customStyle="1" w:styleId="CTA4ai">
    <w:name w:val="CTA 4(a)(i)"/>
    <w:basedOn w:val="OPCParaBase"/>
    <w:rsid w:val="004A7589"/>
    <w:pPr>
      <w:tabs>
        <w:tab w:val="right" w:pos="1213"/>
      </w:tabs>
      <w:spacing w:before="40" w:line="240" w:lineRule="atLeast"/>
      <w:ind w:left="1452" w:hanging="1452"/>
    </w:pPr>
    <w:rPr>
      <w:sz w:val="20"/>
    </w:rPr>
  </w:style>
  <w:style w:type="paragraph" w:customStyle="1" w:styleId="CTACAPS">
    <w:name w:val="CTA CAPS"/>
    <w:basedOn w:val="OPCParaBase"/>
    <w:rsid w:val="004A7589"/>
    <w:pPr>
      <w:spacing w:before="60" w:line="240" w:lineRule="atLeast"/>
    </w:pPr>
    <w:rPr>
      <w:sz w:val="20"/>
    </w:rPr>
  </w:style>
  <w:style w:type="paragraph" w:customStyle="1" w:styleId="CTAright">
    <w:name w:val="CTA right"/>
    <w:basedOn w:val="OPCParaBase"/>
    <w:rsid w:val="004A7589"/>
    <w:pPr>
      <w:spacing w:before="60" w:line="240" w:lineRule="auto"/>
      <w:jc w:val="right"/>
    </w:pPr>
    <w:rPr>
      <w:sz w:val="20"/>
    </w:rPr>
  </w:style>
  <w:style w:type="paragraph" w:customStyle="1" w:styleId="subsection">
    <w:name w:val="subsection"/>
    <w:aliases w:val="ss"/>
    <w:basedOn w:val="OPCParaBase"/>
    <w:link w:val="subsectionChar"/>
    <w:rsid w:val="004A7589"/>
    <w:pPr>
      <w:tabs>
        <w:tab w:val="right" w:pos="1021"/>
      </w:tabs>
      <w:spacing w:before="180" w:line="240" w:lineRule="auto"/>
      <w:ind w:left="1134" w:hanging="1134"/>
    </w:pPr>
  </w:style>
  <w:style w:type="paragraph" w:customStyle="1" w:styleId="Definition">
    <w:name w:val="Definition"/>
    <w:aliases w:val="dd"/>
    <w:basedOn w:val="OPCParaBase"/>
    <w:rsid w:val="004A7589"/>
    <w:pPr>
      <w:spacing w:before="180" w:line="240" w:lineRule="auto"/>
      <w:ind w:left="1134"/>
    </w:pPr>
  </w:style>
  <w:style w:type="paragraph" w:customStyle="1" w:styleId="EndNotespara">
    <w:name w:val="EndNotes(para)"/>
    <w:aliases w:val="eta"/>
    <w:basedOn w:val="OPCParaBase"/>
    <w:next w:val="EndNotessubpara"/>
    <w:rsid w:val="004A75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75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A75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7589"/>
    <w:pPr>
      <w:tabs>
        <w:tab w:val="right" w:pos="1412"/>
      </w:tabs>
      <w:spacing w:before="60" w:line="240" w:lineRule="auto"/>
      <w:ind w:left="1525" w:hanging="1525"/>
    </w:pPr>
    <w:rPr>
      <w:sz w:val="20"/>
    </w:rPr>
  </w:style>
  <w:style w:type="paragraph" w:customStyle="1" w:styleId="Formula">
    <w:name w:val="Formula"/>
    <w:basedOn w:val="OPCParaBase"/>
    <w:rsid w:val="004A7589"/>
    <w:pPr>
      <w:spacing w:line="240" w:lineRule="auto"/>
      <w:ind w:left="1134"/>
    </w:pPr>
    <w:rPr>
      <w:sz w:val="20"/>
    </w:rPr>
  </w:style>
  <w:style w:type="paragraph" w:styleId="Header">
    <w:name w:val="header"/>
    <w:aliases w:val="h"/>
    <w:basedOn w:val="OPCParaBase"/>
    <w:link w:val="HeaderChar"/>
    <w:unhideWhenUsed/>
    <w:rsid w:val="004A7589"/>
    <w:pPr>
      <w:keepNext/>
      <w:keepLines/>
      <w:tabs>
        <w:tab w:val="center" w:pos="4150"/>
        <w:tab w:val="right" w:pos="8307"/>
      </w:tabs>
      <w:spacing w:line="160" w:lineRule="exact"/>
    </w:pPr>
    <w:rPr>
      <w:sz w:val="16"/>
    </w:rPr>
  </w:style>
  <w:style w:type="character" w:customStyle="1" w:styleId="HeaderChar">
    <w:name w:val="Header Char"/>
    <w:aliases w:val="h Char"/>
    <w:basedOn w:val="DefaultParagraphFont"/>
    <w:link w:val="Header"/>
    <w:rsid w:val="004A7589"/>
    <w:rPr>
      <w:rFonts w:eastAsia="Times New Roman" w:cs="Times New Roman"/>
      <w:sz w:val="16"/>
      <w:lang w:eastAsia="en-AU"/>
    </w:rPr>
  </w:style>
  <w:style w:type="paragraph" w:customStyle="1" w:styleId="House">
    <w:name w:val="House"/>
    <w:basedOn w:val="OPCParaBase"/>
    <w:rsid w:val="004A7589"/>
    <w:pPr>
      <w:spacing w:line="240" w:lineRule="auto"/>
    </w:pPr>
    <w:rPr>
      <w:sz w:val="28"/>
    </w:rPr>
  </w:style>
  <w:style w:type="paragraph" w:customStyle="1" w:styleId="Item">
    <w:name w:val="Item"/>
    <w:aliases w:val="i"/>
    <w:basedOn w:val="OPCParaBase"/>
    <w:next w:val="ItemHead"/>
    <w:rsid w:val="004A7589"/>
    <w:pPr>
      <w:keepLines/>
      <w:spacing w:before="80" w:line="240" w:lineRule="auto"/>
      <w:ind w:left="709"/>
    </w:pPr>
  </w:style>
  <w:style w:type="paragraph" w:customStyle="1" w:styleId="ItemHead">
    <w:name w:val="ItemHead"/>
    <w:aliases w:val="ih"/>
    <w:basedOn w:val="OPCParaBase"/>
    <w:next w:val="Item"/>
    <w:rsid w:val="004A758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A7589"/>
    <w:pPr>
      <w:spacing w:line="240" w:lineRule="auto"/>
    </w:pPr>
    <w:rPr>
      <w:b/>
      <w:sz w:val="32"/>
    </w:rPr>
  </w:style>
  <w:style w:type="paragraph" w:customStyle="1" w:styleId="notedraft">
    <w:name w:val="note(draft)"/>
    <w:aliases w:val="nd"/>
    <w:basedOn w:val="OPCParaBase"/>
    <w:rsid w:val="004A7589"/>
    <w:pPr>
      <w:spacing w:before="240" w:line="240" w:lineRule="auto"/>
      <w:ind w:left="284" w:hanging="284"/>
    </w:pPr>
    <w:rPr>
      <w:i/>
      <w:sz w:val="24"/>
    </w:rPr>
  </w:style>
  <w:style w:type="paragraph" w:customStyle="1" w:styleId="notemargin">
    <w:name w:val="note(margin)"/>
    <w:aliases w:val="nm"/>
    <w:basedOn w:val="OPCParaBase"/>
    <w:rsid w:val="004A7589"/>
    <w:pPr>
      <w:tabs>
        <w:tab w:val="left" w:pos="709"/>
      </w:tabs>
      <w:spacing w:before="122" w:line="198" w:lineRule="exact"/>
      <w:ind w:left="709" w:hanging="709"/>
    </w:pPr>
    <w:rPr>
      <w:sz w:val="18"/>
    </w:rPr>
  </w:style>
  <w:style w:type="paragraph" w:customStyle="1" w:styleId="noteToPara">
    <w:name w:val="noteToPara"/>
    <w:aliases w:val="ntp"/>
    <w:basedOn w:val="OPCParaBase"/>
    <w:rsid w:val="004A7589"/>
    <w:pPr>
      <w:spacing w:before="122" w:line="198" w:lineRule="exact"/>
      <w:ind w:left="2353" w:hanging="709"/>
    </w:pPr>
    <w:rPr>
      <w:sz w:val="18"/>
    </w:rPr>
  </w:style>
  <w:style w:type="paragraph" w:customStyle="1" w:styleId="noteParlAmend">
    <w:name w:val="note(ParlAmend)"/>
    <w:aliases w:val="npp"/>
    <w:basedOn w:val="OPCParaBase"/>
    <w:next w:val="ParlAmend"/>
    <w:rsid w:val="004A7589"/>
    <w:pPr>
      <w:spacing w:line="240" w:lineRule="auto"/>
      <w:jc w:val="right"/>
    </w:pPr>
    <w:rPr>
      <w:rFonts w:ascii="Arial" w:hAnsi="Arial"/>
      <w:b/>
      <w:i/>
    </w:rPr>
  </w:style>
  <w:style w:type="paragraph" w:customStyle="1" w:styleId="Page1">
    <w:name w:val="Page1"/>
    <w:basedOn w:val="OPCParaBase"/>
    <w:rsid w:val="004A7589"/>
    <w:pPr>
      <w:spacing w:before="5600" w:line="240" w:lineRule="auto"/>
    </w:pPr>
    <w:rPr>
      <w:b/>
      <w:sz w:val="32"/>
    </w:rPr>
  </w:style>
  <w:style w:type="paragraph" w:customStyle="1" w:styleId="PageBreak">
    <w:name w:val="PageBreak"/>
    <w:aliases w:val="pb"/>
    <w:basedOn w:val="OPCParaBase"/>
    <w:rsid w:val="004A7589"/>
    <w:pPr>
      <w:spacing w:line="240" w:lineRule="auto"/>
    </w:pPr>
    <w:rPr>
      <w:sz w:val="20"/>
    </w:rPr>
  </w:style>
  <w:style w:type="paragraph" w:customStyle="1" w:styleId="paragraphsub">
    <w:name w:val="paragraph(sub)"/>
    <w:aliases w:val="aa"/>
    <w:basedOn w:val="OPCParaBase"/>
    <w:rsid w:val="004A7589"/>
    <w:pPr>
      <w:tabs>
        <w:tab w:val="right" w:pos="1985"/>
      </w:tabs>
      <w:spacing w:before="40" w:line="240" w:lineRule="auto"/>
      <w:ind w:left="2098" w:hanging="2098"/>
    </w:pPr>
  </w:style>
  <w:style w:type="paragraph" w:customStyle="1" w:styleId="paragraphsub-sub">
    <w:name w:val="paragraph(sub-sub)"/>
    <w:aliases w:val="aaa"/>
    <w:basedOn w:val="OPCParaBase"/>
    <w:rsid w:val="004A7589"/>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4A7589"/>
    <w:pPr>
      <w:tabs>
        <w:tab w:val="right" w:pos="1531"/>
      </w:tabs>
      <w:spacing w:before="40" w:line="240" w:lineRule="auto"/>
      <w:ind w:left="1644" w:hanging="1644"/>
    </w:pPr>
  </w:style>
  <w:style w:type="paragraph" w:customStyle="1" w:styleId="ParlAmend">
    <w:name w:val="ParlAmend"/>
    <w:aliases w:val="pp"/>
    <w:basedOn w:val="OPCParaBase"/>
    <w:rsid w:val="004A7589"/>
    <w:pPr>
      <w:spacing w:before="240" w:line="240" w:lineRule="atLeast"/>
      <w:ind w:hanging="567"/>
    </w:pPr>
    <w:rPr>
      <w:sz w:val="24"/>
    </w:rPr>
  </w:style>
  <w:style w:type="paragraph" w:customStyle="1" w:styleId="Penalty">
    <w:name w:val="Penalty"/>
    <w:basedOn w:val="OPCParaBase"/>
    <w:rsid w:val="004A7589"/>
    <w:pPr>
      <w:tabs>
        <w:tab w:val="left" w:pos="2977"/>
      </w:tabs>
      <w:spacing w:before="180" w:line="240" w:lineRule="auto"/>
      <w:ind w:left="1985" w:hanging="851"/>
    </w:pPr>
  </w:style>
  <w:style w:type="paragraph" w:customStyle="1" w:styleId="Portfolio">
    <w:name w:val="Portfolio"/>
    <w:basedOn w:val="OPCParaBase"/>
    <w:rsid w:val="004A7589"/>
    <w:pPr>
      <w:spacing w:line="240" w:lineRule="auto"/>
    </w:pPr>
    <w:rPr>
      <w:i/>
      <w:sz w:val="20"/>
    </w:rPr>
  </w:style>
  <w:style w:type="paragraph" w:customStyle="1" w:styleId="Preamble">
    <w:name w:val="Preamble"/>
    <w:basedOn w:val="OPCParaBase"/>
    <w:next w:val="Normal"/>
    <w:rsid w:val="004A758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7589"/>
    <w:pPr>
      <w:spacing w:line="240" w:lineRule="auto"/>
    </w:pPr>
    <w:rPr>
      <w:i/>
      <w:sz w:val="20"/>
    </w:rPr>
  </w:style>
  <w:style w:type="paragraph" w:customStyle="1" w:styleId="Session">
    <w:name w:val="Session"/>
    <w:basedOn w:val="OPCParaBase"/>
    <w:rsid w:val="004A7589"/>
    <w:pPr>
      <w:spacing w:line="240" w:lineRule="auto"/>
    </w:pPr>
    <w:rPr>
      <w:sz w:val="28"/>
    </w:rPr>
  </w:style>
  <w:style w:type="paragraph" w:customStyle="1" w:styleId="Sponsor">
    <w:name w:val="Sponsor"/>
    <w:basedOn w:val="OPCParaBase"/>
    <w:rsid w:val="004A7589"/>
    <w:pPr>
      <w:spacing w:line="240" w:lineRule="auto"/>
    </w:pPr>
    <w:rPr>
      <w:i/>
    </w:rPr>
  </w:style>
  <w:style w:type="paragraph" w:customStyle="1" w:styleId="Subitem">
    <w:name w:val="Subitem"/>
    <w:aliases w:val="iss"/>
    <w:basedOn w:val="OPCParaBase"/>
    <w:rsid w:val="004A7589"/>
    <w:pPr>
      <w:spacing w:before="180" w:line="240" w:lineRule="auto"/>
      <w:ind w:left="709" w:hanging="709"/>
    </w:pPr>
  </w:style>
  <w:style w:type="paragraph" w:customStyle="1" w:styleId="SubitemHead">
    <w:name w:val="SubitemHead"/>
    <w:aliases w:val="issh"/>
    <w:basedOn w:val="OPCParaBase"/>
    <w:rsid w:val="004A758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7589"/>
    <w:pPr>
      <w:spacing w:before="40" w:line="240" w:lineRule="auto"/>
      <w:ind w:left="1134"/>
    </w:pPr>
  </w:style>
  <w:style w:type="paragraph" w:customStyle="1" w:styleId="SubsectionHead">
    <w:name w:val="SubsectionHead"/>
    <w:aliases w:val="ssh"/>
    <w:basedOn w:val="OPCParaBase"/>
    <w:next w:val="subsection"/>
    <w:rsid w:val="004A7589"/>
    <w:pPr>
      <w:keepNext/>
      <w:keepLines/>
      <w:spacing w:before="240" w:line="240" w:lineRule="auto"/>
      <w:ind w:left="1134"/>
    </w:pPr>
    <w:rPr>
      <w:i/>
    </w:rPr>
  </w:style>
  <w:style w:type="paragraph" w:customStyle="1" w:styleId="Tablea">
    <w:name w:val="Table(a)"/>
    <w:aliases w:val="ta"/>
    <w:basedOn w:val="OPCParaBase"/>
    <w:rsid w:val="004A7589"/>
    <w:pPr>
      <w:spacing w:before="60" w:line="240" w:lineRule="auto"/>
      <w:ind w:left="284" w:hanging="284"/>
    </w:pPr>
    <w:rPr>
      <w:sz w:val="20"/>
    </w:rPr>
  </w:style>
  <w:style w:type="paragraph" w:customStyle="1" w:styleId="TableAA">
    <w:name w:val="Table(AA)"/>
    <w:aliases w:val="taaa"/>
    <w:basedOn w:val="OPCParaBase"/>
    <w:rsid w:val="004A758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758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4A7589"/>
    <w:pPr>
      <w:spacing w:before="60" w:line="240" w:lineRule="atLeast"/>
    </w:pPr>
    <w:rPr>
      <w:sz w:val="20"/>
    </w:rPr>
  </w:style>
  <w:style w:type="paragraph" w:customStyle="1" w:styleId="TLPBoxTextnote">
    <w:name w:val="TLPBoxText(note"/>
    <w:aliases w:val="right)"/>
    <w:basedOn w:val="OPCParaBase"/>
    <w:rsid w:val="004A758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758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7589"/>
    <w:pPr>
      <w:spacing w:before="122" w:line="198" w:lineRule="exact"/>
      <w:ind w:left="1985" w:hanging="851"/>
      <w:jc w:val="right"/>
    </w:pPr>
    <w:rPr>
      <w:sz w:val="18"/>
    </w:rPr>
  </w:style>
  <w:style w:type="paragraph" w:customStyle="1" w:styleId="TLPTableBullet">
    <w:name w:val="TLPTableBullet"/>
    <w:aliases w:val="ttb"/>
    <w:basedOn w:val="OPCParaBase"/>
    <w:rsid w:val="004A7589"/>
    <w:pPr>
      <w:spacing w:line="240" w:lineRule="exact"/>
      <w:ind w:left="284" w:hanging="284"/>
    </w:pPr>
    <w:rPr>
      <w:sz w:val="20"/>
    </w:rPr>
  </w:style>
  <w:style w:type="paragraph" w:styleId="TOC1">
    <w:name w:val="toc 1"/>
    <w:basedOn w:val="Normal"/>
    <w:next w:val="Normal"/>
    <w:uiPriority w:val="39"/>
    <w:unhideWhenUsed/>
    <w:rsid w:val="004A758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A758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A758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A758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A758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A758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A758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A758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A758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A7589"/>
    <w:pPr>
      <w:keepLines/>
      <w:spacing w:before="240" w:after="120" w:line="240" w:lineRule="auto"/>
      <w:ind w:left="794"/>
    </w:pPr>
    <w:rPr>
      <w:b/>
      <w:kern w:val="28"/>
      <w:sz w:val="20"/>
    </w:rPr>
  </w:style>
  <w:style w:type="paragraph" w:customStyle="1" w:styleId="TofSectsHeading">
    <w:name w:val="TofSects(Heading)"/>
    <w:basedOn w:val="OPCParaBase"/>
    <w:rsid w:val="004A7589"/>
    <w:pPr>
      <w:spacing w:before="240" w:after="120" w:line="240" w:lineRule="auto"/>
    </w:pPr>
    <w:rPr>
      <w:b/>
      <w:sz w:val="24"/>
    </w:rPr>
  </w:style>
  <w:style w:type="paragraph" w:customStyle="1" w:styleId="TofSectsSection">
    <w:name w:val="TofSects(Section)"/>
    <w:basedOn w:val="OPCParaBase"/>
    <w:rsid w:val="004A7589"/>
    <w:pPr>
      <w:keepLines/>
      <w:spacing w:before="40" w:line="240" w:lineRule="auto"/>
      <w:ind w:left="1588" w:hanging="794"/>
    </w:pPr>
    <w:rPr>
      <w:kern w:val="28"/>
      <w:sz w:val="18"/>
    </w:rPr>
  </w:style>
  <w:style w:type="paragraph" w:customStyle="1" w:styleId="TofSectsSubdiv">
    <w:name w:val="TofSects(Subdiv)"/>
    <w:basedOn w:val="OPCParaBase"/>
    <w:rsid w:val="004A7589"/>
    <w:pPr>
      <w:keepLines/>
      <w:spacing w:before="80" w:line="240" w:lineRule="auto"/>
      <w:ind w:left="1588" w:hanging="794"/>
    </w:pPr>
    <w:rPr>
      <w:kern w:val="28"/>
    </w:rPr>
  </w:style>
  <w:style w:type="paragraph" w:customStyle="1" w:styleId="WRStyle">
    <w:name w:val="WR Style"/>
    <w:aliases w:val="WR"/>
    <w:basedOn w:val="OPCParaBase"/>
    <w:rsid w:val="004A7589"/>
    <w:pPr>
      <w:spacing w:before="240" w:line="240" w:lineRule="auto"/>
      <w:ind w:left="284" w:hanging="284"/>
    </w:pPr>
    <w:rPr>
      <w:b/>
      <w:i/>
      <w:kern w:val="28"/>
      <w:sz w:val="24"/>
    </w:rPr>
  </w:style>
  <w:style w:type="paragraph" w:customStyle="1" w:styleId="notepara">
    <w:name w:val="note(para)"/>
    <w:aliases w:val="na"/>
    <w:basedOn w:val="OPCParaBase"/>
    <w:rsid w:val="004A7589"/>
    <w:pPr>
      <w:spacing w:before="40" w:line="198" w:lineRule="exact"/>
      <w:ind w:left="2354" w:hanging="369"/>
    </w:pPr>
    <w:rPr>
      <w:sz w:val="18"/>
    </w:rPr>
  </w:style>
  <w:style w:type="paragraph" w:styleId="Footer">
    <w:name w:val="footer"/>
    <w:link w:val="FooterChar"/>
    <w:rsid w:val="004A758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A7589"/>
    <w:rPr>
      <w:rFonts w:eastAsia="Times New Roman" w:cs="Times New Roman"/>
      <w:sz w:val="22"/>
      <w:szCs w:val="24"/>
      <w:lang w:eastAsia="en-AU"/>
    </w:rPr>
  </w:style>
  <w:style w:type="character" w:styleId="LineNumber">
    <w:name w:val="line number"/>
    <w:basedOn w:val="OPCCharBase"/>
    <w:uiPriority w:val="99"/>
    <w:unhideWhenUsed/>
    <w:rsid w:val="004A7589"/>
    <w:rPr>
      <w:sz w:val="16"/>
    </w:rPr>
  </w:style>
  <w:style w:type="table" w:customStyle="1" w:styleId="CFlag">
    <w:name w:val="CFlag"/>
    <w:basedOn w:val="TableNormal"/>
    <w:uiPriority w:val="99"/>
    <w:rsid w:val="004A7589"/>
    <w:rPr>
      <w:rFonts w:eastAsia="Times New Roman" w:cs="Times New Roman"/>
      <w:lang w:eastAsia="en-AU"/>
    </w:rPr>
    <w:tblPr/>
  </w:style>
  <w:style w:type="paragraph" w:styleId="BalloonText">
    <w:name w:val="Balloon Text"/>
    <w:basedOn w:val="Normal"/>
    <w:link w:val="BalloonTextChar"/>
    <w:uiPriority w:val="99"/>
    <w:unhideWhenUsed/>
    <w:rsid w:val="004A75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A7589"/>
    <w:rPr>
      <w:rFonts w:ascii="Tahoma" w:hAnsi="Tahoma" w:cs="Tahoma"/>
      <w:sz w:val="16"/>
      <w:szCs w:val="16"/>
    </w:rPr>
  </w:style>
  <w:style w:type="table" w:styleId="TableGrid">
    <w:name w:val="Table Grid"/>
    <w:basedOn w:val="TableNormal"/>
    <w:uiPriority w:val="59"/>
    <w:rsid w:val="004A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A7589"/>
    <w:rPr>
      <w:b/>
      <w:sz w:val="28"/>
      <w:szCs w:val="32"/>
    </w:rPr>
  </w:style>
  <w:style w:type="paragraph" w:customStyle="1" w:styleId="LegislationMadeUnder">
    <w:name w:val="LegislationMadeUnder"/>
    <w:basedOn w:val="OPCParaBase"/>
    <w:next w:val="Normal"/>
    <w:rsid w:val="004A7589"/>
    <w:rPr>
      <w:i/>
      <w:sz w:val="32"/>
      <w:szCs w:val="32"/>
    </w:rPr>
  </w:style>
  <w:style w:type="paragraph" w:customStyle="1" w:styleId="SignCoverPageEnd">
    <w:name w:val="SignCoverPageEnd"/>
    <w:basedOn w:val="OPCParaBase"/>
    <w:next w:val="Normal"/>
    <w:rsid w:val="004A758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A7589"/>
    <w:pPr>
      <w:pBdr>
        <w:top w:val="single" w:sz="4" w:space="1" w:color="auto"/>
      </w:pBdr>
      <w:spacing w:before="360"/>
      <w:ind w:right="397"/>
      <w:jc w:val="both"/>
    </w:pPr>
  </w:style>
  <w:style w:type="paragraph" w:customStyle="1" w:styleId="NotesHeading1">
    <w:name w:val="NotesHeading 1"/>
    <w:basedOn w:val="OPCParaBase"/>
    <w:next w:val="Normal"/>
    <w:rsid w:val="004A7589"/>
    <w:rPr>
      <w:b/>
      <w:sz w:val="28"/>
      <w:szCs w:val="28"/>
    </w:rPr>
  </w:style>
  <w:style w:type="paragraph" w:customStyle="1" w:styleId="NotesHeading2">
    <w:name w:val="NotesHeading 2"/>
    <w:basedOn w:val="OPCParaBase"/>
    <w:next w:val="Normal"/>
    <w:rsid w:val="004A7589"/>
    <w:rPr>
      <w:b/>
      <w:sz w:val="28"/>
      <w:szCs w:val="28"/>
    </w:rPr>
  </w:style>
  <w:style w:type="paragraph" w:customStyle="1" w:styleId="CompiledActNo">
    <w:name w:val="CompiledActNo"/>
    <w:basedOn w:val="OPCParaBase"/>
    <w:next w:val="Normal"/>
    <w:rsid w:val="004A7589"/>
    <w:rPr>
      <w:b/>
      <w:sz w:val="24"/>
      <w:szCs w:val="24"/>
    </w:rPr>
  </w:style>
  <w:style w:type="paragraph" w:customStyle="1" w:styleId="ENotesText">
    <w:name w:val="ENotesText"/>
    <w:aliases w:val="Ent"/>
    <w:basedOn w:val="OPCParaBase"/>
    <w:next w:val="Normal"/>
    <w:rsid w:val="004A7589"/>
    <w:pPr>
      <w:spacing w:before="120"/>
    </w:pPr>
  </w:style>
  <w:style w:type="paragraph" w:customStyle="1" w:styleId="CompiledMadeUnder">
    <w:name w:val="CompiledMadeUnder"/>
    <w:basedOn w:val="OPCParaBase"/>
    <w:next w:val="Normal"/>
    <w:rsid w:val="004A7589"/>
    <w:rPr>
      <w:i/>
      <w:sz w:val="24"/>
      <w:szCs w:val="24"/>
    </w:rPr>
  </w:style>
  <w:style w:type="paragraph" w:customStyle="1" w:styleId="Paragraphsub-sub-sub">
    <w:name w:val="Paragraph(sub-sub-sub)"/>
    <w:aliases w:val="aaaa"/>
    <w:basedOn w:val="OPCParaBase"/>
    <w:rsid w:val="004A7589"/>
    <w:pPr>
      <w:tabs>
        <w:tab w:val="right" w:pos="3402"/>
      </w:tabs>
      <w:spacing w:before="40" w:line="240" w:lineRule="auto"/>
      <w:ind w:left="3402" w:hanging="3402"/>
    </w:pPr>
  </w:style>
  <w:style w:type="paragraph" w:customStyle="1" w:styleId="TableTextEndNotes">
    <w:name w:val="TableTextEndNotes"/>
    <w:aliases w:val="Tten"/>
    <w:basedOn w:val="Normal"/>
    <w:rsid w:val="004A7589"/>
    <w:pPr>
      <w:spacing w:before="60" w:line="240" w:lineRule="auto"/>
    </w:pPr>
    <w:rPr>
      <w:rFonts w:cs="Arial"/>
      <w:sz w:val="20"/>
      <w:szCs w:val="22"/>
    </w:rPr>
  </w:style>
  <w:style w:type="paragraph" w:customStyle="1" w:styleId="NoteToSubpara">
    <w:name w:val="NoteToSubpara"/>
    <w:aliases w:val="nts"/>
    <w:basedOn w:val="OPCParaBase"/>
    <w:rsid w:val="004A7589"/>
    <w:pPr>
      <w:spacing w:before="40" w:line="198" w:lineRule="exact"/>
      <w:ind w:left="2835" w:hanging="709"/>
    </w:pPr>
    <w:rPr>
      <w:sz w:val="18"/>
    </w:rPr>
  </w:style>
  <w:style w:type="paragraph" w:customStyle="1" w:styleId="ENoteTableHeading">
    <w:name w:val="ENoteTableHeading"/>
    <w:aliases w:val="enth"/>
    <w:basedOn w:val="OPCParaBase"/>
    <w:rsid w:val="004A7589"/>
    <w:pPr>
      <w:keepNext/>
      <w:spacing w:before="60" w:line="240" w:lineRule="atLeast"/>
    </w:pPr>
    <w:rPr>
      <w:rFonts w:ascii="Arial" w:hAnsi="Arial"/>
      <w:b/>
      <w:sz w:val="16"/>
    </w:rPr>
  </w:style>
  <w:style w:type="paragraph" w:customStyle="1" w:styleId="ENoteTTi">
    <w:name w:val="ENoteTTi"/>
    <w:aliases w:val="entti"/>
    <w:basedOn w:val="OPCParaBase"/>
    <w:rsid w:val="004A7589"/>
    <w:pPr>
      <w:keepNext/>
      <w:spacing w:before="60" w:line="240" w:lineRule="atLeast"/>
      <w:ind w:left="170"/>
    </w:pPr>
    <w:rPr>
      <w:sz w:val="16"/>
    </w:rPr>
  </w:style>
  <w:style w:type="paragraph" w:customStyle="1" w:styleId="ENotesHeading1">
    <w:name w:val="ENotesHeading 1"/>
    <w:aliases w:val="Enh1"/>
    <w:basedOn w:val="OPCParaBase"/>
    <w:next w:val="Normal"/>
    <w:rsid w:val="004A7589"/>
    <w:pPr>
      <w:spacing w:before="120"/>
      <w:outlineLvl w:val="1"/>
    </w:pPr>
    <w:rPr>
      <w:b/>
      <w:sz w:val="28"/>
      <w:szCs w:val="28"/>
    </w:rPr>
  </w:style>
  <w:style w:type="paragraph" w:customStyle="1" w:styleId="ENotesHeading2">
    <w:name w:val="ENotesHeading 2"/>
    <w:aliases w:val="Enh2"/>
    <w:basedOn w:val="OPCParaBase"/>
    <w:next w:val="Normal"/>
    <w:rsid w:val="004A7589"/>
    <w:pPr>
      <w:spacing w:before="120" w:after="120"/>
      <w:outlineLvl w:val="2"/>
    </w:pPr>
    <w:rPr>
      <w:b/>
      <w:sz w:val="24"/>
      <w:szCs w:val="28"/>
    </w:rPr>
  </w:style>
  <w:style w:type="paragraph" w:customStyle="1" w:styleId="ENoteTTIndentHeading">
    <w:name w:val="ENoteTTIndentHeading"/>
    <w:aliases w:val="enTTHi"/>
    <w:basedOn w:val="OPCParaBase"/>
    <w:rsid w:val="004A75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7589"/>
    <w:pPr>
      <w:spacing w:before="60" w:line="240" w:lineRule="atLeast"/>
    </w:pPr>
    <w:rPr>
      <w:sz w:val="16"/>
    </w:rPr>
  </w:style>
  <w:style w:type="paragraph" w:customStyle="1" w:styleId="MadeunderText">
    <w:name w:val="MadeunderText"/>
    <w:basedOn w:val="OPCParaBase"/>
    <w:next w:val="Normal"/>
    <w:rsid w:val="004A7589"/>
    <w:pPr>
      <w:spacing w:before="240"/>
    </w:pPr>
    <w:rPr>
      <w:sz w:val="24"/>
      <w:szCs w:val="24"/>
    </w:rPr>
  </w:style>
  <w:style w:type="paragraph" w:customStyle="1" w:styleId="ENotesHeading3">
    <w:name w:val="ENotesHeading 3"/>
    <w:aliases w:val="Enh3"/>
    <w:basedOn w:val="OPCParaBase"/>
    <w:next w:val="Normal"/>
    <w:rsid w:val="004A7589"/>
    <w:pPr>
      <w:keepNext/>
      <w:spacing w:before="120" w:line="240" w:lineRule="auto"/>
      <w:outlineLvl w:val="4"/>
    </w:pPr>
    <w:rPr>
      <w:b/>
      <w:szCs w:val="24"/>
    </w:rPr>
  </w:style>
  <w:style w:type="character" w:customStyle="1" w:styleId="CharSubPartTextCASA">
    <w:name w:val="CharSubPartText(CASA)"/>
    <w:basedOn w:val="OPCCharBase"/>
    <w:uiPriority w:val="1"/>
    <w:rsid w:val="004A7589"/>
  </w:style>
  <w:style w:type="character" w:customStyle="1" w:styleId="CharSubPartNoCASA">
    <w:name w:val="CharSubPartNo(CASA)"/>
    <w:basedOn w:val="OPCCharBase"/>
    <w:uiPriority w:val="1"/>
    <w:rsid w:val="004A7589"/>
  </w:style>
  <w:style w:type="paragraph" w:customStyle="1" w:styleId="ENoteTTIndentHeadingSub">
    <w:name w:val="ENoteTTIndentHeadingSub"/>
    <w:aliases w:val="enTTHis"/>
    <w:basedOn w:val="OPCParaBase"/>
    <w:rsid w:val="004A7589"/>
    <w:pPr>
      <w:keepNext/>
      <w:spacing w:before="60" w:line="240" w:lineRule="atLeast"/>
      <w:ind w:left="340"/>
    </w:pPr>
    <w:rPr>
      <w:b/>
      <w:sz w:val="16"/>
    </w:rPr>
  </w:style>
  <w:style w:type="paragraph" w:customStyle="1" w:styleId="ENoteTTiSub">
    <w:name w:val="ENoteTTiSub"/>
    <w:aliases w:val="enttis"/>
    <w:basedOn w:val="OPCParaBase"/>
    <w:rsid w:val="004A7589"/>
    <w:pPr>
      <w:keepNext/>
      <w:spacing w:before="60" w:line="240" w:lineRule="atLeast"/>
      <w:ind w:left="340"/>
    </w:pPr>
    <w:rPr>
      <w:sz w:val="16"/>
    </w:rPr>
  </w:style>
  <w:style w:type="paragraph" w:customStyle="1" w:styleId="SubDivisionMigration">
    <w:name w:val="SubDivisionMigration"/>
    <w:aliases w:val="sdm"/>
    <w:basedOn w:val="OPCParaBase"/>
    <w:rsid w:val="004A758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758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A7589"/>
    <w:pPr>
      <w:spacing w:before="122" w:line="240" w:lineRule="auto"/>
      <w:ind w:left="1985" w:hanging="851"/>
    </w:pPr>
    <w:rPr>
      <w:sz w:val="18"/>
    </w:rPr>
  </w:style>
  <w:style w:type="paragraph" w:customStyle="1" w:styleId="FreeForm">
    <w:name w:val="FreeForm"/>
    <w:rsid w:val="004A7589"/>
    <w:rPr>
      <w:rFonts w:ascii="Arial" w:hAnsi="Arial"/>
      <w:sz w:val="22"/>
    </w:rPr>
  </w:style>
  <w:style w:type="paragraph" w:customStyle="1" w:styleId="SOText">
    <w:name w:val="SO Text"/>
    <w:aliases w:val="sot"/>
    <w:link w:val="SOTextChar"/>
    <w:rsid w:val="004A758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A7589"/>
    <w:rPr>
      <w:sz w:val="22"/>
    </w:rPr>
  </w:style>
  <w:style w:type="paragraph" w:customStyle="1" w:styleId="SOTextNote">
    <w:name w:val="SO TextNote"/>
    <w:aliases w:val="sont"/>
    <w:basedOn w:val="SOText"/>
    <w:qFormat/>
    <w:rsid w:val="004A7589"/>
    <w:pPr>
      <w:spacing w:before="122" w:line="198" w:lineRule="exact"/>
      <w:ind w:left="1843" w:hanging="709"/>
    </w:pPr>
    <w:rPr>
      <w:sz w:val="18"/>
    </w:rPr>
  </w:style>
  <w:style w:type="paragraph" w:customStyle="1" w:styleId="SOPara">
    <w:name w:val="SO Para"/>
    <w:aliases w:val="soa"/>
    <w:basedOn w:val="SOText"/>
    <w:link w:val="SOParaChar"/>
    <w:qFormat/>
    <w:rsid w:val="004A7589"/>
    <w:pPr>
      <w:tabs>
        <w:tab w:val="right" w:pos="1786"/>
      </w:tabs>
      <w:spacing w:before="40"/>
      <w:ind w:left="2070" w:hanging="936"/>
    </w:pPr>
  </w:style>
  <w:style w:type="character" w:customStyle="1" w:styleId="SOParaChar">
    <w:name w:val="SO Para Char"/>
    <w:aliases w:val="soa Char"/>
    <w:basedOn w:val="DefaultParagraphFont"/>
    <w:link w:val="SOPara"/>
    <w:rsid w:val="004A7589"/>
    <w:rPr>
      <w:sz w:val="22"/>
    </w:rPr>
  </w:style>
  <w:style w:type="paragraph" w:customStyle="1" w:styleId="FileName">
    <w:name w:val="FileName"/>
    <w:basedOn w:val="Normal"/>
    <w:rsid w:val="004A7589"/>
  </w:style>
  <w:style w:type="paragraph" w:customStyle="1" w:styleId="TableHeading">
    <w:name w:val="TableHeading"/>
    <w:aliases w:val="th"/>
    <w:basedOn w:val="OPCParaBase"/>
    <w:next w:val="Tabletext"/>
    <w:rsid w:val="004A7589"/>
    <w:pPr>
      <w:keepNext/>
      <w:spacing w:before="60" w:line="240" w:lineRule="atLeast"/>
    </w:pPr>
    <w:rPr>
      <w:b/>
      <w:sz w:val="20"/>
    </w:rPr>
  </w:style>
  <w:style w:type="paragraph" w:customStyle="1" w:styleId="SOHeadBold">
    <w:name w:val="SO HeadBold"/>
    <w:aliases w:val="sohb"/>
    <w:basedOn w:val="SOText"/>
    <w:next w:val="SOText"/>
    <w:link w:val="SOHeadBoldChar"/>
    <w:qFormat/>
    <w:rsid w:val="004A7589"/>
    <w:rPr>
      <w:b/>
    </w:rPr>
  </w:style>
  <w:style w:type="character" w:customStyle="1" w:styleId="SOHeadBoldChar">
    <w:name w:val="SO HeadBold Char"/>
    <w:aliases w:val="sohb Char"/>
    <w:basedOn w:val="DefaultParagraphFont"/>
    <w:link w:val="SOHeadBold"/>
    <w:rsid w:val="004A7589"/>
    <w:rPr>
      <w:b/>
      <w:sz w:val="22"/>
    </w:rPr>
  </w:style>
  <w:style w:type="paragraph" w:customStyle="1" w:styleId="SOHeadItalic">
    <w:name w:val="SO HeadItalic"/>
    <w:aliases w:val="sohi"/>
    <w:basedOn w:val="SOText"/>
    <w:next w:val="SOText"/>
    <w:link w:val="SOHeadItalicChar"/>
    <w:qFormat/>
    <w:rsid w:val="004A7589"/>
    <w:rPr>
      <w:i/>
    </w:rPr>
  </w:style>
  <w:style w:type="character" w:customStyle="1" w:styleId="SOHeadItalicChar">
    <w:name w:val="SO HeadItalic Char"/>
    <w:aliases w:val="sohi Char"/>
    <w:basedOn w:val="DefaultParagraphFont"/>
    <w:link w:val="SOHeadItalic"/>
    <w:rsid w:val="004A7589"/>
    <w:rPr>
      <w:i/>
      <w:sz w:val="22"/>
    </w:rPr>
  </w:style>
  <w:style w:type="paragraph" w:customStyle="1" w:styleId="SOBullet">
    <w:name w:val="SO Bullet"/>
    <w:aliases w:val="sotb"/>
    <w:basedOn w:val="SOText"/>
    <w:link w:val="SOBulletChar"/>
    <w:qFormat/>
    <w:rsid w:val="004A7589"/>
    <w:pPr>
      <w:ind w:left="1559" w:hanging="425"/>
    </w:pPr>
  </w:style>
  <w:style w:type="character" w:customStyle="1" w:styleId="SOBulletChar">
    <w:name w:val="SO Bullet Char"/>
    <w:aliases w:val="sotb Char"/>
    <w:basedOn w:val="DefaultParagraphFont"/>
    <w:link w:val="SOBullet"/>
    <w:rsid w:val="004A7589"/>
    <w:rPr>
      <w:sz w:val="22"/>
    </w:rPr>
  </w:style>
  <w:style w:type="paragraph" w:customStyle="1" w:styleId="SOBulletNote">
    <w:name w:val="SO BulletNote"/>
    <w:aliases w:val="sonb"/>
    <w:basedOn w:val="SOTextNote"/>
    <w:link w:val="SOBulletNoteChar"/>
    <w:qFormat/>
    <w:rsid w:val="004A7589"/>
    <w:pPr>
      <w:tabs>
        <w:tab w:val="left" w:pos="1560"/>
      </w:tabs>
      <w:ind w:left="2268" w:hanging="1134"/>
    </w:pPr>
  </w:style>
  <w:style w:type="character" w:customStyle="1" w:styleId="SOBulletNoteChar">
    <w:name w:val="SO BulletNote Char"/>
    <w:aliases w:val="sonb Char"/>
    <w:basedOn w:val="DefaultParagraphFont"/>
    <w:link w:val="SOBulletNote"/>
    <w:rsid w:val="004A7589"/>
    <w:rPr>
      <w:sz w:val="18"/>
    </w:rPr>
  </w:style>
  <w:style w:type="paragraph" w:customStyle="1" w:styleId="SOText2">
    <w:name w:val="SO Text2"/>
    <w:aliases w:val="sot2"/>
    <w:basedOn w:val="Normal"/>
    <w:next w:val="SOText"/>
    <w:link w:val="SOText2Char"/>
    <w:rsid w:val="004A758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A7589"/>
    <w:rPr>
      <w:sz w:val="22"/>
    </w:rPr>
  </w:style>
  <w:style w:type="paragraph" w:customStyle="1" w:styleId="SubPartCASA">
    <w:name w:val="SubPart(CASA)"/>
    <w:aliases w:val="csp"/>
    <w:basedOn w:val="OPCParaBase"/>
    <w:next w:val="ActHead3"/>
    <w:rsid w:val="004A758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A7589"/>
    <w:rPr>
      <w:rFonts w:eastAsia="Times New Roman" w:cs="Times New Roman"/>
      <w:sz w:val="22"/>
      <w:lang w:eastAsia="en-AU"/>
    </w:rPr>
  </w:style>
  <w:style w:type="character" w:customStyle="1" w:styleId="notetextChar">
    <w:name w:val="note(text) Char"/>
    <w:aliases w:val="n Char"/>
    <w:basedOn w:val="DefaultParagraphFont"/>
    <w:link w:val="notetext"/>
    <w:rsid w:val="004A7589"/>
    <w:rPr>
      <w:rFonts w:eastAsia="Times New Roman" w:cs="Times New Roman"/>
      <w:sz w:val="18"/>
      <w:lang w:eastAsia="en-AU"/>
    </w:rPr>
  </w:style>
  <w:style w:type="character" w:customStyle="1" w:styleId="Heading1Char">
    <w:name w:val="Heading 1 Char"/>
    <w:basedOn w:val="DefaultParagraphFont"/>
    <w:link w:val="Heading1"/>
    <w:uiPriority w:val="9"/>
    <w:rsid w:val="004A75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75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758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A758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A758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A758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A758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A758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A7589"/>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4A7589"/>
    <w:rPr>
      <w:rFonts w:ascii="Arial" w:hAnsi="Arial" w:cs="Arial" w:hint="default"/>
      <w:b/>
      <w:bCs/>
      <w:sz w:val="28"/>
      <w:szCs w:val="28"/>
    </w:rPr>
  </w:style>
  <w:style w:type="paragraph" w:styleId="Index1">
    <w:name w:val="index 1"/>
    <w:basedOn w:val="Normal"/>
    <w:next w:val="Normal"/>
    <w:autoRedefine/>
    <w:rsid w:val="004A7589"/>
    <w:pPr>
      <w:ind w:left="240" w:hanging="240"/>
    </w:pPr>
  </w:style>
  <w:style w:type="paragraph" w:styleId="Index2">
    <w:name w:val="index 2"/>
    <w:basedOn w:val="Normal"/>
    <w:next w:val="Normal"/>
    <w:autoRedefine/>
    <w:rsid w:val="004A7589"/>
    <w:pPr>
      <w:ind w:left="480" w:hanging="240"/>
    </w:pPr>
  </w:style>
  <w:style w:type="paragraph" w:styleId="Index3">
    <w:name w:val="index 3"/>
    <w:basedOn w:val="Normal"/>
    <w:next w:val="Normal"/>
    <w:autoRedefine/>
    <w:rsid w:val="004A7589"/>
    <w:pPr>
      <w:ind w:left="720" w:hanging="240"/>
    </w:pPr>
  </w:style>
  <w:style w:type="paragraph" w:styleId="Index4">
    <w:name w:val="index 4"/>
    <w:basedOn w:val="Normal"/>
    <w:next w:val="Normal"/>
    <w:autoRedefine/>
    <w:rsid w:val="004A7589"/>
    <w:pPr>
      <w:ind w:left="960" w:hanging="240"/>
    </w:pPr>
  </w:style>
  <w:style w:type="paragraph" w:styleId="Index5">
    <w:name w:val="index 5"/>
    <w:basedOn w:val="Normal"/>
    <w:next w:val="Normal"/>
    <w:autoRedefine/>
    <w:rsid w:val="004A7589"/>
    <w:pPr>
      <w:ind w:left="1200" w:hanging="240"/>
    </w:pPr>
  </w:style>
  <w:style w:type="paragraph" w:styleId="Index6">
    <w:name w:val="index 6"/>
    <w:basedOn w:val="Normal"/>
    <w:next w:val="Normal"/>
    <w:autoRedefine/>
    <w:rsid w:val="004A7589"/>
    <w:pPr>
      <w:ind w:left="1440" w:hanging="240"/>
    </w:pPr>
  </w:style>
  <w:style w:type="paragraph" w:styleId="Index7">
    <w:name w:val="index 7"/>
    <w:basedOn w:val="Normal"/>
    <w:next w:val="Normal"/>
    <w:autoRedefine/>
    <w:rsid w:val="004A7589"/>
    <w:pPr>
      <w:ind w:left="1680" w:hanging="240"/>
    </w:pPr>
  </w:style>
  <w:style w:type="paragraph" w:styleId="Index8">
    <w:name w:val="index 8"/>
    <w:basedOn w:val="Normal"/>
    <w:next w:val="Normal"/>
    <w:autoRedefine/>
    <w:rsid w:val="004A7589"/>
    <w:pPr>
      <w:ind w:left="1920" w:hanging="240"/>
    </w:pPr>
  </w:style>
  <w:style w:type="paragraph" w:styleId="Index9">
    <w:name w:val="index 9"/>
    <w:basedOn w:val="Normal"/>
    <w:next w:val="Normal"/>
    <w:autoRedefine/>
    <w:rsid w:val="004A7589"/>
    <w:pPr>
      <w:ind w:left="2160" w:hanging="240"/>
    </w:pPr>
  </w:style>
  <w:style w:type="paragraph" w:styleId="NormalIndent">
    <w:name w:val="Normal Indent"/>
    <w:basedOn w:val="Normal"/>
    <w:rsid w:val="004A7589"/>
    <w:pPr>
      <w:ind w:left="720"/>
    </w:pPr>
  </w:style>
  <w:style w:type="paragraph" w:styleId="FootnoteText">
    <w:name w:val="footnote text"/>
    <w:basedOn w:val="Normal"/>
    <w:link w:val="FootnoteTextChar"/>
    <w:rsid w:val="004A7589"/>
    <w:rPr>
      <w:sz w:val="20"/>
    </w:rPr>
  </w:style>
  <w:style w:type="character" w:customStyle="1" w:styleId="FootnoteTextChar">
    <w:name w:val="Footnote Text Char"/>
    <w:basedOn w:val="DefaultParagraphFont"/>
    <w:link w:val="FootnoteText"/>
    <w:rsid w:val="004A7589"/>
  </w:style>
  <w:style w:type="paragraph" w:styleId="CommentText">
    <w:name w:val="annotation text"/>
    <w:basedOn w:val="Normal"/>
    <w:link w:val="CommentTextChar"/>
    <w:rsid w:val="004A7589"/>
    <w:rPr>
      <w:sz w:val="20"/>
    </w:rPr>
  </w:style>
  <w:style w:type="character" w:customStyle="1" w:styleId="CommentTextChar">
    <w:name w:val="Comment Text Char"/>
    <w:basedOn w:val="DefaultParagraphFont"/>
    <w:link w:val="CommentText"/>
    <w:rsid w:val="004A7589"/>
  </w:style>
  <w:style w:type="paragraph" w:styleId="IndexHeading">
    <w:name w:val="index heading"/>
    <w:basedOn w:val="Normal"/>
    <w:next w:val="Index1"/>
    <w:rsid w:val="004A7589"/>
    <w:rPr>
      <w:rFonts w:ascii="Arial" w:hAnsi="Arial" w:cs="Arial"/>
      <w:b/>
      <w:bCs/>
    </w:rPr>
  </w:style>
  <w:style w:type="paragraph" w:styleId="Caption">
    <w:name w:val="caption"/>
    <w:basedOn w:val="Normal"/>
    <w:next w:val="Normal"/>
    <w:qFormat/>
    <w:rsid w:val="004A7589"/>
    <w:pPr>
      <w:spacing w:before="120" w:after="120"/>
    </w:pPr>
    <w:rPr>
      <w:b/>
      <w:bCs/>
      <w:sz w:val="20"/>
    </w:rPr>
  </w:style>
  <w:style w:type="paragraph" w:styleId="TableofFigures">
    <w:name w:val="table of figures"/>
    <w:basedOn w:val="Normal"/>
    <w:next w:val="Normal"/>
    <w:rsid w:val="004A7589"/>
    <w:pPr>
      <w:ind w:left="480" w:hanging="480"/>
    </w:pPr>
  </w:style>
  <w:style w:type="paragraph" w:styleId="EnvelopeAddress">
    <w:name w:val="envelope address"/>
    <w:basedOn w:val="Normal"/>
    <w:rsid w:val="004A758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A7589"/>
    <w:rPr>
      <w:rFonts w:ascii="Arial" w:hAnsi="Arial" w:cs="Arial"/>
      <w:sz w:val="20"/>
    </w:rPr>
  </w:style>
  <w:style w:type="character" w:styleId="FootnoteReference">
    <w:name w:val="footnote reference"/>
    <w:basedOn w:val="DefaultParagraphFont"/>
    <w:rsid w:val="004A7589"/>
    <w:rPr>
      <w:rFonts w:ascii="Times New Roman" w:hAnsi="Times New Roman"/>
      <w:sz w:val="20"/>
      <w:vertAlign w:val="superscript"/>
    </w:rPr>
  </w:style>
  <w:style w:type="character" w:styleId="CommentReference">
    <w:name w:val="annotation reference"/>
    <w:basedOn w:val="DefaultParagraphFont"/>
    <w:rsid w:val="004A7589"/>
    <w:rPr>
      <w:sz w:val="16"/>
      <w:szCs w:val="16"/>
    </w:rPr>
  </w:style>
  <w:style w:type="character" w:styleId="PageNumber">
    <w:name w:val="page number"/>
    <w:basedOn w:val="DefaultParagraphFont"/>
    <w:rsid w:val="004A7589"/>
  </w:style>
  <w:style w:type="character" w:styleId="EndnoteReference">
    <w:name w:val="endnote reference"/>
    <w:basedOn w:val="DefaultParagraphFont"/>
    <w:rsid w:val="004A7589"/>
    <w:rPr>
      <w:vertAlign w:val="superscript"/>
    </w:rPr>
  </w:style>
  <w:style w:type="paragraph" w:styleId="EndnoteText">
    <w:name w:val="endnote text"/>
    <w:basedOn w:val="Normal"/>
    <w:link w:val="EndnoteTextChar"/>
    <w:rsid w:val="004A7589"/>
    <w:rPr>
      <w:sz w:val="20"/>
    </w:rPr>
  </w:style>
  <w:style w:type="character" w:customStyle="1" w:styleId="EndnoteTextChar">
    <w:name w:val="Endnote Text Char"/>
    <w:basedOn w:val="DefaultParagraphFont"/>
    <w:link w:val="EndnoteText"/>
    <w:rsid w:val="004A7589"/>
  </w:style>
  <w:style w:type="paragraph" w:styleId="TableofAuthorities">
    <w:name w:val="table of authorities"/>
    <w:basedOn w:val="Normal"/>
    <w:next w:val="Normal"/>
    <w:rsid w:val="004A7589"/>
    <w:pPr>
      <w:ind w:left="240" w:hanging="240"/>
    </w:pPr>
  </w:style>
  <w:style w:type="paragraph" w:styleId="MacroText">
    <w:name w:val="macro"/>
    <w:link w:val="MacroTextChar"/>
    <w:rsid w:val="004A758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A7589"/>
    <w:rPr>
      <w:rFonts w:ascii="Courier New" w:eastAsia="Times New Roman" w:hAnsi="Courier New" w:cs="Courier New"/>
      <w:lang w:eastAsia="en-AU"/>
    </w:rPr>
  </w:style>
  <w:style w:type="paragraph" w:styleId="TOAHeading">
    <w:name w:val="toa heading"/>
    <w:basedOn w:val="Normal"/>
    <w:next w:val="Normal"/>
    <w:rsid w:val="004A7589"/>
    <w:pPr>
      <w:spacing w:before="120"/>
    </w:pPr>
    <w:rPr>
      <w:rFonts w:ascii="Arial" w:hAnsi="Arial" w:cs="Arial"/>
      <w:b/>
      <w:bCs/>
    </w:rPr>
  </w:style>
  <w:style w:type="paragraph" w:styleId="List">
    <w:name w:val="List"/>
    <w:basedOn w:val="Normal"/>
    <w:rsid w:val="004A7589"/>
    <w:pPr>
      <w:ind w:left="283" w:hanging="283"/>
    </w:pPr>
  </w:style>
  <w:style w:type="paragraph" w:styleId="ListBullet">
    <w:name w:val="List Bullet"/>
    <w:basedOn w:val="Normal"/>
    <w:autoRedefine/>
    <w:rsid w:val="004A7589"/>
    <w:pPr>
      <w:tabs>
        <w:tab w:val="num" w:pos="360"/>
      </w:tabs>
      <w:ind w:left="360" w:hanging="360"/>
    </w:pPr>
  </w:style>
  <w:style w:type="paragraph" w:styleId="ListNumber">
    <w:name w:val="List Number"/>
    <w:basedOn w:val="Normal"/>
    <w:rsid w:val="004A7589"/>
    <w:pPr>
      <w:tabs>
        <w:tab w:val="num" w:pos="360"/>
      </w:tabs>
      <w:ind w:left="360" w:hanging="360"/>
    </w:pPr>
  </w:style>
  <w:style w:type="paragraph" w:styleId="List2">
    <w:name w:val="List 2"/>
    <w:basedOn w:val="Normal"/>
    <w:rsid w:val="004A7589"/>
    <w:pPr>
      <w:ind w:left="566" w:hanging="283"/>
    </w:pPr>
  </w:style>
  <w:style w:type="paragraph" w:styleId="List3">
    <w:name w:val="List 3"/>
    <w:basedOn w:val="Normal"/>
    <w:rsid w:val="004A7589"/>
    <w:pPr>
      <w:ind w:left="849" w:hanging="283"/>
    </w:pPr>
  </w:style>
  <w:style w:type="paragraph" w:styleId="List4">
    <w:name w:val="List 4"/>
    <w:basedOn w:val="Normal"/>
    <w:rsid w:val="004A7589"/>
    <w:pPr>
      <w:ind w:left="1132" w:hanging="283"/>
    </w:pPr>
  </w:style>
  <w:style w:type="paragraph" w:styleId="List5">
    <w:name w:val="List 5"/>
    <w:basedOn w:val="Normal"/>
    <w:rsid w:val="004A7589"/>
    <w:pPr>
      <w:ind w:left="1415" w:hanging="283"/>
    </w:pPr>
  </w:style>
  <w:style w:type="paragraph" w:styleId="ListBullet2">
    <w:name w:val="List Bullet 2"/>
    <w:basedOn w:val="Normal"/>
    <w:autoRedefine/>
    <w:rsid w:val="004A7589"/>
    <w:pPr>
      <w:tabs>
        <w:tab w:val="num" w:pos="360"/>
      </w:tabs>
    </w:pPr>
  </w:style>
  <w:style w:type="paragraph" w:styleId="ListBullet3">
    <w:name w:val="List Bullet 3"/>
    <w:basedOn w:val="Normal"/>
    <w:autoRedefine/>
    <w:rsid w:val="004A7589"/>
    <w:pPr>
      <w:tabs>
        <w:tab w:val="num" w:pos="926"/>
      </w:tabs>
      <w:ind w:left="926" w:hanging="360"/>
    </w:pPr>
  </w:style>
  <w:style w:type="paragraph" w:styleId="ListBullet4">
    <w:name w:val="List Bullet 4"/>
    <w:basedOn w:val="Normal"/>
    <w:autoRedefine/>
    <w:rsid w:val="004A7589"/>
    <w:pPr>
      <w:tabs>
        <w:tab w:val="num" w:pos="1209"/>
      </w:tabs>
      <w:ind w:left="1209" w:hanging="360"/>
    </w:pPr>
  </w:style>
  <w:style w:type="paragraph" w:styleId="ListBullet5">
    <w:name w:val="List Bullet 5"/>
    <w:basedOn w:val="Normal"/>
    <w:autoRedefine/>
    <w:rsid w:val="004A7589"/>
    <w:pPr>
      <w:tabs>
        <w:tab w:val="num" w:pos="1492"/>
      </w:tabs>
      <w:ind w:left="1492" w:hanging="360"/>
    </w:pPr>
  </w:style>
  <w:style w:type="paragraph" w:styleId="ListNumber2">
    <w:name w:val="List Number 2"/>
    <w:basedOn w:val="Normal"/>
    <w:rsid w:val="004A7589"/>
    <w:pPr>
      <w:tabs>
        <w:tab w:val="num" w:pos="643"/>
      </w:tabs>
      <w:ind w:left="643" w:hanging="360"/>
    </w:pPr>
  </w:style>
  <w:style w:type="paragraph" w:styleId="ListNumber3">
    <w:name w:val="List Number 3"/>
    <w:basedOn w:val="Normal"/>
    <w:rsid w:val="004A7589"/>
    <w:pPr>
      <w:tabs>
        <w:tab w:val="num" w:pos="926"/>
      </w:tabs>
      <w:ind w:left="926" w:hanging="360"/>
    </w:pPr>
  </w:style>
  <w:style w:type="paragraph" w:styleId="ListNumber4">
    <w:name w:val="List Number 4"/>
    <w:basedOn w:val="Normal"/>
    <w:rsid w:val="004A7589"/>
    <w:pPr>
      <w:tabs>
        <w:tab w:val="num" w:pos="1209"/>
      </w:tabs>
      <w:ind w:left="1209" w:hanging="360"/>
    </w:pPr>
  </w:style>
  <w:style w:type="paragraph" w:styleId="ListNumber5">
    <w:name w:val="List Number 5"/>
    <w:basedOn w:val="Normal"/>
    <w:rsid w:val="004A7589"/>
    <w:pPr>
      <w:tabs>
        <w:tab w:val="num" w:pos="1492"/>
      </w:tabs>
      <w:ind w:left="1492" w:hanging="360"/>
    </w:pPr>
  </w:style>
  <w:style w:type="paragraph" w:styleId="Title">
    <w:name w:val="Title"/>
    <w:basedOn w:val="Normal"/>
    <w:link w:val="TitleChar"/>
    <w:qFormat/>
    <w:rsid w:val="004A7589"/>
    <w:pPr>
      <w:spacing w:before="240" w:after="60"/>
    </w:pPr>
    <w:rPr>
      <w:rFonts w:ascii="Arial" w:hAnsi="Arial" w:cs="Arial"/>
      <w:b/>
      <w:bCs/>
      <w:sz w:val="40"/>
      <w:szCs w:val="40"/>
    </w:rPr>
  </w:style>
  <w:style w:type="character" w:customStyle="1" w:styleId="TitleChar">
    <w:name w:val="Title Char"/>
    <w:basedOn w:val="DefaultParagraphFont"/>
    <w:link w:val="Title"/>
    <w:rsid w:val="004A7589"/>
    <w:rPr>
      <w:rFonts w:ascii="Arial" w:hAnsi="Arial" w:cs="Arial"/>
      <w:b/>
      <w:bCs/>
      <w:sz w:val="40"/>
      <w:szCs w:val="40"/>
    </w:rPr>
  </w:style>
  <w:style w:type="paragraph" w:styleId="Closing">
    <w:name w:val="Closing"/>
    <w:basedOn w:val="Normal"/>
    <w:link w:val="ClosingChar"/>
    <w:rsid w:val="004A7589"/>
    <w:pPr>
      <w:ind w:left="4252"/>
    </w:pPr>
  </w:style>
  <w:style w:type="character" w:customStyle="1" w:styleId="ClosingChar">
    <w:name w:val="Closing Char"/>
    <w:basedOn w:val="DefaultParagraphFont"/>
    <w:link w:val="Closing"/>
    <w:rsid w:val="004A7589"/>
    <w:rPr>
      <w:sz w:val="22"/>
    </w:rPr>
  </w:style>
  <w:style w:type="paragraph" w:styleId="Signature">
    <w:name w:val="Signature"/>
    <w:basedOn w:val="Normal"/>
    <w:link w:val="SignatureChar"/>
    <w:rsid w:val="004A7589"/>
    <w:pPr>
      <w:ind w:left="4252"/>
    </w:pPr>
  </w:style>
  <w:style w:type="character" w:customStyle="1" w:styleId="SignatureChar">
    <w:name w:val="Signature Char"/>
    <w:basedOn w:val="DefaultParagraphFont"/>
    <w:link w:val="Signature"/>
    <w:rsid w:val="004A7589"/>
    <w:rPr>
      <w:sz w:val="22"/>
    </w:rPr>
  </w:style>
  <w:style w:type="paragraph" w:styleId="BodyText">
    <w:name w:val="Body Text"/>
    <w:basedOn w:val="Normal"/>
    <w:link w:val="BodyTextChar"/>
    <w:rsid w:val="004A7589"/>
    <w:pPr>
      <w:spacing w:after="120"/>
    </w:pPr>
  </w:style>
  <w:style w:type="character" w:customStyle="1" w:styleId="BodyTextChar">
    <w:name w:val="Body Text Char"/>
    <w:basedOn w:val="DefaultParagraphFont"/>
    <w:link w:val="BodyText"/>
    <w:rsid w:val="004A7589"/>
    <w:rPr>
      <w:sz w:val="22"/>
    </w:rPr>
  </w:style>
  <w:style w:type="paragraph" w:styleId="BodyTextIndent">
    <w:name w:val="Body Text Indent"/>
    <w:basedOn w:val="Normal"/>
    <w:link w:val="BodyTextIndentChar"/>
    <w:rsid w:val="004A7589"/>
    <w:pPr>
      <w:spacing w:after="120"/>
      <w:ind w:left="283"/>
    </w:pPr>
  </w:style>
  <w:style w:type="character" w:customStyle="1" w:styleId="BodyTextIndentChar">
    <w:name w:val="Body Text Indent Char"/>
    <w:basedOn w:val="DefaultParagraphFont"/>
    <w:link w:val="BodyTextIndent"/>
    <w:rsid w:val="004A7589"/>
    <w:rPr>
      <w:sz w:val="22"/>
    </w:rPr>
  </w:style>
  <w:style w:type="paragraph" w:styleId="ListContinue">
    <w:name w:val="List Continue"/>
    <w:basedOn w:val="Normal"/>
    <w:rsid w:val="004A7589"/>
    <w:pPr>
      <w:spacing w:after="120"/>
      <w:ind w:left="283"/>
    </w:pPr>
  </w:style>
  <w:style w:type="paragraph" w:styleId="ListContinue2">
    <w:name w:val="List Continue 2"/>
    <w:basedOn w:val="Normal"/>
    <w:rsid w:val="004A7589"/>
    <w:pPr>
      <w:spacing w:after="120"/>
      <w:ind w:left="566"/>
    </w:pPr>
  </w:style>
  <w:style w:type="paragraph" w:styleId="ListContinue3">
    <w:name w:val="List Continue 3"/>
    <w:basedOn w:val="Normal"/>
    <w:rsid w:val="004A7589"/>
    <w:pPr>
      <w:spacing w:after="120"/>
      <w:ind w:left="849"/>
    </w:pPr>
  </w:style>
  <w:style w:type="paragraph" w:styleId="ListContinue4">
    <w:name w:val="List Continue 4"/>
    <w:basedOn w:val="Normal"/>
    <w:rsid w:val="004A7589"/>
    <w:pPr>
      <w:spacing w:after="120"/>
      <w:ind w:left="1132"/>
    </w:pPr>
  </w:style>
  <w:style w:type="paragraph" w:styleId="ListContinue5">
    <w:name w:val="List Continue 5"/>
    <w:basedOn w:val="Normal"/>
    <w:rsid w:val="004A7589"/>
    <w:pPr>
      <w:spacing w:after="120"/>
      <w:ind w:left="1415"/>
    </w:pPr>
  </w:style>
  <w:style w:type="paragraph" w:styleId="MessageHeader">
    <w:name w:val="Message Header"/>
    <w:basedOn w:val="Normal"/>
    <w:link w:val="MessageHeaderChar"/>
    <w:rsid w:val="004A75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A7589"/>
    <w:rPr>
      <w:rFonts w:ascii="Arial" w:hAnsi="Arial" w:cs="Arial"/>
      <w:sz w:val="22"/>
      <w:shd w:val="pct20" w:color="auto" w:fill="auto"/>
    </w:rPr>
  </w:style>
  <w:style w:type="paragraph" w:styleId="Subtitle">
    <w:name w:val="Subtitle"/>
    <w:basedOn w:val="Normal"/>
    <w:link w:val="SubtitleChar"/>
    <w:qFormat/>
    <w:rsid w:val="004A7589"/>
    <w:pPr>
      <w:spacing w:after="60"/>
      <w:jc w:val="center"/>
      <w:outlineLvl w:val="1"/>
    </w:pPr>
    <w:rPr>
      <w:rFonts w:ascii="Arial" w:hAnsi="Arial" w:cs="Arial"/>
    </w:rPr>
  </w:style>
  <w:style w:type="character" w:customStyle="1" w:styleId="SubtitleChar">
    <w:name w:val="Subtitle Char"/>
    <w:basedOn w:val="DefaultParagraphFont"/>
    <w:link w:val="Subtitle"/>
    <w:rsid w:val="004A7589"/>
    <w:rPr>
      <w:rFonts w:ascii="Arial" w:hAnsi="Arial" w:cs="Arial"/>
      <w:sz w:val="22"/>
    </w:rPr>
  </w:style>
  <w:style w:type="paragraph" w:styleId="Salutation">
    <w:name w:val="Salutation"/>
    <w:basedOn w:val="Normal"/>
    <w:next w:val="Normal"/>
    <w:link w:val="SalutationChar"/>
    <w:rsid w:val="004A7589"/>
  </w:style>
  <w:style w:type="character" w:customStyle="1" w:styleId="SalutationChar">
    <w:name w:val="Salutation Char"/>
    <w:basedOn w:val="DefaultParagraphFont"/>
    <w:link w:val="Salutation"/>
    <w:rsid w:val="004A7589"/>
    <w:rPr>
      <w:sz w:val="22"/>
    </w:rPr>
  </w:style>
  <w:style w:type="paragraph" w:styleId="Date">
    <w:name w:val="Date"/>
    <w:basedOn w:val="Normal"/>
    <w:next w:val="Normal"/>
    <w:link w:val="DateChar"/>
    <w:rsid w:val="004A7589"/>
  </w:style>
  <w:style w:type="character" w:customStyle="1" w:styleId="DateChar">
    <w:name w:val="Date Char"/>
    <w:basedOn w:val="DefaultParagraphFont"/>
    <w:link w:val="Date"/>
    <w:rsid w:val="004A7589"/>
    <w:rPr>
      <w:sz w:val="22"/>
    </w:rPr>
  </w:style>
  <w:style w:type="paragraph" w:styleId="BodyTextFirstIndent">
    <w:name w:val="Body Text First Indent"/>
    <w:basedOn w:val="BodyText"/>
    <w:link w:val="BodyTextFirstIndentChar"/>
    <w:rsid w:val="004A7589"/>
    <w:pPr>
      <w:ind w:firstLine="210"/>
    </w:pPr>
  </w:style>
  <w:style w:type="character" w:customStyle="1" w:styleId="BodyTextFirstIndentChar">
    <w:name w:val="Body Text First Indent Char"/>
    <w:basedOn w:val="BodyTextChar"/>
    <w:link w:val="BodyTextFirstIndent"/>
    <w:rsid w:val="004A7589"/>
    <w:rPr>
      <w:sz w:val="22"/>
    </w:rPr>
  </w:style>
  <w:style w:type="paragraph" w:styleId="BodyTextFirstIndent2">
    <w:name w:val="Body Text First Indent 2"/>
    <w:basedOn w:val="BodyTextIndent"/>
    <w:link w:val="BodyTextFirstIndent2Char"/>
    <w:rsid w:val="004A7589"/>
    <w:pPr>
      <w:ind w:firstLine="210"/>
    </w:pPr>
  </w:style>
  <w:style w:type="character" w:customStyle="1" w:styleId="BodyTextFirstIndent2Char">
    <w:name w:val="Body Text First Indent 2 Char"/>
    <w:basedOn w:val="BodyTextIndentChar"/>
    <w:link w:val="BodyTextFirstIndent2"/>
    <w:rsid w:val="004A7589"/>
    <w:rPr>
      <w:sz w:val="22"/>
    </w:rPr>
  </w:style>
  <w:style w:type="paragraph" w:styleId="BodyText2">
    <w:name w:val="Body Text 2"/>
    <w:basedOn w:val="Normal"/>
    <w:link w:val="BodyText2Char"/>
    <w:rsid w:val="004A7589"/>
    <w:pPr>
      <w:spacing w:after="120" w:line="480" w:lineRule="auto"/>
    </w:pPr>
  </w:style>
  <w:style w:type="character" w:customStyle="1" w:styleId="BodyText2Char">
    <w:name w:val="Body Text 2 Char"/>
    <w:basedOn w:val="DefaultParagraphFont"/>
    <w:link w:val="BodyText2"/>
    <w:rsid w:val="004A7589"/>
    <w:rPr>
      <w:sz w:val="22"/>
    </w:rPr>
  </w:style>
  <w:style w:type="paragraph" w:styleId="BodyText3">
    <w:name w:val="Body Text 3"/>
    <w:basedOn w:val="Normal"/>
    <w:link w:val="BodyText3Char"/>
    <w:rsid w:val="004A7589"/>
    <w:pPr>
      <w:spacing w:after="120"/>
    </w:pPr>
    <w:rPr>
      <w:sz w:val="16"/>
      <w:szCs w:val="16"/>
    </w:rPr>
  </w:style>
  <w:style w:type="character" w:customStyle="1" w:styleId="BodyText3Char">
    <w:name w:val="Body Text 3 Char"/>
    <w:basedOn w:val="DefaultParagraphFont"/>
    <w:link w:val="BodyText3"/>
    <w:rsid w:val="004A7589"/>
    <w:rPr>
      <w:sz w:val="16"/>
      <w:szCs w:val="16"/>
    </w:rPr>
  </w:style>
  <w:style w:type="paragraph" w:styleId="BodyTextIndent2">
    <w:name w:val="Body Text Indent 2"/>
    <w:basedOn w:val="Normal"/>
    <w:link w:val="BodyTextIndent2Char"/>
    <w:rsid w:val="004A7589"/>
    <w:pPr>
      <w:spacing w:after="120" w:line="480" w:lineRule="auto"/>
      <w:ind w:left="283"/>
    </w:pPr>
  </w:style>
  <w:style w:type="character" w:customStyle="1" w:styleId="BodyTextIndent2Char">
    <w:name w:val="Body Text Indent 2 Char"/>
    <w:basedOn w:val="DefaultParagraphFont"/>
    <w:link w:val="BodyTextIndent2"/>
    <w:rsid w:val="004A7589"/>
    <w:rPr>
      <w:sz w:val="22"/>
    </w:rPr>
  </w:style>
  <w:style w:type="paragraph" w:styleId="BodyTextIndent3">
    <w:name w:val="Body Text Indent 3"/>
    <w:basedOn w:val="Normal"/>
    <w:link w:val="BodyTextIndent3Char"/>
    <w:rsid w:val="004A7589"/>
    <w:pPr>
      <w:spacing w:after="120"/>
      <w:ind w:left="283"/>
    </w:pPr>
    <w:rPr>
      <w:sz w:val="16"/>
      <w:szCs w:val="16"/>
    </w:rPr>
  </w:style>
  <w:style w:type="character" w:customStyle="1" w:styleId="BodyTextIndent3Char">
    <w:name w:val="Body Text Indent 3 Char"/>
    <w:basedOn w:val="DefaultParagraphFont"/>
    <w:link w:val="BodyTextIndent3"/>
    <w:rsid w:val="004A7589"/>
    <w:rPr>
      <w:sz w:val="16"/>
      <w:szCs w:val="16"/>
    </w:rPr>
  </w:style>
  <w:style w:type="paragraph" w:styleId="BlockText">
    <w:name w:val="Block Text"/>
    <w:basedOn w:val="Normal"/>
    <w:rsid w:val="004A7589"/>
    <w:pPr>
      <w:spacing w:after="120"/>
      <w:ind w:left="1440" w:right="1440"/>
    </w:pPr>
  </w:style>
  <w:style w:type="character" w:styleId="Hyperlink">
    <w:name w:val="Hyperlink"/>
    <w:basedOn w:val="DefaultParagraphFont"/>
    <w:rsid w:val="004A7589"/>
    <w:rPr>
      <w:color w:val="0000FF"/>
      <w:u w:val="single"/>
    </w:rPr>
  </w:style>
  <w:style w:type="character" w:styleId="FollowedHyperlink">
    <w:name w:val="FollowedHyperlink"/>
    <w:basedOn w:val="DefaultParagraphFont"/>
    <w:rsid w:val="004A7589"/>
    <w:rPr>
      <w:color w:val="800080"/>
      <w:u w:val="single"/>
    </w:rPr>
  </w:style>
  <w:style w:type="character" w:styleId="Strong">
    <w:name w:val="Strong"/>
    <w:basedOn w:val="DefaultParagraphFont"/>
    <w:qFormat/>
    <w:rsid w:val="004A7589"/>
    <w:rPr>
      <w:b/>
      <w:bCs/>
    </w:rPr>
  </w:style>
  <w:style w:type="character" w:styleId="Emphasis">
    <w:name w:val="Emphasis"/>
    <w:basedOn w:val="DefaultParagraphFont"/>
    <w:qFormat/>
    <w:rsid w:val="004A7589"/>
    <w:rPr>
      <w:i/>
      <w:iCs/>
    </w:rPr>
  </w:style>
  <w:style w:type="paragraph" w:styleId="DocumentMap">
    <w:name w:val="Document Map"/>
    <w:basedOn w:val="Normal"/>
    <w:link w:val="DocumentMapChar"/>
    <w:rsid w:val="004A7589"/>
    <w:pPr>
      <w:shd w:val="clear" w:color="auto" w:fill="000080"/>
    </w:pPr>
    <w:rPr>
      <w:rFonts w:ascii="Tahoma" w:hAnsi="Tahoma" w:cs="Tahoma"/>
    </w:rPr>
  </w:style>
  <w:style w:type="character" w:customStyle="1" w:styleId="DocumentMapChar">
    <w:name w:val="Document Map Char"/>
    <w:basedOn w:val="DefaultParagraphFont"/>
    <w:link w:val="DocumentMap"/>
    <w:rsid w:val="004A7589"/>
    <w:rPr>
      <w:rFonts w:ascii="Tahoma" w:hAnsi="Tahoma" w:cs="Tahoma"/>
      <w:sz w:val="22"/>
      <w:shd w:val="clear" w:color="auto" w:fill="000080"/>
    </w:rPr>
  </w:style>
  <w:style w:type="paragraph" w:styleId="PlainText">
    <w:name w:val="Plain Text"/>
    <w:basedOn w:val="Normal"/>
    <w:link w:val="PlainTextChar"/>
    <w:rsid w:val="004A7589"/>
    <w:rPr>
      <w:rFonts w:ascii="Courier New" w:hAnsi="Courier New" w:cs="Courier New"/>
      <w:sz w:val="20"/>
    </w:rPr>
  </w:style>
  <w:style w:type="character" w:customStyle="1" w:styleId="PlainTextChar">
    <w:name w:val="Plain Text Char"/>
    <w:basedOn w:val="DefaultParagraphFont"/>
    <w:link w:val="PlainText"/>
    <w:rsid w:val="004A7589"/>
    <w:rPr>
      <w:rFonts w:ascii="Courier New" w:hAnsi="Courier New" w:cs="Courier New"/>
    </w:rPr>
  </w:style>
  <w:style w:type="paragraph" w:styleId="E-mailSignature">
    <w:name w:val="E-mail Signature"/>
    <w:basedOn w:val="Normal"/>
    <w:link w:val="E-mailSignatureChar"/>
    <w:rsid w:val="004A7589"/>
  </w:style>
  <w:style w:type="character" w:customStyle="1" w:styleId="E-mailSignatureChar">
    <w:name w:val="E-mail Signature Char"/>
    <w:basedOn w:val="DefaultParagraphFont"/>
    <w:link w:val="E-mailSignature"/>
    <w:rsid w:val="004A7589"/>
    <w:rPr>
      <w:sz w:val="22"/>
    </w:rPr>
  </w:style>
  <w:style w:type="paragraph" w:styleId="NormalWeb">
    <w:name w:val="Normal (Web)"/>
    <w:basedOn w:val="Normal"/>
    <w:rsid w:val="004A7589"/>
  </w:style>
  <w:style w:type="character" w:styleId="HTMLAcronym">
    <w:name w:val="HTML Acronym"/>
    <w:basedOn w:val="DefaultParagraphFont"/>
    <w:rsid w:val="004A7589"/>
  </w:style>
  <w:style w:type="paragraph" w:styleId="HTMLAddress">
    <w:name w:val="HTML Address"/>
    <w:basedOn w:val="Normal"/>
    <w:link w:val="HTMLAddressChar"/>
    <w:rsid w:val="004A7589"/>
    <w:rPr>
      <w:i/>
      <w:iCs/>
    </w:rPr>
  </w:style>
  <w:style w:type="character" w:customStyle="1" w:styleId="HTMLAddressChar">
    <w:name w:val="HTML Address Char"/>
    <w:basedOn w:val="DefaultParagraphFont"/>
    <w:link w:val="HTMLAddress"/>
    <w:rsid w:val="004A7589"/>
    <w:rPr>
      <w:i/>
      <w:iCs/>
      <w:sz w:val="22"/>
    </w:rPr>
  </w:style>
  <w:style w:type="character" w:styleId="HTMLCite">
    <w:name w:val="HTML Cite"/>
    <w:basedOn w:val="DefaultParagraphFont"/>
    <w:rsid w:val="004A7589"/>
    <w:rPr>
      <w:i/>
      <w:iCs/>
    </w:rPr>
  </w:style>
  <w:style w:type="character" w:styleId="HTMLCode">
    <w:name w:val="HTML Code"/>
    <w:basedOn w:val="DefaultParagraphFont"/>
    <w:rsid w:val="004A7589"/>
    <w:rPr>
      <w:rFonts w:ascii="Courier New" w:hAnsi="Courier New" w:cs="Courier New"/>
      <w:sz w:val="20"/>
      <w:szCs w:val="20"/>
    </w:rPr>
  </w:style>
  <w:style w:type="character" w:styleId="HTMLDefinition">
    <w:name w:val="HTML Definition"/>
    <w:basedOn w:val="DefaultParagraphFont"/>
    <w:rsid w:val="004A7589"/>
    <w:rPr>
      <w:i/>
      <w:iCs/>
    </w:rPr>
  </w:style>
  <w:style w:type="character" w:styleId="HTMLKeyboard">
    <w:name w:val="HTML Keyboard"/>
    <w:basedOn w:val="DefaultParagraphFont"/>
    <w:rsid w:val="004A7589"/>
    <w:rPr>
      <w:rFonts w:ascii="Courier New" w:hAnsi="Courier New" w:cs="Courier New"/>
      <w:sz w:val="20"/>
      <w:szCs w:val="20"/>
    </w:rPr>
  </w:style>
  <w:style w:type="paragraph" w:styleId="HTMLPreformatted">
    <w:name w:val="HTML Preformatted"/>
    <w:basedOn w:val="Normal"/>
    <w:link w:val="HTMLPreformattedChar"/>
    <w:rsid w:val="004A7589"/>
    <w:rPr>
      <w:rFonts w:ascii="Courier New" w:hAnsi="Courier New" w:cs="Courier New"/>
      <w:sz w:val="20"/>
    </w:rPr>
  </w:style>
  <w:style w:type="character" w:customStyle="1" w:styleId="HTMLPreformattedChar">
    <w:name w:val="HTML Preformatted Char"/>
    <w:basedOn w:val="DefaultParagraphFont"/>
    <w:link w:val="HTMLPreformatted"/>
    <w:rsid w:val="004A7589"/>
    <w:rPr>
      <w:rFonts w:ascii="Courier New" w:hAnsi="Courier New" w:cs="Courier New"/>
    </w:rPr>
  </w:style>
  <w:style w:type="character" w:styleId="HTMLSample">
    <w:name w:val="HTML Sample"/>
    <w:basedOn w:val="DefaultParagraphFont"/>
    <w:rsid w:val="004A7589"/>
    <w:rPr>
      <w:rFonts w:ascii="Courier New" w:hAnsi="Courier New" w:cs="Courier New"/>
    </w:rPr>
  </w:style>
  <w:style w:type="character" w:styleId="HTMLTypewriter">
    <w:name w:val="HTML Typewriter"/>
    <w:basedOn w:val="DefaultParagraphFont"/>
    <w:rsid w:val="004A7589"/>
    <w:rPr>
      <w:rFonts w:ascii="Courier New" w:hAnsi="Courier New" w:cs="Courier New"/>
      <w:sz w:val="20"/>
      <w:szCs w:val="20"/>
    </w:rPr>
  </w:style>
  <w:style w:type="character" w:styleId="HTMLVariable">
    <w:name w:val="HTML Variable"/>
    <w:basedOn w:val="DefaultParagraphFont"/>
    <w:rsid w:val="004A7589"/>
    <w:rPr>
      <w:i/>
      <w:iCs/>
    </w:rPr>
  </w:style>
  <w:style w:type="paragraph" w:styleId="CommentSubject">
    <w:name w:val="annotation subject"/>
    <w:basedOn w:val="CommentText"/>
    <w:next w:val="CommentText"/>
    <w:link w:val="CommentSubjectChar"/>
    <w:rsid w:val="004A7589"/>
    <w:rPr>
      <w:b/>
      <w:bCs/>
    </w:rPr>
  </w:style>
  <w:style w:type="character" w:customStyle="1" w:styleId="CommentSubjectChar">
    <w:name w:val="Comment Subject Char"/>
    <w:basedOn w:val="CommentTextChar"/>
    <w:link w:val="CommentSubject"/>
    <w:rsid w:val="004A7589"/>
    <w:rPr>
      <w:b/>
      <w:bCs/>
    </w:rPr>
  </w:style>
  <w:style w:type="numbering" w:styleId="1ai">
    <w:name w:val="Outline List 1"/>
    <w:basedOn w:val="NoList"/>
    <w:rsid w:val="004A7589"/>
    <w:pPr>
      <w:numPr>
        <w:numId w:val="14"/>
      </w:numPr>
    </w:pPr>
  </w:style>
  <w:style w:type="numbering" w:styleId="111111">
    <w:name w:val="Outline List 2"/>
    <w:basedOn w:val="NoList"/>
    <w:rsid w:val="004A7589"/>
    <w:pPr>
      <w:numPr>
        <w:numId w:val="15"/>
      </w:numPr>
    </w:pPr>
  </w:style>
  <w:style w:type="numbering" w:styleId="ArticleSection">
    <w:name w:val="Outline List 3"/>
    <w:basedOn w:val="NoList"/>
    <w:rsid w:val="004A7589"/>
    <w:pPr>
      <w:numPr>
        <w:numId w:val="17"/>
      </w:numPr>
    </w:pPr>
  </w:style>
  <w:style w:type="table" w:styleId="TableSimple1">
    <w:name w:val="Table Simple 1"/>
    <w:basedOn w:val="TableNormal"/>
    <w:rsid w:val="004A758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A758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A75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A758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A758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A758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A758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A758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A758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A758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A758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A758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A758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A758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A758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A758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A758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A758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A758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A75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A75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A758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A758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A758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A758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A758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A75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A758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A758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A758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A758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A758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A758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A758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A758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A758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A758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A758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A758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A758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A758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A758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A758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A7589"/>
    <w:rPr>
      <w:rFonts w:eastAsia="Times New Roman" w:cs="Times New Roman"/>
      <w:b/>
      <w:kern w:val="28"/>
      <w:sz w:val="24"/>
      <w:lang w:eastAsia="en-AU"/>
    </w:rPr>
  </w:style>
  <w:style w:type="paragraph" w:customStyle="1" w:styleId="ETAsubitem">
    <w:name w:val="ETA(subitem)"/>
    <w:basedOn w:val="OPCParaBase"/>
    <w:rsid w:val="004A7589"/>
    <w:pPr>
      <w:tabs>
        <w:tab w:val="right" w:pos="340"/>
      </w:tabs>
      <w:spacing w:before="60" w:line="240" w:lineRule="auto"/>
      <w:ind w:left="454" w:hanging="454"/>
    </w:pPr>
    <w:rPr>
      <w:sz w:val="20"/>
    </w:rPr>
  </w:style>
  <w:style w:type="paragraph" w:customStyle="1" w:styleId="ETApara">
    <w:name w:val="ETA(para)"/>
    <w:basedOn w:val="OPCParaBase"/>
    <w:rsid w:val="004A7589"/>
    <w:pPr>
      <w:tabs>
        <w:tab w:val="right" w:pos="754"/>
      </w:tabs>
      <w:spacing w:before="60" w:line="240" w:lineRule="auto"/>
      <w:ind w:left="828" w:hanging="828"/>
    </w:pPr>
    <w:rPr>
      <w:sz w:val="20"/>
    </w:rPr>
  </w:style>
  <w:style w:type="paragraph" w:customStyle="1" w:styleId="ETAsubpara">
    <w:name w:val="ETA(subpara)"/>
    <w:basedOn w:val="OPCParaBase"/>
    <w:rsid w:val="004A7589"/>
    <w:pPr>
      <w:tabs>
        <w:tab w:val="right" w:pos="1083"/>
      </w:tabs>
      <w:spacing w:before="60" w:line="240" w:lineRule="auto"/>
      <w:ind w:left="1191" w:hanging="1191"/>
    </w:pPr>
    <w:rPr>
      <w:sz w:val="20"/>
    </w:rPr>
  </w:style>
  <w:style w:type="paragraph" w:customStyle="1" w:styleId="ETAsub-subpara">
    <w:name w:val="ETA(sub-subpara)"/>
    <w:basedOn w:val="OPCParaBase"/>
    <w:rsid w:val="004A758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4A7589"/>
  </w:style>
  <w:style w:type="paragraph" w:styleId="Bibliography">
    <w:name w:val="Bibliography"/>
    <w:basedOn w:val="Normal"/>
    <w:next w:val="Normal"/>
    <w:uiPriority w:val="37"/>
    <w:semiHidden/>
    <w:unhideWhenUsed/>
    <w:rsid w:val="004A7589"/>
  </w:style>
  <w:style w:type="character" w:styleId="BookTitle">
    <w:name w:val="Book Title"/>
    <w:basedOn w:val="DefaultParagraphFont"/>
    <w:uiPriority w:val="33"/>
    <w:qFormat/>
    <w:rsid w:val="004A7589"/>
    <w:rPr>
      <w:b/>
      <w:bCs/>
      <w:i/>
      <w:iCs/>
      <w:spacing w:val="5"/>
    </w:rPr>
  </w:style>
  <w:style w:type="table" w:styleId="ColorfulGrid">
    <w:name w:val="Colorful Grid"/>
    <w:basedOn w:val="TableNormal"/>
    <w:uiPriority w:val="73"/>
    <w:semiHidden/>
    <w:unhideWhenUsed/>
    <w:rsid w:val="004A758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A758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A758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A758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A758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A758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A758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A758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A758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A758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A758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A758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A758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A758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A758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A758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A758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A758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A758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A758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A758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A758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A758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A758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A758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A758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A758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A758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4A758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A758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A758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A758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A758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A758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A758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A758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A758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A758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A758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A758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A758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A758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A758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A75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A758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A758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A758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A758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A758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A758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A75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A758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A758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A758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A758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A758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A75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A75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A75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A75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A75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A75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A75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A758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A758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A758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A758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A758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A758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A758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A758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A758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A758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A758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A758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A758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A758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A7589"/>
    <w:rPr>
      <w:color w:val="2B579A"/>
      <w:shd w:val="clear" w:color="auto" w:fill="E1DFDD"/>
    </w:rPr>
  </w:style>
  <w:style w:type="character" w:styleId="IntenseEmphasis">
    <w:name w:val="Intense Emphasis"/>
    <w:basedOn w:val="DefaultParagraphFont"/>
    <w:uiPriority w:val="21"/>
    <w:qFormat/>
    <w:rsid w:val="004A7589"/>
    <w:rPr>
      <w:i/>
      <w:iCs/>
      <w:color w:val="4F81BD" w:themeColor="accent1"/>
    </w:rPr>
  </w:style>
  <w:style w:type="paragraph" w:styleId="IntenseQuote">
    <w:name w:val="Intense Quote"/>
    <w:basedOn w:val="Normal"/>
    <w:next w:val="Normal"/>
    <w:link w:val="IntenseQuoteChar"/>
    <w:uiPriority w:val="30"/>
    <w:qFormat/>
    <w:rsid w:val="004A758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A7589"/>
    <w:rPr>
      <w:i/>
      <w:iCs/>
      <w:color w:val="4F81BD" w:themeColor="accent1"/>
      <w:sz w:val="22"/>
    </w:rPr>
  </w:style>
  <w:style w:type="character" w:styleId="IntenseReference">
    <w:name w:val="Intense Reference"/>
    <w:basedOn w:val="DefaultParagraphFont"/>
    <w:uiPriority w:val="32"/>
    <w:qFormat/>
    <w:rsid w:val="004A7589"/>
    <w:rPr>
      <w:b/>
      <w:bCs/>
      <w:smallCaps/>
      <w:color w:val="4F81BD" w:themeColor="accent1"/>
      <w:spacing w:val="5"/>
    </w:rPr>
  </w:style>
  <w:style w:type="table" w:styleId="LightGrid">
    <w:name w:val="Light Grid"/>
    <w:basedOn w:val="TableNormal"/>
    <w:uiPriority w:val="62"/>
    <w:semiHidden/>
    <w:unhideWhenUsed/>
    <w:rsid w:val="004A75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A758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A758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A758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A758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A758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A758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A75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A758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A758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A758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A758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A758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A758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A75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A758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A758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A758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A758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A758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A758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4A7589"/>
    <w:pPr>
      <w:ind w:left="720"/>
      <w:contextualSpacing/>
    </w:pPr>
  </w:style>
  <w:style w:type="table" w:styleId="ListTable1Light">
    <w:name w:val="List Table 1 Light"/>
    <w:basedOn w:val="TableNormal"/>
    <w:uiPriority w:val="46"/>
    <w:rsid w:val="004A758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A758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A758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A758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A758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A758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A758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A758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A758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A758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A758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A758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A758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A758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A758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A758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A758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A758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A758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A758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A758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A758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A75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A758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A758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A758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A758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A758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A758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A758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A758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A758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A758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A758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A758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A758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A758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A758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A758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A758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A758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A758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A758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A758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A758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A758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A758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A758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A758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A758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A758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A758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A758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A758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A758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A758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A758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A758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A758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A758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A758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A758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A758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A75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A75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A75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A75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A75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A75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A75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A758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A758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A758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A758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A758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A758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A758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A758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A758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A758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A758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A758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A758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A758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A758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A758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A758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A758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A758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A758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A758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A75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A75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A75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A75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A75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A75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A75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A7589"/>
    <w:rPr>
      <w:color w:val="2B579A"/>
      <w:shd w:val="clear" w:color="auto" w:fill="E1DFDD"/>
    </w:rPr>
  </w:style>
  <w:style w:type="paragraph" w:styleId="NoSpacing">
    <w:name w:val="No Spacing"/>
    <w:uiPriority w:val="1"/>
    <w:qFormat/>
    <w:rsid w:val="004A7589"/>
    <w:rPr>
      <w:sz w:val="22"/>
    </w:rPr>
  </w:style>
  <w:style w:type="paragraph" w:styleId="NoteHeading">
    <w:name w:val="Note Heading"/>
    <w:basedOn w:val="Normal"/>
    <w:next w:val="Normal"/>
    <w:link w:val="NoteHeadingChar"/>
    <w:uiPriority w:val="99"/>
    <w:semiHidden/>
    <w:unhideWhenUsed/>
    <w:rsid w:val="004A7589"/>
    <w:pPr>
      <w:spacing w:line="240" w:lineRule="auto"/>
    </w:pPr>
  </w:style>
  <w:style w:type="character" w:customStyle="1" w:styleId="NoteHeadingChar">
    <w:name w:val="Note Heading Char"/>
    <w:basedOn w:val="DefaultParagraphFont"/>
    <w:link w:val="NoteHeading"/>
    <w:uiPriority w:val="99"/>
    <w:semiHidden/>
    <w:rsid w:val="004A7589"/>
    <w:rPr>
      <w:sz w:val="22"/>
    </w:rPr>
  </w:style>
  <w:style w:type="character" w:styleId="PlaceholderText">
    <w:name w:val="Placeholder Text"/>
    <w:basedOn w:val="DefaultParagraphFont"/>
    <w:uiPriority w:val="99"/>
    <w:semiHidden/>
    <w:rsid w:val="004A7589"/>
    <w:rPr>
      <w:color w:val="808080"/>
    </w:rPr>
  </w:style>
  <w:style w:type="table" w:styleId="PlainTable1">
    <w:name w:val="Plain Table 1"/>
    <w:basedOn w:val="TableNormal"/>
    <w:uiPriority w:val="41"/>
    <w:rsid w:val="004A758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A758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A75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A758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A758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4A75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7589"/>
    <w:rPr>
      <w:i/>
      <w:iCs/>
      <w:color w:val="404040" w:themeColor="text1" w:themeTint="BF"/>
      <w:sz w:val="22"/>
    </w:rPr>
  </w:style>
  <w:style w:type="character" w:styleId="SmartHyperlink">
    <w:name w:val="Smart Hyperlink"/>
    <w:basedOn w:val="DefaultParagraphFont"/>
    <w:uiPriority w:val="99"/>
    <w:semiHidden/>
    <w:unhideWhenUsed/>
    <w:rsid w:val="004A7589"/>
    <w:rPr>
      <w:u w:val="dotted"/>
    </w:rPr>
  </w:style>
  <w:style w:type="character" w:styleId="SubtleEmphasis">
    <w:name w:val="Subtle Emphasis"/>
    <w:basedOn w:val="DefaultParagraphFont"/>
    <w:uiPriority w:val="19"/>
    <w:qFormat/>
    <w:rsid w:val="004A7589"/>
    <w:rPr>
      <w:i/>
      <w:iCs/>
      <w:color w:val="404040" w:themeColor="text1" w:themeTint="BF"/>
    </w:rPr>
  </w:style>
  <w:style w:type="character" w:styleId="SubtleReference">
    <w:name w:val="Subtle Reference"/>
    <w:basedOn w:val="DefaultParagraphFont"/>
    <w:uiPriority w:val="31"/>
    <w:qFormat/>
    <w:rsid w:val="004A7589"/>
    <w:rPr>
      <w:smallCaps/>
      <w:color w:val="5A5A5A" w:themeColor="text1" w:themeTint="A5"/>
    </w:rPr>
  </w:style>
  <w:style w:type="table" w:styleId="TableGridLight">
    <w:name w:val="Grid Table Light"/>
    <w:basedOn w:val="TableNormal"/>
    <w:uiPriority w:val="40"/>
    <w:rsid w:val="004A75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4A7589"/>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4A7589"/>
    <w:rPr>
      <w:color w:val="605E5C"/>
      <w:shd w:val="clear" w:color="auto" w:fill="E1DFDD"/>
    </w:rPr>
  </w:style>
  <w:style w:type="character" w:customStyle="1" w:styleId="paragraphChar">
    <w:name w:val="paragraph Char"/>
    <w:aliases w:val="a Char"/>
    <w:basedOn w:val="DefaultParagraphFont"/>
    <w:link w:val="paragraph"/>
    <w:locked/>
    <w:rsid w:val="009C25E5"/>
    <w:rPr>
      <w:rFonts w:eastAsia="Times New Roman" w:cs="Times New Roman"/>
      <w:sz w:val="22"/>
      <w:lang w:eastAsia="en-AU"/>
    </w:rPr>
  </w:style>
  <w:style w:type="character" w:customStyle="1" w:styleId="TabletextChar">
    <w:name w:val="Tabletext Char"/>
    <w:aliases w:val="tt Char"/>
    <w:basedOn w:val="DefaultParagraphFont"/>
    <w:link w:val="Tabletext"/>
    <w:rsid w:val="00FF7F38"/>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432506">
      <w:bodyDiv w:val="1"/>
      <w:marLeft w:val="0"/>
      <w:marRight w:val="0"/>
      <w:marTop w:val="0"/>
      <w:marBottom w:val="0"/>
      <w:divBdr>
        <w:top w:val="none" w:sz="0" w:space="0" w:color="auto"/>
        <w:left w:val="none" w:sz="0" w:space="0" w:color="auto"/>
        <w:bottom w:val="none" w:sz="0" w:space="0" w:color="auto"/>
        <w:right w:val="none" w:sz="0" w:space="0" w:color="auto"/>
      </w:divBdr>
    </w:div>
    <w:div w:id="1135099426">
      <w:bodyDiv w:val="1"/>
      <w:marLeft w:val="0"/>
      <w:marRight w:val="0"/>
      <w:marTop w:val="0"/>
      <w:marBottom w:val="0"/>
      <w:divBdr>
        <w:top w:val="none" w:sz="0" w:space="0" w:color="auto"/>
        <w:left w:val="none" w:sz="0" w:space="0" w:color="auto"/>
        <w:bottom w:val="none" w:sz="0" w:space="0" w:color="auto"/>
        <w:right w:val="none" w:sz="0" w:space="0" w:color="auto"/>
      </w:divBdr>
      <w:divsChild>
        <w:div w:id="371658257">
          <w:marLeft w:val="1418"/>
          <w:marRight w:val="0"/>
          <w:marTop w:val="122"/>
          <w:marBottom w:val="0"/>
          <w:divBdr>
            <w:top w:val="none" w:sz="0" w:space="0" w:color="auto"/>
            <w:left w:val="none" w:sz="0" w:space="0" w:color="auto"/>
            <w:bottom w:val="none" w:sz="0" w:space="0" w:color="auto"/>
            <w:right w:val="none" w:sz="0" w:space="0" w:color="auto"/>
          </w:divBdr>
        </w:div>
        <w:div w:id="636299892">
          <w:marLeft w:val="1418"/>
          <w:marRight w:val="0"/>
          <w:marTop w:val="122"/>
          <w:marBottom w:val="0"/>
          <w:divBdr>
            <w:top w:val="none" w:sz="0" w:space="0" w:color="auto"/>
            <w:left w:val="none" w:sz="0" w:space="0" w:color="auto"/>
            <w:bottom w:val="none" w:sz="0" w:space="0" w:color="auto"/>
            <w:right w:val="none" w:sz="0" w:space="0" w:color="auto"/>
          </w:divBdr>
        </w:div>
      </w:divsChild>
    </w:div>
    <w:div w:id="212345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 Id="rId8" Type="http://schemas.openxmlformats.org/officeDocument/2006/relationships/image" Target="media/image1.jpg"/><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13275-B84F-41C5-8C26-EAC32A4C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72</Pages>
  <Words>17638</Words>
  <Characters>91690</Characters>
  <Application>Microsoft Office Word</Application>
  <DocSecurity>6</DocSecurity>
  <PresentationFormat/>
  <Lines>2275</Lines>
  <Paragraphs>1168</Paragraphs>
  <ScaleCrop>false</ScaleCrop>
  <HeadingPairs>
    <vt:vector size="2" baseType="variant">
      <vt:variant>
        <vt:lpstr>Title</vt:lpstr>
      </vt:variant>
      <vt:variant>
        <vt:i4>1</vt:i4>
      </vt:variant>
    </vt:vector>
  </HeadingPairs>
  <TitlesOfParts>
    <vt:vector size="1" baseType="lpstr">
      <vt:lpstr>Anti-Money Laundering and Counter-Terrorism Financing Rules 2024</vt:lpstr>
    </vt:vector>
  </TitlesOfParts>
  <Manager/>
  <Company/>
  <LinksUpToDate>false</LinksUpToDate>
  <CharactersWithSpaces>108762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2024-12-05T01:23:00Z</cp:lastPrinted>
  <dcterms:created xsi:type="dcterms:W3CDTF">2024-12-10T02:29:00Z</dcterms:created>
  <dcterms:modified xsi:type="dcterms:W3CDTF">2024-12-10T02:29:00Z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Anti-Money Laundering and Counter-Terrorism Financing Rules 2024</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OPC66862</vt:lpwstr>
  </property>
  <property fmtid="{D5CDD505-2E9C-101B-9397-08002B2CF9AE}" pid="12" name="DLM">
    <vt:lpwstr> </vt:lpwstr>
  </property>
  <property fmtid="{D5CDD505-2E9C-101B-9397-08002B2CF9AE}" pid="13" name="Classification">
    <vt:lpwstr>EXPOSURE DRAFT</vt:lpwstr>
  </property>
  <property fmtid="{D5CDD505-2E9C-101B-9397-08002B2CF9AE}" pid="14" name="DoNotAsk">
    <vt:lpwstr>0</vt:lpwstr>
  </property>
  <property fmtid="{D5CDD505-2E9C-101B-9397-08002B2CF9AE}" pid="15" name="ChangedTitle">
    <vt:lpwstr/>
  </property>
  <property fmtid="{D5CDD505-2E9C-101B-9397-08002B2CF9AE}" pid="16" name="TrimID">
    <vt:lpwstr>PC:D24/23268</vt:lpwstr>
  </property>
</Properties>
</file>