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D24391" w14:textId="77777777" w:rsidR="00804466" w:rsidRPr="0081146C" w:rsidRDefault="00804466" w:rsidP="00750389">
      <w:r w:rsidRPr="0081146C">
        <w:object w:dxaOrig="2146" w:dyaOrig="1561" w14:anchorId="187AC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8.75pt" o:ole="" fillcolor="window">
            <v:imagedata r:id="rId8" o:title=""/>
          </v:shape>
          <o:OLEObject Type="Embed" ProgID="Word.Picture.8" ShapeID="_x0000_i1025" DrawAspect="Content" ObjectID="_1796216431" r:id="rId9"/>
        </w:object>
      </w:r>
    </w:p>
    <w:p w14:paraId="4476E632" w14:textId="77777777" w:rsidR="00804466" w:rsidRPr="0081146C" w:rsidRDefault="00804466" w:rsidP="00750389">
      <w:pPr>
        <w:pStyle w:val="ShortT"/>
        <w:spacing w:before="240"/>
      </w:pPr>
      <w:bookmarkStart w:id="1" w:name="_Hlk184205739"/>
      <w:r w:rsidRPr="0081146C">
        <w:t>Anti</w:t>
      </w:r>
      <w:r w:rsidR="003B7E15" w:rsidRPr="0081146C">
        <w:noBreakHyphen/>
      </w:r>
      <w:r w:rsidRPr="0081146C">
        <w:t>Money Laundering and Counter</w:t>
      </w:r>
      <w:r w:rsidR="003B7E15" w:rsidRPr="0081146C">
        <w:noBreakHyphen/>
      </w:r>
      <w:r w:rsidRPr="0081146C">
        <w:t>Terrorism Financing Act 2006</w:t>
      </w:r>
    </w:p>
    <w:bookmarkEnd w:id="1"/>
    <w:p w14:paraId="2069E1CF" w14:textId="77777777" w:rsidR="00804466" w:rsidRPr="0081146C" w:rsidRDefault="00804466" w:rsidP="00750389">
      <w:pPr>
        <w:pStyle w:val="CompiledActNo"/>
        <w:spacing w:before="240"/>
      </w:pPr>
      <w:r w:rsidRPr="0081146C">
        <w:t>No.</w:t>
      </w:r>
      <w:r w:rsidR="004F64A4" w:rsidRPr="0081146C">
        <w:t> </w:t>
      </w:r>
      <w:r w:rsidRPr="0081146C">
        <w:t>169, 2006</w:t>
      </w:r>
    </w:p>
    <w:p w14:paraId="637576B1" w14:textId="77777777" w:rsidR="00EB0CE3" w:rsidRPr="0081146C" w:rsidRDefault="00EB0CE3" w:rsidP="00EB0CE3">
      <w:pPr>
        <w:spacing w:before="120" w:after="240"/>
        <w:rPr>
          <w:rFonts w:cs="Arial"/>
          <w:sz w:val="24"/>
          <w:szCs w:val="24"/>
        </w:rPr>
      </w:pPr>
    </w:p>
    <w:p w14:paraId="2C575A3D" w14:textId="77777777" w:rsidR="00EB0CE3" w:rsidRPr="0081146C" w:rsidRDefault="00EB0CE3" w:rsidP="00EB0CE3">
      <w:pPr>
        <w:spacing w:before="120" w:after="240"/>
        <w:rPr>
          <w:sz w:val="24"/>
          <w:szCs w:val="24"/>
        </w:rPr>
      </w:pPr>
    </w:p>
    <w:p w14:paraId="2E2DAC41" w14:textId="77777777" w:rsidR="00EB0CE3" w:rsidRPr="0081146C" w:rsidRDefault="00EB0CE3" w:rsidP="00EB0CE3">
      <w:pPr>
        <w:spacing w:before="120" w:after="240"/>
        <w:rPr>
          <w:sz w:val="24"/>
          <w:szCs w:val="24"/>
        </w:rPr>
      </w:pPr>
    </w:p>
    <w:p w14:paraId="29360824" w14:textId="77777777" w:rsidR="00EB0CE3" w:rsidRPr="0081146C" w:rsidRDefault="00EB0CE3" w:rsidP="00EB0CE3">
      <w:pPr>
        <w:spacing w:before="120" w:after="240"/>
        <w:rPr>
          <w:sz w:val="24"/>
          <w:szCs w:val="24"/>
        </w:rPr>
      </w:pPr>
    </w:p>
    <w:p w14:paraId="18E30E58" w14:textId="04061487" w:rsidR="00EB0CE3" w:rsidRPr="0081146C" w:rsidRDefault="00EB0CE3" w:rsidP="00EB0CE3">
      <w:pPr>
        <w:spacing w:before="120" w:after="240"/>
        <w:rPr>
          <w:b/>
          <w:sz w:val="24"/>
          <w:szCs w:val="24"/>
        </w:rPr>
      </w:pPr>
      <w:r w:rsidRPr="0081146C">
        <w:rPr>
          <w:sz w:val="24"/>
          <w:szCs w:val="24"/>
        </w:rPr>
        <w:t xml:space="preserve">This future law compilation was prepared on </w:t>
      </w:r>
      <w:bookmarkStart w:id="2" w:name="_Hlk176334028"/>
      <w:r w:rsidR="009E2BDF">
        <w:rPr>
          <w:sz w:val="24"/>
          <w:szCs w:val="24"/>
        </w:rPr>
        <w:t>12</w:t>
      </w:r>
      <w:r w:rsidRPr="0081146C">
        <w:rPr>
          <w:sz w:val="24"/>
          <w:szCs w:val="24"/>
        </w:rPr>
        <w:t> </w:t>
      </w:r>
      <w:r w:rsidR="000C2386" w:rsidRPr="0081146C">
        <w:rPr>
          <w:sz w:val="24"/>
          <w:szCs w:val="24"/>
        </w:rPr>
        <w:t>December</w:t>
      </w:r>
      <w:r w:rsidRPr="0081146C">
        <w:rPr>
          <w:sz w:val="24"/>
          <w:szCs w:val="24"/>
        </w:rPr>
        <w:t xml:space="preserve"> 2024</w:t>
      </w:r>
      <w:bookmarkEnd w:id="2"/>
      <w:r w:rsidRPr="0081146C">
        <w:rPr>
          <w:sz w:val="24"/>
          <w:szCs w:val="24"/>
        </w:rPr>
        <w:t xml:space="preserve"> taking into account amendments made by the </w:t>
      </w:r>
      <w:r w:rsidRPr="0081146C">
        <w:rPr>
          <w:b/>
          <w:sz w:val="24"/>
          <w:szCs w:val="24"/>
        </w:rPr>
        <w:t>Anti-Money Laundering and Counter-Terrorism Financing Amendment Bill 2024.</w:t>
      </w:r>
    </w:p>
    <w:p w14:paraId="59AA0176" w14:textId="77777777" w:rsidR="00EB0CE3" w:rsidRPr="0081146C" w:rsidRDefault="00EB0CE3" w:rsidP="00EB0CE3">
      <w:pPr>
        <w:spacing w:before="120" w:after="240"/>
        <w:rPr>
          <w:sz w:val="24"/>
          <w:szCs w:val="24"/>
        </w:rPr>
      </w:pPr>
    </w:p>
    <w:p w14:paraId="6A06EE3F" w14:textId="1696F744" w:rsidR="00EB0CE3" w:rsidRPr="0081146C" w:rsidRDefault="00EB0CE3" w:rsidP="00EB0CE3">
      <w:pPr>
        <w:spacing w:before="120" w:after="240"/>
        <w:rPr>
          <w:b/>
          <w:sz w:val="24"/>
          <w:szCs w:val="24"/>
        </w:rPr>
      </w:pPr>
      <w:r w:rsidRPr="0081146C">
        <w:rPr>
          <w:sz w:val="24"/>
          <w:szCs w:val="24"/>
        </w:rPr>
        <w:t>The</w:t>
      </w:r>
      <w:r w:rsidR="005E68A0">
        <w:rPr>
          <w:sz w:val="24"/>
          <w:szCs w:val="24"/>
        </w:rPr>
        <w:t>re were multiple</w:t>
      </w:r>
      <w:r w:rsidRPr="0081146C">
        <w:rPr>
          <w:sz w:val="24"/>
          <w:szCs w:val="24"/>
        </w:rPr>
        <w:t xml:space="preserve"> date</w:t>
      </w:r>
      <w:r w:rsidR="005E68A0">
        <w:rPr>
          <w:sz w:val="24"/>
          <w:szCs w:val="24"/>
        </w:rPr>
        <w:t>s</w:t>
      </w:r>
      <w:r w:rsidRPr="0081146C">
        <w:rPr>
          <w:sz w:val="24"/>
          <w:szCs w:val="24"/>
        </w:rPr>
        <w:t xml:space="preserve"> of commencement for the incorporated amendments </w:t>
      </w:r>
      <w:r w:rsidR="005E68A0">
        <w:rPr>
          <w:sz w:val="24"/>
          <w:szCs w:val="24"/>
        </w:rPr>
        <w:t>and some of these were</w:t>
      </w:r>
      <w:r w:rsidRPr="0081146C">
        <w:rPr>
          <w:sz w:val="24"/>
          <w:szCs w:val="24"/>
        </w:rPr>
        <w:t xml:space="preserve"> unknown at the time of preparation.</w:t>
      </w:r>
    </w:p>
    <w:p w14:paraId="3F06AF02" w14:textId="77777777" w:rsidR="00EB0CE3" w:rsidRPr="0081146C" w:rsidRDefault="00EB0CE3" w:rsidP="003158E8">
      <w:pPr>
        <w:pageBreakBefore/>
        <w:spacing w:before="120"/>
        <w:rPr>
          <w:b/>
          <w:sz w:val="32"/>
          <w:szCs w:val="32"/>
        </w:rPr>
      </w:pPr>
      <w:r w:rsidRPr="0081146C">
        <w:rPr>
          <w:b/>
          <w:sz w:val="32"/>
          <w:szCs w:val="32"/>
        </w:rPr>
        <w:lastRenderedPageBreak/>
        <w:t>About this compilation</w:t>
      </w:r>
    </w:p>
    <w:p w14:paraId="7E74AA6D" w14:textId="77777777" w:rsidR="00EB0CE3" w:rsidRPr="0081146C" w:rsidRDefault="00EB0CE3" w:rsidP="00EB0CE3">
      <w:pPr>
        <w:spacing w:before="240"/>
        <w:rPr>
          <w:rFonts w:cs="Arial"/>
        </w:rPr>
      </w:pPr>
      <w:r w:rsidRPr="0081146C">
        <w:rPr>
          <w:rFonts w:cs="Arial"/>
          <w:b/>
          <w:szCs w:val="22"/>
        </w:rPr>
        <w:t>This compilation</w:t>
      </w:r>
    </w:p>
    <w:p w14:paraId="2BFF348B" w14:textId="3652381D" w:rsidR="00EB0CE3" w:rsidRPr="0081146C" w:rsidRDefault="00EB0CE3" w:rsidP="00EB0CE3">
      <w:pPr>
        <w:spacing w:before="120" w:after="120"/>
        <w:rPr>
          <w:rFonts w:cs="Arial"/>
          <w:szCs w:val="22"/>
        </w:rPr>
      </w:pPr>
      <w:r w:rsidRPr="0081146C">
        <w:rPr>
          <w:rFonts w:cs="Arial"/>
          <w:szCs w:val="22"/>
        </w:rPr>
        <w:t xml:space="preserve">This is a future compilation of the </w:t>
      </w:r>
      <w:r w:rsidRPr="0081146C">
        <w:rPr>
          <w:rFonts w:cs="Arial"/>
          <w:i/>
          <w:iCs/>
          <w:szCs w:val="22"/>
        </w:rPr>
        <w:t>Anti-Money Laundering and Counter-Terrorism Financing Act 2006</w:t>
      </w:r>
      <w:r w:rsidRPr="0081146C">
        <w:rPr>
          <w:rFonts w:cs="Arial"/>
          <w:szCs w:val="22"/>
        </w:rPr>
        <w:t xml:space="preserve"> that shows the expected text of the law as amended by the Anti-Money Laundering and Counter-Terrorism Financing Amendment Bill 2024.</w:t>
      </w:r>
    </w:p>
    <w:p w14:paraId="788F7124" w14:textId="77777777" w:rsidR="00EB0CE3" w:rsidRPr="0081146C" w:rsidRDefault="00EB0CE3" w:rsidP="00EB0CE3">
      <w:pPr>
        <w:spacing w:after="120"/>
        <w:rPr>
          <w:rFonts w:cs="Arial"/>
          <w:szCs w:val="22"/>
        </w:rPr>
      </w:pPr>
      <w:r w:rsidRPr="0081146C">
        <w:rPr>
          <w:rFonts w:cs="Arial"/>
          <w:szCs w:val="22"/>
        </w:rPr>
        <w:t xml:space="preserve">The notes at the end of this compilation (the </w:t>
      </w:r>
      <w:r w:rsidRPr="0081146C">
        <w:rPr>
          <w:rFonts w:cs="Arial"/>
          <w:b/>
          <w:i/>
          <w:szCs w:val="22"/>
        </w:rPr>
        <w:t>endnotes</w:t>
      </w:r>
      <w:r w:rsidRPr="0081146C">
        <w:rPr>
          <w:rFonts w:cs="Arial"/>
          <w:szCs w:val="22"/>
        </w:rPr>
        <w:t>) include information about amending laws and the amendment history of provisions of the future compilation.</w:t>
      </w:r>
    </w:p>
    <w:p w14:paraId="31F45835" w14:textId="77777777" w:rsidR="00EB0CE3" w:rsidRPr="0081146C" w:rsidRDefault="00EB0CE3" w:rsidP="00EB0CE3">
      <w:pPr>
        <w:spacing w:after="120"/>
        <w:rPr>
          <w:rFonts w:cs="Arial"/>
          <w:b/>
          <w:szCs w:val="22"/>
        </w:rPr>
      </w:pPr>
      <w:r w:rsidRPr="0081146C">
        <w:rPr>
          <w:rFonts w:cs="Arial"/>
          <w:b/>
          <w:szCs w:val="22"/>
        </w:rPr>
        <w:t>Future amendments</w:t>
      </w:r>
    </w:p>
    <w:p w14:paraId="05E8B2EA" w14:textId="77777777" w:rsidR="00EB0CE3" w:rsidRPr="0081146C" w:rsidRDefault="00EB0CE3" w:rsidP="00EB0CE3">
      <w:pPr>
        <w:spacing w:after="120"/>
        <w:rPr>
          <w:rFonts w:cs="Arial"/>
          <w:szCs w:val="22"/>
        </w:rPr>
      </w:pPr>
      <w:r w:rsidRPr="0081146C">
        <w:rPr>
          <w:rFonts w:cs="Arial"/>
          <w:szCs w:val="22"/>
        </w:rPr>
        <w:t>The details of expected future amendments incorporated into the text, that have not yet commenced are underlined in the endnotes.</w:t>
      </w:r>
    </w:p>
    <w:p w14:paraId="4B245D53" w14:textId="77777777" w:rsidR="00EB0CE3" w:rsidRPr="0081146C" w:rsidRDefault="00EB0CE3" w:rsidP="00EB0CE3">
      <w:pPr>
        <w:spacing w:after="120"/>
        <w:rPr>
          <w:rFonts w:cs="Arial"/>
          <w:szCs w:val="22"/>
        </w:rPr>
      </w:pPr>
      <w:r w:rsidRPr="0081146C">
        <w:rPr>
          <w:rFonts w:cs="Arial"/>
          <w:szCs w:val="22"/>
        </w:rPr>
        <w:t>Any future amendments that are included in the endnotes are underlined.</w:t>
      </w:r>
    </w:p>
    <w:p w14:paraId="4D1D1A55" w14:textId="77777777" w:rsidR="00EB0CE3" w:rsidRPr="0081146C" w:rsidRDefault="00EB0CE3" w:rsidP="00EB0CE3">
      <w:pPr>
        <w:spacing w:before="120" w:after="120"/>
        <w:rPr>
          <w:rFonts w:cs="Arial"/>
          <w:b/>
          <w:szCs w:val="22"/>
        </w:rPr>
      </w:pPr>
      <w:r w:rsidRPr="0081146C">
        <w:rPr>
          <w:rFonts w:cs="Arial"/>
          <w:b/>
          <w:szCs w:val="22"/>
        </w:rPr>
        <w:t>Application, saving and transitional provisions for provisions and amendments</w:t>
      </w:r>
    </w:p>
    <w:p w14:paraId="70881F45" w14:textId="77777777" w:rsidR="00EB0CE3" w:rsidRPr="0081146C" w:rsidRDefault="00EB0CE3" w:rsidP="00EB0CE3">
      <w:pPr>
        <w:spacing w:after="120"/>
        <w:rPr>
          <w:rFonts w:cs="Arial"/>
          <w:szCs w:val="22"/>
        </w:rPr>
      </w:pPr>
      <w:r w:rsidRPr="0081146C">
        <w:rPr>
          <w:rFonts w:cs="Arial"/>
          <w:szCs w:val="22"/>
        </w:rPr>
        <w:t>If the operation of a provision or amendment of the compiled law is affected by an application, saving or transitional provision that is not included in this compilation, details are included in the endnotes.</w:t>
      </w:r>
    </w:p>
    <w:p w14:paraId="31248597" w14:textId="77777777" w:rsidR="00EB0CE3" w:rsidRPr="0081146C" w:rsidRDefault="00EB0CE3" w:rsidP="00EB0CE3">
      <w:pPr>
        <w:spacing w:after="120"/>
        <w:rPr>
          <w:rFonts w:cs="Arial"/>
          <w:b/>
          <w:szCs w:val="22"/>
        </w:rPr>
      </w:pPr>
      <w:r w:rsidRPr="0081146C">
        <w:rPr>
          <w:rFonts w:cs="Arial"/>
          <w:b/>
          <w:szCs w:val="22"/>
        </w:rPr>
        <w:t>Editorial changes</w:t>
      </w:r>
    </w:p>
    <w:p w14:paraId="6125BE81" w14:textId="77777777" w:rsidR="00EB0CE3" w:rsidRPr="0081146C" w:rsidRDefault="00EB0CE3" w:rsidP="00EB0CE3">
      <w:pPr>
        <w:spacing w:after="120"/>
        <w:rPr>
          <w:rFonts w:cs="Arial"/>
          <w:szCs w:val="22"/>
        </w:rPr>
      </w:pPr>
      <w:r w:rsidRPr="0081146C">
        <w:rPr>
          <w:rFonts w:cs="Arial"/>
          <w:szCs w:val="22"/>
        </w:rPr>
        <w:t>For more information about any editorial changes made in this compilation, see the endnotes.</w:t>
      </w:r>
    </w:p>
    <w:p w14:paraId="000A541A" w14:textId="77777777" w:rsidR="00EB0CE3" w:rsidRPr="0081146C" w:rsidRDefault="00EB0CE3" w:rsidP="00EB0CE3">
      <w:pPr>
        <w:spacing w:before="120" w:after="120"/>
        <w:rPr>
          <w:rFonts w:cs="Arial"/>
          <w:b/>
          <w:szCs w:val="22"/>
        </w:rPr>
      </w:pPr>
      <w:r w:rsidRPr="0081146C">
        <w:rPr>
          <w:rFonts w:cs="Arial"/>
          <w:b/>
          <w:szCs w:val="22"/>
        </w:rPr>
        <w:t>Modifications</w:t>
      </w:r>
    </w:p>
    <w:p w14:paraId="274918E0" w14:textId="77777777" w:rsidR="00EB0CE3" w:rsidRPr="0081146C" w:rsidRDefault="00EB0CE3" w:rsidP="00EB0CE3">
      <w:pPr>
        <w:spacing w:after="120"/>
        <w:rPr>
          <w:rFonts w:cs="Arial"/>
          <w:szCs w:val="22"/>
        </w:rPr>
      </w:pPr>
      <w:r w:rsidRPr="0081146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A4C2264" w14:textId="77777777" w:rsidR="00EB0CE3" w:rsidRPr="0081146C" w:rsidRDefault="00EB0CE3" w:rsidP="00EB0CE3">
      <w:pPr>
        <w:spacing w:before="80" w:after="120"/>
        <w:rPr>
          <w:rFonts w:cs="Arial"/>
          <w:b/>
          <w:szCs w:val="22"/>
        </w:rPr>
      </w:pPr>
      <w:r w:rsidRPr="0081146C">
        <w:rPr>
          <w:rFonts w:cs="Arial"/>
          <w:b/>
          <w:szCs w:val="22"/>
        </w:rPr>
        <w:t>Self</w:t>
      </w:r>
      <w:r w:rsidRPr="0081146C">
        <w:rPr>
          <w:rFonts w:cs="Arial"/>
          <w:b/>
          <w:szCs w:val="22"/>
        </w:rPr>
        <w:noBreakHyphen/>
        <w:t>repealing provisions</w:t>
      </w:r>
    </w:p>
    <w:p w14:paraId="15D035B7" w14:textId="77777777" w:rsidR="00EB0CE3" w:rsidRPr="0081146C" w:rsidRDefault="00EB0CE3" w:rsidP="00EB0CE3">
      <w:pPr>
        <w:spacing w:after="120"/>
        <w:rPr>
          <w:rFonts w:cs="Arial"/>
          <w:szCs w:val="22"/>
        </w:rPr>
      </w:pPr>
      <w:r w:rsidRPr="0081146C">
        <w:rPr>
          <w:rFonts w:cs="Arial"/>
          <w:szCs w:val="22"/>
        </w:rPr>
        <w:t>If a provision of the compiled law has been repealed in accordance with a provision of the law, details are included in the endnotes.</w:t>
      </w:r>
    </w:p>
    <w:p w14:paraId="191F3864" w14:textId="77777777" w:rsidR="00804466" w:rsidRPr="0081146C" w:rsidRDefault="00804466" w:rsidP="00750389">
      <w:pPr>
        <w:pStyle w:val="Header"/>
        <w:tabs>
          <w:tab w:val="clear" w:pos="4150"/>
          <w:tab w:val="clear" w:pos="8307"/>
        </w:tabs>
      </w:pPr>
      <w:r w:rsidRPr="0081146C">
        <w:rPr>
          <w:rStyle w:val="CharChapNo"/>
        </w:rPr>
        <w:t xml:space="preserve"> </w:t>
      </w:r>
      <w:r w:rsidRPr="0081146C">
        <w:rPr>
          <w:rStyle w:val="CharChapText"/>
        </w:rPr>
        <w:t xml:space="preserve"> </w:t>
      </w:r>
    </w:p>
    <w:p w14:paraId="5DC31716" w14:textId="77777777" w:rsidR="00804466" w:rsidRPr="0081146C" w:rsidRDefault="00804466" w:rsidP="00750389">
      <w:pPr>
        <w:pStyle w:val="Header"/>
        <w:tabs>
          <w:tab w:val="clear" w:pos="4150"/>
          <w:tab w:val="clear" w:pos="8307"/>
        </w:tabs>
      </w:pPr>
      <w:r w:rsidRPr="0081146C">
        <w:rPr>
          <w:rStyle w:val="CharPartNo"/>
        </w:rPr>
        <w:t xml:space="preserve"> </w:t>
      </w:r>
      <w:r w:rsidRPr="0081146C">
        <w:rPr>
          <w:rStyle w:val="CharPartText"/>
        </w:rPr>
        <w:t xml:space="preserve"> </w:t>
      </w:r>
    </w:p>
    <w:p w14:paraId="2059A121" w14:textId="77777777" w:rsidR="00804466" w:rsidRPr="0081146C" w:rsidRDefault="00804466" w:rsidP="00750389">
      <w:pPr>
        <w:pStyle w:val="Header"/>
        <w:tabs>
          <w:tab w:val="clear" w:pos="4150"/>
          <w:tab w:val="clear" w:pos="8307"/>
        </w:tabs>
      </w:pPr>
      <w:r w:rsidRPr="0081146C">
        <w:rPr>
          <w:rStyle w:val="CharDivNo"/>
        </w:rPr>
        <w:t xml:space="preserve"> </w:t>
      </w:r>
      <w:r w:rsidRPr="0081146C">
        <w:rPr>
          <w:rStyle w:val="CharDivText"/>
        </w:rPr>
        <w:t xml:space="preserve"> </w:t>
      </w:r>
    </w:p>
    <w:p w14:paraId="29872550" w14:textId="77777777" w:rsidR="00804466" w:rsidRPr="0081146C" w:rsidRDefault="00804466" w:rsidP="00750389">
      <w:pPr>
        <w:sectPr w:rsidR="00804466" w:rsidRPr="0081146C" w:rsidSect="00562BD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0AF3BFD" w14:textId="77777777" w:rsidR="00C72BA2" w:rsidRPr="0081146C" w:rsidRDefault="00C72BA2" w:rsidP="00AE2DA2">
      <w:pPr>
        <w:rPr>
          <w:sz w:val="36"/>
        </w:rPr>
      </w:pPr>
      <w:r w:rsidRPr="0081146C">
        <w:rPr>
          <w:sz w:val="36"/>
        </w:rPr>
        <w:lastRenderedPageBreak/>
        <w:t>Contents</w:t>
      </w:r>
    </w:p>
    <w:p w14:paraId="797AD173" w14:textId="65EAB224" w:rsidR="007931CC" w:rsidRDefault="00AB60A4">
      <w:pPr>
        <w:pStyle w:val="TOC2"/>
        <w:rPr>
          <w:rFonts w:asciiTheme="minorHAnsi" w:eastAsiaTheme="minorEastAsia" w:hAnsiTheme="minorHAnsi" w:cstheme="minorBidi"/>
          <w:b w:val="0"/>
          <w:noProof/>
          <w:kern w:val="0"/>
          <w:sz w:val="22"/>
          <w:szCs w:val="22"/>
        </w:rPr>
      </w:pPr>
      <w:r w:rsidRPr="0081146C">
        <w:fldChar w:fldCharType="begin"/>
      </w:r>
      <w:r w:rsidRPr="0081146C">
        <w:instrText xml:space="preserve"> TOC \o "1-9" \t "ItemHead,4,Transitional,4" </w:instrText>
      </w:r>
      <w:r w:rsidRPr="0081146C">
        <w:fldChar w:fldCharType="separate"/>
      </w:r>
      <w:r w:rsidR="007931CC">
        <w:rPr>
          <w:noProof/>
        </w:rPr>
        <w:t>Part 1—Introduction</w:t>
      </w:r>
      <w:r w:rsidR="007931CC">
        <w:rPr>
          <w:noProof/>
        </w:rPr>
        <w:tab/>
      </w:r>
      <w:r w:rsidR="007931CC">
        <w:rPr>
          <w:noProof/>
        </w:rPr>
        <w:fldChar w:fldCharType="begin"/>
      </w:r>
      <w:r w:rsidR="007931CC">
        <w:rPr>
          <w:noProof/>
        </w:rPr>
        <w:instrText xml:space="preserve"> PAGEREF _Toc185415699 \h </w:instrText>
      </w:r>
      <w:r w:rsidR="007931CC">
        <w:rPr>
          <w:noProof/>
        </w:rPr>
      </w:r>
      <w:r w:rsidR="007931CC">
        <w:rPr>
          <w:noProof/>
        </w:rPr>
        <w:fldChar w:fldCharType="separate"/>
      </w:r>
      <w:r w:rsidR="00302DB2">
        <w:rPr>
          <w:noProof/>
        </w:rPr>
        <w:t>1</w:t>
      </w:r>
      <w:r w:rsidR="007931CC">
        <w:rPr>
          <w:noProof/>
        </w:rPr>
        <w:fldChar w:fldCharType="end"/>
      </w:r>
    </w:p>
    <w:p w14:paraId="77C22F7F" w14:textId="3FB145AA" w:rsidR="007931CC" w:rsidRDefault="007931CC">
      <w:pPr>
        <w:pStyle w:val="TOC5"/>
        <w:rPr>
          <w:rFonts w:asciiTheme="minorHAnsi" w:eastAsiaTheme="minorEastAsia" w:hAnsiTheme="minorHAnsi" w:cstheme="minorBidi"/>
          <w:noProof/>
          <w:kern w:val="0"/>
          <w:sz w:val="22"/>
          <w:szCs w:val="22"/>
        </w:rPr>
      </w:pPr>
      <w:r>
        <w:rPr>
          <w:noProof/>
        </w:rPr>
        <w:t>1  Short title</w:t>
      </w:r>
      <w:r>
        <w:rPr>
          <w:noProof/>
        </w:rPr>
        <w:tab/>
      </w:r>
      <w:r>
        <w:rPr>
          <w:noProof/>
        </w:rPr>
        <w:fldChar w:fldCharType="begin"/>
      </w:r>
      <w:r>
        <w:rPr>
          <w:noProof/>
        </w:rPr>
        <w:instrText xml:space="preserve"> PAGEREF _Toc185415700 \h </w:instrText>
      </w:r>
      <w:r>
        <w:rPr>
          <w:noProof/>
        </w:rPr>
      </w:r>
      <w:r>
        <w:rPr>
          <w:noProof/>
        </w:rPr>
        <w:fldChar w:fldCharType="separate"/>
      </w:r>
      <w:r w:rsidR="00302DB2">
        <w:rPr>
          <w:noProof/>
        </w:rPr>
        <w:t>1</w:t>
      </w:r>
      <w:r>
        <w:rPr>
          <w:noProof/>
        </w:rPr>
        <w:fldChar w:fldCharType="end"/>
      </w:r>
    </w:p>
    <w:p w14:paraId="6FA50BC0" w14:textId="02DBB1C7" w:rsidR="007931CC" w:rsidRDefault="007931C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_Toc185415701 \h </w:instrText>
      </w:r>
      <w:r>
        <w:rPr>
          <w:noProof/>
        </w:rPr>
      </w:r>
      <w:r>
        <w:rPr>
          <w:noProof/>
        </w:rPr>
        <w:fldChar w:fldCharType="separate"/>
      </w:r>
      <w:r w:rsidR="00302DB2">
        <w:rPr>
          <w:noProof/>
        </w:rPr>
        <w:t>1</w:t>
      </w:r>
      <w:r>
        <w:rPr>
          <w:noProof/>
        </w:rPr>
        <w:fldChar w:fldCharType="end"/>
      </w:r>
    </w:p>
    <w:p w14:paraId="29C0C541" w14:textId="4A79CABD" w:rsidR="007931CC" w:rsidRDefault="007931CC">
      <w:pPr>
        <w:pStyle w:val="TOC5"/>
        <w:rPr>
          <w:rFonts w:asciiTheme="minorHAnsi" w:eastAsiaTheme="minorEastAsia" w:hAnsiTheme="minorHAnsi" w:cstheme="minorBidi"/>
          <w:noProof/>
          <w:kern w:val="0"/>
          <w:sz w:val="22"/>
          <w:szCs w:val="22"/>
        </w:rPr>
      </w:pPr>
      <w:r>
        <w:rPr>
          <w:noProof/>
        </w:rPr>
        <w:t>3  Objects</w:t>
      </w:r>
      <w:r>
        <w:rPr>
          <w:noProof/>
        </w:rPr>
        <w:tab/>
      </w:r>
      <w:r>
        <w:rPr>
          <w:noProof/>
        </w:rPr>
        <w:fldChar w:fldCharType="begin"/>
      </w:r>
      <w:r>
        <w:rPr>
          <w:noProof/>
        </w:rPr>
        <w:instrText xml:space="preserve"> PAGEREF _Toc185415702 \h </w:instrText>
      </w:r>
      <w:r>
        <w:rPr>
          <w:noProof/>
        </w:rPr>
      </w:r>
      <w:r>
        <w:rPr>
          <w:noProof/>
        </w:rPr>
        <w:fldChar w:fldCharType="separate"/>
      </w:r>
      <w:r w:rsidR="00302DB2">
        <w:rPr>
          <w:noProof/>
        </w:rPr>
        <w:t>3</w:t>
      </w:r>
      <w:r>
        <w:rPr>
          <w:noProof/>
        </w:rPr>
        <w:fldChar w:fldCharType="end"/>
      </w:r>
    </w:p>
    <w:p w14:paraId="635C15DE" w14:textId="2EC63D07" w:rsidR="007931CC" w:rsidRDefault="007931CC">
      <w:pPr>
        <w:pStyle w:val="TOC5"/>
        <w:rPr>
          <w:rFonts w:asciiTheme="minorHAnsi" w:eastAsiaTheme="minorEastAsia" w:hAnsiTheme="minorHAnsi" w:cstheme="minorBidi"/>
          <w:noProof/>
          <w:kern w:val="0"/>
          <w:sz w:val="22"/>
          <w:szCs w:val="22"/>
        </w:rPr>
      </w:pPr>
      <w:r>
        <w:rPr>
          <w:noProof/>
        </w:rPr>
        <w:t>4  Simplified outline</w:t>
      </w:r>
      <w:r>
        <w:rPr>
          <w:noProof/>
        </w:rPr>
        <w:tab/>
      </w:r>
      <w:r>
        <w:rPr>
          <w:noProof/>
        </w:rPr>
        <w:fldChar w:fldCharType="begin"/>
      </w:r>
      <w:r>
        <w:rPr>
          <w:noProof/>
        </w:rPr>
        <w:instrText xml:space="preserve"> PAGEREF _Toc185415703 \h </w:instrText>
      </w:r>
      <w:r>
        <w:rPr>
          <w:noProof/>
        </w:rPr>
      </w:r>
      <w:r>
        <w:rPr>
          <w:noProof/>
        </w:rPr>
        <w:fldChar w:fldCharType="separate"/>
      </w:r>
      <w:r w:rsidR="00302DB2">
        <w:rPr>
          <w:noProof/>
        </w:rPr>
        <w:t>6</w:t>
      </w:r>
      <w:r>
        <w:rPr>
          <w:noProof/>
        </w:rPr>
        <w:fldChar w:fldCharType="end"/>
      </w:r>
    </w:p>
    <w:p w14:paraId="5EBFDBE2" w14:textId="1526695B" w:rsidR="007931CC" w:rsidRDefault="007931CC">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_Toc185415704 \h </w:instrText>
      </w:r>
      <w:r>
        <w:rPr>
          <w:noProof/>
        </w:rPr>
      </w:r>
      <w:r>
        <w:rPr>
          <w:noProof/>
        </w:rPr>
        <w:fldChar w:fldCharType="separate"/>
      </w:r>
      <w:r w:rsidR="00302DB2">
        <w:rPr>
          <w:noProof/>
        </w:rPr>
        <w:t>7</w:t>
      </w:r>
      <w:r>
        <w:rPr>
          <w:noProof/>
        </w:rPr>
        <w:fldChar w:fldCharType="end"/>
      </w:r>
    </w:p>
    <w:p w14:paraId="01635F12" w14:textId="2D010777" w:rsidR="007931CC" w:rsidRDefault="007931CC">
      <w:pPr>
        <w:pStyle w:val="TOC5"/>
        <w:rPr>
          <w:rFonts w:asciiTheme="minorHAnsi" w:eastAsiaTheme="minorEastAsia" w:hAnsiTheme="minorHAnsi" w:cstheme="minorBidi"/>
          <w:noProof/>
          <w:kern w:val="0"/>
          <w:sz w:val="22"/>
          <w:szCs w:val="22"/>
        </w:rPr>
      </w:pPr>
      <w:r>
        <w:rPr>
          <w:noProof/>
        </w:rPr>
        <w:t>5A  Precious metal, precious stones and precious products</w:t>
      </w:r>
      <w:r>
        <w:rPr>
          <w:noProof/>
        </w:rPr>
        <w:tab/>
      </w:r>
      <w:r>
        <w:rPr>
          <w:noProof/>
        </w:rPr>
        <w:fldChar w:fldCharType="begin"/>
      </w:r>
      <w:r>
        <w:rPr>
          <w:noProof/>
        </w:rPr>
        <w:instrText xml:space="preserve"> PAGEREF _Toc185415705 \h </w:instrText>
      </w:r>
      <w:r>
        <w:rPr>
          <w:noProof/>
        </w:rPr>
      </w:r>
      <w:r>
        <w:rPr>
          <w:noProof/>
        </w:rPr>
        <w:fldChar w:fldCharType="separate"/>
      </w:r>
      <w:r w:rsidR="00302DB2">
        <w:rPr>
          <w:noProof/>
        </w:rPr>
        <w:t>46</w:t>
      </w:r>
      <w:r>
        <w:rPr>
          <w:noProof/>
        </w:rPr>
        <w:fldChar w:fldCharType="end"/>
      </w:r>
    </w:p>
    <w:p w14:paraId="5C42F394" w14:textId="51D870DA" w:rsidR="007931CC" w:rsidRDefault="007931CC">
      <w:pPr>
        <w:pStyle w:val="TOC5"/>
        <w:rPr>
          <w:rFonts w:asciiTheme="minorHAnsi" w:eastAsiaTheme="minorEastAsia" w:hAnsiTheme="minorHAnsi" w:cstheme="minorBidi"/>
          <w:noProof/>
          <w:kern w:val="0"/>
          <w:sz w:val="22"/>
          <w:szCs w:val="22"/>
        </w:rPr>
      </w:pPr>
      <w:r>
        <w:rPr>
          <w:noProof/>
        </w:rPr>
        <w:t xml:space="preserve">5B  Meaning of </w:t>
      </w:r>
      <w:r w:rsidRPr="00540F8C">
        <w:rPr>
          <w:i/>
          <w:noProof/>
        </w:rPr>
        <w:t>virtual asset</w:t>
      </w:r>
      <w:r>
        <w:rPr>
          <w:noProof/>
        </w:rPr>
        <w:tab/>
      </w:r>
      <w:r>
        <w:rPr>
          <w:noProof/>
        </w:rPr>
        <w:fldChar w:fldCharType="begin"/>
      </w:r>
      <w:r>
        <w:rPr>
          <w:noProof/>
        </w:rPr>
        <w:instrText xml:space="preserve"> PAGEREF _Toc185415706 \h </w:instrText>
      </w:r>
      <w:r>
        <w:rPr>
          <w:noProof/>
        </w:rPr>
      </w:r>
      <w:r>
        <w:rPr>
          <w:noProof/>
        </w:rPr>
        <w:fldChar w:fldCharType="separate"/>
      </w:r>
      <w:r w:rsidR="00302DB2">
        <w:rPr>
          <w:noProof/>
        </w:rPr>
        <w:t>47</w:t>
      </w:r>
      <w:r>
        <w:rPr>
          <w:noProof/>
        </w:rPr>
        <w:fldChar w:fldCharType="end"/>
      </w:r>
    </w:p>
    <w:p w14:paraId="0F875DE5" w14:textId="5AA1E42E" w:rsidR="007931CC" w:rsidRDefault="007931CC">
      <w:pPr>
        <w:pStyle w:val="TOC5"/>
        <w:rPr>
          <w:rFonts w:asciiTheme="minorHAnsi" w:eastAsiaTheme="minorEastAsia" w:hAnsiTheme="minorHAnsi" w:cstheme="minorBidi"/>
          <w:noProof/>
          <w:kern w:val="0"/>
          <w:sz w:val="22"/>
          <w:szCs w:val="22"/>
        </w:rPr>
      </w:pPr>
      <w:r>
        <w:rPr>
          <w:noProof/>
        </w:rPr>
        <w:t>6  Designated services</w:t>
      </w:r>
      <w:r>
        <w:rPr>
          <w:noProof/>
        </w:rPr>
        <w:tab/>
      </w:r>
      <w:r>
        <w:rPr>
          <w:noProof/>
        </w:rPr>
        <w:fldChar w:fldCharType="begin"/>
      </w:r>
      <w:r>
        <w:rPr>
          <w:noProof/>
        </w:rPr>
        <w:instrText xml:space="preserve"> PAGEREF _Toc185415707 \h </w:instrText>
      </w:r>
      <w:r>
        <w:rPr>
          <w:noProof/>
        </w:rPr>
      </w:r>
      <w:r>
        <w:rPr>
          <w:noProof/>
        </w:rPr>
        <w:fldChar w:fldCharType="separate"/>
      </w:r>
      <w:r w:rsidR="00302DB2">
        <w:rPr>
          <w:noProof/>
        </w:rPr>
        <w:t>49</w:t>
      </w:r>
      <w:r>
        <w:rPr>
          <w:noProof/>
        </w:rPr>
        <w:fldChar w:fldCharType="end"/>
      </w:r>
    </w:p>
    <w:p w14:paraId="5729D310" w14:textId="2D16D8AF" w:rsidR="007931CC" w:rsidRDefault="007931CC">
      <w:pPr>
        <w:pStyle w:val="TOC5"/>
        <w:rPr>
          <w:rFonts w:asciiTheme="minorHAnsi" w:eastAsiaTheme="minorEastAsia" w:hAnsiTheme="minorHAnsi" w:cstheme="minorBidi"/>
          <w:noProof/>
          <w:kern w:val="0"/>
          <w:sz w:val="22"/>
          <w:szCs w:val="22"/>
        </w:rPr>
      </w:pPr>
      <w:r>
        <w:rPr>
          <w:noProof/>
        </w:rPr>
        <w:t>7  Services provided jointly to 2 or more customers</w:t>
      </w:r>
      <w:r>
        <w:rPr>
          <w:noProof/>
        </w:rPr>
        <w:tab/>
      </w:r>
      <w:r>
        <w:rPr>
          <w:noProof/>
        </w:rPr>
        <w:fldChar w:fldCharType="begin"/>
      </w:r>
      <w:r>
        <w:rPr>
          <w:noProof/>
        </w:rPr>
        <w:instrText xml:space="preserve"> PAGEREF _Toc185415708 \h </w:instrText>
      </w:r>
      <w:r>
        <w:rPr>
          <w:noProof/>
        </w:rPr>
      </w:r>
      <w:r>
        <w:rPr>
          <w:noProof/>
        </w:rPr>
        <w:fldChar w:fldCharType="separate"/>
      </w:r>
      <w:r w:rsidR="00302DB2">
        <w:rPr>
          <w:noProof/>
        </w:rPr>
        <w:t>78</w:t>
      </w:r>
      <w:r>
        <w:rPr>
          <w:noProof/>
        </w:rPr>
        <w:fldChar w:fldCharType="end"/>
      </w:r>
    </w:p>
    <w:p w14:paraId="7A92E17A" w14:textId="3103F921" w:rsidR="007931CC" w:rsidRDefault="007931CC">
      <w:pPr>
        <w:pStyle w:val="TOC5"/>
        <w:rPr>
          <w:rFonts w:asciiTheme="minorHAnsi" w:eastAsiaTheme="minorEastAsia" w:hAnsiTheme="minorHAnsi" w:cstheme="minorBidi"/>
          <w:noProof/>
          <w:kern w:val="0"/>
          <w:sz w:val="22"/>
          <w:szCs w:val="22"/>
        </w:rPr>
      </w:pPr>
      <w:r>
        <w:rPr>
          <w:noProof/>
        </w:rPr>
        <w:t>7A  Securities and derivatives</w:t>
      </w:r>
      <w:r>
        <w:rPr>
          <w:noProof/>
        </w:rPr>
        <w:tab/>
      </w:r>
      <w:r>
        <w:rPr>
          <w:noProof/>
        </w:rPr>
        <w:fldChar w:fldCharType="begin"/>
      </w:r>
      <w:r>
        <w:rPr>
          <w:noProof/>
        </w:rPr>
        <w:instrText xml:space="preserve"> PAGEREF _Toc185415709 \h </w:instrText>
      </w:r>
      <w:r>
        <w:rPr>
          <w:noProof/>
        </w:rPr>
      </w:r>
      <w:r>
        <w:rPr>
          <w:noProof/>
        </w:rPr>
        <w:fldChar w:fldCharType="separate"/>
      </w:r>
      <w:r w:rsidR="00302DB2">
        <w:rPr>
          <w:noProof/>
        </w:rPr>
        <w:t>79</w:t>
      </w:r>
      <w:r>
        <w:rPr>
          <w:noProof/>
        </w:rPr>
        <w:fldChar w:fldCharType="end"/>
      </w:r>
    </w:p>
    <w:p w14:paraId="6FE10F43" w14:textId="46515B58" w:rsidR="007931CC" w:rsidRDefault="007931CC">
      <w:pPr>
        <w:pStyle w:val="TOC5"/>
        <w:rPr>
          <w:rFonts w:asciiTheme="minorHAnsi" w:eastAsiaTheme="minorEastAsia" w:hAnsiTheme="minorHAnsi" w:cstheme="minorBidi"/>
          <w:noProof/>
          <w:kern w:val="0"/>
          <w:sz w:val="22"/>
          <w:szCs w:val="22"/>
        </w:rPr>
      </w:pPr>
      <w:r>
        <w:rPr>
          <w:noProof/>
        </w:rPr>
        <w:t>10A  Key terms relating to reporting groups</w:t>
      </w:r>
      <w:r>
        <w:rPr>
          <w:noProof/>
        </w:rPr>
        <w:tab/>
      </w:r>
      <w:r>
        <w:rPr>
          <w:noProof/>
        </w:rPr>
        <w:fldChar w:fldCharType="begin"/>
      </w:r>
      <w:r>
        <w:rPr>
          <w:noProof/>
        </w:rPr>
        <w:instrText xml:space="preserve"> PAGEREF _Toc185415710 \h </w:instrText>
      </w:r>
      <w:r>
        <w:rPr>
          <w:noProof/>
        </w:rPr>
      </w:r>
      <w:r>
        <w:rPr>
          <w:noProof/>
        </w:rPr>
        <w:fldChar w:fldCharType="separate"/>
      </w:r>
      <w:r w:rsidR="00302DB2">
        <w:rPr>
          <w:noProof/>
        </w:rPr>
        <w:t>79</w:t>
      </w:r>
      <w:r>
        <w:rPr>
          <w:noProof/>
        </w:rPr>
        <w:fldChar w:fldCharType="end"/>
      </w:r>
    </w:p>
    <w:p w14:paraId="2813669E" w14:textId="7B31E3E7" w:rsidR="007931CC" w:rsidRDefault="007931CC">
      <w:pPr>
        <w:pStyle w:val="TOC5"/>
        <w:rPr>
          <w:rFonts w:asciiTheme="minorHAnsi" w:eastAsiaTheme="minorEastAsia" w:hAnsiTheme="minorHAnsi" w:cstheme="minorBidi"/>
          <w:noProof/>
          <w:kern w:val="0"/>
          <w:sz w:val="22"/>
          <w:szCs w:val="22"/>
        </w:rPr>
      </w:pPr>
      <w:r>
        <w:rPr>
          <w:noProof/>
        </w:rPr>
        <w:t xml:space="preserve">11  Meaning of </w:t>
      </w:r>
      <w:r w:rsidRPr="00540F8C">
        <w:rPr>
          <w:i/>
          <w:noProof/>
        </w:rPr>
        <w:t>control</w:t>
      </w:r>
      <w:r>
        <w:rPr>
          <w:noProof/>
        </w:rPr>
        <w:tab/>
      </w:r>
      <w:r>
        <w:rPr>
          <w:noProof/>
        </w:rPr>
        <w:fldChar w:fldCharType="begin"/>
      </w:r>
      <w:r>
        <w:rPr>
          <w:noProof/>
        </w:rPr>
        <w:instrText xml:space="preserve"> PAGEREF _Toc185415711 \h </w:instrText>
      </w:r>
      <w:r>
        <w:rPr>
          <w:noProof/>
        </w:rPr>
      </w:r>
      <w:r>
        <w:rPr>
          <w:noProof/>
        </w:rPr>
        <w:fldChar w:fldCharType="separate"/>
      </w:r>
      <w:r w:rsidR="00302DB2">
        <w:rPr>
          <w:noProof/>
        </w:rPr>
        <w:t>81</w:t>
      </w:r>
      <w:r>
        <w:rPr>
          <w:noProof/>
        </w:rPr>
        <w:fldChar w:fldCharType="end"/>
      </w:r>
    </w:p>
    <w:p w14:paraId="0B5476D2" w14:textId="770489E8" w:rsidR="007931CC" w:rsidRDefault="007931CC">
      <w:pPr>
        <w:pStyle w:val="TOC5"/>
        <w:rPr>
          <w:rFonts w:asciiTheme="minorHAnsi" w:eastAsiaTheme="minorEastAsia" w:hAnsiTheme="minorHAnsi" w:cstheme="minorBidi"/>
          <w:noProof/>
          <w:kern w:val="0"/>
          <w:sz w:val="22"/>
          <w:szCs w:val="22"/>
        </w:rPr>
      </w:pPr>
      <w:r>
        <w:rPr>
          <w:noProof/>
        </w:rPr>
        <w:t>12  Owner</w:t>
      </w:r>
      <w:r>
        <w:rPr>
          <w:noProof/>
        </w:rPr>
        <w:noBreakHyphen/>
        <w:t>managed branches of ADIs</w:t>
      </w:r>
      <w:r>
        <w:rPr>
          <w:noProof/>
        </w:rPr>
        <w:tab/>
      </w:r>
      <w:r>
        <w:rPr>
          <w:noProof/>
        </w:rPr>
        <w:fldChar w:fldCharType="begin"/>
      </w:r>
      <w:r>
        <w:rPr>
          <w:noProof/>
        </w:rPr>
        <w:instrText xml:space="preserve"> PAGEREF _Toc185415712 \h </w:instrText>
      </w:r>
      <w:r>
        <w:rPr>
          <w:noProof/>
        </w:rPr>
      </w:r>
      <w:r>
        <w:rPr>
          <w:noProof/>
        </w:rPr>
        <w:fldChar w:fldCharType="separate"/>
      </w:r>
      <w:r w:rsidR="00302DB2">
        <w:rPr>
          <w:noProof/>
        </w:rPr>
        <w:t>82</w:t>
      </w:r>
      <w:r>
        <w:rPr>
          <w:noProof/>
        </w:rPr>
        <w:fldChar w:fldCharType="end"/>
      </w:r>
    </w:p>
    <w:p w14:paraId="425F0B57" w14:textId="14D0512D" w:rsidR="007931CC" w:rsidRDefault="007931CC">
      <w:pPr>
        <w:pStyle w:val="TOC5"/>
        <w:rPr>
          <w:rFonts w:asciiTheme="minorHAnsi" w:eastAsiaTheme="minorEastAsia" w:hAnsiTheme="minorHAnsi" w:cstheme="minorBidi"/>
          <w:noProof/>
          <w:kern w:val="0"/>
          <w:sz w:val="22"/>
          <w:szCs w:val="22"/>
        </w:rPr>
      </w:pPr>
      <w:r>
        <w:rPr>
          <w:noProof/>
        </w:rPr>
        <w:t>13  Eligible gaming machine venues</w:t>
      </w:r>
      <w:r>
        <w:rPr>
          <w:noProof/>
        </w:rPr>
        <w:tab/>
      </w:r>
      <w:r>
        <w:rPr>
          <w:noProof/>
        </w:rPr>
        <w:fldChar w:fldCharType="begin"/>
      </w:r>
      <w:r>
        <w:rPr>
          <w:noProof/>
        </w:rPr>
        <w:instrText xml:space="preserve"> PAGEREF _Toc185415713 \h </w:instrText>
      </w:r>
      <w:r>
        <w:rPr>
          <w:noProof/>
        </w:rPr>
      </w:r>
      <w:r>
        <w:rPr>
          <w:noProof/>
        </w:rPr>
        <w:fldChar w:fldCharType="separate"/>
      </w:r>
      <w:r w:rsidR="00302DB2">
        <w:rPr>
          <w:noProof/>
        </w:rPr>
        <w:t>82</w:t>
      </w:r>
      <w:r>
        <w:rPr>
          <w:noProof/>
        </w:rPr>
        <w:fldChar w:fldCharType="end"/>
      </w:r>
    </w:p>
    <w:p w14:paraId="5342D329" w14:textId="64F7C67D" w:rsidR="007931CC" w:rsidRDefault="007931CC">
      <w:pPr>
        <w:pStyle w:val="TOC5"/>
        <w:rPr>
          <w:rFonts w:asciiTheme="minorHAnsi" w:eastAsiaTheme="minorEastAsia" w:hAnsiTheme="minorHAnsi" w:cstheme="minorBidi"/>
          <w:noProof/>
          <w:kern w:val="0"/>
          <w:sz w:val="22"/>
          <w:szCs w:val="22"/>
        </w:rPr>
      </w:pPr>
      <w:r>
        <w:rPr>
          <w:noProof/>
        </w:rPr>
        <w:t>14  Residency</w:t>
      </w:r>
      <w:r>
        <w:rPr>
          <w:noProof/>
        </w:rPr>
        <w:tab/>
      </w:r>
      <w:r>
        <w:rPr>
          <w:noProof/>
        </w:rPr>
        <w:fldChar w:fldCharType="begin"/>
      </w:r>
      <w:r>
        <w:rPr>
          <w:noProof/>
        </w:rPr>
        <w:instrText xml:space="preserve"> PAGEREF _Toc185415714 \h </w:instrText>
      </w:r>
      <w:r>
        <w:rPr>
          <w:noProof/>
        </w:rPr>
      </w:r>
      <w:r>
        <w:rPr>
          <w:noProof/>
        </w:rPr>
        <w:fldChar w:fldCharType="separate"/>
      </w:r>
      <w:r w:rsidR="00302DB2">
        <w:rPr>
          <w:noProof/>
        </w:rPr>
        <w:t>83</w:t>
      </w:r>
      <w:r>
        <w:rPr>
          <w:noProof/>
        </w:rPr>
        <w:fldChar w:fldCharType="end"/>
      </w:r>
    </w:p>
    <w:p w14:paraId="45AB9B78" w14:textId="15CA4461" w:rsidR="007931CC" w:rsidRDefault="007931CC">
      <w:pPr>
        <w:pStyle w:val="TOC5"/>
        <w:rPr>
          <w:rFonts w:asciiTheme="minorHAnsi" w:eastAsiaTheme="minorEastAsia" w:hAnsiTheme="minorHAnsi" w:cstheme="minorBidi"/>
          <w:noProof/>
          <w:kern w:val="0"/>
          <w:sz w:val="22"/>
          <w:szCs w:val="22"/>
        </w:rPr>
      </w:pPr>
      <w:r>
        <w:rPr>
          <w:noProof/>
        </w:rPr>
        <w:t>16  Electronic communications</w:t>
      </w:r>
      <w:r>
        <w:rPr>
          <w:noProof/>
        </w:rPr>
        <w:tab/>
      </w:r>
      <w:r>
        <w:rPr>
          <w:noProof/>
        </w:rPr>
        <w:fldChar w:fldCharType="begin"/>
      </w:r>
      <w:r>
        <w:rPr>
          <w:noProof/>
        </w:rPr>
        <w:instrText xml:space="preserve"> PAGEREF _Toc185415715 \h </w:instrText>
      </w:r>
      <w:r>
        <w:rPr>
          <w:noProof/>
        </w:rPr>
      </w:r>
      <w:r>
        <w:rPr>
          <w:noProof/>
        </w:rPr>
        <w:fldChar w:fldCharType="separate"/>
      </w:r>
      <w:r w:rsidR="00302DB2">
        <w:rPr>
          <w:noProof/>
        </w:rPr>
        <w:t>85</w:t>
      </w:r>
      <w:r>
        <w:rPr>
          <w:noProof/>
        </w:rPr>
        <w:fldChar w:fldCharType="end"/>
      </w:r>
    </w:p>
    <w:p w14:paraId="637820AF" w14:textId="2B96870A" w:rsidR="007931CC" w:rsidRDefault="007931CC">
      <w:pPr>
        <w:pStyle w:val="TOC5"/>
        <w:rPr>
          <w:rFonts w:asciiTheme="minorHAnsi" w:eastAsiaTheme="minorEastAsia" w:hAnsiTheme="minorHAnsi" w:cstheme="minorBidi"/>
          <w:noProof/>
          <w:kern w:val="0"/>
          <w:sz w:val="22"/>
          <w:szCs w:val="22"/>
        </w:rPr>
      </w:pPr>
      <w:r>
        <w:rPr>
          <w:noProof/>
        </w:rPr>
        <w:t>17  Bearer negotiable instruments</w:t>
      </w:r>
      <w:r>
        <w:rPr>
          <w:noProof/>
        </w:rPr>
        <w:tab/>
      </w:r>
      <w:r>
        <w:rPr>
          <w:noProof/>
        </w:rPr>
        <w:fldChar w:fldCharType="begin"/>
      </w:r>
      <w:r>
        <w:rPr>
          <w:noProof/>
        </w:rPr>
        <w:instrText xml:space="preserve"> PAGEREF _Toc185415716 \h </w:instrText>
      </w:r>
      <w:r>
        <w:rPr>
          <w:noProof/>
        </w:rPr>
      </w:r>
      <w:r>
        <w:rPr>
          <w:noProof/>
        </w:rPr>
        <w:fldChar w:fldCharType="separate"/>
      </w:r>
      <w:r w:rsidR="00302DB2">
        <w:rPr>
          <w:noProof/>
        </w:rPr>
        <w:t>85</w:t>
      </w:r>
      <w:r>
        <w:rPr>
          <w:noProof/>
        </w:rPr>
        <w:fldChar w:fldCharType="end"/>
      </w:r>
    </w:p>
    <w:p w14:paraId="128ACE77" w14:textId="24DC2254" w:rsidR="007931CC" w:rsidRDefault="007931CC">
      <w:pPr>
        <w:pStyle w:val="TOC5"/>
        <w:rPr>
          <w:rFonts w:asciiTheme="minorHAnsi" w:eastAsiaTheme="minorEastAsia" w:hAnsiTheme="minorHAnsi" w:cstheme="minorBidi"/>
          <w:noProof/>
          <w:kern w:val="0"/>
          <w:sz w:val="22"/>
          <w:szCs w:val="22"/>
        </w:rPr>
      </w:pPr>
      <w:r>
        <w:rPr>
          <w:noProof/>
        </w:rPr>
        <w:t>18  Translation of foreign currency to Australian currency</w:t>
      </w:r>
      <w:r>
        <w:rPr>
          <w:noProof/>
        </w:rPr>
        <w:tab/>
      </w:r>
      <w:r>
        <w:rPr>
          <w:noProof/>
        </w:rPr>
        <w:fldChar w:fldCharType="begin"/>
      </w:r>
      <w:r>
        <w:rPr>
          <w:noProof/>
        </w:rPr>
        <w:instrText xml:space="preserve"> PAGEREF _Toc185415717 \h </w:instrText>
      </w:r>
      <w:r>
        <w:rPr>
          <w:noProof/>
        </w:rPr>
      </w:r>
      <w:r>
        <w:rPr>
          <w:noProof/>
        </w:rPr>
        <w:fldChar w:fldCharType="separate"/>
      </w:r>
      <w:r w:rsidR="00302DB2">
        <w:rPr>
          <w:noProof/>
        </w:rPr>
        <w:t>85</w:t>
      </w:r>
      <w:r>
        <w:rPr>
          <w:noProof/>
        </w:rPr>
        <w:fldChar w:fldCharType="end"/>
      </w:r>
    </w:p>
    <w:p w14:paraId="721F6C7E" w14:textId="0B849248" w:rsidR="007931CC" w:rsidRDefault="007931CC">
      <w:pPr>
        <w:pStyle w:val="TOC5"/>
        <w:rPr>
          <w:rFonts w:asciiTheme="minorHAnsi" w:eastAsiaTheme="minorEastAsia" w:hAnsiTheme="minorHAnsi" w:cstheme="minorBidi"/>
          <w:noProof/>
          <w:kern w:val="0"/>
          <w:sz w:val="22"/>
          <w:szCs w:val="22"/>
        </w:rPr>
      </w:pPr>
      <w:r>
        <w:rPr>
          <w:noProof/>
        </w:rPr>
        <w:t>19  Translation of virtual assets to Australian currency</w:t>
      </w:r>
      <w:r>
        <w:rPr>
          <w:noProof/>
        </w:rPr>
        <w:tab/>
      </w:r>
      <w:r>
        <w:rPr>
          <w:noProof/>
        </w:rPr>
        <w:fldChar w:fldCharType="begin"/>
      </w:r>
      <w:r>
        <w:rPr>
          <w:noProof/>
        </w:rPr>
        <w:instrText xml:space="preserve"> PAGEREF _Toc185415718 \h </w:instrText>
      </w:r>
      <w:r>
        <w:rPr>
          <w:noProof/>
        </w:rPr>
      </w:r>
      <w:r>
        <w:rPr>
          <w:noProof/>
        </w:rPr>
        <w:fldChar w:fldCharType="separate"/>
      </w:r>
      <w:r w:rsidR="00302DB2">
        <w:rPr>
          <w:noProof/>
        </w:rPr>
        <w:t>86</w:t>
      </w:r>
      <w:r>
        <w:rPr>
          <w:noProof/>
        </w:rPr>
        <w:fldChar w:fldCharType="end"/>
      </w:r>
    </w:p>
    <w:p w14:paraId="3A91FFA1" w14:textId="475B8C30" w:rsidR="007931CC" w:rsidRDefault="007931CC">
      <w:pPr>
        <w:pStyle w:val="TOC5"/>
        <w:rPr>
          <w:rFonts w:asciiTheme="minorHAnsi" w:eastAsiaTheme="minorEastAsia" w:hAnsiTheme="minorHAnsi" w:cstheme="minorBidi"/>
          <w:noProof/>
          <w:kern w:val="0"/>
          <w:sz w:val="22"/>
          <w:szCs w:val="22"/>
        </w:rPr>
      </w:pPr>
      <w:r>
        <w:rPr>
          <w:noProof/>
        </w:rPr>
        <w:t>20  Clubs and associations</w:t>
      </w:r>
      <w:r>
        <w:rPr>
          <w:noProof/>
        </w:rPr>
        <w:tab/>
      </w:r>
      <w:r>
        <w:rPr>
          <w:noProof/>
        </w:rPr>
        <w:fldChar w:fldCharType="begin"/>
      </w:r>
      <w:r>
        <w:rPr>
          <w:noProof/>
        </w:rPr>
        <w:instrText xml:space="preserve"> PAGEREF _Toc185415719 \h </w:instrText>
      </w:r>
      <w:r>
        <w:rPr>
          <w:noProof/>
        </w:rPr>
      </w:r>
      <w:r>
        <w:rPr>
          <w:noProof/>
        </w:rPr>
        <w:fldChar w:fldCharType="separate"/>
      </w:r>
      <w:r w:rsidR="00302DB2">
        <w:rPr>
          <w:noProof/>
        </w:rPr>
        <w:t>86</w:t>
      </w:r>
      <w:r>
        <w:rPr>
          <w:noProof/>
        </w:rPr>
        <w:fldChar w:fldCharType="end"/>
      </w:r>
    </w:p>
    <w:p w14:paraId="0E08A606" w14:textId="7D52540C" w:rsidR="007931CC" w:rsidRDefault="007931CC">
      <w:pPr>
        <w:pStyle w:val="TOC5"/>
        <w:rPr>
          <w:rFonts w:asciiTheme="minorHAnsi" w:eastAsiaTheme="minorEastAsia" w:hAnsiTheme="minorHAnsi" w:cstheme="minorBidi"/>
          <w:noProof/>
          <w:kern w:val="0"/>
          <w:sz w:val="22"/>
          <w:szCs w:val="22"/>
        </w:rPr>
      </w:pPr>
      <w:r>
        <w:rPr>
          <w:noProof/>
        </w:rPr>
        <w:t>21  Permanent establishment</w:t>
      </w:r>
      <w:r>
        <w:rPr>
          <w:noProof/>
        </w:rPr>
        <w:tab/>
      </w:r>
      <w:r>
        <w:rPr>
          <w:noProof/>
        </w:rPr>
        <w:fldChar w:fldCharType="begin"/>
      </w:r>
      <w:r>
        <w:rPr>
          <w:noProof/>
        </w:rPr>
        <w:instrText xml:space="preserve"> PAGEREF _Toc185415720 \h </w:instrText>
      </w:r>
      <w:r>
        <w:rPr>
          <w:noProof/>
        </w:rPr>
      </w:r>
      <w:r>
        <w:rPr>
          <w:noProof/>
        </w:rPr>
        <w:fldChar w:fldCharType="separate"/>
      </w:r>
      <w:r w:rsidR="00302DB2">
        <w:rPr>
          <w:noProof/>
        </w:rPr>
        <w:t>86</w:t>
      </w:r>
      <w:r>
        <w:rPr>
          <w:noProof/>
        </w:rPr>
        <w:fldChar w:fldCharType="end"/>
      </w:r>
    </w:p>
    <w:p w14:paraId="7CD5E22F" w14:textId="79954B86" w:rsidR="007931CC" w:rsidRDefault="007931CC">
      <w:pPr>
        <w:pStyle w:val="TOC5"/>
        <w:rPr>
          <w:rFonts w:asciiTheme="minorHAnsi" w:eastAsiaTheme="minorEastAsia" w:hAnsiTheme="minorHAnsi" w:cstheme="minorBidi"/>
          <w:noProof/>
          <w:kern w:val="0"/>
          <w:sz w:val="22"/>
          <w:szCs w:val="22"/>
        </w:rPr>
      </w:pPr>
      <w:r>
        <w:rPr>
          <w:noProof/>
        </w:rPr>
        <w:t>22  Officials of Commonwealth, State or Territory agencies</w:t>
      </w:r>
      <w:r>
        <w:rPr>
          <w:noProof/>
        </w:rPr>
        <w:tab/>
      </w:r>
      <w:r>
        <w:rPr>
          <w:noProof/>
        </w:rPr>
        <w:fldChar w:fldCharType="begin"/>
      </w:r>
      <w:r>
        <w:rPr>
          <w:noProof/>
        </w:rPr>
        <w:instrText xml:space="preserve"> PAGEREF _Toc185415721 \h </w:instrText>
      </w:r>
      <w:r>
        <w:rPr>
          <w:noProof/>
        </w:rPr>
      </w:r>
      <w:r>
        <w:rPr>
          <w:noProof/>
        </w:rPr>
        <w:fldChar w:fldCharType="separate"/>
      </w:r>
      <w:r w:rsidR="00302DB2">
        <w:rPr>
          <w:noProof/>
        </w:rPr>
        <w:t>87</w:t>
      </w:r>
      <w:r>
        <w:rPr>
          <w:noProof/>
        </w:rPr>
        <w:fldChar w:fldCharType="end"/>
      </w:r>
    </w:p>
    <w:p w14:paraId="34531325" w14:textId="02C4B6A6" w:rsidR="007931CC" w:rsidRDefault="007931CC">
      <w:pPr>
        <w:pStyle w:val="TOC5"/>
        <w:rPr>
          <w:rFonts w:asciiTheme="minorHAnsi" w:eastAsiaTheme="minorEastAsia" w:hAnsiTheme="minorHAnsi" w:cstheme="minorBidi"/>
          <w:noProof/>
          <w:kern w:val="0"/>
          <w:sz w:val="22"/>
          <w:szCs w:val="22"/>
        </w:rPr>
      </w:pPr>
      <w:r>
        <w:rPr>
          <w:noProof/>
        </w:rPr>
        <w:t>23  Continuity of partnerships</w:t>
      </w:r>
      <w:r>
        <w:rPr>
          <w:noProof/>
        </w:rPr>
        <w:tab/>
      </w:r>
      <w:r>
        <w:rPr>
          <w:noProof/>
        </w:rPr>
        <w:fldChar w:fldCharType="begin"/>
      </w:r>
      <w:r>
        <w:rPr>
          <w:noProof/>
        </w:rPr>
        <w:instrText xml:space="preserve"> PAGEREF _Toc185415722 \h </w:instrText>
      </w:r>
      <w:r>
        <w:rPr>
          <w:noProof/>
        </w:rPr>
      </w:r>
      <w:r>
        <w:rPr>
          <w:noProof/>
        </w:rPr>
        <w:fldChar w:fldCharType="separate"/>
      </w:r>
      <w:r w:rsidR="00302DB2">
        <w:rPr>
          <w:noProof/>
        </w:rPr>
        <w:t>88</w:t>
      </w:r>
      <w:r>
        <w:rPr>
          <w:noProof/>
        </w:rPr>
        <w:fldChar w:fldCharType="end"/>
      </w:r>
    </w:p>
    <w:p w14:paraId="721245D5" w14:textId="3BC79F17" w:rsidR="007931CC" w:rsidRDefault="007931CC">
      <w:pPr>
        <w:pStyle w:val="TOC5"/>
        <w:rPr>
          <w:rFonts w:asciiTheme="minorHAnsi" w:eastAsiaTheme="minorEastAsia" w:hAnsiTheme="minorHAnsi" w:cstheme="minorBidi"/>
          <w:noProof/>
          <w:kern w:val="0"/>
          <w:sz w:val="22"/>
          <w:szCs w:val="22"/>
        </w:rPr>
      </w:pPr>
      <w:r>
        <w:rPr>
          <w:noProof/>
        </w:rPr>
        <w:t>24  Crown to be bound</w:t>
      </w:r>
      <w:r>
        <w:rPr>
          <w:noProof/>
        </w:rPr>
        <w:tab/>
      </w:r>
      <w:r>
        <w:rPr>
          <w:noProof/>
        </w:rPr>
        <w:fldChar w:fldCharType="begin"/>
      </w:r>
      <w:r>
        <w:rPr>
          <w:noProof/>
        </w:rPr>
        <w:instrText xml:space="preserve"> PAGEREF _Toc185415723 \h </w:instrText>
      </w:r>
      <w:r>
        <w:rPr>
          <w:noProof/>
        </w:rPr>
      </w:r>
      <w:r>
        <w:rPr>
          <w:noProof/>
        </w:rPr>
        <w:fldChar w:fldCharType="separate"/>
      </w:r>
      <w:r w:rsidR="00302DB2">
        <w:rPr>
          <w:noProof/>
        </w:rPr>
        <w:t>88</w:t>
      </w:r>
      <w:r>
        <w:rPr>
          <w:noProof/>
        </w:rPr>
        <w:fldChar w:fldCharType="end"/>
      </w:r>
    </w:p>
    <w:p w14:paraId="420E02F3" w14:textId="4C97A0A3" w:rsidR="007931CC" w:rsidRDefault="007931CC">
      <w:pPr>
        <w:pStyle w:val="TOC5"/>
        <w:rPr>
          <w:rFonts w:asciiTheme="minorHAnsi" w:eastAsiaTheme="minorEastAsia" w:hAnsiTheme="minorHAnsi" w:cstheme="minorBidi"/>
          <w:noProof/>
          <w:kern w:val="0"/>
          <w:sz w:val="22"/>
          <w:szCs w:val="22"/>
        </w:rPr>
      </w:pPr>
      <w:r>
        <w:rPr>
          <w:noProof/>
        </w:rPr>
        <w:t>25  Extension to external Territories</w:t>
      </w:r>
      <w:r>
        <w:rPr>
          <w:noProof/>
        </w:rPr>
        <w:tab/>
      </w:r>
      <w:r>
        <w:rPr>
          <w:noProof/>
        </w:rPr>
        <w:fldChar w:fldCharType="begin"/>
      </w:r>
      <w:r>
        <w:rPr>
          <w:noProof/>
        </w:rPr>
        <w:instrText xml:space="preserve"> PAGEREF _Toc185415724 \h </w:instrText>
      </w:r>
      <w:r>
        <w:rPr>
          <w:noProof/>
        </w:rPr>
      </w:r>
      <w:r>
        <w:rPr>
          <w:noProof/>
        </w:rPr>
        <w:fldChar w:fldCharType="separate"/>
      </w:r>
      <w:r w:rsidR="00302DB2">
        <w:rPr>
          <w:noProof/>
        </w:rPr>
        <w:t>89</w:t>
      </w:r>
      <w:r>
        <w:rPr>
          <w:noProof/>
        </w:rPr>
        <w:fldChar w:fldCharType="end"/>
      </w:r>
    </w:p>
    <w:p w14:paraId="2E9406CF" w14:textId="7541CAE4" w:rsidR="007931CC" w:rsidRDefault="007931CC">
      <w:pPr>
        <w:pStyle w:val="TOC5"/>
        <w:rPr>
          <w:rFonts w:asciiTheme="minorHAnsi" w:eastAsiaTheme="minorEastAsia" w:hAnsiTheme="minorHAnsi" w:cstheme="minorBidi"/>
          <w:noProof/>
          <w:kern w:val="0"/>
          <w:sz w:val="22"/>
          <w:szCs w:val="22"/>
        </w:rPr>
      </w:pPr>
      <w:r>
        <w:rPr>
          <w:noProof/>
        </w:rPr>
        <w:t>26  Extra</w:t>
      </w:r>
      <w:r>
        <w:rPr>
          <w:noProof/>
        </w:rPr>
        <w:noBreakHyphen/>
        <w:t>territorial application</w:t>
      </w:r>
      <w:r>
        <w:rPr>
          <w:noProof/>
        </w:rPr>
        <w:tab/>
      </w:r>
      <w:r>
        <w:rPr>
          <w:noProof/>
        </w:rPr>
        <w:fldChar w:fldCharType="begin"/>
      </w:r>
      <w:r>
        <w:rPr>
          <w:noProof/>
        </w:rPr>
        <w:instrText xml:space="preserve"> PAGEREF _Toc185415725 \h </w:instrText>
      </w:r>
      <w:r>
        <w:rPr>
          <w:noProof/>
        </w:rPr>
      </w:r>
      <w:r>
        <w:rPr>
          <w:noProof/>
        </w:rPr>
        <w:fldChar w:fldCharType="separate"/>
      </w:r>
      <w:r w:rsidR="00302DB2">
        <w:rPr>
          <w:noProof/>
        </w:rPr>
        <w:t>89</w:t>
      </w:r>
      <w:r>
        <w:rPr>
          <w:noProof/>
        </w:rPr>
        <w:fldChar w:fldCharType="end"/>
      </w:r>
    </w:p>
    <w:p w14:paraId="7FD60791" w14:textId="542E3FB9" w:rsidR="007931CC" w:rsidRDefault="007931CC">
      <w:pPr>
        <w:pStyle w:val="TOC2"/>
        <w:rPr>
          <w:rFonts w:asciiTheme="minorHAnsi" w:eastAsiaTheme="minorEastAsia" w:hAnsiTheme="minorHAnsi" w:cstheme="minorBidi"/>
          <w:b w:val="0"/>
          <w:noProof/>
          <w:kern w:val="0"/>
          <w:sz w:val="22"/>
          <w:szCs w:val="22"/>
        </w:rPr>
      </w:pPr>
      <w:r>
        <w:rPr>
          <w:noProof/>
        </w:rPr>
        <w:t>Part 1A—AML/CTF programs</w:t>
      </w:r>
      <w:r>
        <w:rPr>
          <w:noProof/>
        </w:rPr>
        <w:tab/>
      </w:r>
      <w:r>
        <w:rPr>
          <w:noProof/>
        </w:rPr>
        <w:fldChar w:fldCharType="begin"/>
      </w:r>
      <w:r>
        <w:rPr>
          <w:noProof/>
        </w:rPr>
        <w:instrText xml:space="preserve"> PAGEREF _Toc185415726 \h </w:instrText>
      </w:r>
      <w:r>
        <w:rPr>
          <w:noProof/>
        </w:rPr>
      </w:r>
      <w:r>
        <w:rPr>
          <w:noProof/>
        </w:rPr>
        <w:fldChar w:fldCharType="separate"/>
      </w:r>
      <w:r w:rsidR="00302DB2">
        <w:rPr>
          <w:noProof/>
        </w:rPr>
        <w:t>90</w:t>
      </w:r>
      <w:r>
        <w:rPr>
          <w:noProof/>
        </w:rPr>
        <w:fldChar w:fldCharType="end"/>
      </w:r>
    </w:p>
    <w:p w14:paraId="50ED33BF" w14:textId="3BCF8346"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_Toc185415727 \h </w:instrText>
      </w:r>
      <w:r>
        <w:rPr>
          <w:noProof/>
        </w:rPr>
      </w:r>
      <w:r>
        <w:rPr>
          <w:noProof/>
        </w:rPr>
        <w:fldChar w:fldCharType="separate"/>
      </w:r>
      <w:r w:rsidR="00302DB2">
        <w:rPr>
          <w:noProof/>
        </w:rPr>
        <w:t>90</w:t>
      </w:r>
      <w:r>
        <w:rPr>
          <w:noProof/>
        </w:rPr>
        <w:fldChar w:fldCharType="end"/>
      </w:r>
    </w:p>
    <w:p w14:paraId="36E6F9C8" w14:textId="50265E7B" w:rsidR="007931CC" w:rsidRDefault="007931CC">
      <w:pPr>
        <w:pStyle w:val="TOC5"/>
        <w:rPr>
          <w:rFonts w:asciiTheme="minorHAnsi" w:eastAsiaTheme="minorEastAsia" w:hAnsiTheme="minorHAnsi" w:cstheme="minorBidi"/>
          <w:noProof/>
          <w:kern w:val="0"/>
          <w:sz w:val="22"/>
          <w:szCs w:val="22"/>
        </w:rPr>
      </w:pPr>
      <w:r>
        <w:rPr>
          <w:noProof/>
        </w:rPr>
        <w:t>26A  Simplified outline</w:t>
      </w:r>
      <w:r>
        <w:rPr>
          <w:noProof/>
        </w:rPr>
        <w:tab/>
      </w:r>
      <w:r>
        <w:rPr>
          <w:noProof/>
        </w:rPr>
        <w:fldChar w:fldCharType="begin"/>
      </w:r>
      <w:r>
        <w:rPr>
          <w:noProof/>
        </w:rPr>
        <w:instrText xml:space="preserve"> PAGEREF _Toc185415728 \h </w:instrText>
      </w:r>
      <w:r>
        <w:rPr>
          <w:noProof/>
        </w:rPr>
      </w:r>
      <w:r>
        <w:rPr>
          <w:noProof/>
        </w:rPr>
        <w:fldChar w:fldCharType="separate"/>
      </w:r>
      <w:r w:rsidR="00302DB2">
        <w:rPr>
          <w:noProof/>
        </w:rPr>
        <w:t>90</w:t>
      </w:r>
      <w:r>
        <w:rPr>
          <w:noProof/>
        </w:rPr>
        <w:fldChar w:fldCharType="end"/>
      </w:r>
    </w:p>
    <w:p w14:paraId="56094DDD" w14:textId="7C666B5A" w:rsidR="007931CC" w:rsidRDefault="007931CC">
      <w:pPr>
        <w:pStyle w:val="TOC5"/>
        <w:rPr>
          <w:rFonts w:asciiTheme="minorHAnsi" w:eastAsiaTheme="minorEastAsia" w:hAnsiTheme="minorHAnsi" w:cstheme="minorBidi"/>
          <w:noProof/>
          <w:kern w:val="0"/>
          <w:sz w:val="22"/>
          <w:szCs w:val="22"/>
        </w:rPr>
      </w:pPr>
      <w:r>
        <w:rPr>
          <w:noProof/>
        </w:rPr>
        <w:t>26B  What is an AML/CTF program?</w:t>
      </w:r>
      <w:r>
        <w:rPr>
          <w:noProof/>
        </w:rPr>
        <w:tab/>
      </w:r>
      <w:r>
        <w:rPr>
          <w:noProof/>
        </w:rPr>
        <w:fldChar w:fldCharType="begin"/>
      </w:r>
      <w:r>
        <w:rPr>
          <w:noProof/>
        </w:rPr>
        <w:instrText xml:space="preserve"> PAGEREF _Toc185415729 \h </w:instrText>
      </w:r>
      <w:r>
        <w:rPr>
          <w:noProof/>
        </w:rPr>
      </w:r>
      <w:r>
        <w:rPr>
          <w:noProof/>
        </w:rPr>
        <w:fldChar w:fldCharType="separate"/>
      </w:r>
      <w:r w:rsidR="00302DB2">
        <w:rPr>
          <w:noProof/>
        </w:rPr>
        <w:t>91</w:t>
      </w:r>
      <w:r>
        <w:rPr>
          <w:noProof/>
        </w:rPr>
        <w:fldChar w:fldCharType="end"/>
      </w:r>
    </w:p>
    <w:p w14:paraId="3DFCF9D1" w14:textId="7D7A7C82" w:rsidR="007931CC" w:rsidRDefault="007931CC">
      <w:pPr>
        <w:pStyle w:val="TOC3"/>
        <w:rPr>
          <w:rFonts w:asciiTheme="minorHAnsi" w:eastAsiaTheme="minorEastAsia" w:hAnsiTheme="minorHAnsi" w:cstheme="minorBidi"/>
          <w:b w:val="0"/>
          <w:noProof/>
          <w:kern w:val="0"/>
          <w:szCs w:val="22"/>
        </w:rPr>
      </w:pPr>
      <w:r>
        <w:rPr>
          <w:noProof/>
        </w:rPr>
        <w:t>Division 2—ML/TF risk assessment</w:t>
      </w:r>
      <w:r>
        <w:rPr>
          <w:noProof/>
        </w:rPr>
        <w:tab/>
      </w:r>
      <w:r>
        <w:rPr>
          <w:noProof/>
        </w:rPr>
        <w:fldChar w:fldCharType="begin"/>
      </w:r>
      <w:r>
        <w:rPr>
          <w:noProof/>
        </w:rPr>
        <w:instrText xml:space="preserve"> PAGEREF _Toc185415730 \h </w:instrText>
      </w:r>
      <w:r>
        <w:rPr>
          <w:noProof/>
        </w:rPr>
      </w:r>
      <w:r>
        <w:rPr>
          <w:noProof/>
        </w:rPr>
        <w:fldChar w:fldCharType="separate"/>
      </w:r>
      <w:r w:rsidR="00302DB2">
        <w:rPr>
          <w:noProof/>
        </w:rPr>
        <w:t>92</w:t>
      </w:r>
      <w:r>
        <w:rPr>
          <w:noProof/>
        </w:rPr>
        <w:fldChar w:fldCharType="end"/>
      </w:r>
    </w:p>
    <w:p w14:paraId="2D089B4C" w14:textId="40507698" w:rsidR="007931CC" w:rsidRDefault="007931CC">
      <w:pPr>
        <w:pStyle w:val="TOC5"/>
        <w:rPr>
          <w:rFonts w:asciiTheme="minorHAnsi" w:eastAsiaTheme="minorEastAsia" w:hAnsiTheme="minorHAnsi" w:cstheme="minorBidi"/>
          <w:noProof/>
          <w:kern w:val="0"/>
          <w:sz w:val="22"/>
          <w:szCs w:val="22"/>
        </w:rPr>
      </w:pPr>
      <w:r>
        <w:rPr>
          <w:noProof/>
        </w:rPr>
        <w:t>26C  Reporting entities must undertake an ML/TF risk assessment</w:t>
      </w:r>
      <w:r>
        <w:rPr>
          <w:noProof/>
        </w:rPr>
        <w:tab/>
      </w:r>
      <w:r>
        <w:rPr>
          <w:noProof/>
        </w:rPr>
        <w:fldChar w:fldCharType="begin"/>
      </w:r>
      <w:r>
        <w:rPr>
          <w:noProof/>
        </w:rPr>
        <w:instrText xml:space="preserve"> PAGEREF _Toc185415731 \h </w:instrText>
      </w:r>
      <w:r>
        <w:rPr>
          <w:noProof/>
        </w:rPr>
      </w:r>
      <w:r>
        <w:rPr>
          <w:noProof/>
        </w:rPr>
        <w:fldChar w:fldCharType="separate"/>
      </w:r>
      <w:r w:rsidR="00302DB2">
        <w:rPr>
          <w:noProof/>
        </w:rPr>
        <w:t>92</w:t>
      </w:r>
      <w:r>
        <w:rPr>
          <w:noProof/>
        </w:rPr>
        <w:fldChar w:fldCharType="end"/>
      </w:r>
    </w:p>
    <w:p w14:paraId="3E3A7A51" w14:textId="32760582" w:rsidR="007931CC" w:rsidRDefault="007931CC">
      <w:pPr>
        <w:pStyle w:val="TOC5"/>
        <w:rPr>
          <w:rFonts w:asciiTheme="minorHAnsi" w:eastAsiaTheme="minorEastAsia" w:hAnsiTheme="minorHAnsi" w:cstheme="minorBidi"/>
          <w:noProof/>
          <w:kern w:val="0"/>
          <w:sz w:val="22"/>
          <w:szCs w:val="22"/>
        </w:rPr>
      </w:pPr>
      <w:r>
        <w:rPr>
          <w:noProof/>
        </w:rPr>
        <w:t>26D  Reporting entities must review and update ML/TF risk assessment</w:t>
      </w:r>
      <w:r>
        <w:rPr>
          <w:noProof/>
        </w:rPr>
        <w:tab/>
      </w:r>
      <w:r>
        <w:rPr>
          <w:noProof/>
        </w:rPr>
        <w:fldChar w:fldCharType="begin"/>
      </w:r>
      <w:r>
        <w:rPr>
          <w:noProof/>
        </w:rPr>
        <w:instrText xml:space="preserve"> PAGEREF _Toc185415732 \h </w:instrText>
      </w:r>
      <w:r>
        <w:rPr>
          <w:noProof/>
        </w:rPr>
      </w:r>
      <w:r>
        <w:rPr>
          <w:noProof/>
        </w:rPr>
        <w:fldChar w:fldCharType="separate"/>
      </w:r>
      <w:r w:rsidR="00302DB2">
        <w:rPr>
          <w:noProof/>
        </w:rPr>
        <w:t>93</w:t>
      </w:r>
      <w:r>
        <w:rPr>
          <w:noProof/>
        </w:rPr>
        <w:fldChar w:fldCharType="end"/>
      </w:r>
    </w:p>
    <w:p w14:paraId="647348BF" w14:textId="3CE9D5CE" w:rsidR="007931CC" w:rsidRDefault="007931CC">
      <w:pPr>
        <w:pStyle w:val="TOC5"/>
        <w:rPr>
          <w:rFonts w:asciiTheme="minorHAnsi" w:eastAsiaTheme="minorEastAsia" w:hAnsiTheme="minorHAnsi" w:cstheme="minorBidi"/>
          <w:noProof/>
          <w:kern w:val="0"/>
          <w:sz w:val="22"/>
          <w:szCs w:val="22"/>
        </w:rPr>
      </w:pPr>
      <w:r>
        <w:rPr>
          <w:noProof/>
        </w:rPr>
        <w:lastRenderedPageBreak/>
        <w:t>26E  Reporting entities must have up</w:t>
      </w:r>
      <w:r>
        <w:rPr>
          <w:noProof/>
        </w:rPr>
        <w:noBreakHyphen/>
        <w:t>to</w:t>
      </w:r>
      <w:r>
        <w:rPr>
          <w:noProof/>
        </w:rPr>
        <w:noBreakHyphen/>
        <w:t>date ML/TF risk assessment before providing designated services</w:t>
      </w:r>
      <w:r>
        <w:rPr>
          <w:noProof/>
        </w:rPr>
        <w:tab/>
      </w:r>
      <w:r>
        <w:rPr>
          <w:noProof/>
        </w:rPr>
        <w:fldChar w:fldCharType="begin"/>
      </w:r>
      <w:r>
        <w:rPr>
          <w:noProof/>
        </w:rPr>
        <w:instrText xml:space="preserve"> PAGEREF _Toc185415733 \h </w:instrText>
      </w:r>
      <w:r>
        <w:rPr>
          <w:noProof/>
        </w:rPr>
      </w:r>
      <w:r>
        <w:rPr>
          <w:noProof/>
        </w:rPr>
        <w:fldChar w:fldCharType="separate"/>
      </w:r>
      <w:r w:rsidR="00302DB2">
        <w:rPr>
          <w:noProof/>
        </w:rPr>
        <w:t>94</w:t>
      </w:r>
      <w:r>
        <w:rPr>
          <w:noProof/>
        </w:rPr>
        <w:fldChar w:fldCharType="end"/>
      </w:r>
    </w:p>
    <w:p w14:paraId="35BAA0A1" w14:textId="59B30230" w:rsidR="007931CC" w:rsidRDefault="007931CC">
      <w:pPr>
        <w:pStyle w:val="TOC3"/>
        <w:rPr>
          <w:rFonts w:asciiTheme="minorHAnsi" w:eastAsiaTheme="minorEastAsia" w:hAnsiTheme="minorHAnsi" w:cstheme="minorBidi"/>
          <w:b w:val="0"/>
          <w:noProof/>
          <w:kern w:val="0"/>
          <w:szCs w:val="22"/>
        </w:rPr>
      </w:pPr>
      <w:r>
        <w:rPr>
          <w:noProof/>
        </w:rPr>
        <w:t>Division 3—AML/CTF policies</w:t>
      </w:r>
      <w:r>
        <w:rPr>
          <w:noProof/>
        </w:rPr>
        <w:tab/>
      </w:r>
      <w:r>
        <w:rPr>
          <w:noProof/>
        </w:rPr>
        <w:fldChar w:fldCharType="begin"/>
      </w:r>
      <w:r>
        <w:rPr>
          <w:noProof/>
        </w:rPr>
        <w:instrText xml:space="preserve"> PAGEREF _Toc185415734 \h </w:instrText>
      </w:r>
      <w:r>
        <w:rPr>
          <w:noProof/>
        </w:rPr>
      </w:r>
      <w:r>
        <w:rPr>
          <w:noProof/>
        </w:rPr>
        <w:fldChar w:fldCharType="separate"/>
      </w:r>
      <w:r w:rsidR="00302DB2">
        <w:rPr>
          <w:noProof/>
        </w:rPr>
        <w:t>95</w:t>
      </w:r>
      <w:r>
        <w:rPr>
          <w:noProof/>
        </w:rPr>
        <w:fldChar w:fldCharType="end"/>
      </w:r>
    </w:p>
    <w:p w14:paraId="53B100C7" w14:textId="0271DF27" w:rsidR="007931CC" w:rsidRDefault="007931CC">
      <w:pPr>
        <w:pStyle w:val="TOC5"/>
        <w:rPr>
          <w:rFonts w:asciiTheme="minorHAnsi" w:eastAsiaTheme="minorEastAsia" w:hAnsiTheme="minorHAnsi" w:cstheme="minorBidi"/>
          <w:noProof/>
          <w:kern w:val="0"/>
          <w:sz w:val="22"/>
          <w:szCs w:val="22"/>
        </w:rPr>
      </w:pPr>
      <w:r>
        <w:rPr>
          <w:noProof/>
        </w:rPr>
        <w:t>26F  Reporting entities must develop and maintain AML/CTF policies</w:t>
      </w:r>
      <w:r>
        <w:rPr>
          <w:noProof/>
        </w:rPr>
        <w:tab/>
      </w:r>
      <w:r>
        <w:rPr>
          <w:noProof/>
        </w:rPr>
        <w:fldChar w:fldCharType="begin"/>
      </w:r>
      <w:r>
        <w:rPr>
          <w:noProof/>
        </w:rPr>
        <w:instrText xml:space="preserve"> PAGEREF _Toc185415735 \h </w:instrText>
      </w:r>
      <w:r>
        <w:rPr>
          <w:noProof/>
        </w:rPr>
      </w:r>
      <w:r>
        <w:rPr>
          <w:noProof/>
        </w:rPr>
        <w:fldChar w:fldCharType="separate"/>
      </w:r>
      <w:r w:rsidR="00302DB2">
        <w:rPr>
          <w:noProof/>
        </w:rPr>
        <w:t>95</w:t>
      </w:r>
      <w:r>
        <w:rPr>
          <w:noProof/>
        </w:rPr>
        <w:fldChar w:fldCharType="end"/>
      </w:r>
    </w:p>
    <w:p w14:paraId="4877A64A" w14:textId="1177CBA2" w:rsidR="007931CC" w:rsidRDefault="007931CC">
      <w:pPr>
        <w:pStyle w:val="TOC5"/>
        <w:rPr>
          <w:rFonts w:asciiTheme="minorHAnsi" w:eastAsiaTheme="minorEastAsia" w:hAnsiTheme="minorHAnsi" w:cstheme="minorBidi"/>
          <w:noProof/>
          <w:kern w:val="0"/>
          <w:sz w:val="22"/>
          <w:szCs w:val="22"/>
        </w:rPr>
      </w:pPr>
      <w:r>
        <w:rPr>
          <w:noProof/>
        </w:rPr>
        <w:t>26G  Reporting entities must comply with AML/CTF policies</w:t>
      </w:r>
      <w:r>
        <w:rPr>
          <w:noProof/>
        </w:rPr>
        <w:tab/>
      </w:r>
      <w:r>
        <w:rPr>
          <w:noProof/>
        </w:rPr>
        <w:fldChar w:fldCharType="begin"/>
      </w:r>
      <w:r>
        <w:rPr>
          <w:noProof/>
        </w:rPr>
        <w:instrText xml:space="preserve"> PAGEREF _Toc185415736 \h </w:instrText>
      </w:r>
      <w:r>
        <w:rPr>
          <w:noProof/>
        </w:rPr>
      </w:r>
      <w:r>
        <w:rPr>
          <w:noProof/>
        </w:rPr>
        <w:fldChar w:fldCharType="separate"/>
      </w:r>
      <w:r w:rsidR="00302DB2">
        <w:rPr>
          <w:noProof/>
        </w:rPr>
        <w:t>99</w:t>
      </w:r>
      <w:r>
        <w:rPr>
          <w:noProof/>
        </w:rPr>
        <w:fldChar w:fldCharType="end"/>
      </w:r>
    </w:p>
    <w:p w14:paraId="3133301D" w14:textId="1371A798" w:rsidR="007931CC" w:rsidRDefault="007931CC">
      <w:pPr>
        <w:pStyle w:val="TOC3"/>
        <w:rPr>
          <w:rFonts w:asciiTheme="minorHAnsi" w:eastAsiaTheme="minorEastAsia" w:hAnsiTheme="minorHAnsi" w:cstheme="minorBidi"/>
          <w:b w:val="0"/>
          <w:noProof/>
          <w:kern w:val="0"/>
          <w:szCs w:val="22"/>
        </w:rPr>
      </w:pPr>
      <w:r>
        <w:rPr>
          <w:noProof/>
        </w:rPr>
        <w:t>Division 4—AML/CTF responsibilities of governing bodies</w:t>
      </w:r>
      <w:r>
        <w:rPr>
          <w:noProof/>
        </w:rPr>
        <w:tab/>
      </w:r>
      <w:r>
        <w:rPr>
          <w:noProof/>
        </w:rPr>
        <w:fldChar w:fldCharType="begin"/>
      </w:r>
      <w:r>
        <w:rPr>
          <w:noProof/>
        </w:rPr>
        <w:instrText xml:space="preserve"> PAGEREF _Toc185415737 \h </w:instrText>
      </w:r>
      <w:r>
        <w:rPr>
          <w:noProof/>
        </w:rPr>
      </w:r>
      <w:r>
        <w:rPr>
          <w:noProof/>
        </w:rPr>
        <w:fldChar w:fldCharType="separate"/>
      </w:r>
      <w:r w:rsidR="00302DB2">
        <w:rPr>
          <w:noProof/>
        </w:rPr>
        <w:t>101</w:t>
      </w:r>
      <w:r>
        <w:rPr>
          <w:noProof/>
        </w:rPr>
        <w:fldChar w:fldCharType="end"/>
      </w:r>
    </w:p>
    <w:p w14:paraId="13C98A1A" w14:textId="00F5CC1B" w:rsidR="007931CC" w:rsidRDefault="007931CC">
      <w:pPr>
        <w:pStyle w:val="TOC5"/>
        <w:rPr>
          <w:rFonts w:asciiTheme="minorHAnsi" w:eastAsiaTheme="minorEastAsia" w:hAnsiTheme="minorHAnsi" w:cstheme="minorBidi"/>
          <w:noProof/>
          <w:kern w:val="0"/>
          <w:sz w:val="22"/>
          <w:szCs w:val="22"/>
        </w:rPr>
      </w:pPr>
      <w:r>
        <w:rPr>
          <w:noProof/>
        </w:rPr>
        <w:t>26H  AML/CTF responsibilities of governing bodies</w:t>
      </w:r>
      <w:r>
        <w:rPr>
          <w:noProof/>
        </w:rPr>
        <w:tab/>
      </w:r>
      <w:r>
        <w:rPr>
          <w:noProof/>
        </w:rPr>
        <w:fldChar w:fldCharType="begin"/>
      </w:r>
      <w:r>
        <w:rPr>
          <w:noProof/>
        </w:rPr>
        <w:instrText xml:space="preserve"> PAGEREF _Toc185415738 \h </w:instrText>
      </w:r>
      <w:r>
        <w:rPr>
          <w:noProof/>
        </w:rPr>
      </w:r>
      <w:r>
        <w:rPr>
          <w:noProof/>
        </w:rPr>
        <w:fldChar w:fldCharType="separate"/>
      </w:r>
      <w:r w:rsidR="00302DB2">
        <w:rPr>
          <w:noProof/>
        </w:rPr>
        <w:t>101</w:t>
      </w:r>
      <w:r>
        <w:rPr>
          <w:noProof/>
        </w:rPr>
        <w:fldChar w:fldCharType="end"/>
      </w:r>
    </w:p>
    <w:p w14:paraId="35C3B873" w14:textId="5ADDDD25" w:rsidR="007931CC" w:rsidRDefault="007931CC">
      <w:pPr>
        <w:pStyle w:val="TOC3"/>
        <w:rPr>
          <w:rFonts w:asciiTheme="minorHAnsi" w:eastAsiaTheme="minorEastAsia" w:hAnsiTheme="minorHAnsi" w:cstheme="minorBidi"/>
          <w:b w:val="0"/>
          <w:noProof/>
          <w:kern w:val="0"/>
          <w:szCs w:val="22"/>
        </w:rPr>
      </w:pPr>
      <w:r>
        <w:rPr>
          <w:noProof/>
        </w:rPr>
        <w:t>Division 5—AML/CTF compliance officers</w:t>
      </w:r>
      <w:r>
        <w:rPr>
          <w:noProof/>
        </w:rPr>
        <w:tab/>
      </w:r>
      <w:r>
        <w:rPr>
          <w:noProof/>
        </w:rPr>
        <w:fldChar w:fldCharType="begin"/>
      </w:r>
      <w:r>
        <w:rPr>
          <w:noProof/>
        </w:rPr>
        <w:instrText xml:space="preserve"> PAGEREF _Toc185415739 \h </w:instrText>
      </w:r>
      <w:r>
        <w:rPr>
          <w:noProof/>
        </w:rPr>
      </w:r>
      <w:r>
        <w:rPr>
          <w:noProof/>
        </w:rPr>
        <w:fldChar w:fldCharType="separate"/>
      </w:r>
      <w:r w:rsidR="00302DB2">
        <w:rPr>
          <w:noProof/>
        </w:rPr>
        <w:t>102</w:t>
      </w:r>
      <w:r>
        <w:rPr>
          <w:noProof/>
        </w:rPr>
        <w:fldChar w:fldCharType="end"/>
      </w:r>
    </w:p>
    <w:p w14:paraId="3087E5AD" w14:textId="36CEA769" w:rsidR="007931CC" w:rsidRDefault="007931CC">
      <w:pPr>
        <w:pStyle w:val="TOC5"/>
        <w:rPr>
          <w:rFonts w:asciiTheme="minorHAnsi" w:eastAsiaTheme="minorEastAsia" w:hAnsiTheme="minorHAnsi" w:cstheme="minorBidi"/>
          <w:noProof/>
          <w:kern w:val="0"/>
          <w:sz w:val="22"/>
          <w:szCs w:val="22"/>
        </w:rPr>
      </w:pPr>
      <w:r>
        <w:rPr>
          <w:noProof/>
        </w:rPr>
        <w:t>26J  Reporting entities must designate an individual as the AML/CTF compliance officer for the reporting entity</w:t>
      </w:r>
      <w:r>
        <w:rPr>
          <w:noProof/>
        </w:rPr>
        <w:tab/>
      </w:r>
      <w:r>
        <w:rPr>
          <w:noProof/>
        </w:rPr>
        <w:fldChar w:fldCharType="begin"/>
      </w:r>
      <w:r>
        <w:rPr>
          <w:noProof/>
        </w:rPr>
        <w:instrText xml:space="preserve"> PAGEREF _Toc185415740 \h </w:instrText>
      </w:r>
      <w:r>
        <w:rPr>
          <w:noProof/>
        </w:rPr>
      </w:r>
      <w:r>
        <w:rPr>
          <w:noProof/>
        </w:rPr>
        <w:fldChar w:fldCharType="separate"/>
      </w:r>
      <w:r w:rsidR="00302DB2">
        <w:rPr>
          <w:noProof/>
        </w:rPr>
        <w:t>102</w:t>
      </w:r>
      <w:r>
        <w:rPr>
          <w:noProof/>
        </w:rPr>
        <w:fldChar w:fldCharType="end"/>
      </w:r>
    </w:p>
    <w:p w14:paraId="6882E5C7" w14:textId="63D4A583" w:rsidR="007931CC" w:rsidRDefault="007931CC">
      <w:pPr>
        <w:pStyle w:val="TOC5"/>
        <w:rPr>
          <w:rFonts w:asciiTheme="minorHAnsi" w:eastAsiaTheme="minorEastAsia" w:hAnsiTheme="minorHAnsi" w:cstheme="minorBidi"/>
          <w:noProof/>
          <w:kern w:val="0"/>
          <w:sz w:val="22"/>
          <w:szCs w:val="22"/>
        </w:rPr>
      </w:pPr>
      <w:r>
        <w:rPr>
          <w:noProof/>
        </w:rPr>
        <w:t>26K  Reporting entities must have an AML/CTF compliance officer</w:t>
      </w:r>
      <w:r>
        <w:rPr>
          <w:noProof/>
        </w:rPr>
        <w:tab/>
      </w:r>
      <w:r>
        <w:rPr>
          <w:noProof/>
        </w:rPr>
        <w:fldChar w:fldCharType="begin"/>
      </w:r>
      <w:r>
        <w:rPr>
          <w:noProof/>
        </w:rPr>
        <w:instrText xml:space="preserve"> PAGEREF _Toc185415741 \h </w:instrText>
      </w:r>
      <w:r>
        <w:rPr>
          <w:noProof/>
        </w:rPr>
      </w:r>
      <w:r>
        <w:rPr>
          <w:noProof/>
        </w:rPr>
        <w:fldChar w:fldCharType="separate"/>
      </w:r>
      <w:r w:rsidR="00302DB2">
        <w:rPr>
          <w:noProof/>
        </w:rPr>
        <w:t>103</w:t>
      </w:r>
      <w:r>
        <w:rPr>
          <w:noProof/>
        </w:rPr>
        <w:fldChar w:fldCharType="end"/>
      </w:r>
    </w:p>
    <w:p w14:paraId="00B5EB86" w14:textId="45F4E6F9" w:rsidR="007931CC" w:rsidRDefault="007931CC">
      <w:pPr>
        <w:pStyle w:val="TOC5"/>
        <w:rPr>
          <w:rFonts w:asciiTheme="minorHAnsi" w:eastAsiaTheme="minorEastAsia" w:hAnsiTheme="minorHAnsi" w:cstheme="minorBidi"/>
          <w:noProof/>
          <w:kern w:val="0"/>
          <w:sz w:val="22"/>
          <w:szCs w:val="22"/>
        </w:rPr>
      </w:pPr>
      <w:r>
        <w:rPr>
          <w:noProof/>
        </w:rPr>
        <w:t>26L  AML/CTF compliance officer’s functions</w:t>
      </w:r>
      <w:r>
        <w:rPr>
          <w:noProof/>
        </w:rPr>
        <w:tab/>
      </w:r>
      <w:r>
        <w:rPr>
          <w:noProof/>
        </w:rPr>
        <w:fldChar w:fldCharType="begin"/>
      </w:r>
      <w:r>
        <w:rPr>
          <w:noProof/>
        </w:rPr>
        <w:instrText xml:space="preserve"> PAGEREF _Toc185415742 \h </w:instrText>
      </w:r>
      <w:r>
        <w:rPr>
          <w:noProof/>
        </w:rPr>
      </w:r>
      <w:r>
        <w:rPr>
          <w:noProof/>
        </w:rPr>
        <w:fldChar w:fldCharType="separate"/>
      </w:r>
      <w:r w:rsidR="00302DB2">
        <w:rPr>
          <w:noProof/>
        </w:rPr>
        <w:t>104</w:t>
      </w:r>
      <w:r>
        <w:rPr>
          <w:noProof/>
        </w:rPr>
        <w:fldChar w:fldCharType="end"/>
      </w:r>
    </w:p>
    <w:p w14:paraId="5E191A31" w14:textId="44CEFFD5" w:rsidR="007931CC" w:rsidRDefault="007931CC">
      <w:pPr>
        <w:pStyle w:val="TOC5"/>
        <w:rPr>
          <w:rFonts w:asciiTheme="minorHAnsi" w:eastAsiaTheme="minorEastAsia" w:hAnsiTheme="minorHAnsi" w:cstheme="minorBidi"/>
          <w:noProof/>
          <w:kern w:val="0"/>
          <w:sz w:val="22"/>
          <w:szCs w:val="22"/>
        </w:rPr>
      </w:pPr>
      <w:r>
        <w:rPr>
          <w:noProof/>
        </w:rPr>
        <w:t>26M  Reporting entities must notify AUSTRAC of entity’s AML/CTF compliance officer</w:t>
      </w:r>
      <w:r>
        <w:rPr>
          <w:noProof/>
        </w:rPr>
        <w:tab/>
      </w:r>
      <w:r>
        <w:rPr>
          <w:noProof/>
        </w:rPr>
        <w:fldChar w:fldCharType="begin"/>
      </w:r>
      <w:r>
        <w:rPr>
          <w:noProof/>
        </w:rPr>
        <w:instrText xml:space="preserve"> PAGEREF _Toc185415743 \h </w:instrText>
      </w:r>
      <w:r>
        <w:rPr>
          <w:noProof/>
        </w:rPr>
      </w:r>
      <w:r>
        <w:rPr>
          <w:noProof/>
        </w:rPr>
        <w:fldChar w:fldCharType="separate"/>
      </w:r>
      <w:r w:rsidR="00302DB2">
        <w:rPr>
          <w:noProof/>
        </w:rPr>
        <w:t>105</w:t>
      </w:r>
      <w:r>
        <w:rPr>
          <w:noProof/>
        </w:rPr>
        <w:fldChar w:fldCharType="end"/>
      </w:r>
    </w:p>
    <w:p w14:paraId="040EB195" w14:textId="3851CA2C" w:rsidR="007931CC" w:rsidRDefault="007931CC">
      <w:pPr>
        <w:pStyle w:val="TOC3"/>
        <w:rPr>
          <w:rFonts w:asciiTheme="minorHAnsi" w:eastAsiaTheme="minorEastAsia" w:hAnsiTheme="minorHAnsi" w:cstheme="minorBidi"/>
          <w:b w:val="0"/>
          <w:noProof/>
          <w:kern w:val="0"/>
          <w:szCs w:val="22"/>
        </w:rPr>
      </w:pPr>
      <w:r>
        <w:rPr>
          <w:noProof/>
        </w:rPr>
        <w:t>Division 6—AML/CTF program documentation and approvals</w:t>
      </w:r>
      <w:r>
        <w:rPr>
          <w:noProof/>
        </w:rPr>
        <w:tab/>
      </w:r>
      <w:r>
        <w:rPr>
          <w:noProof/>
        </w:rPr>
        <w:fldChar w:fldCharType="begin"/>
      </w:r>
      <w:r>
        <w:rPr>
          <w:noProof/>
        </w:rPr>
        <w:instrText xml:space="preserve"> PAGEREF _Toc185415744 \h </w:instrText>
      </w:r>
      <w:r>
        <w:rPr>
          <w:noProof/>
        </w:rPr>
      </w:r>
      <w:r>
        <w:rPr>
          <w:noProof/>
        </w:rPr>
        <w:fldChar w:fldCharType="separate"/>
      </w:r>
      <w:r w:rsidR="00302DB2">
        <w:rPr>
          <w:noProof/>
        </w:rPr>
        <w:t>106</w:t>
      </w:r>
      <w:r>
        <w:rPr>
          <w:noProof/>
        </w:rPr>
        <w:fldChar w:fldCharType="end"/>
      </w:r>
    </w:p>
    <w:p w14:paraId="42BF4FA9" w14:textId="24DA91A3" w:rsidR="007931CC" w:rsidRDefault="007931CC">
      <w:pPr>
        <w:pStyle w:val="TOC5"/>
        <w:rPr>
          <w:rFonts w:asciiTheme="minorHAnsi" w:eastAsiaTheme="minorEastAsia" w:hAnsiTheme="minorHAnsi" w:cstheme="minorBidi"/>
          <w:noProof/>
          <w:kern w:val="0"/>
          <w:sz w:val="22"/>
          <w:szCs w:val="22"/>
        </w:rPr>
      </w:pPr>
      <w:r>
        <w:rPr>
          <w:noProof/>
        </w:rPr>
        <w:t>26N  AML/CTF program documentation</w:t>
      </w:r>
      <w:r>
        <w:rPr>
          <w:noProof/>
        </w:rPr>
        <w:tab/>
      </w:r>
      <w:r>
        <w:rPr>
          <w:noProof/>
        </w:rPr>
        <w:fldChar w:fldCharType="begin"/>
      </w:r>
      <w:r>
        <w:rPr>
          <w:noProof/>
        </w:rPr>
        <w:instrText xml:space="preserve"> PAGEREF _Toc185415745 \h </w:instrText>
      </w:r>
      <w:r>
        <w:rPr>
          <w:noProof/>
        </w:rPr>
      </w:r>
      <w:r>
        <w:rPr>
          <w:noProof/>
        </w:rPr>
        <w:fldChar w:fldCharType="separate"/>
      </w:r>
      <w:r w:rsidR="00302DB2">
        <w:rPr>
          <w:noProof/>
        </w:rPr>
        <w:t>106</w:t>
      </w:r>
      <w:r>
        <w:rPr>
          <w:noProof/>
        </w:rPr>
        <w:fldChar w:fldCharType="end"/>
      </w:r>
    </w:p>
    <w:p w14:paraId="405FD884" w14:textId="778DFFA4" w:rsidR="007931CC" w:rsidRDefault="007931CC">
      <w:pPr>
        <w:pStyle w:val="TOC5"/>
        <w:rPr>
          <w:rFonts w:asciiTheme="minorHAnsi" w:eastAsiaTheme="minorEastAsia" w:hAnsiTheme="minorHAnsi" w:cstheme="minorBidi"/>
          <w:noProof/>
          <w:kern w:val="0"/>
          <w:sz w:val="22"/>
          <w:szCs w:val="22"/>
        </w:rPr>
      </w:pPr>
      <w:r>
        <w:rPr>
          <w:noProof/>
        </w:rPr>
        <w:t>26P  AML/CTF program approvals</w:t>
      </w:r>
      <w:r>
        <w:rPr>
          <w:noProof/>
        </w:rPr>
        <w:tab/>
      </w:r>
      <w:r>
        <w:rPr>
          <w:noProof/>
        </w:rPr>
        <w:fldChar w:fldCharType="begin"/>
      </w:r>
      <w:r>
        <w:rPr>
          <w:noProof/>
        </w:rPr>
        <w:instrText xml:space="preserve"> PAGEREF _Toc185415746 \h </w:instrText>
      </w:r>
      <w:r>
        <w:rPr>
          <w:noProof/>
        </w:rPr>
      </w:r>
      <w:r>
        <w:rPr>
          <w:noProof/>
        </w:rPr>
        <w:fldChar w:fldCharType="separate"/>
      </w:r>
      <w:r w:rsidR="00302DB2">
        <w:rPr>
          <w:noProof/>
        </w:rPr>
        <w:t>106</w:t>
      </w:r>
      <w:r>
        <w:rPr>
          <w:noProof/>
        </w:rPr>
        <w:fldChar w:fldCharType="end"/>
      </w:r>
    </w:p>
    <w:p w14:paraId="38021CCA" w14:textId="7E0D834D" w:rsidR="007931CC" w:rsidRDefault="007931CC">
      <w:pPr>
        <w:pStyle w:val="TOC5"/>
        <w:rPr>
          <w:rFonts w:asciiTheme="minorHAnsi" w:eastAsiaTheme="minorEastAsia" w:hAnsiTheme="minorHAnsi" w:cstheme="minorBidi"/>
          <w:noProof/>
          <w:kern w:val="0"/>
          <w:sz w:val="22"/>
          <w:szCs w:val="22"/>
        </w:rPr>
      </w:pPr>
      <w:r>
        <w:rPr>
          <w:noProof/>
        </w:rPr>
        <w:t>26Q  Requests for AML/CTF documentation</w:t>
      </w:r>
      <w:r>
        <w:rPr>
          <w:noProof/>
        </w:rPr>
        <w:tab/>
      </w:r>
      <w:r>
        <w:rPr>
          <w:noProof/>
        </w:rPr>
        <w:fldChar w:fldCharType="begin"/>
      </w:r>
      <w:r>
        <w:rPr>
          <w:noProof/>
        </w:rPr>
        <w:instrText xml:space="preserve"> PAGEREF _Toc185415747 \h </w:instrText>
      </w:r>
      <w:r>
        <w:rPr>
          <w:noProof/>
        </w:rPr>
      </w:r>
      <w:r>
        <w:rPr>
          <w:noProof/>
        </w:rPr>
        <w:fldChar w:fldCharType="separate"/>
      </w:r>
      <w:r w:rsidR="00302DB2">
        <w:rPr>
          <w:noProof/>
        </w:rPr>
        <w:t>107</w:t>
      </w:r>
      <w:r>
        <w:rPr>
          <w:noProof/>
        </w:rPr>
        <w:fldChar w:fldCharType="end"/>
      </w:r>
    </w:p>
    <w:p w14:paraId="44174D3F" w14:textId="4400CD5F" w:rsidR="007931CC" w:rsidRDefault="007931CC">
      <w:pPr>
        <w:pStyle w:val="TOC3"/>
        <w:rPr>
          <w:rFonts w:asciiTheme="minorHAnsi" w:eastAsiaTheme="minorEastAsia" w:hAnsiTheme="minorHAnsi" w:cstheme="minorBidi"/>
          <w:b w:val="0"/>
          <w:noProof/>
          <w:kern w:val="0"/>
          <w:szCs w:val="22"/>
        </w:rPr>
      </w:pPr>
      <w:r>
        <w:rPr>
          <w:noProof/>
        </w:rPr>
        <w:t>Division 7—Other matters</w:t>
      </w:r>
      <w:r>
        <w:rPr>
          <w:noProof/>
        </w:rPr>
        <w:tab/>
      </w:r>
      <w:r>
        <w:rPr>
          <w:noProof/>
        </w:rPr>
        <w:fldChar w:fldCharType="begin"/>
      </w:r>
      <w:r>
        <w:rPr>
          <w:noProof/>
        </w:rPr>
        <w:instrText xml:space="preserve"> PAGEREF _Toc185415748 \h </w:instrText>
      </w:r>
      <w:r>
        <w:rPr>
          <w:noProof/>
        </w:rPr>
      </w:r>
      <w:r>
        <w:rPr>
          <w:noProof/>
        </w:rPr>
        <w:fldChar w:fldCharType="separate"/>
      </w:r>
      <w:r w:rsidR="00302DB2">
        <w:rPr>
          <w:noProof/>
        </w:rPr>
        <w:t>108</w:t>
      </w:r>
      <w:r>
        <w:rPr>
          <w:noProof/>
        </w:rPr>
        <w:fldChar w:fldCharType="end"/>
      </w:r>
    </w:p>
    <w:p w14:paraId="4CFB37E3" w14:textId="68C1DAC5" w:rsidR="007931CC" w:rsidRDefault="007931CC">
      <w:pPr>
        <w:pStyle w:val="TOC5"/>
        <w:rPr>
          <w:rFonts w:asciiTheme="minorHAnsi" w:eastAsiaTheme="minorEastAsia" w:hAnsiTheme="minorHAnsi" w:cstheme="minorBidi"/>
          <w:noProof/>
          <w:kern w:val="0"/>
          <w:sz w:val="22"/>
          <w:szCs w:val="22"/>
        </w:rPr>
      </w:pPr>
      <w:r>
        <w:rPr>
          <w:noProof/>
        </w:rPr>
        <w:t>26R  AUSTRAC CEO may require reporting entity to undertake ML/TF risk assessment etc.</w:t>
      </w:r>
      <w:r>
        <w:rPr>
          <w:noProof/>
        </w:rPr>
        <w:tab/>
      </w:r>
      <w:r>
        <w:rPr>
          <w:noProof/>
        </w:rPr>
        <w:fldChar w:fldCharType="begin"/>
      </w:r>
      <w:r>
        <w:rPr>
          <w:noProof/>
        </w:rPr>
        <w:instrText xml:space="preserve"> PAGEREF _Toc185415749 \h </w:instrText>
      </w:r>
      <w:r>
        <w:rPr>
          <w:noProof/>
        </w:rPr>
      </w:r>
      <w:r>
        <w:rPr>
          <w:noProof/>
        </w:rPr>
        <w:fldChar w:fldCharType="separate"/>
      </w:r>
      <w:r w:rsidR="00302DB2">
        <w:rPr>
          <w:noProof/>
        </w:rPr>
        <w:t>108</w:t>
      </w:r>
      <w:r>
        <w:rPr>
          <w:noProof/>
        </w:rPr>
        <w:fldChar w:fldCharType="end"/>
      </w:r>
    </w:p>
    <w:p w14:paraId="5C9BDCAD" w14:textId="4AB23292" w:rsidR="007931CC" w:rsidRDefault="007931CC">
      <w:pPr>
        <w:pStyle w:val="TOC5"/>
        <w:rPr>
          <w:rFonts w:asciiTheme="minorHAnsi" w:eastAsiaTheme="minorEastAsia" w:hAnsiTheme="minorHAnsi" w:cstheme="minorBidi"/>
          <w:noProof/>
          <w:kern w:val="0"/>
          <w:sz w:val="22"/>
          <w:szCs w:val="22"/>
        </w:rPr>
      </w:pPr>
      <w:r>
        <w:rPr>
          <w:noProof/>
        </w:rPr>
        <w:t>26S  Registered remittance affiliates of a registered remittance network provider</w:t>
      </w:r>
      <w:r>
        <w:rPr>
          <w:noProof/>
        </w:rPr>
        <w:tab/>
      </w:r>
      <w:r>
        <w:rPr>
          <w:noProof/>
        </w:rPr>
        <w:fldChar w:fldCharType="begin"/>
      </w:r>
      <w:r>
        <w:rPr>
          <w:noProof/>
        </w:rPr>
        <w:instrText xml:space="preserve"> PAGEREF _Toc185415750 \h </w:instrText>
      </w:r>
      <w:r>
        <w:rPr>
          <w:noProof/>
        </w:rPr>
      </w:r>
      <w:r>
        <w:rPr>
          <w:noProof/>
        </w:rPr>
        <w:fldChar w:fldCharType="separate"/>
      </w:r>
      <w:r w:rsidR="00302DB2">
        <w:rPr>
          <w:noProof/>
        </w:rPr>
        <w:t>109</w:t>
      </w:r>
      <w:r>
        <w:rPr>
          <w:noProof/>
        </w:rPr>
        <w:fldChar w:fldCharType="end"/>
      </w:r>
    </w:p>
    <w:p w14:paraId="626DB130" w14:textId="205567C2" w:rsidR="007931CC" w:rsidRDefault="007931CC">
      <w:pPr>
        <w:pStyle w:val="TOC5"/>
        <w:rPr>
          <w:rFonts w:asciiTheme="minorHAnsi" w:eastAsiaTheme="minorEastAsia" w:hAnsiTheme="minorHAnsi" w:cstheme="minorBidi"/>
          <w:noProof/>
          <w:kern w:val="0"/>
          <w:sz w:val="22"/>
          <w:szCs w:val="22"/>
        </w:rPr>
      </w:pPr>
      <w:r>
        <w:rPr>
          <w:noProof/>
        </w:rPr>
        <w:t>26T  Application of Part to holders of Australian financial services licences</w:t>
      </w:r>
      <w:r>
        <w:rPr>
          <w:noProof/>
        </w:rPr>
        <w:tab/>
      </w:r>
      <w:r>
        <w:rPr>
          <w:noProof/>
        </w:rPr>
        <w:fldChar w:fldCharType="begin"/>
      </w:r>
      <w:r>
        <w:rPr>
          <w:noProof/>
        </w:rPr>
        <w:instrText xml:space="preserve"> PAGEREF _Toc185415751 \h </w:instrText>
      </w:r>
      <w:r>
        <w:rPr>
          <w:noProof/>
        </w:rPr>
      </w:r>
      <w:r>
        <w:rPr>
          <w:noProof/>
        </w:rPr>
        <w:fldChar w:fldCharType="separate"/>
      </w:r>
      <w:r w:rsidR="00302DB2">
        <w:rPr>
          <w:noProof/>
        </w:rPr>
        <w:t>110</w:t>
      </w:r>
      <w:r>
        <w:rPr>
          <w:noProof/>
        </w:rPr>
        <w:fldChar w:fldCharType="end"/>
      </w:r>
    </w:p>
    <w:p w14:paraId="25335E33" w14:textId="790D6BC5" w:rsidR="007931CC" w:rsidRDefault="007931CC">
      <w:pPr>
        <w:pStyle w:val="TOC5"/>
        <w:rPr>
          <w:rFonts w:asciiTheme="minorHAnsi" w:eastAsiaTheme="minorEastAsia" w:hAnsiTheme="minorHAnsi" w:cstheme="minorBidi"/>
          <w:noProof/>
          <w:kern w:val="0"/>
          <w:sz w:val="22"/>
          <w:szCs w:val="22"/>
        </w:rPr>
      </w:pPr>
      <w:r>
        <w:rPr>
          <w:noProof/>
        </w:rPr>
        <w:t>26U  Business of a lead entity of a reporting group</w:t>
      </w:r>
      <w:r>
        <w:rPr>
          <w:noProof/>
        </w:rPr>
        <w:tab/>
      </w:r>
      <w:r>
        <w:rPr>
          <w:noProof/>
        </w:rPr>
        <w:fldChar w:fldCharType="begin"/>
      </w:r>
      <w:r>
        <w:rPr>
          <w:noProof/>
        </w:rPr>
        <w:instrText xml:space="preserve"> PAGEREF _Toc185415752 \h </w:instrText>
      </w:r>
      <w:r>
        <w:rPr>
          <w:noProof/>
        </w:rPr>
      </w:r>
      <w:r>
        <w:rPr>
          <w:noProof/>
        </w:rPr>
        <w:fldChar w:fldCharType="separate"/>
      </w:r>
      <w:r w:rsidR="00302DB2">
        <w:rPr>
          <w:noProof/>
        </w:rPr>
        <w:t>110</w:t>
      </w:r>
      <w:r>
        <w:rPr>
          <w:noProof/>
        </w:rPr>
        <w:fldChar w:fldCharType="end"/>
      </w:r>
    </w:p>
    <w:p w14:paraId="3EB18340" w14:textId="11C02CDE" w:rsidR="007931CC" w:rsidRDefault="007931CC">
      <w:pPr>
        <w:pStyle w:val="TOC5"/>
        <w:rPr>
          <w:rFonts w:asciiTheme="minorHAnsi" w:eastAsiaTheme="minorEastAsia" w:hAnsiTheme="minorHAnsi" w:cstheme="minorBidi"/>
          <w:noProof/>
          <w:kern w:val="0"/>
          <w:sz w:val="22"/>
          <w:szCs w:val="22"/>
        </w:rPr>
      </w:pPr>
      <w:r>
        <w:rPr>
          <w:noProof/>
        </w:rPr>
        <w:t>26V  General exemptions</w:t>
      </w:r>
      <w:r>
        <w:rPr>
          <w:noProof/>
        </w:rPr>
        <w:tab/>
      </w:r>
      <w:r>
        <w:rPr>
          <w:noProof/>
        </w:rPr>
        <w:fldChar w:fldCharType="begin"/>
      </w:r>
      <w:r>
        <w:rPr>
          <w:noProof/>
        </w:rPr>
        <w:instrText xml:space="preserve"> PAGEREF _Toc185415753 \h </w:instrText>
      </w:r>
      <w:r>
        <w:rPr>
          <w:noProof/>
        </w:rPr>
      </w:r>
      <w:r>
        <w:rPr>
          <w:noProof/>
        </w:rPr>
        <w:fldChar w:fldCharType="separate"/>
      </w:r>
      <w:r w:rsidR="00302DB2">
        <w:rPr>
          <w:noProof/>
        </w:rPr>
        <w:t>111</w:t>
      </w:r>
      <w:r>
        <w:rPr>
          <w:noProof/>
        </w:rPr>
        <w:fldChar w:fldCharType="end"/>
      </w:r>
    </w:p>
    <w:p w14:paraId="3B04F4FC" w14:textId="7496C2E7" w:rsidR="007931CC" w:rsidRDefault="007931CC">
      <w:pPr>
        <w:pStyle w:val="TOC2"/>
        <w:rPr>
          <w:rFonts w:asciiTheme="minorHAnsi" w:eastAsiaTheme="minorEastAsia" w:hAnsiTheme="minorHAnsi" w:cstheme="minorBidi"/>
          <w:b w:val="0"/>
          <w:noProof/>
          <w:kern w:val="0"/>
          <w:sz w:val="22"/>
          <w:szCs w:val="22"/>
        </w:rPr>
      </w:pPr>
      <w:r>
        <w:rPr>
          <w:noProof/>
        </w:rPr>
        <w:t>Part 2—Customer due diligence</w:t>
      </w:r>
      <w:r>
        <w:rPr>
          <w:noProof/>
        </w:rPr>
        <w:tab/>
      </w:r>
      <w:r>
        <w:rPr>
          <w:noProof/>
        </w:rPr>
        <w:fldChar w:fldCharType="begin"/>
      </w:r>
      <w:r>
        <w:rPr>
          <w:noProof/>
        </w:rPr>
        <w:instrText xml:space="preserve"> PAGEREF _Toc185415754 \h </w:instrText>
      </w:r>
      <w:r>
        <w:rPr>
          <w:noProof/>
        </w:rPr>
      </w:r>
      <w:r>
        <w:rPr>
          <w:noProof/>
        </w:rPr>
        <w:fldChar w:fldCharType="separate"/>
      </w:r>
      <w:r w:rsidR="00302DB2">
        <w:rPr>
          <w:noProof/>
        </w:rPr>
        <w:t>112</w:t>
      </w:r>
      <w:r>
        <w:rPr>
          <w:noProof/>
        </w:rPr>
        <w:fldChar w:fldCharType="end"/>
      </w:r>
    </w:p>
    <w:p w14:paraId="48372D01" w14:textId="20F19FE1"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_Toc185415755 \h </w:instrText>
      </w:r>
      <w:r>
        <w:rPr>
          <w:noProof/>
        </w:rPr>
      </w:r>
      <w:r>
        <w:rPr>
          <w:noProof/>
        </w:rPr>
        <w:fldChar w:fldCharType="separate"/>
      </w:r>
      <w:r w:rsidR="00302DB2">
        <w:rPr>
          <w:noProof/>
        </w:rPr>
        <w:t>112</w:t>
      </w:r>
      <w:r>
        <w:rPr>
          <w:noProof/>
        </w:rPr>
        <w:fldChar w:fldCharType="end"/>
      </w:r>
    </w:p>
    <w:p w14:paraId="07C667D1" w14:textId="4045E1A5" w:rsidR="007931CC" w:rsidRDefault="007931CC">
      <w:pPr>
        <w:pStyle w:val="TOC5"/>
        <w:rPr>
          <w:rFonts w:asciiTheme="minorHAnsi" w:eastAsiaTheme="minorEastAsia" w:hAnsiTheme="minorHAnsi" w:cstheme="minorBidi"/>
          <w:noProof/>
          <w:kern w:val="0"/>
          <w:sz w:val="22"/>
          <w:szCs w:val="22"/>
        </w:rPr>
      </w:pPr>
      <w:r>
        <w:rPr>
          <w:noProof/>
        </w:rPr>
        <w:t>27  Simplified outline</w:t>
      </w:r>
      <w:r>
        <w:rPr>
          <w:noProof/>
        </w:rPr>
        <w:tab/>
      </w:r>
      <w:r>
        <w:rPr>
          <w:noProof/>
        </w:rPr>
        <w:fldChar w:fldCharType="begin"/>
      </w:r>
      <w:r>
        <w:rPr>
          <w:noProof/>
        </w:rPr>
        <w:instrText xml:space="preserve"> PAGEREF _Toc185415756 \h </w:instrText>
      </w:r>
      <w:r>
        <w:rPr>
          <w:noProof/>
        </w:rPr>
      </w:r>
      <w:r>
        <w:rPr>
          <w:noProof/>
        </w:rPr>
        <w:fldChar w:fldCharType="separate"/>
      </w:r>
      <w:r w:rsidR="00302DB2">
        <w:rPr>
          <w:noProof/>
        </w:rPr>
        <w:t>112</w:t>
      </w:r>
      <w:r>
        <w:rPr>
          <w:noProof/>
        </w:rPr>
        <w:fldChar w:fldCharType="end"/>
      </w:r>
    </w:p>
    <w:p w14:paraId="61897858" w14:textId="76A9B0D4" w:rsidR="007931CC" w:rsidRDefault="007931CC">
      <w:pPr>
        <w:pStyle w:val="TOC3"/>
        <w:rPr>
          <w:rFonts w:asciiTheme="minorHAnsi" w:eastAsiaTheme="minorEastAsia" w:hAnsiTheme="minorHAnsi" w:cstheme="minorBidi"/>
          <w:b w:val="0"/>
          <w:noProof/>
          <w:kern w:val="0"/>
          <w:szCs w:val="22"/>
        </w:rPr>
      </w:pPr>
      <w:r>
        <w:rPr>
          <w:noProof/>
        </w:rPr>
        <w:t>Division 2—Initial customer due diligence</w:t>
      </w:r>
      <w:r>
        <w:rPr>
          <w:noProof/>
        </w:rPr>
        <w:tab/>
      </w:r>
      <w:r>
        <w:rPr>
          <w:noProof/>
        </w:rPr>
        <w:fldChar w:fldCharType="begin"/>
      </w:r>
      <w:r>
        <w:rPr>
          <w:noProof/>
        </w:rPr>
        <w:instrText xml:space="preserve"> PAGEREF _Toc185415757 \h </w:instrText>
      </w:r>
      <w:r>
        <w:rPr>
          <w:noProof/>
        </w:rPr>
      </w:r>
      <w:r>
        <w:rPr>
          <w:noProof/>
        </w:rPr>
        <w:fldChar w:fldCharType="separate"/>
      </w:r>
      <w:r w:rsidR="00302DB2">
        <w:rPr>
          <w:noProof/>
        </w:rPr>
        <w:t>113</w:t>
      </w:r>
      <w:r>
        <w:rPr>
          <w:noProof/>
        </w:rPr>
        <w:fldChar w:fldCharType="end"/>
      </w:r>
    </w:p>
    <w:p w14:paraId="71DAA361" w14:textId="5FEA8C4C" w:rsidR="007931CC" w:rsidRDefault="007931CC">
      <w:pPr>
        <w:pStyle w:val="TOC5"/>
        <w:rPr>
          <w:rFonts w:asciiTheme="minorHAnsi" w:eastAsiaTheme="minorEastAsia" w:hAnsiTheme="minorHAnsi" w:cstheme="minorBidi"/>
          <w:noProof/>
          <w:kern w:val="0"/>
          <w:sz w:val="22"/>
          <w:szCs w:val="22"/>
        </w:rPr>
      </w:pPr>
      <w:r>
        <w:rPr>
          <w:noProof/>
        </w:rPr>
        <w:t>28  Undertaking initial customer due diligence</w:t>
      </w:r>
      <w:r>
        <w:rPr>
          <w:noProof/>
        </w:rPr>
        <w:tab/>
      </w:r>
      <w:r>
        <w:rPr>
          <w:noProof/>
        </w:rPr>
        <w:fldChar w:fldCharType="begin"/>
      </w:r>
      <w:r>
        <w:rPr>
          <w:noProof/>
        </w:rPr>
        <w:instrText xml:space="preserve"> PAGEREF _Toc185415758 \h </w:instrText>
      </w:r>
      <w:r>
        <w:rPr>
          <w:noProof/>
        </w:rPr>
      </w:r>
      <w:r>
        <w:rPr>
          <w:noProof/>
        </w:rPr>
        <w:fldChar w:fldCharType="separate"/>
      </w:r>
      <w:r w:rsidR="00302DB2">
        <w:rPr>
          <w:noProof/>
        </w:rPr>
        <w:t>113</w:t>
      </w:r>
      <w:r>
        <w:rPr>
          <w:noProof/>
        </w:rPr>
        <w:fldChar w:fldCharType="end"/>
      </w:r>
    </w:p>
    <w:p w14:paraId="6BBAB127" w14:textId="7D048E54" w:rsidR="007931CC" w:rsidRDefault="007931CC">
      <w:pPr>
        <w:pStyle w:val="TOC5"/>
        <w:rPr>
          <w:rFonts w:asciiTheme="minorHAnsi" w:eastAsiaTheme="minorEastAsia" w:hAnsiTheme="minorHAnsi" w:cstheme="minorBidi"/>
          <w:noProof/>
          <w:kern w:val="0"/>
          <w:sz w:val="22"/>
          <w:szCs w:val="22"/>
        </w:rPr>
      </w:pPr>
      <w:r>
        <w:rPr>
          <w:noProof/>
        </w:rPr>
        <w:t>29  Exemptions from initial customer due diligence</w:t>
      </w:r>
      <w:r>
        <w:rPr>
          <w:noProof/>
        </w:rPr>
        <w:tab/>
      </w:r>
      <w:r>
        <w:rPr>
          <w:noProof/>
        </w:rPr>
        <w:fldChar w:fldCharType="begin"/>
      </w:r>
      <w:r>
        <w:rPr>
          <w:noProof/>
        </w:rPr>
        <w:instrText xml:space="preserve"> PAGEREF _Toc185415759 \h </w:instrText>
      </w:r>
      <w:r>
        <w:rPr>
          <w:noProof/>
        </w:rPr>
      </w:r>
      <w:r>
        <w:rPr>
          <w:noProof/>
        </w:rPr>
        <w:fldChar w:fldCharType="separate"/>
      </w:r>
      <w:r w:rsidR="00302DB2">
        <w:rPr>
          <w:noProof/>
        </w:rPr>
        <w:t>115</w:t>
      </w:r>
      <w:r>
        <w:rPr>
          <w:noProof/>
        </w:rPr>
        <w:fldChar w:fldCharType="end"/>
      </w:r>
    </w:p>
    <w:p w14:paraId="742B1B2D" w14:textId="3563D490" w:rsidR="007931CC" w:rsidRDefault="007931CC">
      <w:pPr>
        <w:pStyle w:val="TOC3"/>
        <w:rPr>
          <w:rFonts w:asciiTheme="minorHAnsi" w:eastAsiaTheme="minorEastAsia" w:hAnsiTheme="minorHAnsi" w:cstheme="minorBidi"/>
          <w:b w:val="0"/>
          <w:noProof/>
          <w:kern w:val="0"/>
          <w:szCs w:val="22"/>
        </w:rPr>
      </w:pPr>
      <w:r>
        <w:rPr>
          <w:noProof/>
        </w:rPr>
        <w:t>Division 3—Ongoing customer due diligence</w:t>
      </w:r>
      <w:r>
        <w:rPr>
          <w:noProof/>
        </w:rPr>
        <w:tab/>
      </w:r>
      <w:r>
        <w:rPr>
          <w:noProof/>
        </w:rPr>
        <w:fldChar w:fldCharType="begin"/>
      </w:r>
      <w:r>
        <w:rPr>
          <w:noProof/>
        </w:rPr>
        <w:instrText xml:space="preserve"> PAGEREF _Toc185415760 \h </w:instrText>
      </w:r>
      <w:r>
        <w:rPr>
          <w:noProof/>
        </w:rPr>
      </w:r>
      <w:r>
        <w:rPr>
          <w:noProof/>
        </w:rPr>
        <w:fldChar w:fldCharType="separate"/>
      </w:r>
      <w:r w:rsidR="00302DB2">
        <w:rPr>
          <w:noProof/>
        </w:rPr>
        <w:t>117</w:t>
      </w:r>
      <w:r>
        <w:rPr>
          <w:noProof/>
        </w:rPr>
        <w:fldChar w:fldCharType="end"/>
      </w:r>
    </w:p>
    <w:p w14:paraId="34BE90D9" w14:textId="5BBA4BC4" w:rsidR="007931CC" w:rsidRDefault="007931CC">
      <w:pPr>
        <w:pStyle w:val="TOC5"/>
        <w:rPr>
          <w:rFonts w:asciiTheme="minorHAnsi" w:eastAsiaTheme="minorEastAsia" w:hAnsiTheme="minorHAnsi" w:cstheme="minorBidi"/>
          <w:noProof/>
          <w:kern w:val="0"/>
          <w:sz w:val="22"/>
          <w:szCs w:val="22"/>
        </w:rPr>
      </w:pPr>
      <w:r>
        <w:rPr>
          <w:noProof/>
        </w:rPr>
        <w:lastRenderedPageBreak/>
        <w:t>30  Undertaking ongoing customer due diligence</w:t>
      </w:r>
      <w:r>
        <w:rPr>
          <w:noProof/>
        </w:rPr>
        <w:tab/>
      </w:r>
      <w:r>
        <w:rPr>
          <w:noProof/>
        </w:rPr>
        <w:fldChar w:fldCharType="begin"/>
      </w:r>
      <w:r>
        <w:rPr>
          <w:noProof/>
        </w:rPr>
        <w:instrText xml:space="preserve"> PAGEREF _Toc185415761 \h </w:instrText>
      </w:r>
      <w:r>
        <w:rPr>
          <w:noProof/>
        </w:rPr>
      </w:r>
      <w:r>
        <w:rPr>
          <w:noProof/>
        </w:rPr>
        <w:fldChar w:fldCharType="separate"/>
      </w:r>
      <w:r w:rsidR="00302DB2">
        <w:rPr>
          <w:noProof/>
        </w:rPr>
        <w:t>117</w:t>
      </w:r>
      <w:r>
        <w:rPr>
          <w:noProof/>
        </w:rPr>
        <w:fldChar w:fldCharType="end"/>
      </w:r>
    </w:p>
    <w:p w14:paraId="0DC7A648" w14:textId="40B2F8DA" w:rsidR="007931CC" w:rsidRDefault="007931CC">
      <w:pPr>
        <w:pStyle w:val="TOC3"/>
        <w:rPr>
          <w:rFonts w:asciiTheme="minorHAnsi" w:eastAsiaTheme="minorEastAsia" w:hAnsiTheme="minorHAnsi" w:cstheme="minorBidi"/>
          <w:b w:val="0"/>
          <w:noProof/>
          <w:kern w:val="0"/>
          <w:szCs w:val="22"/>
        </w:rPr>
      </w:pPr>
      <w:r>
        <w:rPr>
          <w:noProof/>
        </w:rPr>
        <w:t>Division 4—Simplified and enhanced customer due diligence</w:t>
      </w:r>
      <w:r>
        <w:rPr>
          <w:noProof/>
        </w:rPr>
        <w:tab/>
      </w:r>
      <w:r>
        <w:rPr>
          <w:noProof/>
        </w:rPr>
        <w:fldChar w:fldCharType="begin"/>
      </w:r>
      <w:r>
        <w:rPr>
          <w:noProof/>
        </w:rPr>
        <w:instrText xml:space="preserve"> PAGEREF _Toc185415762 \h </w:instrText>
      </w:r>
      <w:r>
        <w:rPr>
          <w:noProof/>
        </w:rPr>
      </w:r>
      <w:r>
        <w:rPr>
          <w:noProof/>
        </w:rPr>
        <w:fldChar w:fldCharType="separate"/>
      </w:r>
      <w:r w:rsidR="00302DB2">
        <w:rPr>
          <w:noProof/>
        </w:rPr>
        <w:t>121</w:t>
      </w:r>
      <w:r>
        <w:rPr>
          <w:noProof/>
        </w:rPr>
        <w:fldChar w:fldCharType="end"/>
      </w:r>
    </w:p>
    <w:p w14:paraId="3F42DCA4" w14:textId="2FBBED6B" w:rsidR="007931CC" w:rsidRDefault="007931CC">
      <w:pPr>
        <w:pStyle w:val="TOC5"/>
        <w:rPr>
          <w:rFonts w:asciiTheme="minorHAnsi" w:eastAsiaTheme="minorEastAsia" w:hAnsiTheme="minorHAnsi" w:cstheme="minorBidi"/>
          <w:noProof/>
          <w:kern w:val="0"/>
          <w:sz w:val="22"/>
          <w:szCs w:val="22"/>
        </w:rPr>
      </w:pPr>
      <w:r>
        <w:rPr>
          <w:noProof/>
        </w:rPr>
        <w:t>31  Simplified customer due diligence</w:t>
      </w:r>
      <w:r>
        <w:rPr>
          <w:noProof/>
        </w:rPr>
        <w:tab/>
      </w:r>
      <w:r>
        <w:rPr>
          <w:noProof/>
        </w:rPr>
        <w:fldChar w:fldCharType="begin"/>
      </w:r>
      <w:r>
        <w:rPr>
          <w:noProof/>
        </w:rPr>
        <w:instrText xml:space="preserve"> PAGEREF _Toc185415763 \h </w:instrText>
      </w:r>
      <w:r>
        <w:rPr>
          <w:noProof/>
        </w:rPr>
      </w:r>
      <w:r>
        <w:rPr>
          <w:noProof/>
        </w:rPr>
        <w:fldChar w:fldCharType="separate"/>
      </w:r>
      <w:r w:rsidR="00302DB2">
        <w:rPr>
          <w:noProof/>
        </w:rPr>
        <w:t>121</w:t>
      </w:r>
      <w:r>
        <w:rPr>
          <w:noProof/>
        </w:rPr>
        <w:fldChar w:fldCharType="end"/>
      </w:r>
    </w:p>
    <w:p w14:paraId="03175A2C" w14:textId="4A959CD5" w:rsidR="007931CC" w:rsidRDefault="007931CC">
      <w:pPr>
        <w:pStyle w:val="TOC5"/>
        <w:rPr>
          <w:rFonts w:asciiTheme="minorHAnsi" w:eastAsiaTheme="minorEastAsia" w:hAnsiTheme="minorHAnsi" w:cstheme="minorBidi"/>
          <w:noProof/>
          <w:kern w:val="0"/>
          <w:sz w:val="22"/>
          <w:szCs w:val="22"/>
        </w:rPr>
      </w:pPr>
      <w:r>
        <w:rPr>
          <w:noProof/>
        </w:rPr>
        <w:t>32  Enhanced customer due diligence obligation</w:t>
      </w:r>
      <w:r>
        <w:rPr>
          <w:noProof/>
        </w:rPr>
        <w:tab/>
      </w:r>
      <w:r>
        <w:rPr>
          <w:noProof/>
        </w:rPr>
        <w:fldChar w:fldCharType="begin"/>
      </w:r>
      <w:r>
        <w:rPr>
          <w:noProof/>
        </w:rPr>
        <w:instrText xml:space="preserve"> PAGEREF _Toc185415764 \h </w:instrText>
      </w:r>
      <w:r>
        <w:rPr>
          <w:noProof/>
        </w:rPr>
      </w:r>
      <w:r>
        <w:rPr>
          <w:noProof/>
        </w:rPr>
        <w:fldChar w:fldCharType="separate"/>
      </w:r>
      <w:r w:rsidR="00302DB2">
        <w:rPr>
          <w:noProof/>
        </w:rPr>
        <w:t>121</w:t>
      </w:r>
      <w:r>
        <w:rPr>
          <w:noProof/>
        </w:rPr>
        <w:fldChar w:fldCharType="end"/>
      </w:r>
    </w:p>
    <w:p w14:paraId="31EAEE40" w14:textId="059975C6" w:rsidR="007931CC" w:rsidRDefault="007931CC">
      <w:pPr>
        <w:pStyle w:val="TOC3"/>
        <w:rPr>
          <w:rFonts w:asciiTheme="minorHAnsi" w:eastAsiaTheme="minorEastAsia" w:hAnsiTheme="minorHAnsi" w:cstheme="minorBidi"/>
          <w:b w:val="0"/>
          <w:noProof/>
          <w:kern w:val="0"/>
          <w:szCs w:val="22"/>
        </w:rPr>
      </w:pPr>
      <w:r>
        <w:rPr>
          <w:noProof/>
        </w:rPr>
        <w:t>Division 5A—Use and disclosure of personal information for the purposes of verifying an individual’s identity</w:t>
      </w:r>
      <w:r>
        <w:rPr>
          <w:noProof/>
        </w:rPr>
        <w:tab/>
      </w:r>
      <w:r>
        <w:rPr>
          <w:noProof/>
        </w:rPr>
        <w:fldChar w:fldCharType="begin"/>
      </w:r>
      <w:r>
        <w:rPr>
          <w:noProof/>
        </w:rPr>
        <w:instrText xml:space="preserve"> PAGEREF _Toc185415765 \h </w:instrText>
      </w:r>
      <w:r>
        <w:rPr>
          <w:noProof/>
        </w:rPr>
      </w:r>
      <w:r>
        <w:rPr>
          <w:noProof/>
        </w:rPr>
        <w:fldChar w:fldCharType="separate"/>
      </w:r>
      <w:r w:rsidR="00302DB2">
        <w:rPr>
          <w:noProof/>
        </w:rPr>
        <w:t>123</w:t>
      </w:r>
      <w:r>
        <w:rPr>
          <w:noProof/>
        </w:rPr>
        <w:fldChar w:fldCharType="end"/>
      </w:r>
    </w:p>
    <w:p w14:paraId="1CC2E3CC" w14:textId="3CF7C44B" w:rsidR="007931CC" w:rsidRDefault="007931CC">
      <w:pPr>
        <w:pStyle w:val="TOC5"/>
        <w:rPr>
          <w:rFonts w:asciiTheme="minorHAnsi" w:eastAsiaTheme="minorEastAsia" w:hAnsiTheme="minorHAnsi" w:cstheme="minorBidi"/>
          <w:noProof/>
          <w:kern w:val="0"/>
          <w:sz w:val="22"/>
          <w:szCs w:val="22"/>
        </w:rPr>
      </w:pPr>
      <w:r>
        <w:rPr>
          <w:noProof/>
        </w:rPr>
        <w:t>35A  Reporting entities may disclose certain personal information to credit reporting bodies for identity verification purposes</w:t>
      </w:r>
      <w:r>
        <w:rPr>
          <w:noProof/>
        </w:rPr>
        <w:tab/>
      </w:r>
      <w:r>
        <w:rPr>
          <w:noProof/>
        </w:rPr>
        <w:fldChar w:fldCharType="begin"/>
      </w:r>
      <w:r>
        <w:rPr>
          <w:noProof/>
        </w:rPr>
        <w:instrText xml:space="preserve"> PAGEREF _Toc185415766 \h </w:instrText>
      </w:r>
      <w:r>
        <w:rPr>
          <w:noProof/>
        </w:rPr>
      </w:r>
      <w:r>
        <w:rPr>
          <w:noProof/>
        </w:rPr>
        <w:fldChar w:fldCharType="separate"/>
      </w:r>
      <w:r w:rsidR="00302DB2">
        <w:rPr>
          <w:noProof/>
        </w:rPr>
        <w:t>123</w:t>
      </w:r>
      <w:r>
        <w:rPr>
          <w:noProof/>
        </w:rPr>
        <w:fldChar w:fldCharType="end"/>
      </w:r>
    </w:p>
    <w:p w14:paraId="7BA9CBB8" w14:textId="0C26E04A" w:rsidR="007931CC" w:rsidRDefault="007931CC">
      <w:pPr>
        <w:pStyle w:val="TOC5"/>
        <w:rPr>
          <w:rFonts w:asciiTheme="minorHAnsi" w:eastAsiaTheme="minorEastAsia" w:hAnsiTheme="minorHAnsi" w:cstheme="minorBidi"/>
          <w:noProof/>
          <w:kern w:val="0"/>
          <w:sz w:val="22"/>
          <w:szCs w:val="22"/>
        </w:rPr>
      </w:pPr>
      <w:r>
        <w:rPr>
          <w:noProof/>
        </w:rPr>
        <w:t>35B  Credit reporting bodies may use and disclose certain personal information for identity verification purposes</w:t>
      </w:r>
      <w:r>
        <w:rPr>
          <w:noProof/>
        </w:rPr>
        <w:tab/>
      </w:r>
      <w:r>
        <w:rPr>
          <w:noProof/>
        </w:rPr>
        <w:fldChar w:fldCharType="begin"/>
      </w:r>
      <w:r>
        <w:rPr>
          <w:noProof/>
        </w:rPr>
        <w:instrText xml:space="preserve"> PAGEREF _Toc185415767 \h </w:instrText>
      </w:r>
      <w:r>
        <w:rPr>
          <w:noProof/>
        </w:rPr>
      </w:r>
      <w:r>
        <w:rPr>
          <w:noProof/>
        </w:rPr>
        <w:fldChar w:fldCharType="separate"/>
      </w:r>
      <w:r w:rsidR="00302DB2">
        <w:rPr>
          <w:noProof/>
        </w:rPr>
        <w:t>124</w:t>
      </w:r>
      <w:r>
        <w:rPr>
          <w:noProof/>
        </w:rPr>
        <w:fldChar w:fldCharType="end"/>
      </w:r>
    </w:p>
    <w:p w14:paraId="3BF93E0A" w14:textId="589B1D5A" w:rsidR="007931CC" w:rsidRDefault="007931CC">
      <w:pPr>
        <w:pStyle w:val="TOC5"/>
        <w:rPr>
          <w:rFonts w:asciiTheme="minorHAnsi" w:eastAsiaTheme="minorEastAsia" w:hAnsiTheme="minorHAnsi" w:cstheme="minorBidi"/>
          <w:noProof/>
          <w:kern w:val="0"/>
          <w:sz w:val="22"/>
          <w:szCs w:val="22"/>
        </w:rPr>
      </w:pPr>
      <w:r>
        <w:rPr>
          <w:noProof/>
        </w:rPr>
        <w:t>35C  Reporting entities to notify inability to verify identity</w:t>
      </w:r>
      <w:r>
        <w:rPr>
          <w:noProof/>
        </w:rPr>
        <w:tab/>
      </w:r>
      <w:r>
        <w:rPr>
          <w:noProof/>
        </w:rPr>
        <w:fldChar w:fldCharType="begin"/>
      </w:r>
      <w:r>
        <w:rPr>
          <w:noProof/>
        </w:rPr>
        <w:instrText xml:space="preserve"> PAGEREF _Toc185415768 \h </w:instrText>
      </w:r>
      <w:r>
        <w:rPr>
          <w:noProof/>
        </w:rPr>
      </w:r>
      <w:r>
        <w:rPr>
          <w:noProof/>
        </w:rPr>
        <w:fldChar w:fldCharType="separate"/>
      </w:r>
      <w:r w:rsidR="00302DB2">
        <w:rPr>
          <w:noProof/>
        </w:rPr>
        <w:t>125</w:t>
      </w:r>
      <w:r>
        <w:rPr>
          <w:noProof/>
        </w:rPr>
        <w:fldChar w:fldCharType="end"/>
      </w:r>
    </w:p>
    <w:p w14:paraId="63CDEA8F" w14:textId="16D44EFF" w:rsidR="007931CC" w:rsidRDefault="007931CC">
      <w:pPr>
        <w:pStyle w:val="TOC5"/>
        <w:rPr>
          <w:rFonts w:asciiTheme="minorHAnsi" w:eastAsiaTheme="minorEastAsia" w:hAnsiTheme="minorHAnsi" w:cstheme="minorBidi"/>
          <w:noProof/>
          <w:kern w:val="0"/>
          <w:sz w:val="22"/>
          <w:szCs w:val="22"/>
        </w:rPr>
      </w:pPr>
      <w:r>
        <w:rPr>
          <w:noProof/>
        </w:rPr>
        <w:t>35D  Verification information not to be collected or held by a credit reporting body</w:t>
      </w:r>
      <w:r>
        <w:rPr>
          <w:noProof/>
        </w:rPr>
        <w:tab/>
      </w:r>
      <w:r>
        <w:rPr>
          <w:noProof/>
        </w:rPr>
        <w:fldChar w:fldCharType="begin"/>
      </w:r>
      <w:r>
        <w:rPr>
          <w:noProof/>
        </w:rPr>
        <w:instrText xml:space="preserve"> PAGEREF _Toc185415769 \h </w:instrText>
      </w:r>
      <w:r>
        <w:rPr>
          <w:noProof/>
        </w:rPr>
      </w:r>
      <w:r>
        <w:rPr>
          <w:noProof/>
        </w:rPr>
        <w:fldChar w:fldCharType="separate"/>
      </w:r>
      <w:r w:rsidR="00302DB2">
        <w:rPr>
          <w:noProof/>
        </w:rPr>
        <w:t>125</w:t>
      </w:r>
      <w:r>
        <w:rPr>
          <w:noProof/>
        </w:rPr>
        <w:fldChar w:fldCharType="end"/>
      </w:r>
    </w:p>
    <w:p w14:paraId="6DAC637C" w14:textId="6685365D" w:rsidR="007931CC" w:rsidRDefault="007931CC">
      <w:pPr>
        <w:pStyle w:val="TOC5"/>
        <w:rPr>
          <w:rFonts w:asciiTheme="minorHAnsi" w:eastAsiaTheme="minorEastAsia" w:hAnsiTheme="minorHAnsi" w:cstheme="minorBidi"/>
          <w:noProof/>
          <w:kern w:val="0"/>
          <w:sz w:val="22"/>
          <w:szCs w:val="22"/>
        </w:rPr>
      </w:pPr>
      <w:r>
        <w:rPr>
          <w:noProof/>
        </w:rPr>
        <w:t>35E  Retention of verification information—credit reporting bodies</w:t>
      </w:r>
      <w:r>
        <w:rPr>
          <w:noProof/>
        </w:rPr>
        <w:tab/>
      </w:r>
      <w:r>
        <w:rPr>
          <w:noProof/>
        </w:rPr>
        <w:fldChar w:fldCharType="begin"/>
      </w:r>
      <w:r>
        <w:rPr>
          <w:noProof/>
        </w:rPr>
        <w:instrText xml:space="preserve"> PAGEREF _Toc185415770 \h </w:instrText>
      </w:r>
      <w:r>
        <w:rPr>
          <w:noProof/>
        </w:rPr>
      </w:r>
      <w:r>
        <w:rPr>
          <w:noProof/>
        </w:rPr>
        <w:fldChar w:fldCharType="separate"/>
      </w:r>
      <w:r w:rsidR="00302DB2">
        <w:rPr>
          <w:noProof/>
        </w:rPr>
        <w:t>125</w:t>
      </w:r>
      <w:r>
        <w:rPr>
          <w:noProof/>
        </w:rPr>
        <w:fldChar w:fldCharType="end"/>
      </w:r>
    </w:p>
    <w:p w14:paraId="09718FB3" w14:textId="0FA9B11C" w:rsidR="007931CC" w:rsidRDefault="007931CC">
      <w:pPr>
        <w:pStyle w:val="TOC5"/>
        <w:rPr>
          <w:rFonts w:asciiTheme="minorHAnsi" w:eastAsiaTheme="minorEastAsia" w:hAnsiTheme="minorHAnsi" w:cstheme="minorBidi"/>
          <w:noProof/>
          <w:kern w:val="0"/>
          <w:sz w:val="22"/>
          <w:szCs w:val="22"/>
        </w:rPr>
      </w:pPr>
      <w:r>
        <w:rPr>
          <w:noProof/>
        </w:rPr>
        <w:t>35F  Retention of verification information—reporting entities</w:t>
      </w:r>
      <w:r>
        <w:rPr>
          <w:noProof/>
        </w:rPr>
        <w:tab/>
      </w:r>
      <w:r>
        <w:rPr>
          <w:noProof/>
        </w:rPr>
        <w:fldChar w:fldCharType="begin"/>
      </w:r>
      <w:r>
        <w:rPr>
          <w:noProof/>
        </w:rPr>
        <w:instrText xml:space="preserve"> PAGEREF _Toc185415771 \h </w:instrText>
      </w:r>
      <w:r>
        <w:rPr>
          <w:noProof/>
        </w:rPr>
      </w:r>
      <w:r>
        <w:rPr>
          <w:noProof/>
        </w:rPr>
        <w:fldChar w:fldCharType="separate"/>
      </w:r>
      <w:r w:rsidR="00302DB2">
        <w:rPr>
          <w:noProof/>
        </w:rPr>
        <w:t>126</w:t>
      </w:r>
      <w:r>
        <w:rPr>
          <w:noProof/>
        </w:rPr>
        <w:fldChar w:fldCharType="end"/>
      </w:r>
    </w:p>
    <w:p w14:paraId="64A27F0C" w14:textId="16B10AA6" w:rsidR="007931CC" w:rsidRDefault="007931CC">
      <w:pPr>
        <w:pStyle w:val="TOC5"/>
        <w:rPr>
          <w:rFonts w:asciiTheme="minorHAnsi" w:eastAsiaTheme="minorEastAsia" w:hAnsiTheme="minorHAnsi" w:cstheme="minorBidi"/>
          <w:noProof/>
          <w:kern w:val="0"/>
          <w:sz w:val="22"/>
          <w:szCs w:val="22"/>
        </w:rPr>
      </w:pPr>
      <w:r>
        <w:rPr>
          <w:noProof/>
        </w:rPr>
        <w:t>35G  Access to verification information</w:t>
      </w:r>
      <w:r>
        <w:rPr>
          <w:noProof/>
        </w:rPr>
        <w:tab/>
      </w:r>
      <w:r>
        <w:rPr>
          <w:noProof/>
        </w:rPr>
        <w:fldChar w:fldCharType="begin"/>
      </w:r>
      <w:r>
        <w:rPr>
          <w:noProof/>
        </w:rPr>
        <w:instrText xml:space="preserve"> PAGEREF _Toc185415772 \h </w:instrText>
      </w:r>
      <w:r>
        <w:rPr>
          <w:noProof/>
        </w:rPr>
      </w:r>
      <w:r>
        <w:rPr>
          <w:noProof/>
        </w:rPr>
        <w:fldChar w:fldCharType="separate"/>
      </w:r>
      <w:r w:rsidR="00302DB2">
        <w:rPr>
          <w:noProof/>
        </w:rPr>
        <w:t>127</w:t>
      </w:r>
      <w:r>
        <w:rPr>
          <w:noProof/>
        </w:rPr>
        <w:fldChar w:fldCharType="end"/>
      </w:r>
    </w:p>
    <w:p w14:paraId="48F0D1F7" w14:textId="0A6FE404" w:rsidR="007931CC" w:rsidRDefault="007931CC">
      <w:pPr>
        <w:pStyle w:val="TOC5"/>
        <w:rPr>
          <w:rFonts w:asciiTheme="minorHAnsi" w:eastAsiaTheme="minorEastAsia" w:hAnsiTheme="minorHAnsi" w:cstheme="minorBidi"/>
          <w:noProof/>
          <w:kern w:val="0"/>
          <w:sz w:val="22"/>
          <w:szCs w:val="22"/>
        </w:rPr>
      </w:pPr>
      <w:r>
        <w:rPr>
          <w:noProof/>
        </w:rPr>
        <w:t>35H  Unauthorised access to verification information—offence</w:t>
      </w:r>
      <w:r>
        <w:rPr>
          <w:noProof/>
        </w:rPr>
        <w:tab/>
      </w:r>
      <w:r>
        <w:rPr>
          <w:noProof/>
        </w:rPr>
        <w:fldChar w:fldCharType="begin"/>
      </w:r>
      <w:r>
        <w:rPr>
          <w:noProof/>
        </w:rPr>
        <w:instrText xml:space="preserve"> PAGEREF _Toc185415773 \h </w:instrText>
      </w:r>
      <w:r>
        <w:rPr>
          <w:noProof/>
        </w:rPr>
      </w:r>
      <w:r>
        <w:rPr>
          <w:noProof/>
        </w:rPr>
        <w:fldChar w:fldCharType="separate"/>
      </w:r>
      <w:r w:rsidR="00302DB2">
        <w:rPr>
          <w:noProof/>
        </w:rPr>
        <w:t>127</w:t>
      </w:r>
      <w:r>
        <w:rPr>
          <w:noProof/>
        </w:rPr>
        <w:fldChar w:fldCharType="end"/>
      </w:r>
    </w:p>
    <w:p w14:paraId="59B3CC11" w14:textId="5363C626" w:rsidR="007931CC" w:rsidRDefault="007931CC">
      <w:pPr>
        <w:pStyle w:val="TOC5"/>
        <w:rPr>
          <w:rFonts w:asciiTheme="minorHAnsi" w:eastAsiaTheme="minorEastAsia" w:hAnsiTheme="minorHAnsi" w:cstheme="minorBidi"/>
          <w:noProof/>
          <w:kern w:val="0"/>
          <w:sz w:val="22"/>
          <w:szCs w:val="22"/>
        </w:rPr>
      </w:pPr>
      <w:r>
        <w:rPr>
          <w:noProof/>
        </w:rPr>
        <w:t>35J  Obtaining access to verification information by false pretences—offence</w:t>
      </w:r>
      <w:r>
        <w:rPr>
          <w:noProof/>
        </w:rPr>
        <w:tab/>
      </w:r>
      <w:r>
        <w:rPr>
          <w:noProof/>
        </w:rPr>
        <w:fldChar w:fldCharType="begin"/>
      </w:r>
      <w:r>
        <w:rPr>
          <w:noProof/>
        </w:rPr>
        <w:instrText xml:space="preserve"> PAGEREF _Toc185415774 \h </w:instrText>
      </w:r>
      <w:r>
        <w:rPr>
          <w:noProof/>
        </w:rPr>
      </w:r>
      <w:r>
        <w:rPr>
          <w:noProof/>
        </w:rPr>
        <w:fldChar w:fldCharType="separate"/>
      </w:r>
      <w:r w:rsidR="00302DB2">
        <w:rPr>
          <w:noProof/>
        </w:rPr>
        <w:t>127</w:t>
      </w:r>
      <w:r>
        <w:rPr>
          <w:noProof/>
        </w:rPr>
        <w:fldChar w:fldCharType="end"/>
      </w:r>
    </w:p>
    <w:p w14:paraId="61A8921F" w14:textId="0C761E30" w:rsidR="007931CC" w:rsidRDefault="007931CC">
      <w:pPr>
        <w:pStyle w:val="TOC5"/>
        <w:rPr>
          <w:rFonts w:asciiTheme="minorHAnsi" w:eastAsiaTheme="minorEastAsia" w:hAnsiTheme="minorHAnsi" w:cstheme="minorBidi"/>
          <w:noProof/>
          <w:kern w:val="0"/>
          <w:sz w:val="22"/>
          <w:szCs w:val="22"/>
        </w:rPr>
      </w:pPr>
      <w:r>
        <w:rPr>
          <w:noProof/>
        </w:rPr>
        <w:t>35K  Unauthorised use or disclosure of verification information—offence</w:t>
      </w:r>
      <w:r>
        <w:rPr>
          <w:noProof/>
        </w:rPr>
        <w:tab/>
      </w:r>
      <w:r>
        <w:rPr>
          <w:noProof/>
        </w:rPr>
        <w:fldChar w:fldCharType="begin"/>
      </w:r>
      <w:r>
        <w:rPr>
          <w:noProof/>
        </w:rPr>
        <w:instrText xml:space="preserve"> PAGEREF _Toc185415775 \h </w:instrText>
      </w:r>
      <w:r>
        <w:rPr>
          <w:noProof/>
        </w:rPr>
      </w:r>
      <w:r>
        <w:rPr>
          <w:noProof/>
        </w:rPr>
        <w:fldChar w:fldCharType="separate"/>
      </w:r>
      <w:r w:rsidR="00302DB2">
        <w:rPr>
          <w:noProof/>
        </w:rPr>
        <w:t>128</w:t>
      </w:r>
      <w:r>
        <w:rPr>
          <w:noProof/>
        </w:rPr>
        <w:fldChar w:fldCharType="end"/>
      </w:r>
    </w:p>
    <w:p w14:paraId="1AFAA953" w14:textId="4319F0B5" w:rsidR="007931CC" w:rsidRDefault="007931CC">
      <w:pPr>
        <w:pStyle w:val="TOC5"/>
        <w:rPr>
          <w:rFonts w:asciiTheme="minorHAnsi" w:eastAsiaTheme="minorEastAsia" w:hAnsiTheme="minorHAnsi" w:cstheme="minorBidi"/>
          <w:noProof/>
          <w:kern w:val="0"/>
          <w:sz w:val="22"/>
          <w:szCs w:val="22"/>
        </w:rPr>
      </w:pPr>
      <w:r>
        <w:rPr>
          <w:noProof/>
        </w:rPr>
        <w:t>35L  Breach of requirement is an interference with privacy</w:t>
      </w:r>
      <w:r>
        <w:rPr>
          <w:noProof/>
        </w:rPr>
        <w:tab/>
      </w:r>
      <w:r>
        <w:rPr>
          <w:noProof/>
        </w:rPr>
        <w:fldChar w:fldCharType="begin"/>
      </w:r>
      <w:r>
        <w:rPr>
          <w:noProof/>
        </w:rPr>
        <w:instrText xml:space="preserve"> PAGEREF _Toc185415776 \h </w:instrText>
      </w:r>
      <w:r>
        <w:rPr>
          <w:noProof/>
        </w:rPr>
      </w:r>
      <w:r>
        <w:rPr>
          <w:noProof/>
        </w:rPr>
        <w:fldChar w:fldCharType="separate"/>
      </w:r>
      <w:r w:rsidR="00302DB2">
        <w:rPr>
          <w:noProof/>
        </w:rPr>
        <w:t>128</w:t>
      </w:r>
      <w:r>
        <w:rPr>
          <w:noProof/>
        </w:rPr>
        <w:fldChar w:fldCharType="end"/>
      </w:r>
    </w:p>
    <w:p w14:paraId="1D3E8482" w14:textId="4D0CDF50" w:rsidR="007931CC" w:rsidRDefault="007931CC">
      <w:pPr>
        <w:pStyle w:val="TOC3"/>
        <w:rPr>
          <w:rFonts w:asciiTheme="minorHAnsi" w:eastAsiaTheme="minorEastAsia" w:hAnsiTheme="minorHAnsi" w:cstheme="minorBidi"/>
          <w:b w:val="0"/>
          <w:noProof/>
          <w:kern w:val="0"/>
          <w:szCs w:val="22"/>
        </w:rPr>
      </w:pPr>
      <w:r>
        <w:rPr>
          <w:noProof/>
        </w:rPr>
        <w:t>Division 6—Pre</w:t>
      </w:r>
      <w:r>
        <w:rPr>
          <w:noProof/>
        </w:rPr>
        <w:noBreakHyphen/>
        <w:t>commencement customers</w:t>
      </w:r>
      <w:r>
        <w:rPr>
          <w:noProof/>
        </w:rPr>
        <w:tab/>
      </w:r>
      <w:r>
        <w:rPr>
          <w:noProof/>
        </w:rPr>
        <w:fldChar w:fldCharType="begin"/>
      </w:r>
      <w:r>
        <w:rPr>
          <w:noProof/>
        </w:rPr>
        <w:instrText xml:space="preserve"> PAGEREF _Toc185415777 \h </w:instrText>
      </w:r>
      <w:r>
        <w:rPr>
          <w:noProof/>
        </w:rPr>
      </w:r>
      <w:r>
        <w:rPr>
          <w:noProof/>
        </w:rPr>
        <w:fldChar w:fldCharType="separate"/>
      </w:r>
      <w:r w:rsidR="00302DB2">
        <w:rPr>
          <w:noProof/>
        </w:rPr>
        <w:t>129</w:t>
      </w:r>
      <w:r>
        <w:rPr>
          <w:noProof/>
        </w:rPr>
        <w:fldChar w:fldCharType="end"/>
      </w:r>
    </w:p>
    <w:p w14:paraId="026E4147" w14:textId="04B15958" w:rsidR="007931CC" w:rsidRDefault="007931CC">
      <w:pPr>
        <w:pStyle w:val="TOC5"/>
        <w:rPr>
          <w:rFonts w:asciiTheme="minorHAnsi" w:eastAsiaTheme="minorEastAsia" w:hAnsiTheme="minorHAnsi" w:cstheme="minorBidi"/>
          <w:noProof/>
          <w:kern w:val="0"/>
          <w:sz w:val="22"/>
          <w:szCs w:val="22"/>
        </w:rPr>
      </w:pPr>
      <w:r>
        <w:rPr>
          <w:noProof/>
        </w:rPr>
        <w:t>36  Pre</w:t>
      </w:r>
      <w:r>
        <w:rPr>
          <w:noProof/>
        </w:rPr>
        <w:noBreakHyphen/>
        <w:t>commencement customers</w:t>
      </w:r>
      <w:r>
        <w:rPr>
          <w:noProof/>
        </w:rPr>
        <w:tab/>
      </w:r>
      <w:r>
        <w:rPr>
          <w:noProof/>
        </w:rPr>
        <w:fldChar w:fldCharType="begin"/>
      </w:r>
      <w:r>
        <w:rPr>
          <w:noProof/>
        </w:rPr>
        <w:instrText xml:space="preserve"> PAGEREF _Toc185415778 \h </w:instrText>
      </w:r>
      <w:r>
        <w:rPr>
          <w:noProof/>
        </w:rPr>
      </w:r>
      <w:r>
        <w:rPr>
          <w:noProof/>
        </w:rPr>
        <w:fldChar w:fldCharType="separate"/>
      </w:r>
      <w:r w:rsidR="00302DB2">
        <w:rPr>
          <w:noProof/>
        </w:rPr>
        <w:t>129</w:t>
      </w:r>
      <w:r>
        <w:rPr>
          <w:noProof/>
        </w:rPr>
        <w:fldChar w:fldCharType="end"/>
      </w:r>
    </w:p>
    <w:p w14:paraId="5ACAF04C" w14:textId="4E1D4DBF" w:rsidR="007931CC" w:rsidRDefault="007931CC">
      <w:pPr>
        <w:pStyle w:val="TOC3"/>
        <w:rPr>
          <w:rFonts w:asciiTheme="minorHAnsi" w:eastAsiaTheme="minorEastAsia" w:hAnsiTheme="minorHAnsi" w:cstheme="minorBidi"/>
          <w:b w:val="0"/>
          <w:noProof/>
          <w:kern w:val="0"/>
          <w:szCs w:val="22"/>
        </w:rPr>
      </w:pPr>
      <w:r>
        <w:rPr>
          <w:noProof/>
        </w:rPr>
        <w:t>Division 7—General provisions</w:t>
      </w:r>
      <w:r>
        <w:rPr>
          <w:noProof/>
        </w:rPr>
        <w:tab/>
      </w:r>
      <w:r>
        <w:rPr>
          <w:noProof/>
        </w:rPr>
        <w:fldChar w:fldCharType="begin"/>
      </w:r>
      <w:r>
        <w:rPr>
          <w:noProof/>
        </w:rPr>
        <w:instrText xml:space="preserve"> PAGEREF _Toc185415779 \h </w:instrText>
      </w:r>
      <w:r>
        <w:rPr>
          <w:noProof/>
        </w:rPr>
      </w:r>
      <w:r>
        <w:rPr>
          <w:noProof/>
        </w:rPr>
        <w:fldChar w:fldCharType="separate"/>
      </w:r>
      <w:r w:rsidR="00302DB2">
        <w:rPr>
          <w:noProof/>
        </w:rPr>
        <w:t>130</w:t>
      </w:r>
      <w:r>
        <w:rPr>
          <w:noProof/>
        </w:rPr>
        <w:fldChar w:fldCharType="end"/>
      </w:r>
    </w:p>
    <w:p w14:paraId="36717399" w14:textId="0B099BDE" w:rsidR="007931CC" w:rsidRDefault="007931CC">
      <w:pPr>
        <w:pStyle w:val="TOC5"/>
        <w:rPr>
          <w:rFonts w:asciiTheme="minorHAnsi" w:eastAsiaTheme="minorEastAsia" w:hAnsiTheme="minorHAnsi" w:cstheme="minorBidi"/>
          <w:noProof/>
          <w:kern w:val="0"/>
          <w:sz w:val="22"/>
          <w:szCs w:val="22"/>
        </w:rPr>
      </w:pPr>
      <w:r>
        <w:rPr>
          <w:noProof/>
        </w:rPr>
        <w:t>37  Collection and verification of KYC information may be carried out by an agent of a reporting entity</w:t>
      </w:r>
      <w:r>
        <w:rPr>
          <w:noProof/>
        </w:rPr>
        <w:tab/>
      </w:r>
      <w:r>
        <w:rPr>
          <w:noProof/>
        </w:rPr>
        <w:fldChar w:fldCharType="begin"/>
      </w:r>
      <w:r>
        <w:rPr>
          <w:noProof/>
        </w:rPr>
        <w:instrText xml:space="preserve"> PAGEREF _Toc185415780 \h </w:instrText>
      </w:r>
      <w:r>
        <w:rPr>
          <w:noProof/>
        </w:rPr>
      </w:r>
      <w:r>
        <w:rPr>
          <w:noProof/>
        </w:rPr>
        <w:fldChar w:fldCharType="separate"/>
      </w:r>
      <w:r w:rsidR="00302DB2">
        <w:rPr>
          <w:noProof/>
        </w:rPr>
        <w:t>130</w:t>
      </w:r>
      <w:r>
        <w:rPr>
          <w:noProof/>
        </w:rPr>
        <w:fldChar w:fldCharType="end"/>
      </w:r>
    </w:p>
    <w:p w14:paraId="396C72D9" w14:textId="35B39B1B" w:rsidR="007931CC" w:rsidRDefault="007931CC">
      <w:pPr>
        <w:pStyle w:val="TOC5"/>
        <w:rPr>
          <w:rFonts w:asciiTheme="minorHAnsi" w:eastAsiaTheme="minorEastAsia" w:hAnsiTheme="minorHAnsi" w:cstheme="minorBidi"/>
          <w:noProof/>
          <w:kern w:val="0"/>
          <w:sz w:val="22"/>
          <w:szCs w:val="22"/>
        </w:rPr>
      </w:pPr>
      <w:r>
        <w:rPr>
          <w:noProof/>
        </w:rPr>
        <w:t>37A  Reliance on collection and verification of KYC information or other procedures—agreements or arrangements</w:t>
      </w:r>
      <w:r>
        <w:rPr>
          <w:noProof/>
        </w:rPr>
        <w:tab/>
      </w:r>
      <w:r>
        <w:rPr>
          <w:noProof/>
        </w:rPr>
        <w:fldChar w:fldCharType="begin"/>
      </w:r>
      <w:r>
        <w:rPr>
          <w:noProof/>
        </w:rPr>
        <w:instrText xml:space="preserve"> PAGEREF _Toc185415781 \h </w:instrText>
      </w:r>
      <w:r>
        <w:rPr>
          <w:noProof/>
        </w:rPr>
      </w:r>
      <w:r>
        <w:rPr>
          <w:noProof/>
        </w:rPr>
        <w:fldChar w:fldCharType="separate"/>
      </w:r>
      <w:r w:rsidR="00302DB2">
        <w:rPr>
          <w:noProof/>
        </w:rPr>
        <w:t>130</w:t>
      </w:r>
      <w:r>
        <w:rPr>
          <w:noProof/>
        </w:rPr>
        <w:fldChar w:fldCharType="end"/>
      </w:r>
    </w:p>
    <w:p w14:paraId="107EC680" w14:textId="5AE893E8" w:rsidR="007931CC" w:rsidRDefault="007931CC">
      <w:pPr>
        <w:pStyle w:val="TOC5"/>
        <w:rPr>
          <w:rFonts w:asciiTheme="minorHAnsi" w:eastAsiaTheme="minorEastAsia" w:hAnsiTheme="minorHAnsi" w:cstheme="minorBidi"/>
          <w:noProof/>
          <w:kern w:val="0"/>
          <w:sz w:val="22"/>
          <w:szCs w:val="22"/>
        </w:rPr>
      </w:pPr>
      <w:r>
        <w:rPr>
          <w:noProof/>
        </w:rPr>
        <w:t>37B  Regular assessments of agreement or arrangement covered by section 37A</w:t>
      </w:r>
      <w:r>
        <w:rPr>
          <w:noProof/>
        </w:rPr>
        <w:tab/>
      </w:r>
      <w:r>
        <w:rPr>
          <w:noProof/>
        </w:rPr>
        <w:fldChar w:fldCharType="begin"/>
      </w:r>
      <w:r>
        <w:rPr>
          <w:noProof/>
        </w:rPr>
        <w:instrText xml:space="preserve"> PAGEREF _Toc185415782 \h </w:instrText>
      </w:r>
      <w:r>
        <w:rPr>
          <w:noProof/>
        </w:rPr>
      </w:r>
      <w:r>
        <w:rPr>
          <w:noProof/>
        </w:rPr>
        <w:fldChar w:fldCharType="separate"/>
      </w:r>
      <w:r w:rsidR="00302DB2">
        <w:rPr>
          <w:noProof/>
        </w:rPr>
        <w:t>132</w:t>
      </w:r>
      <w:r>
        <w:rPr>
          <w:noProof/>
        </w:rPr>
        <w:fldChar w:fldCharType="end"/>
      </w:r>
    </w:p>
    <w:p w14:paraId="6A91E3E8" w14:textId="5080F616" w:rsidR="007931CC" w:rsidRDefault="007931CC">
      <w:pPr>
        <w:pStyle w:val="TOC5"/>
        <w:rPr>
          <w:rFonts w:asciiTheme="minorHAnsi" w:eastAsiaTheme="minorEastAsia" w:hAnsiTheme="minorHAnsi" w:cstheme="minorBidi"/>
          <w:noProof/>
          <w:kern w:val="0"/>
          <w:sz w:val="22"/>
          <w:szCs w:val="22"/>
        </w:rPr>
      </w:pPr>
      <w:r>
        <w:rPr>
          <w:noProof/>
        </w:rPr>
        <w:t>38  Reliance on collection and verification of KYC information or other procedures—other circumstances</w:t>
      </w:r>
      <w:r>
        <w:rPr>
          <w:noProof/>
        </w:rPr>
        <w:tab/>
      </w:r>
      <w:r>
        <w:rPr>
          <w:noProof/>
        </w:rPr>
        <w:fldChar w:fldCharType="begin"/>
      </w:r>
      <w:r>
        <w:rPr>
          <w:noProof/>
        </w:rPr>
        <w:instrText xml:space="preserve"> PAGEREF _Toc185415783 \h </w:instrText>
      </w:r>
      <w:r>
        <w:rPr>
          <w:noProof/>
        </w:rPr>
      </w:r>
      <w:r>
        <w:rPr>
          <w:noProof/>
        </w:rPr>
        <w:fldChar w:fldCharType="separate"/>
      </w:r>
      <w:r w:rsidR="00302DB2">
        <w:rPr>
          <w:noProof/>
        </w:rPr>
        <w:t>132</w:t>
      </w:r>
      <w:r>
        <w:rPr>
          <w:noProof/>
        </w:rPr>
        <w:fldChar w:fldCharType="end"/>
      </w:r>
    </w:p>
    <w:p w14:paraId="79E11917" w14:textId="4B58C930" w:rsidR="007931CC" w:rsidRDefault="007931CC">
      <w:pPr>
        <w:pStyle w:val="TOC5"/>
        <w:rPr>
          <w:rFonts w:asciiTheme="minorHAnsi" w:eastAsiaTheme="minorEastAsia" w:hAnsiTheme="minorHAnsi" w:cstheme="minorBidi"/>
          <w:noProof/>
          <w:kern w:val="0"/>
          <w:sz w:val="22"/>
          <w:szCs w:val="22"/>
        </w:rPr>
      </w:pPr>
      <w:r>
        <w:rPr>
          <w:noProof/>
        </w:rPr>
        <w:t>39  General exemptions</w:t>
      </w:r>
      <w:r>
        <w:rPr>
          <w:noProof/>
        </w:rPr>
        <w:tab/>
      </w:r>
      <w:r>
        <w:rPr>
          <w:noProof/>
        </w:rPr>
        <w:fldChar w:fldCharType="begin"/>
      </w:r>
      <w:r>
        <w:rPr>
          <w:noProof/>
        </w:rPr>
        <w:instrText xml:space="preserve"> PAGEREF _Toc185415784 \h </w:instrText>
      </w:r>
      <w:r>
        <w:rPr>
          <w:noProof/>
        </w:rPr>
      </w:r>
      <w:r>
        <w:rPr>
          <w:noProof/>
        </w:rPr>
        <w:fldChar w:fldCharType="separate"/>
      </w:r>
      <w:r w:rsidR="00302DB2">
        <w:rPr>
          <w:noProof/>
        </w:rPr>
        <w:t>133</w:t>
      </w:r>
      <w:r>
        <w:rPr>
          <w:noProof/>
        </w:rPr>
        <w:fldChar w:fldCharType="end"/>
      </w:r>
    </w:p>
    <w:p w14:paraId="4B8C7114" w14:textId="16EE4789" w:rsidR="007931CC" w:rsidRDefault="007931CC">
      <w:pPr>
        <w:pStyle w:val="TOC5"/>
        <w:rPr>
          <w:rFonts w:asciiTheme="minorHAnsi" w:eastAsiaTheme="minorEastAsia" w:hAnsiTheme="minorHAnsi" w:cstheme="minorBidi"/>
          <w:noProof/>
          <w:kern w:val="0"/>
          <w:sz w:val="22"/>
          <w:szCs w:val="22"/>
        </w:rPr>
      </w:pPr>
      <w:r>
        <w:rPr>
          <w:noProof/>
        </w:rPr>
        <w:t>39A  Exemption—assisting the investigation of certain offences</w:t>
      </w:r>
      <w:r>
        <w:rPr>
          <w:noProof/>
        </w:rPr>
        <w:tab/>
      </w:r>
      <w:r>
        <w:rPr>
          <w:noProof/>
        </w:rPr>
        <w:fldChar w:fldCharType="begin"/>
      </w:r>
      <w:r>
        <w:rPr>
          <w:noProof/>
        </w:rPr>
        <w:instrText xml:space="preserve"> PAGEREF _Toc185415785 \h </w:instrText>
      </w:r>
      <w:r>
        <w:rPr>
          <w:noProof/>
        </w:rPr>
      </w:r>
      <w:r>
        <w:rPr>
          <w:noProof/>
        </w:rPr>
        <w:fldChar w:fldCharType="separate"/>
      </w:r>
      <w:r w:rsidR="00302DB2">
        <w:rPr>
          <w:noProof/>
        </w:rPr>
        <w:t>134</w:t>
      </w:r>
      <w:r>
        <w:rPr>
          <w:noProof/>
        </w:rPr>
        <w:fldChar w:fldCharType="end"/>
      </w:r>
    </w:p>
    <w:p w14:paraId="65DAF17E" w14:textId="4D7C01BE" w:rsidR="007931CC" w:rsidRDefault="007931CC">
      <w:pPr>
        <w:pStyle w:val="TOC5"/>
        <w:rPr>
          <w:rFonts w:asciiTheme="minorHAnsi" w:eastAsiaTheme="minorEastAsia" w:hAnsiTheme="minorHAnsi" w:cstheme="minorBidi"/>
          <w:noProof/>
          <w:kern w:val="0"/>
          <w:sz w:val="22"/>
          <w:szCs w:val="22"/>
        </w:rPr>
      </w:pPr>
      <w:r>
        <w:rPr>
          <w:noProof/>
        </w:rPr>
        <w:t>39B  Keep open notices</w:t>
      </w:r>
      <w:r>
        <w:rPr>
          <w:noProof/>
        </w:rPr>
        <w:tab/>
      </w:r>
      <w:r>
        <w:rPr>
          <w:noProof/>
        </w:rPr>
        <w:fldChar w:fldCharType="begin"/>
      </w:r>
      <w:r>
        <w:rPr>
          <w:noProof/>
        </w:rPr>
        <w:instrText xml:space="preserve"> PAGEREF _Toc185415786 \h </w:instrText>
      </w:r>
      <w:r>
        <w:rPr>
          <w:noProof/>
        </w:rPr>
      </w:r>
      <w:r>
        <w:rPr>
          <w:noProof/>
        </w:rPr>
        <w:fldChar w:fldCharType="separate"/>
      </w:r>
      <w:r w:rsidR="00302DB2">
        <w:rPr>
          <w:noProof/>
        </w:rPr>
        <w:t>134</w:t>
      </w:r>
      <w:r>
        <w:rPr>
          <w:noProof/>
        </w:rPr>
        <w:fldChar w:fldCharType="end"/>
      </w:r>
    </w:p>
    <w:p w14:paraId="1B6F57D3" w14:textId="3E0BFC3C" w:rsidR="007931CC" w:rsidRDefault="007931CC">
      <w:pPr>
        <w:pStyle w:val="TOC5"/>
        <w:rPr>
          <w:rFonts w:asciiTheme="minorHAnsi" w:eastAsiaTheme="minorEastAsia" w:hAnsiTheme="minorHAnsi" w:cstheme="minorBidi"/>
          <w:noProof/>
          <w:kern w:val="0"/>
          <w:sz w:val="22"/>
          <w:szCs w:val="22"/>
        </w:rPr>
      </w:pPr>
      <w:r>
        <w:rPr>
          <w:noProof/>
        </w:rPr>
        <w:t>39C  Keep open notices—AUSTRAC oversight</w:t>
      </w:r>
      <w:r>
        <w:rPr>
          <w:noProof/>
        </w:rPr>
        <w:tab/>
      </w:r>
      <w:r>
        <w:rPr>
          <w:noProof/>
        </w:rPr>
        <w:fldChar w:fldCharType="begin"/>
      </w:r>
      <w:r>
        <w:rPr>
          <w:noProof/>
        </w:rPr>
        <w:instrText xml:space="preserve"> PAGEREF _Toc185415787 \h </w:instrText>
      </w:r>
      <w:r>
        <w:rPr>
          <w:noProof/>
        </w:rPr>
      </w:r>
      <w:r>
        <w:rPr>
          <w:noProof/>
        </w:rPr>
        <w:fldChar w:fldCharType="separate"/>
      </w:r>
      <w:r w:rsidR="00302DB2">
        <w:rPr>
          <w:noProof/>
        </w:rPr>
        <w:t>137</w:t>
      </w:r>
      <w:r>
        <w:rPr>
          <w:noProof/>
        </w:rPr>
        <w:fldChar w:fldCharType="end"/>
      </w:r>
    </w:p>
    <w:p w14:paraId="19890675" w14:textId="41039D76" w:rsidR="007931CC" w:rsidRDefault="007931CC">
      <w:pPr>
        <w:pStyle w:val="TOC5"/>
        <w:rPr>
          <w:rFonts w:asciiTheme="minorHAnsi" w:eastAsiaTheme="minorEastAsia" w:hAnsiTheme="minorHAnsi" w:cstheme="minorBidi"/>
          <w:noProof/>
          <w:kern w:val="0"/>
          <w:sz w:val="22"/>
          <w:szCs w:val="22"/>
        </w:rPr>
      </w:pPr>
      <w:r>
        <w:rPr>
          <w:noProof/>
        </w:rPr>
        <w:lastRenderedPageBreak/>
        <w:t>39D  Exemption—when a suspicious matter reporting obligation arises</w:t>
      </w:r>
      <w:r>
        <w:rPr>
          <w:noProof/>
        </w:rPr>
        <w:tab/>
      </w:r>
      <w:r>
        <w:rPr>
          <w:noProof/>
        </w:rPr>
        <w:fldChar w:fldCharType="begin"/>
      </w:r>
      <w:r>
        <w:rPr>
          <w:noProof/>
        </w:rPr>
        <w:instrText xml:space="preserve"> PAGEREF _Toc185415788 \h </w:instrText>
      </w:r>
      <w:r>
        <w:rPr>
          <w:noProof/>
        </w:rPr>
      </w:r>
      <w:r>
        <w:rPr>
          <w:noProof/>
        </w:rPr>
        <w:fldChar w:fldCharType="separate"/>
      </w:r>
      <w:r w:rsidR="00302DB2">
        <w:rPr>
          <w:noProof/>
        </w:rPr>
        <w:t>138</w:t>
      </w:r>
      <w:r>
        <w:rPr>
          <w:noProof/>
        </w:rPr>
        <w:fldChar w:fldCharType="end"/>
      </w:r>
    </w:p>
    <w:p w14:paraId="38C970F3" w14:textId="565FA7BC" w:rsidR="007931CC" w:rsidRDefault="007931CC">
      <w:pPr>
        <w:pStyle w:val="TOC5"/>
        <w:rPr>
          <w:rFonts w:asciiTheme="minorHAnsi" w:eastAsiaTheme="minorEastAsia" w:hAnsiTheme="minorHAnsi" w:cstheme="minorBidi"/>
          <w:noProof/>
          <w:kern w:val="0"/>
          <w:sz w:val="22"/>
          <w:szCs w:val="22"/>
        </w:rPr>
      </w:pPr>
      <w:r>
        <w:rPr>
          <w:noProof/>
        </w:rPr>
        <w:t>39E  Exemptions—specified conditions</w:t>
      </w:r>
      <w:r>
        <w:rPr>
          <w:noProof/>
        </w:rPr>
        <w:tab/>
      </w:r>
      <w:r>
        <w:rPr>
          <w:noProof/>
        </w:rPr>
        <w:fldChar w:fldCharType="begin"/>
      </w:r>
      <w:r>
        <w:rPr>
          <w:noProof/>
        </w:rPr>
        <w:instrText xml:space="preserve"> PAGEREF _Toc185415789 \h </w:instrText>
      </w:r>
      <w:r>
        <w:rPr>
          <w:noProof/>
        </w:rPr>
      </w:r>
      <w:r>
        <w:rPr>
          <w:noProof/>
        </w:rPr>
        <w:fldChar w:fldCharType="separate"/>
      </w:r>
      <w:r w:rsidR="00302DB2">
        <w:rPr>
          <w:noProof/>
        </w:rPr>
        <w:t>138</w:t>
      </w:r>
      <w:r>
        <w:rPr>
          <w:noProof/>
        </w:rPr>
        <w:fldChar w:fldCharType="end"/>
      </w:r>
    </w:p>
    <w:p w14:paraId="22FEE7D5" w14:textId="1C69ED8A" w:rsidR="007931CC" w:rsidRDefault="007931CC">
      <w:pPr>
        <w:pStyle w:val="TOC5"/>
        <w:rPr>
          <w:rFonts w:asciiTheme="minorHAnsi" w:eastAsiaTheme="minorEastAsia" w:hAnsiTheme="minorHAnsi" w:cstheme="minorBidi"/>
          <w:noProof/>
          <w:kern w:val="0"/>
          <w:sz w:val="22"/>
          <w:szCs w:val="22"/>
        </w:rPr>
      </w:pPr>
      <w:r>
        <w:rPr>
          <w:noProof/>
        </w:rPr>
        <w:t>39F  Exemption—intermediary institutions</w:t>
      </w:r>
      <w:r>
        <w:rPr>
          <w:noProof/>
        </w:rPr>
        <w:tab/>
      </w:r>
      <w:r>
        <w:rPr>
          <w:noProof/>
        </w:rPr>
        <w:fldChar w:fldCharType="begin"/>
      </w:r>
      <w:r>
        <w:rPr>
          <w:noProof/>
        </w:rPr>
        <w:instrText xml:space="preserve"> PAGEREF _Toc185415790 \h </w:instrText>
      </w:r>
      <w:r>
        <w:rPr>
          <w:noProof/>
        </w:rPr>
      </w:r>
      <w:r>
        <w:rPr>
          <w:noProof/>
        </w:rPr>
        <w:fldChar w:fldCharType="separate"/>
      </w:r>
      <w:r w:rsidR="00302DB2">
        <w:rPr>
          <w:noProof/>
        </w:rPr>
        <w:t>143</w:t>
      </w:r>
      <w:r>
        <w:rPr>
          <w:noProof/>
        </w:rPr>
        <w:fldChar w:fldCharType="end"/>
      </w:r>
    </w:p>
    <w:p w14:paraId="281089C8" w14:textId="4232F44F" w:rsidR="007931CC" w:rsidRDefault="007931CC">
      <w:pPr>
        <w:pStyle w:val="TOC2"/>
        <w:rPr>
          <w:rFonts w:asciiTheme="minorHAnsi" w:eastAsiaTheme="minorEastAsia" w:hAnsiTheme="minorHAnsi" w:cstheme="minorBidi"/>
          <w:b w:val="0"/>
          <w:noProof/>
          <w:kern w:val="0"/>
          <w:sz w:val="22"/>
          <w:szCs w:val="22"/>
        </w:rPr>
      </w:pPr>
      <w:r>
        <w:rPr>
          <w:noProof/>
        </w:rPr>
        <w:t>Part 3—Reporting obligations</w:t>
      </w:r>
      <w:r>
        <w:rPr>
          <w:noProof/>
        </w:rPr>
        <w:tab/>
      </w:r>
      <w:r>
        <w:rPr>
          <w:noProof/>
        </w:rPr>
        <w:fldChar w:fldCharType="begin"/>
      </w:r>
      <w:r>
        <w:rPr>
          <w:noProof/>
        </w:rPr>
        <w:instrText xml:space="preserve"> PAGEREF _Toc185415791 \h </w:instrText>
      </w:r>
      <w:r>
        <w:rPr>
          <w:noProof/>
        </w:rPr>
      </w:r>
      <w:r>
        <w:rPr>
          <w:noProof/>
        </w:rPr>
        <w:fldChar w:fldCharType="separate"/>
      </w:r>
      <w:r w:rsidR="00302DB2">
        <w:rPr>
          <w:noProof/>
        </w:rPr>
        <w:t>145</w:t>
      </w:r>
      <w:r>
        <w:rPr>
          <w:noProof/>
        </w:rPr>
        <w:fldChar w:fldCharType="end"/>
      </w:r>
    </w:p>
    <w:p w14:paraId="1D82885D" w14:textId="3F7659CA"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_Toc185415792 \h </w:instrText>
      </w:r>
      <w:r>
        <w:rPr>
          <w:noProof/>
        </w:rPr>
      </w:r>
      <w:r>
        <w:rPr>
          <w:noProof/>
        </w:rPr>
        <w:fldChar w:fldCharType="separate"/>
      </w:r>
      <w:r w:rsidR="00302DB2">
        <w:rPr>
          <w:noProof/>
        </w:rPr>
        <w:t>145</w:t>
      </w:r>
      <w:r>
        <w:rPr>
          <w:noProof/>
        </w:rPr>
        <w:fldChar w:fldCharType="end"/>
      </w:r>
    </w:p>
    <w:p w14:paraId="33B60EEF" w14:textId="7C6A6FD2" w:rsidR="007931CC" w:rsidRDefault="007931CC">
      <w:pPr>
        <w:pStyle w:val="TOC5"/>
        <w:rPr>
          <w:rFonts w:asciiTheme="minorHAnsi" w:eastAsiaTheme="minorEastAsia" w:hAnsiTheme="minorHAnsi" w:cstheme="minorBidi"/>
          <w:noProof/>
          <w:kern w:val="0"/>
          <w:sz w:val="22"/>
          <w:szCs w:val="22"/>
        </w:rPr>
      </w:pPr>
      <w:r>
        <w:rPr>
          <w:noProof/>
        </w:rPr>
        <w:t>40  Simplified outline</w:t>
      </w:r>
      <w:r>
        <w:rPr>
          <w:noProof/>
        </w:rPr>
        <w:tab/>
      </w:r>
      <w:r>
        <w:rPr>
          <w:noProof/>
        </w:rPr>
        <w:fldChar w:fldCharType="begin"/>
      </w:r>
      <w:r>
        <w:rPr>
          <w:noProof/>
        </w:rPr>
        <w:instrText xml:space="preserve"> PAGEREF _Toc185415793 \h </w:instrText>
      </w:r>
      <w:r>
        <w:rPr>
          <w:noProof/>
        </w:rPr>
      </w:r>
      <w:r>
        <w:rPr>
          <w:noProof/>
        </w:rPr>
        <w:fldChar w:fldCharType="separate"/>
      </w:r>
      <w:r w:rsidR="00302DB2">
        <w:rPr>
          <w:noProof/>
        </w:rPr>
        <w:t>145</w:t>
      </w:r>
      <w:r>
        <w:rPr>
          <w:noProof/>
        </w:rPr>
        <w:fldChar w:fldCharType="end"/>
      </w:r>
    </w:p>
    <w:p w14:paraId="6A67B4AC" w14:textId="29FA22BE" w:rsidR="007931CC" w:rsidRDefault="007931CC">
      <w:pPr>
        <w:pStyle w:val="TOC3"/>
        <w:rPr>
          <w:rFonts w:asciiTheme="minorHAnsi" w:eastAsiaTheme="minorEastAsia" w:hAnsiTheme="minorHAnsi" w:cstheme="minorBidi"/>
          <w:b w:val="0"/>
          <w:noProof/>
          <w:kern w:val="0"/>
          <w:szCs w:val="22"/>
        </w:rPr>
      </w:pPr>
      <w:r>
        <w:rPr>
          <w:noProof/>
        </w:rPr>
        <w:t>Division 2—Suspicious matters</w:t>
      </w:r>
      <w:r>
        <w:rPr>
          <w:noProof/>
        </w:rPr>
        <w:tab/>
      </w:r>
      <w:r>
        <w:rPr>
          <w:noProof/>
        </w:rPr>
        <w:fldChar w:fldCharType="begin"/>
      </w:r>
      <w:r>
        <w:rPr>
          <w:noProof/>
        </w:rPr>
        <w:instrText xml:space="preserve"> PAGEREF _Toc185415794 \h </w:instrText>
      </w:r>
      <w:r>
        <w:rPr>
          <w:noProof/>
        </w:rPr>
      </w:r>
      <w:r>
        <w:rPr>
          <w:noProof/>
        </w:rPr>
        <w:fldChar w:fldCharType="separate"/>
      </w:r>
      <w:r w:rsidR="00302DB2">
        <w:rPr>
          <w:noProof/>
        </w:rPr>
        <w:t>146</w:t>
      </w:r>
      <w:r>
        <w:rPr>
          <w:noProof/>
        </w:rPr>
        <w:fldChar w:fldCharType="end"/>
      </w:r>
    </w:p>
    <w:p w14:paraId="278B2020" w14:textId="1A3A47B1" w:rsidR="007931CC" w:rsidRDefault="007931CC">
      <w:pPr>
        <w:pStyle w:val="TOC5"/>
        <w:rPr>
          <w:rFonts w:asciiTheme="minorHAnsi" w:eastAsiaTheme="minorEastAsia" w:hAnsiTheme="minorHAnsi" w:cstheme="minorBidi"/>
          <w:noProof/>
          <w:kern w:val="0"/>
          <w:sz w:val="22"/>
          <w:szCs w:val="22"/>
        </w:rPr>
      </w:pPr>
      <w:r>
        <w:rPr>
          <w:noProof/>
        </w:rPr>
        <w:t>41  Reports of suspicious matters</w:t>
      </w:r>
      <w:r>
        <w:rPr>
          <w:noProof/>
        </w:rPr>
        <w:tab/>
      </w:r>
      <w:r>
        <w:rPr>
          <w:noProof/>
        </w:rPr>
        <w:fldChar w:fldCharType="begin"/>
      </w:r>
      <w:r>
        <w:rPr>
          <w:noProof/>
        </w:rPr>
        <w:instrText xml:space="preserve"> PAGEREF _Toc185415795 \h </w:instrText>
      </w:r>
      <w:r>
        <w:rPr>
          <w:noProof/>
        </w:rPr>
      </w:r>
      <w:r>
        <w:rPr>
          <w:noProof/>
        </w:rPr>
        <w:fldChar w:fldCharType="separate"/>
      </w:r>
      <w:r w:rsidR="00302DB2">
        <w:rPr>
          <w:noProof/>
        </w:rPr>
        <w:t>146</w:t>
      </w:r>
      <w:r>
        <w:rPr>
          <w:noProof/>
        </w:rPr>
        <w:fldChar w:fldCharType="end"/>
      </w:r>
    </w:p>
    <w:p w14:paraId="1F5C25D9" w14:textId="649C7A7A" w:rsidR="007931CC" w:rsidRDefault="007931CC">
      <w:pPr>
        <w:pStyle w:val="TOC5"/>
        <w:rPr>
          <w:rFonts w:asciiTheme="minorHAnsi" w:eastAsiaTheme="minorEastAsia" w:hAnsiTheme="minorHAnsi" w:cstheme="minorBidi"/>
          <w:noProof/>
          <w:kern w:val="0"/>
          <w:sz w:val="22"/>
          <w:szCs w:val="22"/>
        </w:rPr>
      </w:pPr>
      <w:r>
        <w:rPr>
          <w:noProof/>
        </w:rPr>
        <w:t>42  Exemptions</w:t>
      </w:r>
      <w:r>
        <w:rPr>
          <w:noProof/>
        </w:rPr>
        <w:tab/>
      </w:r>
      <w:r>
        <w:rPr>
          <w:noProof/>
        </w:rPr>
        <w:fldChar w:fldCharType="begin"/>
      </w:r>
      <w:r>
        <w:rPr>
          <w:noProof/>
        </w:rPr>
        <w:instrText xml:space="preserve"> PAGEREF _Toc185415796 \h </w:instrText>
      </w:r>
      <w:r>
        <w:rPr>
          <w:noProof/>
        </w:rPr>
      </w:r>
      <w:r>
        <w:rPr>
          <w:noProof/>
        </w:rPr>
        <w:fldChar w:fldCharType="separate"/>
      </w:r>
      <w:r w:rsidR="00302DB2">
        <w:rPr>
          <w:noProof/>
        </w:rPr>
        <w:t>149</w:t>
      </w:r>
      <w:r>
        <w:rPr>
          <w:noProof/>
        </w:rPr>
        <w:fldChar w:fldCharType="end"/>
      </w:r>
    </w:p>
    <w:p w14:paraId="2D24AE7B" w14:textId="223639B8" w:rsidR="007931CC" w:rsidRDefault="007931CC">
      <w:pPr>
        <w:pStyle w:val="TOC3"/>
        <w:rPr>
          <w:rFonts w:asciiTheme="minorHAnsi" w:eastAsiaTheme="minorEastAsia" w:hAnsiTheme="minorHAnsi" w:cstheme="minorBidi"/>
          <w:b w:val="0"/>
          <w:noProof/>
          <w:kern w:val="0"/>
          <w:szCs w:val="22"/>
        </w:rPr>
      </w:pPr>
      <w:r>
        <w:rPr>
          <w:noProof/>
        </w:rPr>
        <w:t>Division 3—Threshold transactions</w:t>
      </w:r>
      <w:r>
        <w:rPr>
          <w:noProof/>
        </w:rPr>
        <w:tab/>
      </w:r>
      <w:r>
        <w:rPr>
          <w:noProof/>
        </w:rPr>
        <w:fldChar w:fldCharType="begin"/>
      </w:r>
      <w:r>
        <w:rPr>
          <w:noProof/>
        </w:rPr>
        <w:instrText xml:space="preserve"> PAGEREF _Toc185415797 \h </w:instrText>
      </w:r>
      <w:r>
        <w:rPr>
          <w:noProof/>
        </w:rPr>
      </w:r>
      <w:r>
        <w:rPr>
          <w:noProof/>
        </w:rPr>
        <w:fldChar w:fldCharType="separate"/>
      </w:r>
      <w:r w:rsidR="00302DB2">
        <w:rPr>
          <w:noProof/>
        </w:rPr>
        <w:t>151</w:t>
      </w:r>
      <w:r>
        <w:rPr>
          <w:noProof/>
        </w:rPr>
        <w:fldChar w:fldCharType="end"/>
      </w:r>
    </w:p>
    <w:p w14:paraId="73466472" w14:textId="62D11BE7" w:rsidR="007931CC" w:rsidRDefault="007931CC">
      <w:pPr>
        <w:pStyle w:val="TOC5"/>
        <w:rPr>
          <w:rFonts w:asciiTheme="minorHAnsi" w:eastAsiaTheme="minorEastAsia" w:hAnsiTheme="minorHAnsi" w:cstheme="minorBidi"/>
          <w:noProof/>
          <w:kern w:val="0"/>
          <w:sz w:val="22"/>
          <w:szCs w:val="22"/>
        </w:rPr>
      </w:pPr>
      <w:r>
        <w:rPr>
          <w:noProof/>
        </w:rPr>
        <w:t>43  Reports of threshold transactions</w:t>
      </w:r>
      <w:r>
        <w:rPr>
          <w:noProof/>
        </w:rPr>
        <w:tab/>
      </w:r>
      <w:r>
        <w:rPr>
          <w:noProof/>
        </w:rPr>
        <w:fldChar w:fldCharType="begin"/>
      </w:r>
      <w:r>
        <w:rPr>
          <w:noProof/>
        </w:rPr>
        <w:instrText xml:space="preserve"> PAGEREF _Toc185415798 \h </w:instrText>
      </w:r>
      <w:r>
        <w:rPr>
          <w:noProof/>
        </w:rPr>
      </w:r>
      <w:r>
        <w:rPr>
          <w:noProof/>
        </w:rPr>
        <w:fldChar w:fldCharType="separate"/>
      </w:r>
      <w:r w:rsidR="00302DB2">
        <w:rPr>
          <w:noProof/>
        </w:rPr>
        <w:t>151</w:t>
      </w:r>
      <w:r>
        <w:rPr>
          <w:noProof/>
        </w:rPr>
        <w:fldChar w:fldCharType="end"/>
      </w:r>
    </w:p>
    <w:p w14:paraId="6E88595B" w14:textId="2500FD33" w:rsidR="007931CC" w:rsidRDefault="007931CC">
      <w:pPr>
        <w:pStyle w:val="TOC5"/>
        <w:rPr>
          <w:rFonts w:asciiTheme="minorHAnsi" w:eastAsiaTheme="minorEastAsia" w:hAnsiTheme="minorHAnsi" w:cstheme="minorBidi"/>
          <w:noProof/>
          <w:kern w:val="0"/>
          <w:sz w:val="22"/>
          <w:szCs w:val="22"/>
        </w:rPr>
      </w:pPr>
      <w:r>
        <w:rPr>
          <w:noProof/>
        </w:rPr>
        <w:t>44  Exemptions</w:t>
      </w:r>
      <w:r>
        <w:rPr>
          <w:noProof/>
        </w:rPr>
        <w:tab/>
      </w:r>
      <w:r>
        <w:rPr>
          <w:noProof/>
        </w:rPr>
        <w:fldChar w:fldCharType="begin"/>
      </w:r>
      <w:r>
        <w:rPr>
          <w:noProof/>
        </w:rPr>
        <w:instrText xml:space="preserve"> PAGEREF _Toc185415799 \h </w:instrText>
      </w:r>
      <w:r>
        <w:rPr>
          <w:noProof/>
        </w:rPr>
      </w:r>
      <w:r>
        <w:rPr>
          <w:noProof/>
        </w:rPr>
        <w:fldChar w:fldCharType="separate"/>
      </w:r>
      <w:r w:rsidR="00302DB2">
        <w:rPr>
          <w:noProof/>
        </w:rPr>
        <w:t>152</w:t>
      </w:r>
      <w:r>
        <w:rPr>
          <w:noProof/>
        </w:rPr>
        <w:fldChar w:fldCharType="end"/>
      </w:r>
    </w:p>
    <w:p w14:paraId="7FD8E048" w14:textId="056EEE3E" w:rsidR="007931CC" w:rsidRDefault="007931CC">
      <w:pPr>
        <w:pStyle w:val="TOC3"/>
        <w:rPr>
          <w:rFonts w:asciiTheme="minorHAnsi" w:eastAsiaTheme="minorEastAsia" w:hAnsiTheme="minorHAnsi" w:cstheme="minorBidi"/>
          <w:b w:val="0"/>
          <w:noProof/>
          <w:kern w:val="0"/>
          <w:szCs w:val="22"/>
        </w:rPr>
      </w:pPr>
      <w:r>
        <w:rPr>
          <w:noProof/>
        </w:rPr>
        <w:t>Division 4—International value transfer services and transfers of value involving unverified self</w:t>
      </w:r>
      <w:r>
        <w:rPr>
          <w:noProof/>
        </w:rPr>
        <w:noBreakHyphen/>
        <w:t>hosted virtual asset wallets</w:t>
      </w:r>
      <w:r>
        <w:rPr>
          <w:noProof/>
        </w:rPr>
        <w:tab/>
      </w:r>
      <w:r>
        <w:rPr>
          <w:noProof/>
        </w:rPr>
        <w:fldChar w:fldCharType="begin"/>
      </w:r>
      <w:r>
        <w:rPr>
          <w:noProof/>
        </w:rPr>
        <w:instrText xml:space="preserve"> PAGEREF _Toc185415800 \h </w:instrText>
      </w:r>
      <w:r>
        <w:rPr>
          <w:noProof/>
        </w:rPr>
      </w:r>
      <w:r>
        <w:rPr>
          <w:noProof/>
        </w:rPr>
        <w:fldChar w:fldCharType="separate"/>
      </w:r>
      <w:r w:rsidR="00302DB2">
        <w:rPr>
          <w:noProof/>
        </w:rPr>
        <w:t>153</w:t>
      </w:r>
      <w:r>
        <w:rPr>
          <w:noProof/>
        </w:rPr>
        <w:fldChar w:fldCharType="end"/>
      </w:r>
    </w:p>
    <w:p w14:paraId="3E211D79" w14:textId="702E4572" w:rsidR="007931CC" w:rsidRDefault="007931CC">
      <w:pPr>
        <w:pStyle w:val="TOC5"/>
        <w:rPr>
          <w:rFonts w:asciiTheme="minorHAnsi" w:eastAsiaTheme="minorEastAsia" w:hAnsiTheme="minorHAnsi" w:cstheme="minorBidi"/>
          <w:noProof/>
          <w:kern w:val="0"/>
          <w:sz w:val="22"/>
          <w:szCs w:val="22"/>
        </w:rPr>
      </w:pPr>
      <w:r>
        <w:rPr>
          <w:noProof/>
        </w:rPr>
        <w:t>45  International value transfer services</w:t>
      </w:r>
      <w:r>
        <w:rPr>
          <w:noProof/>
        </w:rPr>
        <w:tab/>
      </w:r>
      <w:r>
        <w:rPr>
          <w:noProof/>
        </w:rPr>
        <w:fldChar w:fldCharType="begin"/>
      </w:r>
      <w:r>
        <w:rPr>
          <w:noProof/>
        </w:rPr>
        <w:instrText xml:space="preserve"> PAGEREF _Toc185415801 \h </w:instrText>
      </w:r>
      <w:r>
        <w:rPr>
          <w:noProof/>
        </w:rPr>
      </w:r>
      <w:r>
        <w:rPr>
          <w:noProof/>
        </w:rPr>
        <w:fldChar w:fldCharType="separate"/>
      </w:r>
      <w:r w:rsidR="00302DB2">
        <w:rPr>
          <w:noProof/>
        </w:rPr>
        <w:t>153</w:t>
      </w:r>
      <w:r>
        <w:rPr>
          <w:noProof/>
        </w:rPr>
        <w:fldChar w:fldCharType="end"/>
      </w:r>
    </w:p>
    <w:p w14:paraId="1774736A" w14:textId="24FF46F1" w:rsidR="007931CC" w:rsidRDefault="007931CC">
      <w:pPr>
        <w:pStyle w:val="TOC5"/>
        <w:rPr>
          <w:rFonts w:asciiTheme="minorHAnsi" w:eastAsiaTheme="minorEastAsia" w:hAnsiTheme="minorHAnsi" w:cstheme="minorBidi"/>
          <w:noProof/>
          <w:kern w:val="0"/>
          <w:sz w:val="22"/>
          <w:szCs w:val="22"/>
        </w:rPr>
      </w:pPr>
      <w:r>
        <w:rPr>
          <w:noProof/>
        </w:rPr>
        <w:t>46  Reports of international value transfer services</w:t>
      </w:r>
      <w:r>
        <w:rPr>
          <w:noProof/>
        </w:rPr>
        <w:tab/>
      </w:r>
      <w:r>
        <w:rPr>
          <w:noProof/>
        </w:rPr>
        <w:fldChar w:fldCharType="begin"/>
      </w:r>
      <w:r>
        <w:rPr>
          <w:noProof/>
        </w:rPr>
        <w:instrText xml:space="preserve"> PAGEREF _Toc185415802 \h </w:instrText>
      </w:r>
      <w:r>
        <w:rPr>
          <w:noProof/>
        </w:rPr>
      </w:r>
      <w:r>
        <w:rPr>
          <w:noProof/>
        </w:rPr>
        <w:fldChar w:fldCharType="separate"/>
      </w:r>
      <w:r w:rsidR="00302DB2">
        <w:rPr>
          <w:noProof/>
        </w:rPr>
        <w:t>153</w:t>
      </w:r>
      <w:r>
        <w:rPr>
          <w:noProof/>
        </w:rPr>
        <w:fldChar w:fldCharType="end"/>
      </w:r>
    </w:p>
    <w:p w14:paraId="697C75C8" w14:textId="77FFE04E" w:rsidR="007931CC" w:rsidRDefault="007931CC">
      <w:pPr>
        <w:pStyle w:val="TOC5"/>
        <w:rPr>
          <w:rFonts w:asciiTheme="minorHAnsi" w:eastAsiaTheme="minorEastAsia" w:hAnsiTheme="minorHAnsi" w:cstheme="minorBidi"/>
          <w:noProof/>
          <w:kern w:val="0"/>
          <w:sz w:val="22"/>
          <w:szCs w:val="22"/>
        </w:rPr>
      </w:pPr>
      <w:r>
        <w:rPr>
          <w:noProof/>
        </w:rPr>
        <w:t>46A  Reports of transfers of value involving unverified self</w:t>
      </w:r>
      <w:r>
        <w:rPr>
          <w:noProof/>
        </w:rPr>
        <w:noBreakHyphen/>
        <w:t>hosted virtual asset wallets</w:t>
      </w:r>
      <w:r>
        <w:rPr>
          <w:noProof/>
        </w:rPr>
        <w:tab/>
      </w:r>
      <w:r>
        <w:rPr>
          <w:noProof/>
        </w:rPr>
        <w:fldChar w:fldCharType="begin"/>
      </w:r>
      <w:r>
        <w:rPr>
          <w:noProof/>
        </w:rPr>
        <w:instrText xml:space="preserve"> PAGEREF _Toc185415803 \h </w:instrText>
      </w:r>
      <w:r>
        <w:rPr>
          <w:noProof/>
        </w:rPr>
      </w:r>
      <w:r>
        <w:rPr>
          <w:noProof/>
        </w:rPr>
        <w:fldChar w:fldCharType="separate"/>
      </w:r>
      <w:r w:rsidR="00302DB2">
        <w:rPr>
          <w:noProof/>
        </w:rPr>
        <w:t>155</w:t>
      </w:r>
      <w:r>
        <w:rPr>
          <w:noProof/>
        </w:rPr>
        <w:fldChar w:fldCharType="end"/>
      </w:r>
    </w:p>
    <w:p w14:paraId="66BF7669" w14:textId="5EDF001A" w:rsidR="007931CC" w:rsidRDefault="007931CC">
      <w:pPr>
        <w:pStyle w:val="TOC3"/>
        <w:rPr>
          <w:rFonts w:asciiTheme="minorHAnsi" w:eastAsiaTheme="minorEastAsia" w:hAnsiTheme="minorHAnsi" w:cstheme="minorBidi"/>
          <w:b w:val="0"/>
          <w:noProof/>
          <w:kern w:val="0"/>
          <w:szCs w:val="22"/>
        </w:rPr>
      </w:pPr>
      <w:r>
        <w:rPr>
          <w:noProof/>
        </w:rPr>
        <w:t>Division 5—AML/CTF compliance reports</w:t>
      </w:r>
      <w:r>
        <w:rPr>
          <w:noProof/>
        </w:rPr>
        <w:tab/>
      </w:r>
      <w:r>
        <w:rPr>
          <w:noProof/>
        </w:rPr>
        <w:fldChar w:fldCharType="begin"/>
      </w:r>
      <w:r>
        <w:rPr>
          <w:noProof/>
        </w:rPr>
        <w:instrText xml:space="preserve"> PAGEREF _Toc185415804 \h </w:instrText>
      </w:r>
      <w:r>
        <w:rPr>
          <w:noProof/>
        </w:rPr>
      </w:r>
      <w:r>
        <w:rPr>
          <w:noProof/>
        </w:rPr>
        <w:fldChar w:fldCharType="separate"/>
      </w:r>
      <w:r w:rsidR="00302DB2">
        <w:rPr>
          <w:noProof/>
        </w:rPr>
        <w:t>157</w:t>
      </w:r>
      <w:r>
        <w:rPr>
          <w:noProof/>
        </w:rPr>
        <w:fldChar w:fldCharType="end"/>
      </w:r>
    </w:p>
    <w:p w14:paraId="5A2E848B" w14:textId="0CFD00ED" w:rsidR="007931CC" w:rsidRDefault="007931CC">
      <w:pPr>
        <w:pStyle w:val="TOC5"/>
        <w:rPr>
          <w:rFonts w:asciiTheme="minorHAnsi" w:eastAsiaTheme="minorEastAsia" w:hAnsiTheme="minorHAnsi" w:cstheme="minorBidi"/>
          <w:noProof/>
          <w:kern w:val="0"/>
          <w:sz w:val="22"/>
          <w:szCs w:val="22"/>
        </w:rPr>
      </w:pPr>
      <w:r>
        <w:rPr>
          <w:noProof/>
        </w:rPr>
        <w:t>47  AML/CTF compliance reports</w:t>
      </w:r>
      <w:r>
        <w:rPr>
          <w:noProof/>
        </w:rPr>
        <w:tab/>
      </w:r>
      <w:r>
        <w:rPr>
          <w:noProof/>
        </w:rPr>
        <w:fldChar w:fldCharType="begin"/>
      </w:r>
      <w:r>
        <w:rPr>
          <w:noProof/>
        </w:rPr>
        <w:instrText xml:space="preserve"> PAGEREF _Toc185415805 \h </w:instrText>
      </w:r>
      <w:r>
        <w:rPr>
          <w:noProof/>
        </w:rPr>
      </w:r>
      <w:r>
        <w:rPr>
          <w:noProof/>
        </w:rPr>
        <w:fldChar w:fldCharType="separate"/>
      </w:r>
      <w:r w:rsidR="00302DB2">
        <w:rPr>
          <w:noProof/>
        </w:rPr>
        <w:t>157</w:t>
      </w:r>
      <w:r>
        <w:rPr>
          <w:noProof/>
        </w:rPr>
        <w:fldChar w:fldCharType="end"/>
      </w:r>
    </w:p>
    <w:p w14:paraId="459F9FA3" w14:textId="220256B8" w:rsidR="007931CC" w:rsidRDefault="007931CC">
      <w:pPr>
        <w:pStyle w:val="TOC5"/>
        <w:rPr>
          <w:rFonts w:asciiTheme="minorHAnsi" w:eastAsiaTheme="minorEastAsia" w:hAnsiTheme="minorHAnsi" w:cstheme="minorBidi"/>
          <w:noProof/>
          <w:kern w:val="0"/>
          <w:sz w:val="22"/>
          <w:szCs w:val="22"/>
        </w:rPr>
      </w:pPr>
      <w:r>
        <w:rPr>
          <w:noProof/>
        </w:rPr>
        <w:t>48  Self</w:t>
      </w:r>
      <w:r>
        <w:rPr>
          <w:noProof/>
        </w:rPr>
        <w:noBreakHyphen/>
        <w:t>incrimination</w:t>
      </w:r>
      <w:r>
        <w:rPr>
          <w:noProof/>
        </w:rPr>
        <w:tab/>
      </w:r>
      <w:r>
        <w:rPr>
          <w:noProof/>
        </w:rPr>
        <w:fldChar w:fldCharType="begin"/>
      </w:r>
      <w:r>
        <w:rPr>
          <w:noProof/>
        </w:rPr>
        <w:instrText xml:space="preserve"> PAGEREF _Toc185415806 \h </w:instrText>
      </w:r>
      <w:r>
        <w:rPr>
          <w:noProof/>
        </w:rPr>
      </w:r>
      <w:r>
        <w:rPr>
          <w:noProof/>
        </w:rPr>
        <w:fldChar w:fldCharType="separate"/>
      </w:r>
      <w:r w:rsidR="00302DB2">
        <w:rPr>
          <w:noProof/>
        </w:rPr>
        <w:t>158</w:t>
      </w:r>
      <w:r>
        <w:rPr>
          <w:noProof/>
        </w:rPr>
        <w:fldChar w:fldCharType="end"/>
      </w:r>
    </w:p>
    <w:p w14:paraId="17BC1393" w14:textId="0DEA4781" w:rsidR="007931CC" w:rsidRDefault="007931CC">
      <w:pPr>
        <w:pStyle w:val="TOC3"/>
        <w:rPr>
          <w:rFonts w:asciiTheme="minorHAnsi" w:eastAsiaTheme="minorEastAsia" w:hAnsiTheme="minorHAnsi" w:cstheme="minorBidi"/>
          <w:b w:val="0"/>
          <w:noProof/>
          <w:kern w:val="0"/>
          <w:szCs w:val="22"/>
        </w:rPr>
      </w:pPr>
      <w:r>
        <w:rPr>
          <w:noProof/>
        </w:rPr>
        <w:t>Division 6—General provisions</w:t>
      </w:r>
      <w:r>
        <w:rPr>
          <w:noProof/>
        </w:rPr>
        <w:tab/>
      </w:r>
      <w:r>
        <w:rPr>
          <w:noProof/>
        </w:rPr>
        <w:fldChar w:fldCharType="begin"/>
      </w:r>
      <w:r>
        <w:rPr>
          <w:noProof/>
        </w:rPr>
        <w:instrText xml:space="preserve"> PAGEREF _Toc185415807 \h </w:instrText>
      </w:r>
      <w:r>
        <w:rPr>
          <w:noProof/>
        </w:rPr>
      </w:r>
      <w:r>
        <w:rPr>
          <w:noProof/>
        </w:rPr>
        <w:fldChar w:fldCharType="separate"/>
      </w:r>
      <w:r w:rsidR="00302DB2">
        <w:rPr>
          <w:noProof/>
        </w:rPr>
        <w:t>159</w:t>
      </w:r>
      <w:r>
        <w:rPr>
          <w:noProof/>
        </w:rPr>
        <w:fldChar w:fldCharType="end"/>
      </w:r>
    </w:p>
    <w:p w14:paraId="25479C56" w14:textId="121BAFDC" w:rsidR="007931CC" w:rsidRDefault="007931CC">
      <w:pPr>
        <w:pStyle w:val="TOC5"/>
        <w:rPr>
          <w:rFonts w:asciiTheme="minorHAnsi" w:eastAsiaTheme="minorEastAsia" w:hAnsiTheme="minorHAnsi" w:cstheme="minorBidi"/>
          <w:noProof/>
          <w:kern w:val="0"/>
          <w:sz w:val="22"/>
          <w:szCs w:val="22"/>
        </w:rPr>
      </w:pPr>
      <w:r>
        <w:rPr>
          <w:noProof/>
        </w:rPr>
        <w:t>48A  Amending or withdrawing reports</w:t>
      </w:r>
      <w:r>
        <w:rPr>
          <w:noProof/>
        </w:rPr>
        <w:tab/>
      </w:r>
      <w:r>
        <w:rPr>
          <w:noProof/>
        </w:rPr>
        <w:fldChar w:fldCharType="begin"/>
      </w:r>
      <w:r>
        <w:rPr>
          <w:noProof/>
        </w:rPr>
        <w:instrText xml:space="preserve"> PAGEREF _Toc185415808 \h </w:instrText>
      </w:r>
      <w:r>
        <w:rPr>
          <w:noProof/>
        </w:rPr>
      </w:r>
      <w:r>
        <w:rPr>
          <w:noProof/>
        </w:rPr>
        <w:fldChar w:fldCharType="separate"/>
      </w:r>
      <w:r w:rsidR="00302DB2">
        <w:rPr>
          <w:noProof/>
        </w:rPr>
        <w:t>159</w:t>
      </w:r>
      <w:r>
        <w:rPr>
          <w:noProof/>
        </w:rPr>
        <w:fldChar w:fldCharType="end"/>
      </w:r>
    </w:p>
    <w:p w14:paraId="47454FFB" w14:textId="7C914EE0" w:rsidR="007931CC" w:rsidRDefault="007931CC">
      <w:pPr>
        <w:pStyle w:val="TOC5"/>
        <w:rPr>
          <w:rFonts w:asciiTheme="minorHAnsi" w:eastAsiaTheme="minorEastAsia" w:hAnsiTheme="minorHAnsi" w:cstheme="minorBidi"/>
          <w:noProof/>
          <w:kern w:val="0"/>
          <w:sz w:val="22"/>
          <w:szCs w:val="22"/>
        </w:rPr>
      </w:pPr>
      <w:r>
        <w:rPr>
          <w:noProof/>
        </w:rPr>
        <w:t>49  Further information to be given to the AUSTRAC CEO etc.</w:t>
      </w:r>
      <w:r>
        <w:rPr>
          <w:noProof/>
        </w:rPr>
        <w:tab/>
      </w:r>
      <w:r>
        <w:rPr>
          <w:noProof/>
        </w:rPr>
        <w:fldChar w:fldCharType="begin"/>
      </w:r>
      <w:r>
        <w:rPr>
          <w:noProof/>
        </w:rPr>
        <w:instrText xml:space="preserve"> PAGEREF _Toc185415809 \h </w:instrText>
      </w:r>
      <w:r>
        <w:rPr>
          <w:noProof/>
        </w:rPr>
      </w:r>
      <w:r>
        <w:rPr>
          <w:noProof/>
        </w:rPr>
        <w:fldChar w:fldCharType="separate"/>
      </w:r>
      <w:r w:rsidR="00302DB2">
        <w:rPr>
          <w:noProof/>
        </w:rPr>
        <w:t>159</w:t>
      </w:r>
      <w:r>
        <w:rPr>
          <w:noProof/>
        </w:rPr>
        <w:fldChar w:fldCharType="end"/>
      </w:r>
    </w:p>
    <w:p w14:paraId="491A27A0" w14:textId="2C315FA7" w:rsidR="007931CC" w:rsidRDefault="007931CC">
      <w:pPr>
        <w:pStyle w:val="TOC5"/>
        <w:rPr>
          <w:rFonts w:asciiTheme="minorHAnsi" w:eastAsiaTheme="minorEastAsia" w:hAnsiTheme="minorHAnsi" w:cstheme="minorBidi"/>
          <w:noProof/>
          <w:kern w:val="0"/>
          <w:sz w:val="22"/>
          <w:szCs w:val="22"/>
        </w:rPr>
      </w:pPr>
      <w:r>
        <w:rPr>
          <w:noProof/>
        </w:rPr>
        <w:t>49A  AML/CTF Rules may make provision in relation to reports by registered remittance affiliates</w:t>
      </w:r>
      <w:r>
        <w:rPr>
          <w:noProof/>
        </w:rPr>
        <w:tab/>
      </w:r>
      <w:r>
        <w:rPr>
          <w:noProof/>
        </w:rPr>
        <w:fldChar w:fldCharType="begin"/>
      </w:r>
      <w:r>
        <w:rPr>
          <w:noProof/>
        </w:rPr>
        <w:instrText xml:space="preserve"> PAGEREF _Toc185415810 \h </w:instrText>
      </w:r>
      <w:r>
        <w:rPr>
          <w:noProof/>
        </w:rPr>
      </w:r>
      <w:r>
        <w:rPr>
          <w:noProof/>
        </w:rPr>
        <w:fldChar w:fldCharType="separate"/>
      </w:r>
      <w:r w:rsidR="00302DB2">
        <w:rPr>
          <w:noProof/>
        </w:rPr>
        <w:t>161</w:t>
      </w:r>
      <w:r>
        <w:rPr>
          <w:noProof/>
        </w:rPr>
        <w:fldChar w:fldCharType="end"/>
      </w:r>
    </w:p>
    <w:p w14:paraId="0B6EFDFE" w14:textId="1923FC4A" w:rsidR="007931CC" w:rsidRDefault="007931CC">
      <w:pPr>
        <w:pStyle w:val="TOC5"/>
        <w:rPr>
          <w:rFonts w:asciiTheme="minorHAnsi" w:eastAsiaTheme="minorEastAsia" w:hAnsiTheme="minorHAnsi" w:cstheme="minorBidi"/>
          <w:noProof/>
          <w:kern w:val="0"/>
          <w:sz w:val="22"/>
          <w:szCs w:val="22"/>
        </w:rPr>
      </w:pPr>
      <w:r>
        <w:rPr>
          <w:noProof/>
        </w:rPr>
        <w:t>49B  Notice to obtain information or documents in certain circumstances</w:t>
      </w:r>
      <w:r>
        <w:rPr>
          <w:noProof/>
        </w:rPr>
        <w:tab/>
      </w:r>
      <w:r>
        <w:rPr>
          <w:noProof/>
        </w:rPr>
        <w:fldChar w:fldCharType="begin"/>
      </w:r>
      <w:r>
        <w:rPr>
          <w:noProof/>
        </w:rPr>
        <w:instrText xml:space="preserve"> PAGEREF _Toc185415811 \h </w:instrText>
      </w:r>
      <w:r>
        <w:rPr>
          <w:noProof/>
        </w:rPr>
      </w:r>
      <w:r>
        <w:rPr>
          <w:noProof/>
        </w:rPr>
        <w:fldChar w:fldCharType="separate"/>
      </w:r>
      <w:r w:rsidR="00302DB2">
        <w:rPr>
          <w:noProof/>
        </w:rPr>
        <w:t>162</w:t>
      </w:r>
      <w:r>
        <w:rPr>
          <w:noProof/>
        </w:rPr>
        <w:fldChar w:fldCharType="end"/>
      </w:r>
    </w:p>
    <w:p w14:paraId="3C12BD16" w14:textId="4C0AE479" w:rsidR="007931CC" w:rsidRDefault="007931CC">
      <w:pPr>
        <w:pStyle w:val="TOC5"/>
        <w:rPr>
          <w:rFonts w:asciiTheme="minorHAnsi" w:eastAsiaTheme="minorEastAsia" w:hAnsiTheme="minorHAnsi" w:cstheme="minorBidi"/>
          <w:noProof/>
          <w:kern w:val="0"/>
          <w:sz w:val="22"/>
          <w:szCs w:val="22"/>
        </w:rPr>
      </w:pPr>
      <w:r>
        <w:rPr>
          <w:noProof/>
        </w:rPr>
        <w:t>49C  Authorisation to obtain information or documents in certain circumstances</w:t>
      </w:r>
      <w:r>
        <w:rPr>
          <w:noProof/>
        </w:rPr>
        <w:tab/>
      </w:r>
      <w:r>
        <w:rPr>
          <w:noProof/>
        </w:rPr>
        <w:fldChar w:fldCharType="begin"/>
      </w:r>
      <w:r>
        <w:rPr>
          <w:noProof/>
        </w:rPr>
        <w:instrText xml:space="preserve"> PAGEREF _Toc185415812 \h </w:instrText>
      </w:r>
      <w:r>
        <w:rPr>
          <w:noProof/>
        </w:rPr>
      </w:r>
      <w:r>
        <w:rPr>
          <w:noProof/>
        </w:rPr>
        <w:fldChar w:fldCharType="separate"/>
      </w:r>
      <w:r w:rsidR="00302DB2">
        <w:rPr>
          <w:noProof/>
        </w:rPr>
        <w:t>164</w:t>
      </w:r>
      <w:r>
        <w:rPr>
          <w:noProof/>
        </w:rPr>
        <w:fldChar w:fldCharType="end"/>
      </w:r>
    </w:p>
    <w:p w14:paraId="35ECB73B" w14:textId="6C19398D" w:rsidR="007931CC" w:rsidRDefault="007931CC">
      <w:pPr>
        <w:pStyle w:val="TOC5"/>
        <w:rPr>
          <w:rFonts w:asciiTheme="minorHAnsi" w:eastAsiaTheme="minorEastAsia" w:hAnsiTheme="minorHAnsi" w:cstheme="minorBidi"/>
          <w:noProof/>
          <w:kern w:val="0"/>
          <w:sz w:val="22"/>
          <w:szCs w:val="22"/>
        </w:rPr>
      </w:pPr>
      <w:r>
        <w:rPr>
          <w:noProof/>
        </w:rPr>
        <w:t>50  Request to obtain information about the identity of holders of foreign credit cards and foreign debit cards</w:t>
      </w:r>
      <w:r>
        <w:rPr>
          <w:noProof/>
        </w:rPr>
        <w:tab/>
      </w:r>
      <w:r>
        <w:rPr>
          <w:noProof/>
        </w:rPr>
        <w:fldChar w:fldCharType="begin"/>
      </w:r>
      <w:r>
        <w:rPr>
          <w:noProof/>
        </w:rPr>
        <w:instrText xml:space="preserve"> PAGEREF _Toc185415813 \h </w:instrText>
      </w:r>
      <w:r>
        <w:rPr>
          <w:noProof/>
        </w:rPr>
      </w:r>
      <w:r>
        <w:rPr>
          <w:noProof/>
        </w:rPr>
        <w:fldChar w:fldCharType="separate"/>
      </w:r>
      <w:r w:rsidR="00302DB2">
        <w:rPr>
          <w:noProof/>
        </w:rPr>
        <w:t>165</w:t>
      </w:r>
      <w:r>
        <w:rPr>
          <w:noProof/>
        </w:rPr>
        <w:fldChar w:fldCharType="end"/>
      </w:r>
    </w:p>
    <w:p w14:paraId="553E1BCA" w14:textId="0BA2787D" w:rsidR="007931CC" w:rsidRDefault="007931CC">
      <w:pPr>
        <w:pStyle w:val="TOC5"/>
        <w:rPr>
          <w:rFonts w:asciiTheme="minorHAnsi" w:eastAsiaTheme="minorEastAsia" w:hAnsiTheme="minorHAnsi" w:cstheme="minorBidi"/>
          <w:noProof/>
          <w:kern w:val="0"/>
          <w:sz w:val="22"/>
          <w:szCs w:val="22"/>
        </w:rPr>
      </w:pPr>
      <w:r>
        <w:rPr>
          <w:noProof/>
        </w:rPr>
        <w:t>50A  Secrecy—information obtained under section 49, 49B or 49C</w:t>
      </w:r>
      <w:r>
        <w:rPr>
          <w:noProof/>
        </w:rPr>
        <w:tab/>
      </w:r>
      <w:r>
        <w:rPr>
          <w:noProof/>
        </w:rPr>
        <w:fldChar w:fldCharType="begin"/>
      </w:r>
      <w:r>
        <w:rPr>
          <w:noProof/>
        </w:rPr>
        <w:instrText xml:space="preserve"> PAGEREF _Toc185415814 \h </w:instrText>
      </w:r>
      <w:r>
        <w:rPr>
          <w:noProof/>
        </w:rPr>
      </w:r>
      <w:r>
        <w:rPr>
          <w:noProof/>
        </w:rPr>
        <w:fldChar w:fldCharType="separate"/>
      </w:r>
      <w:r w:rsidR="00302DB2">
        <w:rPr>
          <w:noProof/>
        </w:rPr>
        <w:t>167</w:t>
      </w:r>
      <w:r>
        <w:rPr>
          <w:noProof/>
        </w:rPr>
        <w:fldChar w:fldCharType="end"/>
      </w:r>
    </w:p>
    <w:p w14:paraId="4ABCE78E" w14:textId="3D7A9F9C" w:rsidR="007931CC" w:rsidRDefault="007931CC">
      <w:pPr>
        <w:pStyle w:val="TOC5"/>
        <w:rPr>
          <w:rFonts w:asciiTheme="minorHAnsi" w:eastAsiaTheme="minorEastAsia" w:hAnsiTheme="minorHAnsi" w:cstheme="minorBidi"/>
          <w:noProof/>
          <w:kern w:val="0"/>
          <w:sz w:val="22"/>
          <w:szCs w:val="22"/>
        </w:rPr>
      </w:pPr>
      <w:r>
        <w:rPr>
          <w:noProof/>
        </w:rPr>
        <w:t xml:space="preserve">51  Division 400 and Chapter 5 of the </w:t>
      </w:r>
      <w:r w:rsidRPr="00540F8C">
        <w:rPr>
          <w:i/>
          <w:noProof/>
        </w:rPr>
        <w:t>Criminal Code</w:t>
      </w:r>
      <w:r>
        <w:rPr>
          <w:noProof/>
        </w:rPr>
        <w:tab/>
      </w:r>
      <w:r>
        <w:rPr>
          <w:noProof/>
        </w:rPr>
        <w:fldChar w:fldCharType="begin"/>
      </w:r>
      <w:r>
        <w:rPr>
          <w:noProof/>
        </w:rPr>
        <w:instrText xml:space="preserve"> PAGEREF _Toc185415815 \h </w:instrText>
      </w:r>
      <w:r>
        <w:rPr>
          <w:noProof/>
        </w:rPr>
      </w:r>
      <w:r>
        <w:rPr>
          <w:noProof/>
        </w:rPr>
        <w:fldChar w:fldCharType="separate"/>
      </w:r>
      <w:r w:rsidR="00302DB2">
        <w:rPr>
          <w:noProof/>
        </w:rPr>
        <w:t>168</w:t>
      </w:r>
      <w:r>
        <w:rPr>
          <w:noProof/>
        </w:rPr>
        <w:fldChar w:fldCharType="end"/>
      </w:r>
    </w:p>
    <w:p w14:paraId="4C0BFDE3" w14:textId="46E28D00" w:rsidR="007931CC" w:rsidRDefault="007931CC">
      <w:pPr>
        <w:pStyle w:val="TOC2"/>
        <w:rPr>
          <w:rFonts w:asciiTheme="minorHAnsi" w:eastAsiaTheme="minorEastAsia" w:hAnsiTheme="minorHAnsi" w:cstheme="minorBidi"/>
          <w:b w:val="0"/>
          <w:noProof/>
          <w:kern w:val="0"/>
          <w:sz w:val="22"/>
          <w:szCs w:val="22"/>
        </w:rPr>
      </w:pPr>
      <w:r>
        <w:rPr>
          <w:noProof/>
        </w:rPr>
        <w:t>Part 3A—Reporting Entities Roll</w:t>
      </w:r>
      <w:r>
        <w:rPr>
          <w:noProof/>
        </w:rPr>
        <w:tab/>
      </w:r>
      <w:r>
        <w:rPr>
          <w:noProof/>
        </w:rPr>
        <w:fldChar w:fldCharType="begin"/>
      </w:r>
      <w:r>
        <w:rPr>
          <w:noProof/>
        </w:rPr>
        <w:instrText xml:space="preserve"> PAGEREF _Toc185415816 \h </w:instrText>
      </w:r>
      <w:r>
        <w:rPr>
          <w:noProof/>
        </w:rPr>
      </w:r>
      <w:r>
        <w:rPr>
          <w:noProof/>
        </w:rPr>
        <w:fldChar w:fldCharType="separate"/>
      </w:r>
      <w:r w:rsidR="00302DB2">
        <w:rPr>
          <w:noProof/>
        </w:rPr>
        <w:t>169</w:t>
      </w:r>
      <w:r>
        <w:rPr>
          <w:noProof/>
        </w:rPr>
        <w:fldChar w:fldCharType="end"/>
      </w:r>
    </w:p>
    <w:p w14:paraId="0317DC5D" w14:textId="75D37F15" w:rsidR="007931CC" w:rsidRDefault="007931CC">
      <w:pPr>
        <w:pStyle w:val="TOC5"/>
        <w:rPr>
          <w:rFonts w:asciiTheme="minorHAnsi" w:eastAsiaTheme="minorEastAsia" w:hAnsiTheme="minorHAnsi" w:cstheme="minorBidi"/>
          <w:noProof/>
          <w:kern w:val="0"/>
          <w:sz w:val="22"/>
          <w:szCs w:val="22"/>
        </w:rPr>
      </w:pPr>
      <w:r>
        <w:rPr>
          <w:noProof/>
        </w:rPr>
        <w:t>51A  Simplified outline</w:t>
      </w:r>
      <w:r>
        <w:rPr>
          <w:noProof/>
        </w:rPr>
        <w:tab/>
      </w:r>
      <w:r>
        <w:rPr>
          <w:noProof/>
        </w:rPr>
        <w:fldChar w:fldCharType="begin"/>
      </w:r>
      <w:r>
        <w:rPr>
          <w:noProof/>
        </w:rPr>
        <w:instrText xml:space="preserve"> PAGEREF _Toc185415817 \h </w:instrText>
      </w:r>
      <w:r>
        <w:rPr>
          <w:noProof/>
        </w:rPr>
      </w:r>
      <w:r>
        <w:rPr>
          <w:noProof/>
        </w:rPr>
        <w:fldChar w:fldCharType="separate"/>
      </w:r>
      <w:r w:rsidR="00302DB2">
        <w:rPr>
          <w:noProof/>
        </w:rPr>
        <w:t>169</w:t>
      </w:r>
      <w:r>
        <w:rPr>
          <w:noProof/>
        </w:rPr>
        <w:fldChar w:fldCharType="end"/>
      </w:r>
    </w:p>
    <w:p w14:paraId="456D88AB" w14:textId="3D3A720F" w:rsidR="007931CC" w:rsidRDefault="007931CC">
      <w:pPr>
        <w:pStyle w:val="TOC5"/>
        <w:rPr>
          <w:rFonts w:asciiTheme="minorHAnsi" w:eastAsiaTheme="minorEastAsia" w:hAnsiTheme="minorHAnsi" w:cstheme="minorBidi"/>
          <w:noProof/>
          <w:kern w:val="0"/>
          <w:sz w:val="22"/>
          <w:szCs w:val="22"/>
        </w:rPr>
      </w:pPr>
      <w:r>
        <w:rPr>
          <w:noProof/>
        </w:rPr>
        <w:t>51B  Reporting entities must enrol</w:t>
      </w:r>
      <w:r>
        <w:rPr>
          <w:noProof/>
        </w:rPr>
        <w:tab/>
      </w:r>
      <w:r>
        <w:rPr>
          <w:noProof/>
        </w:rPr>
        <w:fldChar w:fldCharType="begin"/>
      </w:r>
      <w:r>
        <w:rPr>
          <w:noProof/>
        </w:rPr>
        <w:instrText xml:space="preserve"> PAGEREF _Toc185415818 \h </w:instrText>
      </w:r>
      <w:r>
        <w:rPr>
          <w:noProof/>
        </w:rPr>
      </w:r>
      <w:r>
        <w:rPr>
          <w:noProof/>
        </w:rPr>
        <w:fldChar w:fldCharType="separate"/>
      </w:r>
      <w:r w:rsidR="00302DB2">
        <w:rPr>
          <w:noProof/>
        </w:rPr>
        <w:t>169</w:t>
      </w:r>
      <w:r>
        <w:rPr>
          <w:noProof/>
        </w:rPr>
        <w:fldChar w:fldCharType="end"/>
      </w:r>
    </w:p>
    <w:p w14:paraId="1620DA66" w14:textId="73D6255F" w:rsidR="007931CC" w:rsidRDefault="007931CC">
      <w:pPr>
        <w:pStyle w:val="TOC5"/>
        <w:rPr>
          <w:rFonts w:asciiTheme="minorHAnsi" w:eastAsiaTheme="minorEastAsia" w:hAnsiTheme="minorHAnsi" w:cstheme="minorBidi"/>
          <w:noProof/>
          <w:kern w:val="0"/>
          <w:sz w:val="22"/>
          <w:szCs w:val="22"/>
        </w:rPr>
      </w:pPr>
      <w:r>
        <w:rPr>
          <w:noProof/>
        </w:rPr>
        <w:t>51C  Reporting Entities Roll</w:t>
      </w:r>
      <w:r>
        <w:rPr>
          <w:noProof/>
        </w:rPr>
        <w:tab/>
      </w:r>
      <w:r>
        <w:rPr>
          <w:noProof/>
        </w:rPr>
        <w:fldChar w:fldCharType="begin"/>
      </w:r>
      <w:r>
        <w:rPr>
          <w:noProof/>
        </w:rPr>
        <w:instrText xml:space="preserve"> PAGEREF _Toc185415819 \h </w:instrText>
      </w:r>
      <w:r>
        <w:rPr>
          <w:noProof/>
        </w:rPr>
      </w:r>
      <w:r>
        <w:rPr>
          <w:noProof/>
        </w:rPr>
        <w:fldChar w:fldCharType="separate"/>
      </w:r>
      <w:r w:rsidR="00302DB2">
        <w:rPr>
          <w:noProof/>
        </w:rPr>
        <w:t>170</w:t>
      </w:r>
      <w:r>
        <w:rPr>
          <w:noProof/>
        </w:rPr>
        <w:fldChar w:fldCharType="end"/>
      </w:r>
    </w:p>
    <w:p w14:paraId="0567301C" w14:textId="256382EC" w:rsidR="007931CC" w:rsidRDefault="007931CC">
      <w:pPr>
        <w:pStyle w:val="TOC5"/>
        <w:rPr>
          <w:rFonts w:asciiTheme="minorHAnsi" w:eastAsiaTheme="minorEastAsia" w:hAnsiTheme="minorHAnsi" w:cstheme="minorBidi"/>
          <w:noProof/>
          <w:kern w:val="0"/>
          <w:sz w:val="22"/>
          <w:szCs w:val="22"/>
        </w:rPr>
      </w:pPr>
      <w:r>
        <w:rPr>
          <w:noProof/>
        </w:rPr>
        <w:t>51D  Enrolment</w:t>
      </w:r>
      <w:r>
        <w:rPr>
          <w:noProof/>
        </w:rPr>
        <w:tab/>
      </w:r>
      <w:r>
        <w:rPr>
          <w:noProof/>
        </w:rPr>
        <w:fldChar w:fldCharType="begin"/>
      </w:r>
      <w:r>
        <w:rPr>
          <w:noProof/>
        </w:rPr>
        <w:instrText xml:space="preserve"> PAGEREF _Toc185415820 \h </w:instrText>
      </w:r>
      <w:r>
        <w:rPr>
          <w:noProof/>
        </w:rPr>
      </w:r>
      <w:r>
        <w:rPr>
          <w:noProof/>
        </w:rPr>
        <w:fldChar w:fldCharType="separate"/>
      </w:r>
      <w:r w:rsidR="00302DB2">
        <w:rPr>
          <w:noProof/>
        </w:rPr>
        <w:t>171</w:t>
      </w:r>
      <w:r>
        <w:rPr>
          <w:noProof/>
        </w:rPr>
        <w:fldChar w:fldCharType="end"/>
      </w:r>
    </w:p>
    <w:p w14:paraId="62AD465C" w14:textId="7292F597" w:rsidR="007931CC" w:rsidRDefault="007931CC">
      <w:pPr>
        <w:pStyle w:val="TOC5"/>
        <w:rPr>
          <w:rFonts w:asciiTheme="minorHAnsi" w:eastAsiaTheme="minorEastAsia" w:hAnsiTheme="minorHAnsi" w:cstheme="minorBidi"/>
          <w:noProof/>
          <w:kern w:val="0"/>
          <w:sz w:val="22"/>
          <w:szCs w:val="22"/>
        </w:rPr>
      </w:pPr>
      <w:r>
        <w:rPr>
          <w:noProof/>
        </w:rPr>
        <w:t>51E  Applications for enrolment</w:t>
      </w:r>
      <w:r>
        <w:rPr>
          <w:noProof/>
        </w:rPr>
        <w:tab/>
      </w:r>
      <w:r>
        <w:rPr>
          <w:noProof/>
        </w:rPr>
        <w:fldChar w:fldCharType="begin"/>
      </w:r>
      <w:r>
        <w:rPr>
          <w:noProof/>
        </w:rPr>
        <w:instrText xml:space="preserve"> PAGEREF _Toc185415821 \h </w:instrText>
      </w:r>
      <w:r>
        <w:rPr>
          <w:noProof/>
        </w:rPr>
      </w:r>
      <w:r>
        <w:rPr>
          <w:noProof/>
        </w:rPr>
        <w:fldChar w:fldCharType="separate"/>
      </w:r>
      <w:r w:rsidR="00302DB2">
        <w:rPr>
          <w:noProof/>
        </w:rPr>
        <w:t>171</w:t>
      </w:r>
      <w:r>
        <w:rPr>
          <w:noProof/>
        </w:rPr>
        <w:fldChar w:fldCharType="end"/>
      </w:r>
    </w:p>
    <w:p w14:paraId="2C712D5C" w14:textId="7F7D72F4" w:rsidR="007931CC" w:rsidRDefault="007931CC">
      <w:pPr>
        <w:pStyle w:val="TOC5"/>
        <w:rPr>
          <w:rFonts w:asciiTheme="minorHAnsi" w:eastAsiaTheme="minorEastAsia" w:hAnsiTheme="minorHAnsi" w:cstheme="minorBidi"/>
          <w:noProof/>
          <w:kern w:val="0"/>
          <w:sz w:val="22"/>
          <w:szCs w:val="22"/>
        </w:rPr>
      </w:pPr>
      <w:r>
        <w:rPr>
          <w:noProof/>
        </w:rPr>
        <w:t>51F  Enrolled persons to advise of change in enrolment details</w:t>
      </w:r>
      <w:r>
        <w:rPr>
          <w:noProof/>
        </w:rPr>
        <w:tab/>
      </w:r>
      <w:r>
        <w:rPr>
          <w:noProof/>
        </w:rPr>
        <w:fldChar w:fldCharType="begin"/>
      </w:r>
      <w:r>
        <w:rPr>
          <w:noProof/>
        </w:rPr>
        <w:instrText xml:space="preserve"> PAGEREF _Toc185415822 \h </w:instrText>
      </w:r>
      <w:r>
        <w:rPr>
          <w:noProof/>
        </w:rPr>
      </w:r>
      <w:r>
        <w:rPr>
          <w:noProof/>
        </w:rPr>
        <w:fldChar w:fldCharType="separate"/>
      </w:r>
      <w:r w:rsidR="00302DB2">
        <w:rPr>
          <w:noProof/>
        </w:rPr>
        <w:t>171</w:t>
      </w:r>
      <w:r>
        <w:rPr>
          <w:noProof/>
        </w:rPr>
        <w:fldChar w:fldCharType="end"/>
      </w:r>
    </w:p>
    <w:p w14:paraId="0CE5F885" w14:textId="1A00BBC5" w:rsidR="007931CC" w:rsidRDefault="007931CC">
      <w:pPr>
        <w:pStyle w:val="TOC5"/>
        <w:rPr>
          <w:rFonts w:asciiTheme="minorHAnsi" w:eastAsiaTheme="minorEastAsia" w:hAnsiTheme="minorHAnsi" w:cstheme="minorBidi"/>
          <w:noProof/>
          <w:kern w:val="0"/>
          <w:sz w:val="22"/>
          <w:szCs w:val="22"/>
        </w:rPr>
      </w:pPr>
      <w:r>
        <w:rPr>
          <w:noProof/>
        </w:rPr>
        <w:t>51G  Removal of entries from the Reporting Entities Roll</w:t>
      </w:r>
      <w:r>
        <w:rPr>
          <w:noProof/>
        </w:rPr>
        <w:tab/>
      </w:r>
      <w:r>
        <w:rPr>
          <w:noProof/>
        </w:rPr>
        <w:fldChar w:fldCharType="begin"/>
      </w:r>
      <w:r>
        <w:rPr>
          <w:noProof/>
        </w:rPr>
        <w:instrText xml:space="preserve"> PAGEREF _Toc185415823 \h </w:instrText>
      </w:r>
      <w:r>
        <w:rPr>
          <w:noProof/>
        </w:rPr>
      </w:r>
      <w:r>
        <w:rPr>
          <w:noProof/>
        </w:rPr>
        <w:fldChar w:fldCharType="separate"/>
      </w:r>
      <w:r w:rsidR="00302DB2">
        <w:rPr>
          <w:noProof/>
        </w:rPr>
        <w:t>172</w:t>
      </w:r>
      <w:r>
        <w:rPr>
          <w:noProof/>
        </w:rPr>
        <w:fldChar w:fldCharType="end"/>
      </w:r>
    </w:p>
    <w:p w14:paraId="6D7BAE7A" w14:textId="3A70FDA8" w:rsidR="007931CC" w:rsidRDefault="007931CC">
      <w:pPr>
        <w:pStyle w:val="TOC2"/>
        <w:rPr>
          <w:rFonts w:asciiTheme="minorHAnsi" w:eastAsiaTheme="minorEastAsia" w:hAnsiTheme="minorHAnsi" w:cstheme="minorBidi"/>
          <w:b w:val="0"/>
          <w:noProof/>
          <w:kern w:val="0"/>
          <w:sz w:val="22"/>
          <w:szCs w:val="22"/>
        </w:rPr>
      </w:pPr>
      <w:r>
        <w:rPr>
          <w:noProof/>
        </w:rPr>
        <w:t>Part 4—Reports about cross</w:t>
      </w:r>
      <w:r>
        <w:rPr>
          <w:noProof/>
        </w:rPr>
        <w:noBreakHyphen/>
        <w:t>border movements of monetary instruments</w:t>
      </w:r>
      <w:r>
        <w:rPr>
          <w:noProof/>
        </w:rPr>
        <w:tab/>
      </w:r>
      <w:r>
        <w:rPr>
          <w:noProof/>
        </w:rPr>
        <w:fldChar w:fldCharType="begin"/>
      </w:r>
      <w:r>
        <w:rPr>
          <w:noProof/>
        </w:rPr>
        <w:instrText xml:space="preserve"> PAGEREF _Toc185415824 \h </w:instrText>
      </w:r>
      <w:r>
        <w:rPr>
          <w:noProof/>
        </w:rPr>
      </w:r>
      <w:r>
        <w:rPr>
          <w:noProof/>
        </w:rPr>
        <w:fldChar w:fldCharType="separate"/>
      </w:r>
      <w:r w:rsidR="00302DB2">
        <w:rPr>
          <w:noProof/>
        </w:rPr>
        <w:t>173</w:t>
      </w:r>
      <w:r>
        <w:rPr>
          <w:noProof/>
        </w:rPr>
        <w:fldChar w:fldCharType="end"/>
      </w:r>
    </w:p>
    <w:p w14:paraId="3CE165F2" w14:textId="2BDE0125" w:rsidR="007931CC" w:rsidRDefault="007931CC">
      <w:pPr>
        <w:pStyle w:val="TOC3"/>
        <w:rPr>
          <w:rFonts w:asciiTheme="minorHAnsi" w:eastAsiaTheme="minorEastAsia" w:hAnsiTheme="minorHAnsi" w:cstheme="minorBidi"/>
          <w:b w:val="0"/>
          <w:noProof/>
          <w:kern w:val="0"/>
          <w:szCs w:val="22"/>
        </w:rPr>
      </w:pPr>
      <w:r>
        <w:rPr>
          <w:noProof/>
        </w:rPr>
        <w:t>Division 1—Simplified outline of this Part</w:t>
      </w:r>
      <w:r>
        <w:rPr>
          <w:noProof/>
        </w:rPr>
        <w:tab/>
      </w:r>
      <w:r>
        <w:rPr>
          <w:noProof/>
        </w:rPr>
        <w:fldChar w:fldCharType="begin"/>
      </w:r>
      <w:r>
        <w:rPr>
          <w:noProof/>
        </w:rPr>
        <w:instrText xml:space="preserve"> PAGEREF _Toc185415825 \h </w:instrText>
      </w:r>
      <w:r>
        <w:rPr>
          <w:noProof/>
        </w:rPr>
      </w:r>
      <w:r>
        <w:rPr>
          <w:noProof/>
        </w:rPr>
        <w:fldChar w:fldCharType="separate"/>
      </w:r>
      <w:r w:rsidR="00302DB2">
        <w:rPr>
          <w:noProof/>
        </w:rPr>
        <w:t>173</w:t>
      </w:r>
      <w:r>
        <w:rPr>
          <w:noProof/>
        </w:rPr>
        <w:fldChar w:fldCharType="end"/>
      </w:r>
    </w:p>
    <w:p w14:paraId="2E10D6D9" w14:textId="3FE1D795" w:rsidR="007931CC" w:rsidRDefault="007931CC">
      <w:pPr>
        <w:pStyle w:val="TOC5"/>
        <w:rPr>
          <w:rFonts w:asciiTheme="minorHAnsi" w:eastAsiaTheme="minorEastAsia" w:hAnsiTheme="minorHAnsi" w:cstheme="minorBidi"/>
          <w:noProof/>
          <w:kern w:val="0"/>
          <w:sz w:val="22"/>
          <w:szCs w:val="22"/>
        </w:rPr>
      </w:pPr>
      <w:r>
        <w:rPr>
          <w:noProof/>
        </w:rPr>
        <w:t>52  Simplified outline of this Part</w:t>
      </w:r>
      <w:r>
        <w:rPr>
          <w:noProof/>
        </w:rPr>
        <w:tab/>
      </w:r>
      <w:r>
        <w:rPr>
          <w:noProof/>
        </w:rPr>
        <w:fldChar w:fldCharType="begin"/>
      </w:r>
      <w:r>
        <w:rPr>
          <w:noProof/>
        </w:rPr>
        <w:instrText xml:space="preserve"> PAGEREF _Toc185415826 \h </w:instrText>
      </w:r>
      <w:r>
        <w:rPr>
          <w:noProof/>
        </w:rPr>
      </w:r>
      <w:r>
        <w:rPr>
          <w:noProof/>
        </w:rPr>
        <w:fldChar w:fldCharType="separate"/>
      </w:r>
      <w:r w:rsidR="00302DB2">
        <w:rPr>
          <w:noProof/>
        </w:rPr>
        <w:t>173</w:t>
      </w:r>
      <w:r>
        <w:rPr>
          <w:noProof/>
        </w:rPr>
        <w:fldChar w:fldCharType="end"/>
      </w:r>
    </w:p>
    <w:p w14:paraId="570F05D1" w14:textId="7CDC61F4" w:rsidR="007931CC" w:rsidRDefault="007931CC">
      <w:pPr>
        <w:pStyle w:val="TOC3"/>
        <w:rPr>
          <w:rFonts w:asciiTheme="minorHAnsi" w:eastAsiaTheme="minorEastAsia" w:hAnsiTheme="minorHAnsi" w:cstheme="minorBidi"/>
          <w:b w:val="0"/>
          <w:noProof/>
          <w:kern w:val="0"/>
          <w:szCs w:val="22"/>
        </w:rPr>
      </w:pPr>
      <w:r>
        <w:rPr>
          <w:noProof/>
        </w:rPr>
        <w:t>Division 2—Reports about monetary instruments</w:t>
      </w:r>
      <w:r>
        <w:rPr>
          <w:noProof/>
        </w:rPr>
        <w:tab/>
      </w:r>
      <w:r>
        <w:rPr>
          <w:noProof/>
        </w:rPr>
        <w:fldChar w:fldCharType="begin"/>
      </w:r>
      <w:r>
        <w:rPr>
          <w:noProof/>
        </w:rPr>
        <w:instrText xml:space="preserve"> PAGEREF _Toc185415827 \h </w:instrText>
      </w:r>
      <w:r>
        <w:rPr>
          <w:noProof/>
        </w:rPr>
      </w:r>
      <w:r>
        <w:rPr>
          <w:noProof/>
        </w:rPr>
        <w:fldChar w:fldCharType="separate"/>
      </w:r>
      <w:r w:rsidR="00302DB2">
        <w:rPr>
          <w:noProof/>
        </w:rPr>
        <w:t>174</w:t>
      </w:r>
      <w:r>
        <w:rPr>
          <w:noProof/>
        </w:rPr>
        <w:fldChar w:fldCharType="end"/>
      </w:r>
    </w:p>
    <w:p w14:paraId="765F0B99" w14:textId="703CCB5B" w:rsidR="007931CC" w:rsidRDefault="007931CC">
      <w:pPr>
        <w:pStyle w:val="TOC5"/>
        <w:rPr>
          <w:rFonts w:asciiTheme="minorHAnsi" w:eastAsiaTheme="minorEastAsia" w:hAnsiTheme="minorHAnsi" w:cstheme="minorBidi"/>
          <w:noProof/>
          <w:kern w:val="0"/>
          <w:sz w:val="22"/>
          <w:szCs w:val="22"/>
        </w:rPr>
      </w:pPr>
      <w:r>
        <w:rPr>
          <w:noProof/>
        </w:rPr>
        <w:t>53  Reports about movements of monetary instruments into or out of Australia</w:t>
      </w:r>
      <w:r>
        <w:rPr>
          <w:noProof/>
        </w:rPr>
        <w:tab/>
      </w:r>
      <w:r>
        <w:rPr>
          <w:noProof/>
        </w:rPr>
        <w:fldChar w:fldCharType="begin"/>
      </w:r>
      <w:r>
        <w:rPr>
          <w:noProof/>
        </w:rPr>
        <w:instrText xml:space="preserve"> PAGEREF _Toc185415828 \h </w:instrText>
      </w:r>
      <w:r>
        <w:rPr>
          <w:noProof/>
        </w:rPr>
      </w:r>
      <w:r>
        <w:rPr>
          <w:noProof/>
        </w:rPr>
        <w:fldChar w:fldCharType="separate"/>
      </w:r>
      <w:r w:rsidR="00302DB2">
        <w:rPr>
          <w:noProof/>
        </w:rPr>
        <w:t>174</w:t>
      </w:r>
      <w:r>
        <w:rPr>
          <w:noProof/>
        </w:rPr>
        <w:fldChar w:fldCharType="end"/>
      </w:r>
    </w:p>
    <w:p w14:paraId="374CE345" w14:textId="5BDBB554" w:rsidR="007931CC" w:rsidRDefault="007931CC">
      <w:pPr>
        <w:pStyle w:val="TOC5"/>
        <w:rPr>
          <w:rFonts w:asciiTheme="minorHAnsi" w:eastAsiaTheme="minorEastAsia" w:hAnsiTheme="minorHAnsi" w:cstheme="minorBidi"/>
          <w:noProof/>
          <w:kern w:val="0"/>
          <w:sz w:val="22"/>
          <w:szCs w:val="22"/>
        </w:rPr>
      </w:pPr>
      <w:r>
        <w:rPr>
          <w:noProof/>
        </w:rPr>
        <w:t>54  Reports about receipts of monetary instruments moved into Australia</w:t>
      </w:r>
      <w:r>
        <w:rPr>
          <w:noProof/>
        </w:rPr>
        <w:tab/>
      </w:r>
      <w:r>
        <w:rPr>
          <w:noProof/>
        </w:rPr>
        <w:fldChar w:fldCharType="begin"/>
      </w:r>
      <w:r>
        <w:rPr>
          <w:noProof/>
        </w:rPr>
        <w:instrText xml:space="preserve"> PAGEREF _Toc185415829 \h </w:instrText>
      </w:r>
      <w:r>
        <w:rPr>
          <w:noProof/>
        </w:rPr>
      </w:r>
      <w:r>
        <w:rPr>
          <w:noProof/>
        </w:rPr>
        <w:fldChar w:fldCharType="separate"/>
      </w:r>
      <w:r w:rsidR="00302DB2">
        <w:rPr>
          <w:noProof/>
        </w:rPr>
        <w:t>175</w:t>
      </w:r>
      <w:r>
        <w:rPr>
          <w:noProof/>
        </w:rPr>
        <w:fldChar w:fldCharType="end"/>
      </w:r>
    </w:p>
    <w:p w14:paraId="1BB79D1E" w14:textId="1A7BD1D3" w:rsidR="007931CC" w:rsidRDefault="007931CC">
      <w:pPr>
        <w:pStyle w:val="TOC5"/>
        <w:rPr>
          <w:rFonts w:asciiTheme="minorHAnsi" w:eastAsiaTheme="minorEastAsia" w:hAnsiTheme="minorHAnsi" w:cstheme="minorBidi"/>
          <w:noProof/>
          <w:kern w:val="0"/>
          <w:sz w:val="22"/>
          <w:szCs w:val="22"/>
        </w:rPr>
      </w:pPr>
      <w:r>
        <w:rPr>
          <w:noProof/>
        </w:rPr>
        <w:t>55  Movements of monetary instruments into Australia</w:t>
      </w:r>
      <w:r>
        <w:rPr>
          <w:noProof/>
        </w:rPr>
        <w:tab/>
      </w:r>
      <w:r>
        <w:rPr>
          <w:noProof/>
        </w:rPr>
        <w:fldChar w:fldCharType="begin"/>
      </w:r>
      <w:r>
        <w:rPr>
          <w:noProof/>
        </w:rPr>
        <w:instrText xml:space="preserve"> PAGEREF _Toc185415830 \h </w:instrText>
      </w:r>
      <w:r>
        <w:rPr>
          <w:noProof/>
        </w:rPr>
      </w:r>
      <w:r>
        <w:rPr>
          <w:noProof/>
        </w:rPr>
        <w:fldChar w:fldCharType="separate"/>
      </w:r>
      <w:r w:rsidR="00302DB2">
        <w:rPr>
          <w:noProof/>
        </w:rPr>
        <w:t>176</w:t>
      </w:r>
      <w:r>
        <w:rPr>
          <w:noProof/>
        </w:rPr>
        <w:fldChar w:fldCharType="end"/>
      </w:r>
    </w:p>
    <w:p w14:paraId="6E135393" w14:textId="3650D352" w:rsidR="007931CC" w:rsidRDefault="007931CC">
      <w:pPr>
        <w:pStyle w:val="TOC5"/>
        <w:rPr>
          <w:rFonts w:asciiTheme="minorHAnsi" w:eastAsiaTheme="minorEastAsia" w:hAnsiTheme="minorHAnsi" w:cstheme="minorBidi"/>
          <w:noProof/>
          <w:kern w:val="0"/>
          <w:sz w:val="22"/>
          <w:szCs w:val="22"/>
        </w:rPr>
      </w:pPr>
      <w:r>
        <w:rPr>
          <w:noProof/>
        </w:rPr>
        <w:t>56  Movements of monetary instruments out of Australia</w:t>
      </w:r>
      <w:r>
        <w:rPr>
          <w:noProof/>
        </w:rPr>
        <w:tab/>
      </w:r>
      <w:r>
        <w:rPr>
          <w:noProof/>
        </w:rPr>
        <w:fldChar w:fldCharType="begin"/>
      </w:r>
      <w:r>
        <w:rPr>
          <w:noProof/>
        </w:rPr>
        <w:instrText xml:space="preserve"> PAGEREF _Toc185415831 \h </w:instrText>
      </w:r>
      <w:r>
        <w:rPr>
          <w:noProof/>
        </w:rPr>
      </w:r>
      <w:r>
        <w:rPr>
          <w:noProof/>
        </w:rPr>
        <w:fldChar w:fldCharType="separate"/>
      </w:r>
      <w:r w:rsidR="00302DB2">
        <w:rPr>
          <w:noProof/>
        </w:rPr>
        <w:t>177</w:t>
      </w:r>
      <w:r>
        <w:rPr>
          <w:noProof/>
        </w:rPr>
        <w:fldChar w:fldCharType="end"/>
      </w:r>
    </w:p>
    <w:p w14:paraId="767A19C6" w14:textId="68EC9FBE" w:rsidR="007931CC" w:rsidRDefault="007931CC">
      <w:pPr>
        <w:pStyle w:val="TOC5"/>
        <w:rPr>
          <w:rFonts w:asciiTheme="minorHAnsi" w:eastAsiaTheme="minorEastAsia" w:hAnsiTheme="minorHAnsi" w:cstheme="minorBidi"/>
          <w:noProof/>
          <w:kern w:val="0"/>
          <w:sz w:val="22"/>
          <w:szCs w:val="22"/>
        </w:rPr>
      </w:pPr>
      <w:r>
        <w:rPr>
          <w:noProof/>
        </w:rPr>
        <w:t>57  Obligations of customs officers and police officers</w:t>
      </w:r>
      <w:r>
        <w:rPr>
          <w:noProof/>
        </w:rPr>
        <w:tab/>
      </w:r>
      <w:r>
        <w:rPr>
          <w:noProof/>
        </w:rPr>
        <w:fldChar w:fldCharType="begin"/>
      </w:r>
      <w:r>
        <w:rPr>
          <w:noProof/>
        </w:rPr>
        <w:instrText xml:space="preserve"> PAGEREF _Toc185415832 \h </w:instrText>
      </w:r>
      <w:r>
        <w:rPr>
          <w:noProof/>
        </w:rPr>
      </w:r>
      <w:r>
        <w:rPr>
          <w:noProof/>
        </w:rPr>
        <w:fldChar w:fldCharType="separate"/>
      </w:r>
      <w:r w:rsidR="00302DB2">
        <w:rPr>
          <w:noProof/>
        </w:rPr>
        <w:t>177</w:t>
      </w:r>
      <w:r>
        <w:rPr>
          <w:noProof/>
        </w:rPr>
        <w:fldChar w:fldCharType="end"/>
      </w:r>
    </w:p>
    <w:p w14:paraId="453BA602" w14:textId="509F6469" w:rsidR="007931CC" w:rsidRDefault="007931CC">
      <w:pPr>
        <w:pStyle w:val="TOC3"/>
        <w:rPr>
          <w:rFonts w:asciiTheme="minorHAnsi" w:eastAsiaTheme="minorEastAsia" w:hAnsiTheme="minorHAnsi" w:cstheme="minorBidi"/>
          <w:b w:val="0"/>
          <w:noProof/>
          <w:kern w:val="0"/>
          <w:szCs w:val="22"/>
        </w:rPr>
      </w:pPr>
      <w:r>
        <w:rPr>
          <w:noProof/>
        </w:rPr>
        <w:t>Division 4—Information about reporting obligations</w:t>
      </w:r>
      <w:r>
        <w:rPr>
          <w:noProof/>
        </w:rPr>
        <w:tab/>
      </w:r>
      <w:r>
        <w:rPr>
          <w:noProof/>
        </w:rPr>
        <w:fldChar w:fldCharType="begin"/>
      </w:r>
      <w:r>
        <w:rPr>
          <w:noProof/>
        </w:rPr>
        <w:instrText xml:space="preserve"> PAGEREF _Toc185415833 \h </w:instrText>
      </w:r>
      <w:r>
        <w:rPr>
          <w:noProof/>
        </w:rPr>
      </w:r>
      <w:r>
        <w:rPr>
          <w:noProof/>
        </w:rPr>
        <w:fldChar w:fldCharType="separate"/>
      </w:r>
      <w:r w:rsidR="00302DB2">
        <w:rPr>
          <w:noProof/>
        </w:rPr>
        <w:t>178</w:t>
      </w:r>
      <w:r>
        <w:rPr>
          <w:noProof/>
        </w:rPr>
        <w:fldChar w:fldCharType="end"/>
      </w:r>
    </w:p>
    <w:p w14:paraId="1C5C75EB" w14:textId="4BF0B496" w:rsidR="007931CC" w:rsidRDefault="007931CC">
      <w:pPr>
        <w:pStyle w:val="TOC5"/>
        <w:rPr>
          <w:rFonts w:asciiTheme="minorHAnsi" w:eastAsiaTheme="minorEastAsia" w:hAnsiTheme="minorHAnsi" w:cstheme="minorBidi"/>
          <w:noProof/>
          <w:kern w:val="0"/>
          <w:sz w:val="22"/>
          <w:szCs w:val="22"/>
        </w:rPr>
      </w:pPr>
      <w:r>
        <w:rPr>
          <w:noProof/>
        </w:rPr>
        <w:t>61  Power to affix notices about reporting obligations</w:t>
      </w:r>
      <w:r>
        <w:rPr>
          <w:noProof/>
        </w:rPr>
        <w:tab/>
      </w:r>
      <w:r>
        <w:rPr>
          <w:noProof/>
        </w:rPr>
        <w:fldChar w:fldCharType="begin"/>
      </w:r>
      <w:r>
        <w:rPr>
          <w:noProof/>
        </w:rPr>
        <w:instrText xml:space="preserve"> PAGEREF _Toc185415834 \h </w:instrText>
      </w:r>
      <w:r>
        <w:rPr>
          <w:noProof/>
        </w:rPr>
      </w:r>
      <w:r>
        <w:rPr>
          <w:noProof/>
        </w:rPr>
        <w:fldChar w:fldCharType="separate"/>
      </w:r>
      <w:r w:rsidR="00302DB2">
        <w:rPr>
          <w:noProof/>
        </w:rPr>
        <w:t>178</w:t>
      </w:r>
      <w:r>
        <w:rPr>
          <w:noProof/>
        </w:rPr>
        <w:fldChar w:fldCharType="end"/>
      </w:r>
    </w:p>
    <w:p w14:paraId="22246E06" w14:textId="54B8D887" w:rsidR="007931CC" w:rsidRDefault="007931CC">
      <w:pPr>
        <w:pStyle w:val="TOC5"/>
        <w:rPr>
          <w:rFonts w:asciiTheme="minorHAnsi" w:eastAsiaTheme="minorEastAsia" w:hAnsiTheme="minorHAnsi" w:cstheme="minorBidi"/>
          <w:noProof/>
          <w:kern w:val="0"/>
          <w:sz w:val="22"/>
          <w:szCs w:val="22"/>
        </w:rPr>
      </w:pPr>
      <w:r>
        <w:rPr>
          <w:noProof/>
        </w:rPr>
        <w:t>62  Notice about reporting obligations to be given to travellers to Australia</w:t>
      </w:r>
      <w:r>
        <w:rPr>
          <w:noProof/>
        </w:rPr>
        <w:tab/>
      </w:r>
      <w:r>
        <w:rPr>
          <w:noProof/>
        </w:rPr>
        <w:fldChar w:fldCharType="begin"/>
      </w:r>
      <w:r>
        <w:rPr>
          <w:noProof/>
        </w:rPr>
        <w:instrText xml:space="preserve"> PAGEREF _Toc185415835 \h </w:instrText>
      </w:r>
      <w:r>
        <w:rPr>
          <w:noProof/>
        </w:rPr>
      </w:r>
      <w:r>
        <w:rPr>
          <w:noProof/>
        </w:rPr>
        <w:fldChar w:fldCharType="separate"/>
      </w:r>
      <w:r w:rsidR="00302DB2">
        <w:rPr>
          <w:noProof/>
        </w:rPr>
        <w:t>179</w:t>
      </w:r>
      <w:r>
        <w:rPr>
          <w:noProof/>
        </w:rPr>
        <w:fldChar w:fldCharType="end"/>
      </w:r>
    </w:p>
    <w:p w14:paraId="6A9D91C0" w14:textId="035190F3" w:rsidR="007931CC" w:rsidRDefault="007931CC">
      <w:pPr>
        <w:pStyle w:val="TOC2"/>
        <w:rPr>
          <w:rFonts w:asciiTheme="minorHAnsi" w:eastAsiaTheme="minorEastAsia" w:hAnsiTheme="minorHAnsi" w:cstheme="minorBidi"/>
          <w:b w:val="0"/>
          <w:noProof/>
          <w:kern w:val="0"/>
          <w:sz w:val="22"/>
          <w:szCs w:val="22"/>
        </w:rPr>
      </w:pPr>
      <w:r>
        <w:rPr>
          <w:noProof/>
        </w:rPr>
        <w:t>Part 5—Obligations relating to transfers of value</w:t>
      </w:r>
      <w:r>
        <w:rPr>
          <w:noProof/>
        </w:rPr>
        <w:tab/>
      </w:r>
      <w:r>
        <w:rPr>
          <w:noProof/>
        </w:rPr>
        <w:fldChar w:fldCharType="begin"/>
      </w:r>
      <w:r>
        <w:rPr>
          <w:noProof/>
        </w:rPr>
        <w:instrText xml:space="preserve"> PAGEREF _Toc185415836 \h </w:instrText>
      </w:r>
      <w:r>
        <w:rPr>
          <w:noProof/>
        </w:rPr>
      </w:r>
      <w:r>
        <w:rPr>
          <w:noProof/>
        </w:rPr>
        <w:fldChar w:fldCharType="separate"/>
      </w:r>
      <w:r w:rsidR="00302DB2">
        <w:rPr>
          <w:noProof/>
        </w:rPr>
        <w:t>180</w:t>
      </w:r>
      <w:r>
        <w:rPr>
          <w:noProof/>
        </w:rPr>
        <w:fldChar w:fldCharType="end"/>
      </w:r>
    </w:p>
    <w:p w14:paraId="39ED6E15" w14:textId="0A4D03E9"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_Toc185415837 \h </w:instrText>
      </w:r>
      <w:r>
        <w:rPr>
          <w:noProof/>
        </w:rPr>
      </w:r>
      <w:r>
        <w:rPr>
          <w:noProof/>
        </w:rPr>
        <w:fldChar w:fldCharType="separate"/>
      </w:r>
      <w:r w:rsidR="00302DB2">
        <w:rPr>
          <w:noProof/>
        </w:rPr>
        <w:t>180</w:t>
      </w:r>
      <w:r>
        <w:rPr>
          <w:noProof/>
        </w:rPr>
        <w:fldChar w:fldCharType="end"/>
      </w:r>
    </w:p>
    <w:p w14:paraId="64A4F4B7" w14:textId="3AF63E24" w:rsidR="007931CC" w:rsidRDefault="007931CC">
      <w:pPr>
        <w:pStyle w:val="TOC5"/>
        <w:rPr>
          <w:rFonts w:asciiTheme="minorHAnsi" w:eastAsiaTheme="minorEastAsia" w:hAnsiTheme="minorHAnsi" w:cstheme="minorBidi"/>
          <w:noProof/>
          <w:kern w:val="0"/>
          <w:sz w:val="22"/>
          <w:szCs w:val="22"/>
        </w:rPr>
      </w:pPr>
      <w:r>
        <w:rPr>
          <w:noProof/>
        </w:rPr>
        <w:t>63  Simplified outline</w:t>
      </w:r>
      <w:r>
        <w:rPr>
          <w:noProof/>
        </w:rPr>
        <w:tab/>
      </w:r>
      <w:r>
        <w:rPr>
          <w:noProof/>
        </w:rPr>
        <w:fldChar w:fldCharType="begin"/>
      </w:r>
      <w:r>
        <w:rPr>
          <w:noProof/>
        </w:rPr>
        <w:instrText xml:space="preserve"> PAGEREF _Toc185415838 \h </w:instrText>
      </w:r>
      <w:r>
        <w:rPr>
          <w:noProof/>
        </w:rPr>
      </w:r>
      <w:r>
        <w:rPr>
          <w:noProof/>
        </w:rPr>
        <w:fldChar w:fldCharType="separate"/>
      </w:r>
      <w:r w:rsidR="00302DB2">
        <w:rPr>
          <w:noProof/>
        </w:rPr>
        <w:t>180</w:t>
      </w:r>
      <w:r>
        <w:rPr>
          <w:noProof/>
        </w:rPr>
        <w:fldChar w:fldCharType="end"/>
      </w:r>
    </w:p>
    <w:p w14:paraId="274D0F90" w14:textId="7FF5F378" w:rsidR="007931CC" w:rsidRDefault="007931CC">
      <w:pPr>
        <w:pStyle w:val="TOC5"/>
        <w:rPr>
          <w:rFonts w:asciiTheme="minorHAnsi" w:eastAsiaTheme="minorEastAsia" w:hAnsiTheme="minorHAnsi" w:cstheme="minorBidi"/>
          <w:noProof/>
          <w:kern w:val="0"/>
          <w:sz w:val="22"/>
          <w:szCs w:val="22"/>
        </w:rPr>
      </w:pPr>
      <w:r>
        <w:rPr>
          <w:noProof/>
        </w:rPr>
        <w:t>63A  Key terms relating to transfers of value</w:t>
      </w:r>
      <w:r>
        <w:rPr>
          <w:noProof/>
        </w:rPr>
        <w:tab/>
      </w:r>
      <w:r>
        <w:rPr>
          <w:noProof/>
        </w:rPr>
        <w:fldChar w:fldCharType="begin"/>
      </w:r>
      <w:r>
        <w:rPr>
          <w:noProof/>
        </w:rPr>
        <w:instrText xml:space="preserve"> PAGEREF _Toc185415839 \h </w:instrText>
      </w:r>
      <w:r>
        <w:rPr>
          <w:noProof/>
        </w:rPr>
      </w:r>
      <w:r>
        <w:rPr>
          <w:noProof/>
        </w:rPr>
        <w:fldChar w:fldCharType="separate"/>
      </w:r>
      <w:r w:rsidR="00302DB2">
        <w:rPr>
          <w:noProof/>
        </w:rPr>
        <w:t>180</w:t>
      </w:r>
      <w:r>
        <w:rPr>
          <w:noProof/>
        </w:rPr>
        <w:fldChar w:fldCharType="end"/>
      </w:r>
    </w:p>
    <w:p w14:paraId="525ABD2F" w14:textId="686ADB44" w:rsidR="007931CC" w:rsidRDefault="007931CC">
      <w:pPr>
        <w:pStyle w:val="TOC3"/>
        <w:rPr>
          <w:rFonts w:asciiTheme="minorHAnsi" w:eastAsiaTheme="minorEastAsia" w:hAnsiTheme="minorHAnsi" w:cstheme="minorBidi"/>
          <w:b w:val="0"/>
          <w:noProof/>
          <w:kern w:val="0"/>
          <w:szCs w:val="22"/>
        </w:rPr>
      </w:pPr>
      <w:r>
        <w:rPr>
          <w:noProof/>
        </w:rPr>
        <w:t>Division 2—Obligations of institutions</w:t>
      </w:r>
      <w:r>
        <w:rPr>
          <w:noProof/>
        </w:rPr>
        <w:tab/>
      </w:r>
      <w:r>
        <w:rPr>
          <w:noProof/>
        </w:rPr>
        <w:fldChar w:fldCharType="begin"/>
      </w:r>
      <w:r>
        <w:rPr>
          <w:noProof/>
        </w:rPr>
        <w:instrText xml:space="preserve"> PAGEREF _Toc185415840 \h </w:instrText>
      </w:r>
      <w:r>
        <w:rPr>
          <w:noProof/>
        </w:rPr>
      </w:r>
      <w:r>
        <w:rPr>
          <w:noProof/>
        </w:rPr>
        <w:fldChar w:fldCharType="separate"/>
      </w:r>
      <w:r w:rsidR="00302DB2">
        <w:rPr>
          <w:noProof/>
        </w:rPr>
        <w:t>184</w:t>
      </w:r>
      <w:r>
        <w:rPr>
          <w:noProof/>
        </w:rPr>
        <w:fldChar w:fldCharType="end"/>
      </w:r>
    </w:p>
    <w:p w14:paraId="7E18A4EA" w14:textId="28709788" w:rsidR="007931CC" w:rsidRDefault="007931CC">
      <w:pPr>
        <w:pStyle w:val="TOC5"/>
        <w:rPr>
          <w:rFonts w:asciiTheme="minorHAnsi" w:eastAsiaTheme="minorEastAsia" w:hAnsiTheme="minorHAnsi" w:cstheme="minorBidi"/>
          <w:noProof/>
          <w:kern w:val="0"/>
          <w:sz w:val="22"/>
          <w:szCs w:val="22"/>
        </w:rPr>
      </w:pPr>
      <w:r>
        <w:rPr>
          <w:noProof/>
        </w:rPr>
        <w:t>64  Obligations of ordering institutions</w:t>
      </w:r>
      <w:r>
        <w:rPr>
          <w:noProof/>
        </w:rPr>
        <w:tab/>
      </w:r>
      <w:r>
        <w:rPr>
          <w:noProof/>
        </w:rPr>
        <w:fldChar w:fldCharType="begin"/>
      </w:r>
      <w:r>
        <w:rPr>
          <w:noProof/>
        </w:rPr>
        <w:instrText xml:space="preserve"> PAGEREF _Toc185415841 \h </w:instrText>
      </w:r>
      <w:r>
        <w:rPr>
          <w:noProof/>
        </w:rPr>
      </w:r>
      <w:r>
        <w:rPr>
          <w:noProof/>
        </w:rPr>
        <w:fldChar w:fldCharType="separate"/>
      </w:r>
      <w:r w:rsidR="00302DB2">
        <w:rPr>
          <w:noProof/>
        </w:rPr>
        <w:t>184</w:t>
      </w:r>
      <w:r>
        <w:rPr>
          <w:noProof/>
        </w:rPr>
        <w:fldChar w:fldCharType="end"/>
      </w:r>
    </w:p>
    <w:p w14:paraId="127B93FB" w14:textId="6CAFAD5C" w:rsidR="007931CC" w:rsidRDefault="007931CC">
      <w:pPr>
        <w:pStyle w:val="TOC5"/>
        <w:rPr>
          <w:rFonts w:asciiTheme="minorHAnsi" w:eastAsiaTheme="minorEastAsia" w:hAnsiTheme="minorHAnsi" w:cstheme="minorBidi"/>
          <w:noProof/>
          <w:kern w:val="0"/>
          <w:sz w:val="22"/>
          <w:szCs w:val="22"/>
        </w:rPr>
      </w:pPr>
      <w:r>
        <w:rPr>
          <w:noProof/>
        </w:rPr>
        <w:t>65  Obligations of beneficiary institutions</w:t>
      </w:r>
      <w:r>
        <w:rPr>
          <w:noProof/>
        </w:rPr>
        <w:tab/>
      </w:r>
      <w:r>
        <w:rPr>
          <w:noProof/>
        </w:rPr>
        <w:fldChar w:fldCharType="begin"/>
      </w:r>
      <w:r>
        <w:rPr>
          <w:noProof/>
        </w:rPr>
        <w:instrText xml:space="preserve"> PAGEREF _Toc185415842 \h </w:instrText>
      </w:r>
      <w:r>
        <w:rPr>
          <w:noProof/>
        </w:rPr>
      </w:r>
      <w:r>
        <w:rPr>
          <w:noProof/>
        </w:rPr>
        <w:fldChar w:fldCharType="separate"/>
      </w:r>
      <w:r w:rsidR="00302DB2">
        <w:rPr>
          <w:noProof/>
        </w:rPr>
        <w:t>185</w:t>
      </w:r>
      <w:r>
        <w:rPr>
          <w:noProof/>
        </w:rPr>
        <w:fldChar w:fldCharType="end"/>
      </w:r>
    </w:p>
    <w:p w14:paraId="29E8B81C" w14:textId="0732F5D7" w:rsidR="007931CC" w:rsidRDefault="007931CC">
      <w:pPr>
        <w:pStyle w:val="TOC5"/>
        <w:rPr>
          <w:rFonts w:asciiTheme="minorHAnsi" w:eastAsiaTheme="minorEastAsia" w:hAnsiTheme="minorHAnsi" w:cstheme="minorBidi"/>
          <w:noProof/>
          <w:kern w:val="0"/>
          <w:sz w:val="22"/>
          <w:szCs w:val="22"/>
        </w:rPr>
      </w:pPr>
      <w:r>
        <w:rPr>
          <w:noProof/>
        </w:rPr>
        <w:t>66  Obligations of intermediary institutions</w:t>
      </w:r>
      <w:r>
        <w:rPr>
          <w:noProof/>
        </w:rPr>
        <w:tab/>
      </w:r>
      <w:r>
        <w:rPr>
          <w:noProof/>
        </w:rPr>
        <w:fldChar w:fldCharType="begin"/>
      </w:r>
      <w:r>
        <w:rPr>
          <w:noProof/>
        </w:rPr>
        <w:instrText xml:space="preserve"> PAGEREF _Toc185415843 \h </w:instrText>
      </w:r>
      <w:r>
        <w:rPr>
          <w:noProof/>
        </w:rPr>
      </w:r>
      <w:r>
        <w:rPr>
          <w:noProof/>
        </w:rPr>
        <w:fldChar w:fldCharType="separate"/>
      </w:r>
      <w:r w:rsidR="00302DB2">
        <w:rPr>
          <w:noProof/>
        </w:rPr>
        <w:t>186</w:t>
      </w:r>
      <w:r>
        <w:rPr>
          <w:noProof/>
        </w:rPr>
        <w:fldChar w:fldCharType="end"/>
      </w:r>
    </w:p>
    <w:p w14:paraId="5FEBDF4A" w14:textId="344E57EB" w:rsidR="007931CC" w:rsidRDefault="007931CC">
      <w:pPr>
        <w:pStyle w:val="TOC5"/>
        <w:rPr>
          <w:rFonts w:asciiTheme="minorHAnsi" w:eastAsiaTheme="minorEastAsia" w:hAnsiTheme="minorHAnsi" w:cstheme="minorBidi"/>
          <w:noProof/>
          <w:kern w:val="0"/>
          <w:sz w:val="22"/>
          <w:szCs w:val="22"/>
        </w:rPr>
      </w:pPr>
      <w:r>
        <w:rPr>
          <w:noProof/>
        </w:rPr>
        <w:t>66A  Obligations of ordering and beneficiary institutions relating to virtual asset transfers</w:t>
      </w:r>
      <w:r>
        <w:rPr>
          <w:noProof/>
        </w:rPr>
        <w:tab/>
      </w:r>
      <w:r>
        <w:rPr>
          <w:noProof/>
        </w:rPr>
        <w:fldChar w:fldCharType="begin"/>
      </w:r>
      <w:r>
        <w:rPr>
          <w:noProof/>
        </w:rPr>
        <w:instrText xml:space="preserve"> PAGEREF _Toc185415844 \h </w:instrText>
      </w:r>
      <w:r>
        <w:rPr>
          <w:noProof/>
        </w:rPr>
      </w:r>
      <w:r>
        <w:rPr>
          <w:noProof/>
        </w:rPr>
        <w:fldChar w:fldCharType="separate"/>
      </w:r>
      <w:r w:rsidR="00302DB2">
        <w:rPr>
          <w:noProof/>
        </w:rPr>
        <w:t>188</w:t>
      </w:r>
      <w:r>
        <w:rPr>
          <w:noProof/>
        </w:rPr>
        <w:fldChar w:fldCharType="end"/>
      </w:r>
    </w:p>
    <w:p w14:paraId="76E200E8" w14:textId="6B1CAFD6" w:rsidR="007931CC" w:rsidRDefault="007931CC">
      <w:pPr>
        <w:pStyle w:val="TOC3"/>
        <w:rPr>
          <w:rFonts w:asciiTheme="minorHAnsi" w:eastAsiaTheme="minorEastAsia" w:hAnsiTheme="minorHAnsi" w:cstheme="minorBidi"/>
          <w:b w:val="0"/>
          <w:noProof/>
          <w:kern w:val="0"/>
          <w:szCs w:val="22"/>
        </w:rPr>
      </w:pPr>
      <w:r>
        <w:rPr>
          <w:noProof/>
        </w:rPr>
        <w:t>Division 4—General provisions</w:t>
      </w:r>
      <w:r>
        <w:rPr>
          <w:noProof/>
        </w:rPr>
        <w:tab/>
      </w:r>
      <w:r>
        <w:rPr>
          <w:noProof/>
        </w:rPr>
        <w:fldChar w:fldCharType="begin"/>
      </w:r>
      <w:r>
        <w:rPr>
          <w:noProof/>
        </w:rPr>
        <w:instrText xml:space="preserve"> PAGEREF _Toc185415845 \h </w:instrText>
      </w:r>
      <w:r>
        <w:rPr>
          <w:noProof/>
        </w:rPr>
      </w:r>
      <w:r>
        <w:rPr>
          <w:noProof/>
        </w:rPr>
        <w:fldChar w:fldCharType="separate"/>
      </w:r>
      <w:r w:rsidR="00302DB2">
        <w:rPr>
          <w:noProof/>
        </w:rPr>
        <w:t>191</w:t>
      </w:r>
      <w:r>
        <w:rPr>
          <w:noProof/>
        </w:rPr>
        <w:fldChar w:fldCharType="end"/>
      </w:r>
    </w:p>
    <w:p w14:paraId="5749BB1E" w14:textId="7EF4B5F1" w:rsidR="007931CC" w:rsidRDefault="007931CC">
      <w:pPr>
        <w:pStyle w:val="TOC5"/>
        <w:rPr>
          <w:rFonts w:asciiTheme="minorHAnsi" w:eastAsiaTheme="minorEastAsia" w:hAnsiTheme="minorHAnsi" w:cstheme="minorBidi"/>
          <w:noProof/>
          <w:kern w:val="0"/>
          <w:sz w:val="22"/>
          <w:szCs w:val="22"/>
        </w:rPr>
      </w:pPr>
      <w:r>
        <w:rPr>
          <w:noProof/>
        </w:rPr>
        <w:t>67  Exemptions—general</w:t>
      </w:r>
      <w:r>
        <w:rPr>
          <w:noProof/>
        </w:rPr>
        <w:tab/>
      </w:r>
      <w:r>
        <w:rPr>
          <w:noProof/>
        </w:rPr>
        <w:fldChar w:fldCharType="begin"/>
      </w:r>
      <w:r>
        <w:rPr>
          <w:noProof/>
        </w:rPr>
        <w:instrText xml:space="preserve"> PAGEREF _Toc185415846 \h </w:instrText>
      </w:r>
      <w:r>
        <w:rPr>
          <w:noProof/>
        </w:rPr>
      </w:r>
      <w:r>
        <w:rPr>
          <w:noProof/>
        </w:rPr>
        <w:fldChar w:fldCharType="separate"/>
      </w:r>
      <w:r w:rsidR="00302DB2">
        <w:rPr>
          <w:noProof/>
        </w:rPr>
        <w:t>191</w:t>
      </w:r>
      <w:r>
        <w:rPr>
          <w:noProof/>
        </w:rPr>
        <w:fldChar w:fldCharType="end"/>
      </w:r>
    </w:p>
    <w:p w14:paraId="429C4B09" w14:textId="281E0EEE" w:rsidR="007931CC" w:rsidRDefault="007931CC">
      <w:pPr>
        <w:pStyle w:val="TOC5"/>
        <w:rPr>
          <w:rFonts w:asciiTheme="minorHAnsi" w:eastAsiaTheme="minorEastAsia" w:hAnsiTheme="minorHAnsi" w:cstheme="minorBidi"/>
          <w:noProof/>
          <w:kern w:val="0"/>
          <w:sz w:val="22"/>
          <w:szCs w:val="22"/>
        </w:rPr>
      </w:pPr>
      <w:r>
        <w:rPr>
          <w:noProof/>
        </w:rPr>
        <w:t>67A  Exemption—escrow services</w:t>
      </w:r>
      <w:r>
        <w:rPr>
          <w:noProof/>
        </w:rPr>
        <w:tab/>
      </w:r>
      <w:r>
        <w:rPr>
          <w:noProof/>
        </w:rPr>
        <w:fldChar w:fldCharType="begin"/>
      </w:r>
      <w:r>
        <w:rPr>
          <w:noProof/>
        </w:rPr>
        <w:instrText xml:space="preserve"> PAGEREF _Toc185415847 \h </w:instrText>
      </w:r>
      <w:r>
        <w:rPr>
          <w:noProof/>
        </w:rPr>
      </w:r>
      <w:r>
        <w:rPr>
          <w:noProof/>
        </w:rPr>
        <w:fldChar w:fldCharType="separate"/>
      </w:r>
      <w:r w:rsidR="00302DB2">
        <w:rPr>
          <w:noProof/>
        </w:rPr>
        <w:t>191</w:t>
      </w:r>
      <w:r>
        <w:rPr>
          <w:noProof/>
        </w:rPr>
        <w:fldChar w:fldCharType="end"/>
      </w:r>
    </w:p>
    <w:p w14:paraId="00F769A5" w14:textId="4E458FEA" w:rsidR="007931CC" w:rsidRDefault="007931CC">
      <w:pPr>
        <w:pStyle w:val="TOC5"/>
        <w:rPr>
          <w:rFonts w:asciiTheme="minorHAnsi" w:eastAsiaTheme="minorEastAsia" w:hAnsiTheme="minorHAnsi" w:cstheme="minorBidi"/>
          <w:noProof/>
          <w:kern w:val="0"/>
          <w:sz w:val="22"/>
          <w:szCs w:val="22"/>
        </w:rPr>
      </w:pPr>
      <w:r>
        <w:rPr>
          <w:noProof/>
        </w:rPr>
        <w:t>68  Defence of relying on information supplied by another person</w:t>
      </w:r>
      <w:r>
        <w:rPr>
          <w:noProof/>
        </w:rPr>
        <w:tab/>
      </w:r>
      <w:r>
        <w:rPr>
          <w:noProof/>
        </w:rPr>
        <w:fldChar w:fldCharType="begin"/>
      </w:r>
      <w:r>
        <w:rPr>
          <w:noProof/>
        </w:rPr>
        <w:instrText xml:space="preserve"> PAGEREF _Toc185415848 \h </w:instrText>
      </w:r>
      <w:r>
        <w:rPr>
          <w:noProof/>
        </w:rPr>
      </w:r>
      <w:r>
        <w:rPr>
          <w:noProof/>
        </w:rPr>
        <w:fldChar w:fldCharType="separate"/>
      </w:r>
      <w:r w:rsidR="00302DB2">
        <w:rPr>
          <w:noProof/>
        </w:rPr>
        <w:t>192</w:t>
      </w:r>
      <w:r>
        <w:rPr>
          <w:noProof/>
        </w:rPr>
        <w:fldChar w:fldCharType="end"/>
      </w:r>
    </w:p>
    <w:p w14:paraId="2E9C9C75" w14:textId="1B1F6160" w:rsidR="007931CC" w:rsidRDefault="007931CC">
      <w:pPr>
        <w:pStyle w:val="TOC2"/>
        <w:rPr>
          <w:rFonts w:asciiTheme="minorHAnsi" w:eastAsiaTheme="minorEastAsia" w:hAnsiTheme="minorHAnsi" w:cstheme="minorBidi"/>
          <w:b w:val="0"/>
          <w:noProof/>
          <w:kern w:val="0"/>
          <w:sz w:val="22"/>
          <w:szCs w:val="22"/>
        </w:rPr>
      </w:pPr>
      <w:r>
        <w:rPr>
          <w:noProof/>
        </w:rPr>
        <w:t>Part 6—The Remittance Sector Register</w:t>
      </w:r>
      <w:r>
        <w:rPr>
          <w:noProof/>
        </w:rPr>
        <w:tab/>
      </w:r>
      <w:r>
        <w:rPr>
          <w:noProof/>
        </w:rPr>
        <w:fldChar w:fldCharType="begin"/>
      </w:r>
      <w:r>
        <w:rPr>
          <w:noProof/>
        </w:rPr>
        <w:instrText xml:space="preserve"> PAGEREF _Toc185415849 \h </w:instrText>
      </w:r>
      <w:r>
        <w:rPr>
          <w:noProof/>
        </w:rPr>
      </w:r>
      <w:r>
        <w:rPr>
          <w:noProof/>
        </w:rPr>
        <w:fldChar w:fldCharType="separate"/>
      </w:r>
      <w:r w:rsidR="00302DB2">
        <w:rPr>
          <w:noProof/>
        </w:rPr>
        <w:t>193</w:t>
      </w:r>
      <w:r>
        <w:rPr>
          <w:noProof/>
        </w:rPr>
        <w:fldChar w:fldCharType="end"/>
      </w:r>
    </w:p>
    <w:p w14:paraId="492B1337" w14:textId="4E391815" w:rsidR="007931CC" w:rsidRDefault="007931CC">
      <w:pPr>
        <w:pStyle w:val="TOC3"/>
        <w:rPr>
          <w:rFonts w:asciiTheme="minorHAnsi" w:eastAsiaTheme="minorEastAsia" w:hAnsiTheme="minorHAnsi" w:cstheme="minorBidi"/>
          <w:b w:val="0"/>
          <w:noProof/>
          <w:kern w:val="0"/>
          <w:szCs w:val="22"/>
        </w:rPr>
      </w:pPr>
      <w:r>
        <w:rPr>
          <w:noProof/>
        </w:rPr>
        <w:t>Division 1—Simplified outline</w:t>
      </w:r>
      <w:r>
        <w:rPr>
          <w:noProof/>
        </w:rPr>
        <w:tab/>
      </w:r>
      <w:r>
        <w:rPr>
          <w:noProof/>
        </w:rPr>
        <w:fldChar w:fldCharType="begin"/>
      </w:r>
      <w:r>
        <w:rPr>
          <w:noProof/>
        </w:rPr>
        <w:instrText xml:space="preserve"> PAGEREF _Toc185415850 \h </w:instrText>
      </w:r>
      <w:r>
        <w:rPr>
          <w:noProof/>
        </w:rPr>
      </w:r>
      <w:r>
        <w:rPr>
          <w:noProof/>
        </w:rPr>
        <w:fldChar w:fldCharType="separate"/>
      </w:r>
      <w:r w:rsidR="00302DB2">
        <w:rPr>
          <w:noProof/>
        </w:rPr>
        <w:t>193</w:t>
      </w:r>
      <w:r>
        <w:rPr>
          <w:noProof/>
        </w:rPr>
        <w:fldChar w:fldCharType="end"/>
      </w:r>
    </w:p>
    <w:p w14:paraId="148CFABD" w14:textId="4ABB9819" w:rsidR="007931CC" w:rsidRDefault="007931CC">
      <w:pPr>
        <w:pStyle w:val="TOC5"/>
        <w:rPr>
          <w:rFonts w:asciiTheme="minorHAnsi" w:eastAsiaTheme="minorEastAsia" w:hAnsiTheme="minorHAnsi" w:cstheme="minorBidi"/>
          <w:noProof/>
          <w:kern w:val="0"/>
          <w:sz w:val="22"/>
          <w:szCs w:val="22"/>
        </w:rPr>
      </w:pPr>
      <w:r>
        <w:rPr>
          <w:noProof/>
        </w:rPr>
        <w:t>73  Simplified outline</w:t>
      </w:r>
      <w:r>
        <w:rPr>
          <w:noProof/>
        </w:rPr>
        <w:tab/>
      </w:r>
      <w:r>
        <w:rPr>
          <w:noProof/>
        </w:rPr>
        <w:fldChar w:fldCharType="begin"/>
      </w:r>
      <w:r>
        <w:rPr>
          <w:noProof/>
        </w:rPr>
        <w:instrText xml:space="preserve"> PAGEREF _Toc185415851 \h </w:instrText>
      </w:r>
      <w:r>
        <w:rPr>
          <w:noProof/>
        </w:rPr>
      </w:r>
      <w:r>
        <w:rPr>
          <w:noProof/>
        </w:rPr>
        <w:fldChar w:fldCharType="separate"/>
      </w:r>
      <w:r w:rsidR="00302DB2">
        <w:rPr>
          <w:noProof/>
        </w:rPr>
        <w:t>193</w:t>
      </w:r>
      <w:r>
        <w:rPr>
          <w:noProof/>
        </w:rPr>
        <w:fldChar w:fldCharType="end"/>
      </w:r>
    </w:p>
    <w:p w14:paraId="7F7BE70B" w14:textId="7E859A28" w:rsidR="007931CC" w:rsidRDefault="007931CC">
      <w:pPr>
        <w:pStyle w:val="TOC3"/>
        <w:rPr>
          <w:rFonts w:asciiTheme="minorHAnsi" w:eastAsiaTheme="minorEastAsia" w:hAnsiTheme="minorHAnsi" w:cstheme="minorBidi"/>
          <w:b w:val="0"/>
          <w:noProof/>
          <w:kern w:val="0"/>
          <w:szCs w:val="22"/>
        </w:rPr>
      </w:pPr>
      <w:r>
        <w:rPr>
          <w:noProof/>
        </w:rPr>
        <w:t>Division 2—Restrictions on providing certain remittance services</w:t>
      </w:r>
      <w:r>
        <w:rPr>
          <w:noProof/>
        </w:rPr>
        <w:tab/>
      </w:r>
      <w:r>
        <w:rPr>
          <w:noProof/>
        </w:rPr>
        <w:fldChar w:fldCharType="begin"/>
      </w:r>
      <w:r>
        <w:rPr>
          <w:noProof/>
        </w:rPr>
        <w:instrText xml:space="preserve"> PAGEREF _Toc185415852 \h </w:instrText>
      </w:r>
      <w:r>
        <w:rPr>
          <w:noProof/>
        </w:rPr>
      </w:r>
      <w:r>
        <w:rPr>
          <w:noProof/>
        </w:rPr>
        <w:fldChar w:fldCharType="separate"/>
      </w:r>
      <w:r w:rsidR="00302DB2">
        <w:rPr>
          <w:noProof/>
        </w:rPr>
        <w:t>194</w:t>
      </w:r>
      <w:r>
        <w:rPr>
          <w:noProof/>
        </w:rPr>
        <w:fldChar w:fldCharType="end"/>
      </w:r>
    </w:p>
    <w:p w14:paraId="4F5B8EA6" w14:textId="22A5EAAF" w:rsidR="007931CC" w:rsidRDefault="007931CC">
      <w:pPr>
        <w:pStyle w:val="TOC5"/>
        <w:rPr>
          <w:rFonts w:asciiTheme="minorHAnsi" w:eastAsiaTheme="minorEastAsia" w:hAnsiTheme="minorHAnsi" w:cstheme="minorBidi"/>
          <w:noProof/>
          <w:kern w:val="0"/>
          <w:sz w:val="22"/>
          <w:szCs w:val="22"/>
        </w:rPr>
      </w:pPr>
      <w:r>
        <w:rPr>
          <w:noProof/>
        </w:rPr>
        <w:t>74  Unregistered persons must not provide certain remittance services</w:t>
      </w:r>
      <w:r>
        <w:rPr>
          <w:noProof/>
        </w:rPr>
        <w:tab/>
      </w:r>
      <w:r>
        <w:rPr>
          <w:noProof/>
        </w:rPr>
        <w:fldChar w:fldCharType="begin"/>
      </w:r>
      <w:r>
        <w:rPr>
          <w:noProof/>
        </w:rPr>
        <w:instrText xml:space="preserve"> PAGEREF _Toc185415853 \h </w:instrText>
      </w:r>
      <w:r>
        <w:rPr>
          <w:noProof/>
        </w:rPr>
      </w:r>
      <w:r>
        <w:rPr>
          <w:noProof/>
        </w:rPr>
        <w:fldChar w:fldCharType="separate"/>
      </w:r>
      <w:r w:rsidR="00302DB2">
        <w:rPr>
          <w:noProof/>
        </w:rPr>
        <w:t>194</w:t>
      </w:r>
      <w:r>
        <w:rPr>
          <w:noProof/>
        </w:rPr>
        <w:fldChar w:fldCharType="end"/>
      </w:r>
    </w:p>
    <w:p w14:paraId="067C67AD" w14:textId="09925E70" w:rsidR="007931CC" w:rsidRDefault="007931CC">
      <w:pPr>
        <w:pStyle w:val="TOC3"/>
        <w:rPr>
          <w:rFonts w:asciiTheme="minorHAnsi" w:eastAsiaTheme="minorEastAsia" w:hAnsiTheme="minorHAnsi" w:cstheme="minorBidi"/>
          <w:b w:val="0"/>
          <w:noProof/>
          <w:kern w:val="0"/>
          <w:szCs w:val="22"/>
        </w:rPr>
      </w:pPr>
      <w:r>
        <w:rPr>
          <w:noProof/>
        </w:rPr>
        <w:t>Division 3—Registration of persons</w:t>
      </w:r>
      <w:r>
        <w:rPr>
          <w:noProof/>
        </w:rPr>
        <w:tab/>
      </w:r>
      <w:r>
        <w:rPr>
          <w:noProof/>
        </w:rPr>
        <w:fldChar w:fldCharType="begin"/>
      </w:r>
      <w:r>
        <w:rPr>
          <w:noProof/>
        </w:rPr>
        <w:instrText xml:space="preserve"> PAGEREF _Toc185415854 \h </w:instrText>
      </w:r>
      <w:r>
        <w:rPr>
          <w:noProof/>
        </w:rPr>
      </w:r>
      <w:r>
        <w:rPr>
          <w:noProof/>
        </w:rPr>
        <w:fldChar w:fldCharType="separate"/>
      </w:r>
      <w:r w:rsidR="00302DB2">
        <w:rPr>
          <w:noProof/>
        </w:rPr>
        <w:t>198</w:t>
      </w:r>
      <w:r>
        <w:rPr>
          <w:noProof/>
        </w:rPr>
        <w:fldChar w:fldCharType="end"/>
      </w:r>
    </w:p>
    <w:p w14:paraId="6DA20481" w14:textId="0BFB85FE" w:rsidR="007931CC" w:rsidRDefault="007931CC">
      <w:pPr>
        <w:pStyle w:val="TOC5"/>
        <w:rPr>
          <w:rFonts w:asciiTheme="minorHAnsi" w:eastAsiaTheme="minorEastAsia" w:hAnsiTheme="minorHAnsi" w:cstheme="minorBidi"/>
          <w:noProof/>
          <w:kern w:val="0"/>
          <w:sz w:val="22"/>
          <w:szCs w:val="22"/>
        </w:rPr>
      </w:pPr>
      <w:r>
        <w:rPr>
          <w:noProof/>
        </w:rPr>
        <w:t>75  Remittance Sector Register</w:t>
      </w:r>
      <w:r>
        <w:rPr>
          <w:noProof/>
        </w:rPr>
        <w:tab/>
      </w:r>
      <w:r>
        <w:rPr>
          <w:noProof/>
        </w:rPr>
        <w:fldChar w:fldCharType="begin"/>
      </w:r>
      <w:r>
        <w:rPr>
          <w:noProof/>
        </w:rPr>
        <w:instrText xml:space="preserve"> PAGEREF _Toc185415855 \h </w:instrText>
      </w:r>
      <w:r>
        <w:rPr>
          <w:noProof/>
        </w:rPr>
      </w:r>
      <w:r>
        <w:rPr>
          <w:noProof/>
        </w:rPr>
        <w:fldChar w:fldCharType="separate"/>
      </w:r>
      <w:r w:rsidR="00302DB2">
        <w:rPr>
          <w:noProof/>
        </w:rPr>
        <w:t>198</w:t>
      </w:r>
      <w:r>
        <w:rPr>
          <w:noProof/>
        </w:rPr>
        <w:fldChar w:fldCharType="end"/>
      </w:r>
    </w:p>
    <w:p w14:paraId="7B93AC97" w14:textId="59BD40FB" w:rsidR="007931CC" w:rsidRDefault="007931CC">
      <w:pPr>
        <w:pStyle w:val="TOC5"/>
        <w:rPr>
          <w:rFonts w:asciiTheme="minorHAnsi" w:eastAsiaTheme="minorEastAsia" w:hAnsiTheme="minorHAnsi" w:cstheme="minorBidi"/>
          <w:noProof/>
          <w:kern w:val="0"/>
          <w:sz w:val="22"/>
          <w:szCs w:val="22"/>
        </w:rPr>
      </w:pPr>
      <w:r>
        <w:rPr>
          <w:noProof/>
        </w:rPr>
        <w:t>75A  Information to be entered on the Remittance Sector Register</w:t>
      </w:r>
      <w:r>
        <w:rPr>
          <w:noProof/>
        </w:rPr>
        <w:tab/>
      </w:r>
      <w:r>
        <w:rPr>
          <w:noProof/>
        </w:rPr>
        <w:fldChar w:fldCharType="begin"/>
      </w:r>
      <w:r>
        <w:rPr>
          <w:noProof/>
        </w:rPr>
        <w:instrText xml:space="preserve"> PAGEREF _Toc185415856 \h </w:instrText>
      </w:r>
      <w:r>
        <w:rPr>
          <w:noProof/>
        </w:rPr>
      </w:r>
      <w:r>
        <w:rPr>
          <w:noProof/>
        </w:rPr>
        <w:fldChar w:fldCharType="separate"/>
      </w:r>
      <w:r w:rsidR="00302DB2">
        <w:rPr>
          <w:noProof/>
        </w:rPr>
        <w:t>198</w:t>
      </w:r>
      <w:r>
        <w:rPr>
          <w:noProof/>
        </w:rPr>
        <w:fldChar w:fldCharType="end"/>
      </w:r>
    </w:p>
    <w:p w14:paraId="6B511410" w14:textId="6B622AA1" w:rsidR="007931CC" w:rsidRDefault="007931CC">
      <w:pPr>
        <w:pStyle w:val="TOC5"/>
        <w:rPr>
          <w:rFonts w:asciiTheme="minorHAnsi" w:eastAsiaTheme="minorEastAsia" w:hAnsiTheme="minorHAnsi" w:cstheme="minorBidi"/>
          <w:noProof/>
          <w:kern w:val="0"/>
          <w:sz w:val="22"/>
          <w:szCs w:val="22"/>
        </w:rPr>
      </w:pPr>
      <w:r>
        <w:rPr>
          <w:noProof/>
        </w:rPr>
        <w:t>75B  Applications for registration</w:t>
      </w:r>
      <w:r>
        <w:rPr>
          <w:noProof/>
        </w:rPr>
        <w:tab/>
      </w:r>
      <w:r>
        <w:rPr>
          <w:noProof/>
        </w:rPr>
        <w:fldChar w:fldCharType="begin"/>
      </w:r>
      <w:r>
        <w:rPr>
          <w:noProof/>
        </w:rPr>
        <w:instrText xml:space="preserve"> PAGEREF _Toc185415857 \h </w:instrText>
      </w:r>
      <w:r>
        <w:rPr>
          <w:noProof/>
        </w:rPr>
      </w:r>
      <w:r>
        <w:rPr>
          <w:noProof/>
        </w:rPr>
        <w:fldChar w:fldCharType="separate"/>
      </w:r>
      <w:r w:rsidR="00302DB2">
        <w:rPr>
          <w:noProof/>
        </w:rPr>
        <w:t>199</w:t>
      </w:r>
      <w:r>
        <w:rPr>
          <w:noProof/>
        </w:rPr>
        <w:fldChar w:fldCharType="end"/>
      </w:r>
    </w:p>
    <w:p w14:paraId="207BA9B8" w14:textId="170EEDC8" w:rsidR="007931CC" w:rsidRDefault="007931CC">
      <w:pPr>
        <w:pStyle w:val="TOC5"/>
        <w:rPr>
          <w:rFonts w:asciiTheme="minorHAnsi" w:eastAsiaTheme="minorEastAsia" w:hAnsiTheme="minorHAnsi" w:cstheme="minorBidi"/>
          <w:noProof/>
          <w:kern w:val="0"/>
          <w:sz w:val="22"/>
          <w:szCs w:val="22"/>
        </w:rPr>
      </w:pPr>
      <w:r>
        <w:rPr>
          <w:noProof/>
        </w:rPr>
        <w:t>75C  Registration by AUSTRAC CEO</w:t>
      </w:r>
      <w:r>
        <w:rPr>
          <w:noProof/>
        </w:rPr>
        <w:tab/>
      </w:r>
      <w:r>
        <w:rPr>
          <w:noProof/>
        </w:rPr>
        <w:fldChar w:fldCharType="begin"/>
      </w:r>
      <w:r>
        <w:rPr>
          <w:noProof/>
        </w:rPr>
        <w:instrText xml:space="preserve"> PAGEREF _Toc185415858 \h </w:instrText>
      </w:r>
      <w:r>
        <w:rPr>
          <w:noProof/>
        </w:rPr>
      </w:r>
      <w:r>
        <w:rPr>
          <w:noProof/>
        </w:rPr>
        <w:fldChar w:fldCharType="separate"/>
      </w:r>
      <w:r w:rsidR="00302DB2">
        <w:rPr>
          <w:noProof/>
        </w:rPr>
        <w:t>201</w:t>
      </w:r>
      <w:r>
        <w:rPr>
          <w:noProof/>
        </w:rPr>
        <w:fldChar w:fldCharType="end"/>
      </w:r>
    </w:p>
    <w:p w14:paraId="432AADB8" w14:textId="42471576" w:rsidR="007931CC" w:rsidRDefault="007931CC">
      <w:pPr>
        <w:pStyle w:val="TOC5"/>
        <w:rPr>
          <w:rFonts w:asciiTheme="minorHAnsi" w:eastAsiaTheme="minorEastAsia" w:hAnsiTheme="minorHAnsi" w:cstheme="minorBidi"/>
          <w:noProof/>
          <w:kern w:val="0"/>
          <w:sz w:val="22"/>
          <w:szCs w:val="22"/>
        </w:rPr>
      </w:pPr>
      <w:r>
        <w:rPr>
          <w:noProof/>
        </w:rPr>
        <w:t>75D  Spent convictions scheme</w:t>
      </w:r>
      <w:r>
        <w:rPr>
          <w:noProof/>
        </w:rPr>
        <w:tab/>
      </w:r>
      <w:r>
        <w:rPr>
          <w:noProof/>
        </w:rPr>
        <w:fldChar w:fldCharType="begin"/>
      </w:r>
      <w:r>
        <w:rPr>
          <w:noProof/>
        </w:rPr>
        <w:instrText xml:space="preserve"> PAGEREF _Toc185415859 \h </w:instrText>
      </w:r>
      <w:r>
        <w:rPr>
          <w:noProof/>
        </w:rPr>
      </w:r>
      <w:r>
        <w:rPr>
          <w:noProof/>
        </w:rPr>
        <w:fldChar w:fldCharType="separate"/>
      </w:r>
      <w:r w:rsidR="00302DB2">
        <w:rPr>
          <w:noProof/>
        </w:rPr>
        <w:t>202</w:t>
      </w:r>
      <w:r>
        <w:rPr>
          <w:noProof/>
        </w:rPr>
        <w:fldChar w:fldCharType="end"/>
      </w:r>
    </w:p>
    <w:p w14:paraId="57573652" w14:textId="2EDF1DFC" w:rsidR="007931CC" w:rsidRDefault="007931CC">
      <w:pPr>
        <w:pStyle w:val="TOC5"/>
        <w:rPr>
          <w:rFonts w:asciiTheme="minorHAnsi" w:eastAsiaTheme="minorEastAsia" w:hAnsiTheme="minorHAnsi" w:cstheme="minorBidi"/>
          <w:noProof/>
          <w:kern w:val="0"/>
          <w:sz w:val="22"/>
          <w:szCs w:val="22"/>
        </w:rPr>
      </w:pPr>
      <w:r>
        <w:rPr>
          <w:noProof/>
        </w:rPr>
        <w:t>75E  Registration may be subject to conditions</w:t>
      </w:r>
      <w:r>
        <w:rPr>
          <w:noProof/>
        </w:rPr>
        <w:tab/>
      </w:r>
      <w:r>
        <w:rPr>
          <w:noProof/>
        </w:rPr>
        <w:fldChar w:fldCharType="begin"/>
      </w:r>
      <w:r>
        <w:rPr>
          <w:noProof/>
        </w:rPr>
        <w:instrText xml:space="preserve"> PAGEREF _Toc185415860 \h </w:instrText>
      </w:r>
      <w:r>
        <w:rPr>
          <w:noProof/>
        </w:rPr>
      </w:r>
      <w:r>
        <w:rPr>
          <w:noProof/>
        </w:rPr>
        <w:fldChar w:fldCharType="separate"/>
      </w:r>
      <w:r w:rsidR="00302DB2">
        <w:rPr>
          <w:noProof/>
        </w:rPr>
        <w:t>203</w:t>
      </w:r>
      <w:r>
        <w:rPr>
          <w:noProof/>
        </w:rPr>
        <w:fldChar w:fldCharType="end"/>
      </w:r>
    </w:p>
    <w:p w14:paraId="47CBD6C2" w14:textId="2694AA76" w:rsidR="007931CC" w:rsidRDefault="007931CC">
      <w:pPr>
        <w:pStyle w:val="TOC5"/>
        <w:rPr>
          <w:rFonts w:asciiTheme="minorHAnsi" w:eastAsiaTheme="minorEastAsia" w:hAnsiTheme="minorHAnsi" w:cstheme="minorBidi"/>
          <w:noProof/>
          <w:kern w:val="0"/>
          <w:sz w:val="22"/>
          <w:szCs w:val="22"/>
        </w:rPr>
      </w:pPr>
      <w:r>
        <w:rPr>
          <w:noProof/>
        </w:rPr>
        <w:t>75F  When registration of a person ceases</w:t>
      </w:r>
      <w:r>
        <w:rPr>
          <w:noProof/>
        </w:rPr>
        <w:tab/>
      </w:r>
      <w:r>
        <w:rPr>
          <w:noProof/>
        </w:rPr>
        <w:fldChar w:fldCharType="begin"/>
      </w:r>
      <w:r>
        <w:rPr>
          <w:noProof/>
        </w:rPr>
        <w:instrText xml:space="preserve"> PAGEREF _Toc185415861 \h </w:instrText>
      </w:r>
      <w:r>
        <w:rPr>
          <w:noProof/>
        </w:rPr>
      </w:r>
      <w:r>
        <w:rPr>
          <w:noProof/>
        </w:rPr>
        <w:fldChar w:fldCharType="separate"/>
      </w:r>
      <w:r w:rsidR="00302DB2">
        <w:rPr>
          <w:noProof/>
        </w:rPr>
        <w:t>203</w:t>
      </w:r>
      <w:r>
        <w:rPr>
          <w:noProof/>
        </w:rPr>
        <w:fldChar w:fldCharType="end"/>
      </w:r>
    </w:p>
    <w:p w14:paraId="71FAAAB0" w14:textId="5B8BE2E3" w:rsidR="007931CC" w:rsidRDefault="007931CC">
      <w:pPr>
        <w:pStyle w:val="TOC5"/>
        <w:rPr>
          <w:rFonts w:asciiTheme="minorHAnsi" w:eastAsiaTheme="minorEastAsia" w:hAnsiTheme="minorHAnsi" w:cstheme="minorBidi"/>
          <w:noProof/>
          <w:kern w:val="0"/>
          <w:sz w:val="22"/>
          <w:szCs w:val="22"/>
        </w:rPr>
      </w:pPr>
      <w:r>
        <w:rPr>
          <w:noProof/>
        </w:rPr>
        <w:t>75G  Cancellation of registration</w:t>
      </w:r>
      <w:r>
        <w:rPr>
          <w:noProof/>
        </w:rPr>
        <w:tab/>
      </w:r>
      <w:r>
        <w:rPr>
          <w:noProof/>
        </w:rPr>
        <w:fldChar w:fldCharType="begin"/>
      </w:r>
      <w:r>
        <w:rPr>
          <w:noProof/>
        </w:rPr>
        <w:instrText xml:space="preserve"> PAGEREF _Toc185415862 \h </w:instrText>
      </w:r>
      <w:r>
        <w:rPr>
          <w:noProof/>
        </w:rPr>
      </w:r>
      <w:r>
        <w:rPr>
          <w:noProof/>
        </w:rPr>
        <w:fldChar w:fldCharType="separate"/>
      </w:r>
      <w:r w:rsidR="00302DB2">
        <w:rPr>
          <w:noProof/>
        </w:rPr>
        <w:t>204</w:t>
      </w:r>
      <w:r>
        <w:rPr>
          <w:noProof/>
        </w:rPr>
        <w:fldChar w:fldCharType="end"/>
      </w:r>
    </w:p>
    <w:p w14:paraId="38731674" w14:textId="37201EB9" w:rsidR="007931CC" w:rsidRDefault="007931CC">
      <w:pPr>
        <w:pStyle w:val="TOC5"/>
        <w:rPr>
          <w:rFonts w:asciiTheme="minorHAnsi" w:eastAsiaTheme="minorEastAsia" w:hAnsiTheme="minorHAnsi" w:cstheme="minorBidi"/>
          <w:noProof/>
          <w:kern w:val="0"/>
          <w:sz w:val="22"/>
          <w:szCs w:val="22"/>
        </w:rPr>
      </w:pPr>
      <w:r>
        <w:rPr>
          <w:noProof/>
        </w:rPr>
        <w:t>75H  Suspension of registration</w:t>
      </w:r>
      <w:r>
        <w:rPr>
          <w:noProof/>
        </w:rPr>
        <w:tab/>
      </w:r>
      <w:r>
        <w:rPr>
          <w:noProof/>
        </w:rPr>
        <w:fldChar w:fldCharType="begin"/>
      </w:r>
      <w:r>
        <w:rPr>
          <w:noProof/>
        </w:rPr>
        <w:instrText xml:space="preserve"> PAGEREF _Toc185415863 \h </w:instrText>
      </w:r>
      <w:r>
        <w:rPr>
          <w:noProof/>
        </w:rPr>
      </w:r>
      <w:r>
        <w:rPr>
          <w:noProof/>
        </w:rPr>
        <w:fldChar w:fldCharType="separate"/>
      </w:r>
      <w:r w:rsidR="00302DB2">
        <w:rPr>
          <w:noProof/>
        </w:rPr>
        <w:t>204</w:t>
      </w:r>
      <w:r>
        <w:rPr>
          <w:noProof/>
        </w:rPr>
        <w:fldChar w:fldCharType="end"/>
      </w:r>
    </w:p>
    <w:p w14:paraId="32312500" w14:textId="5B161FE8" w:rsidR="007931CC" w:rsidRDefault="007931CC">
      <w:pPr>
        <w:pStyle w:val="TOC5"/>
        <w:rPr>
          <w:rFonts w:asciiTheme="minorHAnsi" w:eastAsiaTheme="minorEastAsia" w:hAnsiTheme="minorHAnsi" w:cstheme="minorBidi"/>
          <w:noProof/>
          <w:kern w:val="0"/>
          <w:sz w:val="22"/>
          <w:szCs w:val="22"/>
        </w:rPr>
      </w:pPr>
      <w:r>
        <w:rPr>
          <w:noProof/>
        </w:rPr>
        <w:t>75J  Renewal of registration</w:t>
      </w:r>
      <w:r>
        <w:rPr>
          <w:noProof/>
        </w:rPr>
        <w:tab/>
      </w:r>
      <w:r>
        <w:rPr>
          <w:noProof/>
        </w:rPr>
        <w:fldChar w:fldCharType="begin"/>
      </w:r>
      <w:r>
        <w:rPr>
          <w:noProof/>
        </w:rPr>
        <w:instrText xml:space="preserve"> PAGEREF _Toc185415864 \h </w:instrText>
      </w:r>
      <w:r>
        <w:rPr>
          <w:noProof/>
        </w:rPr>
      </w:r>
      <w:r>
        <w:rPr>
          <w:noProof/>
        </w:rPr>
        <w:fldChar w:fldCharType="separate"/>
      </w:r>
      <w:r w:rsidR="00302DB2">
        <w:rPr>
          <w:noProof/>
        </w:rPr>
        <w:t>205</w:t>
      </w:r>
      <w:r>
        <w:rPr>
          <w:noProof/>
        </w:rPr>
        <w:fldChar w:fldCharType="end"/>
      </w:r>
    </w:p>
    <w:p w14:paraId="22654812" w14:textId="0897427A" w:rsidR="007931CC" w:rsidRDefault="007931CC">
      <w:pPr>
        <w:pStyle w:val="TOC5"/>
        <w:rPr>
          <w:rFonts w:asciiTheme="minorHAnsi" w:eastAsiaTheme="minorEastAsia" w:hAnsiTheme="minorHAnsi" w:cstheme="minorBidi"/>
          <w:noProof/>
          <w:kern w:val="0"/>
          <w:sz w:val="22"/>
          <w:szCs w:val="22"/>
        </w:rPr>
      </w:pPr>
      <w:r>
        <w:rPr>
          <w:noProof/>
        </w:rPr>
        <w:t>75K  Removal of entries from the Remittance Sector Register</w:t>
      </w:r>
      <w:r>
        <w:rPr>
          <w:noProof/>
        </w:rPr>
        <w:tab/>
      </w:r>
      <w:r>
        <w:rPr>
          <w:noProof/>
        </w:rPr>
        <w:fldChar w:fldCharType="begin"/>
      </w:r>
      <w:r>
        <w:rPr>
          <w:noProof/>
        </w:rPr>
        <w:instrText xml:space="preserve"> PAGEREF _Toc185415865 \h </w:instrText>
      </w:r>
      <w:r>
        <w:rPr>
          <w:noProof/>
        </w:rPr>
      </w:r>
      <w:r>
        <w:rPr>
          <w:noProof/>
        </w:rPr>
        <w:fldChar w:fldCharType="separate"/>
      </w:r>
      <w:r w:rsidR="00302DB2">
        <w:rPr>
          <w:noProof/>
        </w:rPr>
        <w:t>206</w:t>
      </w:r>
      <w:r>
        <w:rPr>
          <w:noProof/>
        </w:rPr>
        <w:fldChar w:fldCharType="end"/>
      </w:r>
    </w:p>
    <w:p w14:paraId="228A9091" w14:textId="39FA0473" w:rsidR="007931CC" w:rsidRDefault="007931CC">
      <w:pPr>
        <w:pStyle w:val="TOC5"/>
        <w:rPr>
          <w:rFonts w:asciiTheme="minorHAnsi" w:eastAsiaTheme="minorEastAsia" w:hAnsiTheme="minorHAnsi" w:cstheme="minorBidi"/>
          <w:noProof/>
          <w:kern w:val="0"/>
          <w:sz w:val="22"/>
          <w:szCs w:val="22"/>
        </w:rPr>
      </w:pPr>
      <w:r>
        <w:rPr>
          <w:noProof/>
        </w:rPr>
        <w:t>75L  AML/CTF Rules—general provision</w:t>
      </w:r>
      <w:r>
        <w:rPr>
          <w:noProof/>
        </w:rPr>
        <w:tab/>
      </w:r>
      <w:r>
        <w:rPr>
          <w:noProof/>
        </w:rPr>
        <w:fldChar w:fldCharType="begin"/>
      </w:r>
      <w:r>
        <w:rPr>
          <w:noProof/>
        </w:rPr>
        <w:instrText xml:space="preserve"> PAGEREF _Toc185415866 \h </w:instrText>
      </w:r>
      <w:r>
        <w:rPr>
          <w:noProof/>
        </w:rPr>
      </w:r>
      <w:r>
        <w:rPr>
          <w:noProof/>
        </w:rPr>
        <w:fldChar w:fldCharType="separate"/>
      </w:r>
      <w:r w:rsidR="00302DB2">
        <w:rPr>
          <w:noProof/>
        </w:rPr>
        <w:t>207</w:t>
      </w:r>
      <w:r>
        <w:rPr>
          <w:noProof/>
        </w:rPr>
        <w:fldChar w:fldCharType="end"/>
      </w:r>
    </w:p>
    <w:p w14:paraId="38D8BCBB" w14:textId="0334BB48" w:rsidR="007931CC" w:rsidRDefault="007931CC">
      <w:pPr>
        <w:pStyle w:val="TOC5"/>
        <w:rPr>
          <w:rFonts w:asciiTheme="minorHAnsi" w:eastAsiaTheme="minorEastAsia" w:hAnsiTheme="minorHAnsi" w:cstheme="minorBidi"/>
          <w:noProof/>
          <w:kern w:val="0"/>
          <w:sz w:val="22"/>
          <w:szCs w:val="22"/>
        </w:rPr>
      </w:pPr>
      <w:r>
        <w:rPr>
          <w:noProof/>
        </w:rPr>
        <w:t>75M  Registered persons to advise of material changes in circumstance etc.</w:t>
      </w:r>
      <w:r>
        <w:rPr>
          <w:noProof/>
        </w:rPr>
        <w:tab/>
      </w:r>
      <w:r>
        <w:rPr>
          <w:noProof/>
        </w:rPr>
        <w:fldChar w:fldCharType="begin"/>
      </w:r>
      <w:r>
        <w:rPr>
          <w:noProof/>
        </w:rPr>
        <w:instrText xml:space="preserve"> PAGEREF _Toc185415867 \h </w:instrText>
      </w:r>
      <w:r>
        <w:rPr>
          <w:noProof/>
        </w:rPr>
      </w:r>
      <w:r>
        <w:rPr>
          <w:noProof/>
        </w:rPr>
        <w:fldChar w:fldCharType="separate"/>
      </w:r>
      <w:r w:rsidR="00302DB2">
        <w:rPr>
          <w:noProof/>
        </w:rPr>
        <w:t>207</w:t>
      </w:r>
      <w:r>
        <w:rPr>
          <w:noProof/>
        </w:rPr>
        <w:fldChar w:fldCharType="end"/>
      </w:r>
    </w:p>
    <w:p w14:paraId="6DCD124B" w14:textId="64DFA97A" w:rsidR="007931CC" w:rsidRDefault="007931CC">
      <w:pPr>
        <w:pStyle w:val="TOC5"/>
        <w:rPr>
          <w:rFonts w:asciiTheme="minorHAnsi" w:eastAsiaTheme="minorEastAsia" w:hAnsiTheme="minorHAnsi" w:cstheme="minorBidi"/>
          <w:noProof/>
          <w:kern w:val="0"/>
          <w:sz w:val="22"/>
          <w:szCs w:val="22"/>
        </w:rPr>
      </w:pPr>
      <w:r>
        <w:rPr>
          <w:noProof/>
        </w:rPr>
        <w:t>75N  AUSTRAC CEO may request further information</w:t>
      </w:r>
      <w:r>
        <w:rPr>
          <w:noProof/>
        </w:rPr>
        <w:tab/>
      </w:r>
      <w:r>
        <w:rPr>
          <w:noProof/>
        </w:rPr>
        <w:fldChar w:fldCharType="begin"/>
      </w:r>
      <w:r>
        <w:rPr>
          <w:noProof/>
        </w:rPr>
        <w:instrText xml:space="preserve"> PAGEREF _Toc185415868 \h </w:instrText>
      </w:r>
      <w:r>
        <w:rPr>
          <w:noProof/>
        </w:rPr>
      </w:r>
      <w:r>
        <w:rPr>
          <w:noProof/>
        </w:rPr>
        <w:fldChar w:fldCharType="separate"/>
      </w:r>
      <w:r w:rsidR="00302DB2">
        <w:rPr>
          <w:noProof/>
        </w:rPr>
        <w:t>209</w:t>
      </w:r>
      <w:r>
        <w:rPr>
          <w:noProof/>
        </w:rPr>
        <w:fldChar w:fldCharType="end"/>
      </w:r>
    </w:p>
    <w:p w14:paraId="6F43C892" w14:textId="7EC0A236" w:rsidR="007931CC" w:rsidRDefault="007931CC">
      <w:pPr>
        <w:pStyle w:val="TOC5"/>
        <w:rPr>
          <w:rFonts w:asciiTheme="minorHAnsi" w:eastAsiaTheme="minorEastAsia" w:hAnsiTheme="minorHAnsi" w:cstheme="minorBidi"/>
          <w:noProof/>
          <w:kern w:val="0"/>
          <w:sz w:val="22"/>
          <w:szCs w:val="22"/>
        </w:rPr>
      </w:pPr>
      <w:r>
        <w:rPr>
          <w:noProof/>
        </w:rPr>
        <w:t>75P  Immunity from suit</w:t>
      </w:r>
      <w:r>
        <w:rPr>
          <w:noProof/>
        </w:rPr>
        <w:tab/>
      </w:r>
      <w:r>
        <w:rPr>
          <w:noProof/>
        </w:rPr>
        <w:fldChar w:fldCharType="begin"/>
      </w:r>
      <w:r>
        <w:rPr>
          <w:noProof/>
        </w:rPr>
        <w:instrText xml:space="preserve"> PAGEREF _Toc185415869 \h </w:instrText>
      </w:r>
      <w:r>
        <w:rPr>
          <w:noProof/>
        </w:rPr>
      </w:r>
      <w:r>
        <w:rPr>
          <w:noProof/>
        </w:rPr>
        <w:fldChar w:fldCharType="separate"/>
      </w:r>
      <w:r w:rsidR="00302DB2">
        <w:rPr>
          <w:noProof/>
        </w:rPr>
        <w:t>209</w:t>
      </w:r>
      <w:r>
        <w:rPr>
          <w:noProof/>
        </w:rPr>
        <w:fldChar w:fldCharType="end"/>
      </w:r>
    </w:p>
    <w:p w14:paraId="167276A9" w14:textId="2B613656" w:rsidR="007931CC" w:rsidRDefault="007931CC">
      <w:pPr>
        <w:pStyle w:val="TOC5"/>
        <w:rPr>
          <w:rFonts w:asciiTheme="minorHAnsi" w:eastAsiaTheme="minorEastAsia" w:hAnsiTheme="minorHAnsi" w:cstheme="minorBidi"/>
          <w:noProof/>
          <w:kern w:val="0"/>
          <w:sz w:val="22"/>
          <w:szCs w:val="22"/>
        </w:rPr>
      </w:pPr>
      <w:r>
        <w:rPr>
          <w:noProof/>
        </w:rPr>
        <w:t>75Q  Steps to be taken by AUSTRAC CEO before making certain reviewable decisions</w:t>
      </w:r>
      <w:r>
        <w:rPr>
          <w:noProof/>
        </w:rPr>
        <w:tab/>
      </w:r>
      <w:r>
        <w:rPr>
          <w:noProof/>
        </w:rPr>
        <w:fldChar w:fldCharType="begin"/>
      </w:r>
      <w:r>
        <w:rPr>
          <w:noProof/>
        </w:rPr>
        <w:instrText xml:space="preserve"> PAGEREF _Toc185415870 \h </w:instrText>
      </w:r>
      <w:r>
        <w:rPr>
          <w:noProof/>
        </w:rPr>
      </w:r>
      <w:r>
        <w:rPr>
          <w:noProof/>
        </w:rPr>
        <w:fldChar w:fldCharType="separate"/>
      </w:r>
      <w:r w:rsidR="00302DB2">
        <w:rPr>
          <w:noProof/>
        </w:rPr>
        <w:t>210</w:t>
      </w:r>
      <w:r>
        <w:rPr>
          <w:noProof/>
        </w:rPr>
        <w:fldChar w:fldCharType="end"/>
      </w:r>
    </w:p>
    <w:p w14:paraId="403F0158" w14:textId="5EDD9D85" w:rsidR="007931CC" w:rsidRDefault="007931CC">
      <w:pPr>
        <w:pStyle w:val="TOC3"/>
        <w:rPr>
          <w:rFonts w:asciiTheme="minorHAnsi" w:eastAsiaTheme="minorEastAsia" w:hAnsiTheme="minorHAnsi" w:cstheme="minorBidi"/>
          <w:b w:val="0"/>
          <w:noProof/>
          <w:kern w:val="0"/>
          <w:szCs w:val="22"/>
        </w:rPr>
      </w:pPr>
      <w:r>
        <w:rPr>
          <w:noProof/>
        </w:rPr>
        <w:t>Division 5—Basis of registration</w:t>
      </w:r>
      <w:r>
        <w:rPr>
          <w:noProof/>
        </w:rPr>
        <w:tab/>
      </w:r>
      <w:r>
        <w:rPr>
          <w:noProof/>
        </w:rPr>
        <w:fldChar w:fldCharType="begin"/>
      </w:r>
      <w:r>
        <w:rPr>
          <w:noProof/>
        </w:rPr>
        <w:instrText xml:space="preserve"> PAGEREF _Toc185415871 \h </w:instrText>
      </w:r>
      <w:r>
        <w:rPr>
          <w:noProof/>
        </w:rPr>
      </w:r>
      <w:r>
        <w:rPr>
          <w:noProof/>
        </w:rPr>
        <w:fldChar w:fldCharType="separate"/>
      </w:r>
      <w:r w:rsidR="00302DB2">
        <w:rPr>
          <w:noProof/>
        </w:rPr>
        <w:t>211</w:t>
      </w:r>
      <w:r>
        <w:rPr>
          <w:noProof/>
        </w:rPr>
        <w:fldChar w:fldCharType="end"/>
      </w:r>
    </w:p>
    <w:p w14:paraId="4C235F8A" w14:textId="1482A46F" w:rsidR="007931CC" w:rsidRDefault="007931CC">
      <w:pPr>
        <w:pStyle w:val="TOC5"/>
        <w:rPr>
          <w:rFonts w:asciiTheme="minorHAnsi" w:eastAsiaTheme="minorEastAsia" w:hAnsiTheme="minorHAnsi" w:cstheme="minorBidi"/>
          <w:noProof/>
          <w:kern w:val="0"/>
          <w:sz w:val="22"/>
          <w:szCs w:val="22"/>
        </w:rPr>
      </w:pPr>
      <w:r>
        <w:rPr>
          <w:noProof/>
        </w:rPr>
        <w:t>75T  Basis of registration</w:t>
      </w:r>
      <w:r>
        <w:rPr>
          <w:noProof/>
        </w:rPr>
        <w:tab/>
      </w:r>
      <w:r>
        <w:rPr>
          <w:noProof/>
        </w:rPr>
        <w:fldChar w:fldCharType="begin"/>
      </w:r>
      <w:r>
        <w:rPr>
          <w:noProof/>
        </w:rPr>
        <w:instrText xml:space="preserve"> PAGEREF _Toc185415872 \h </w:instrText>
      </w:r>
      <w:r>
        <w:rPr>
          <w:noProof/>
        </w:rPr>
      </w:r>
      <w:r>
        <w:rPr>
          <w:noProof/>
        </w:rPr>
        <w:fldChar w:fldCharType="separate"/>
      </w:r>
      <w:r w:rsidR="00302DB2">
        <w:rPr>
          <w:noProof/>
        </w:rPr>
        <w:t>211</w:t>
      </w:r>
      <w:r>
        <w:rPr>
          <w:noProof/>
        </w:rPr>
        <w:fldChar w:fldCharType="end"/>
      </w:r>
    </w:p>
    <w:p w14:paraId="0415116B" w14:textId="3820FA44" w:rsidR="007931CC" w:rsidRDefault="007931CC">
      <w:pPr>
        <w:pStyle w:val="TOC2"/>
        <w:rPr>
          <w:rFonts w:asciiTheme="minorHAnsi" w:eastAsiaTheme="minorEastAsia" w:hAnsiTheme="minorHAnsi" w:cstheme="minorBidi"/>
          <w:b w:val="0"/>
          <w:noProof/>
          <w:kern w:val="0"/>
          <w:sz w:val="22"/>
          <w:szCs w:val="22"/>
        </w:rPr>
      </w:pPr>
      <w:r>
        <w:rPr>
          <w:noProof/>
        </w:rPr>
        <w:t>Part 6A—The Virtual Asset Service Provider Register</w:t>
      </w:r>
      <w:r>
        <w:rPr>
          <w:noProof/>
        </w:rPr>
        <w:tab/>
      </w:r>
      <w:r>
        <w:rPr>
          <w:noProof/>
        </w:rPr>
        <w:fldChar w:fldCharType="begin"/>
      </w:r>
      <w:r>
        <w:rPr>
          <w:noProof/>
        </w:rPr>
        <w:instrText xml:space="preserve"> PAGEREF _Toc185415873 \h </w:instrText>
      </w:r>
      <w:r>
        <w:rPr>
          <w:noProof/>
        </w:rPr>
      </w:r>
      <w:r>
        <w:rPr>
          <w:noProof/>
        </w:rPr>
        <w:fldChar w:fldCharType="separate"/>
      </w:r>
      <w:r w:rsidR="00302DB2">
        <w:rPr>
          <w:noProof/>
        </w:rPr>
        <w:t>212</w:t>
      </w:r>
      <w:r>
        <w:rPr>
          <w:noProof/>
        </w:rPr>
        <w:fldChar w:fldCharType="end"/>
      </w:r>
    </w:p>
    <w:p w14:paraId="3749F902" w14:textId="4FC0032A" w:rsidR="007931CC" w:rsidRDefault="007931CC">
      <w:pPr>
        <w:pStyle w:val="TOC3"/>
        <w:rPr>
          <w:rFonts w:asciiTheme="minorHAnsi" w:eastAsiaTheme="minorEastAsia" w:hAnsiTheme="minorHAnsi" w:cstheme="minorBidi"/>
          <w:b w:val="0"/>
          <w:noProof/>
          <w:kern w:val="0"/>
          <w:szCs w:val="22"/>
        </w:rPr>
      </w:pPr>
      <w:r>
        <w:rPr>
          <w:noProof/>
        </w:rPr>
        <w:t>Division 1—Simplified outline</w:t>
      </w:r>
      <w:r>
        <w:rPr>
          <w:noProof/>
        </w:rPr>
        <w:tab/>
      </w:r>
      <w:r>
        <w:rPr>
          <w:noProof/>
        </w:rPr>
        <w:fldChar w:fldCharType="begin"/>
      </w:r>
      <w:r>
        <w:rPr>
          <w:noProof/>
        </w:rPr>
        <w:instrText xml:space="preserve"> PAGEREF _Toc185415874 \h </w:instrText>
      </w:r>
      <w:r>
        <w:rPr>
          <w:noProof/>
        </w:rPr>
      </w:r>
      <w:r>
        <w:rPr>
          <w:noProof/>
        </w:rPr>
        <w:fldChar w:fldCharType="separate"/>
      </w:r>
      <w:r w:rsidR="00302DB2">
        <w:rPr>
          <w:noProof/>
        </w:rPr>
        <w:t>212</w:t>
      </w:r>
      <w:r>
        <w:rPr>
          <w:noProof/>
        </w:rPr>
        <w:fldChar w:fldCharType="end"/>
      </w:r>
    </w:p>
    <w:p w14:paraId="2BE291FA" w14:textId="688479D5" w:rsidR="007931CC" w:rsidRDefault="007931CC">
      <w:pPr>
        <w:pStyle w:val="TOC5"/>
        <w:rPr>
          <w:rFonts w:asciiTheme="minorHAnsi" w:eastAsiaTheme="minorEastAsia" w:hAnsiTheme="minorHAnsi" w:cstheme="minorBidi"/>
          <w:noProof/>
          <w:kern w:val="0"/>
          <w:sz w:val="22"/>
          <w:szCs w:val="22"/>
        </w:rPr>
      </w:pPr>
      <w:r>
        <w:rPr>
          <w:noProof/>
        </w:rPr>
        <w:t>76  Simplified outline</w:t>
      </w:r>
      <w:r>
        <w:rPr>
          <w:noProof/>
        </w:rPr>
        <w:tab/>
      </w:r>
      <w:r>
        <w:rPr>
          <w:noProof/>
        </w:rPr>
        <w:fldChar w:fldCharType="begin"/>
      </w:r>
      <w:r>
        <w:rPr>
          <w:noProof/>
        </w:rPr>
        <w:instrText xml:space="preserve"> PAGEREF _Toc185415875 \h </w:instrText>
      </w:r>
      <w:r>
        <w:rPr>
          <w:noProof/>
        </w:rPr>
      </w:r>
      <w:r>
        <w:rPr>
          <w:noProof/>
        </w:rPr>
        <w:fldChar w:fldCharType="separate"/>
      </w:r>
      <w:r w:rsidR="00302DB2">
        <w:rPr>
          <w:noProof/>
        </w:rPr>
        <w:t>212</w:t>
      </w:r>
      <w:r>
        <w:rPr>
          <w:noProof/>
        </w:rPr>
        <w:fldChar w:fldCharType="end"/>
      </w:r>
    </w:p>
    <w:p w14:paraId="2E06EBE7" w14:textId="499786D6" w:rsidR="007931CC" w:rsidRDefault="007931CC">
      <w:pPr>
        <w:pStyle w:val="TOC3"/>
        <w:rPr>
          <w:rFonts w:asciiTheme="minorHAnsi" w:eastAsiaTheme="minorEastAsia" w:hAnsiTheme="minorHAnsi" w:cstheme="minorBidi"/>
          <w:b w:val="0"/>
          <w:noProof/>
          <w:kern w:val="0"/>
          <w:szCs w:val="22"/>
        </w:rPr>
      </w:pPr>
      <w:r>
        <w:rPr>
          <w:noProof/>
        </w:rPr>
        <w:t>Division 2—Restrictions on providing virtual asset services</w:t>
      </w:r>
      <w:r>
        <w:rPr>
          <w:noProof/>
        </w:rPr>
        <w:tab/>
      </w:r>
      <w:r>
        <w:rPr>
          <w:noProof/>
        </w:rPr>
        <w:fldChar w:fldCharType="begin"/>
      </w:r>
      <w:r>
        <w:rPr>
          <w:noProof/>
        </w:rPr>
        <w:instrText xml:space="preserve"> PAGEREF _Toc185415876 \h </w:instrText>
      </w:r>
      <w:r>
        <w:rPr>
          <w:noProof/>
        </w:rPr>
      </w:r>
      <w:r>
        <w:rPr>
          <w:noProof/>
        </w:rPr>
        <w:fldChar w:fldCharType="separate"/>
      </w:r>
      <w:r w:rsidR="00302DB2">
        <w:rPr>
          <w:noProof/>
        </w:rPr>
        <w:t>213</w:t>
      </w:r>
      <w:r>
        <w:rPr>
          <w:noProof/>
        </w:rPr>
        <w:fldChar w:fldCharType="end"/>
      </w:r>
    </w:p>
    <w:p w14:paraId="5A94CCB7" w14:textId="445C84E3" w:rsidR="007931CC" w:rsidRDefault="007931CC">
      <w:pPr>
        <w:pStyle w:val="TOC5"/>
        <w:rPr>
          <w:rFonts w:asciiTheme="minorHAnsi" w:eastAsiaTheme="minorEastAsia" w:hAnsiTheme="minorHAnsi" w:cstheme="minorBidi"/>
          <w:noProof/>
          <w:kern w:val="0"/>
          <w:sz w:val="22"/>
          <w:szCs w:val="22"/>
        </w:rPr>
      </w:pPr>
      <w:r>
        <w:rPr>
          <w:noProof/>
        </w:rPr>
        <w:t>76A  Unregistered persons must not provide certain virtual asset services</w:t>
      </w:r>
      <w:r>
        <w:rPr>
          <w:noProof/>
        </w:rPr>
        <w:tab/>
      </w:r>
      <w:r>
        <w:rPr>
          <w:noProof/>
        </w:rPr>
        <w:fldChar w:fldCharType="begin"/>
      </w:r>
      <w:r>
        <w:rPr>
          <w:noProof/>
        </w:rPr>
        <w:instrText xml:space="preserve"> PAGEREF _Toc185415877 \h </w:instrText>
      </w:r>
      <w:r>
        <w:rPr>
          <w:noProof/>
        </w:rPr>
      </w:r>
      <w:r>
        <w:rPr>
          <w:noProof/>
        </w:rPr>
        <w:fldChar w:fldCharType="separate"/>
      </w:r>
      <w:r w:rsidR="00302DB2">
        <w:rPr>
          <w:noProof/>
        </w:rPr>
        <w:t>213</w:t>
      </w:r>
      <w:r>
        <w:rPr>
          <w:noProof/>
        </w:rPr>
        <w:fldChar w:fldCharType="end"/>
      </w:r>
    </w:p>
    <w:p w14:paraId="197E737B" w14:textId="684733B1" w:rsidR="007931CC" w:rsidRDefault="007931CC">
      <w:pPr>
        <w:pStyle w:val="TOC3"/>
        <w:rPr>
          <w:rFonts w:asciiTheme="minorHAnsi" w:eastAsiaTheme="minorEastAsia" w:hAnsiTheme="minorHAnsi" w:cstheme="minorBidi"/>
          <w:b w:val="0"/>
          <w:noProof/>
          <w:kern w:val="0"/>
          <w:szCs w:val="22"/>
        </w:rPr>
      </w:pPr>
      <w:r>
        <w:rPr>
          <w:noProof/>
        </w:rPr>
        <w:t>Division 3—Registration of persons</w:t>
      </w:r>
      <w:r>
        <w:rPr>
          <w:noProof/>
        </w:rPr>
        <w:tab/>
      </w:r>
      <w:r>
        <w:rPr>
          <w:noProof/>
        </w:rPr>
        <w:fldChar w:fldCharType="begin"/>
      </w:r>
      <w:r>
        <w:rPr>
          <w:noProof/>
        </w:rPr>
        <w:instrText xml:space="preserve"> PAGEREF _Toc185415878 \h </w:instrText>
      </w:r>
      <w:r>
        <w:rPr>
          <w:noProof/>
        </w:rPr>
      </w:r>
      <w:r>
        <w:rPr>
          <w:noProof/>
        </w:rPr>
        <w:fldChar w:fldCharType="separate"/>
      </w:r>
      <w:r w:rsidR="00302DB2">
        <w:rPr>
          <w:noProof/>
        </w:rPr>
        <w:t>216</w:t>
      </w:r>
      <w:r>
        <w:rPr>
          <w:noProof/>
        </w:rPr>
        <w:fldChar w:fldCharType="end"/>
      </w:r>
    </w:p>
    <w:p w14:paraId="2320F7D9" w14:textId="52BD2D3E" w:rsidR="007931CC" w:rsidRDefault="007931CC">
      <w:pPr>
        <w:pStyle w:val="TOC5"/>
        <w:rPr>
          <w:rFonts w:asciiTheme="minorHAnsi" w:eastAsiaTheme="minorEastAsia" w:hAnsiTheme="minorHAnsi" w:cstheme="minorBidi"/>
          <w:noProof/>
          <w:kern w:val="0"/>
          <w:sz w:val="22"/>
          <w:szCs w:val="22"/>
        </w:rPr>
      </w:pPr>
      <w:r>
        <w:rPr>
          <w:noProof/>
        </w:rPr>
        <w:t>76B  Virtual Asset Service Provider Register</w:t>
      </w:r>
      <w:r>
        <w:rPr>
          <w:noProof/>
        </w:rPr>
        <w:tab/>
      </w:r>
      <w:r>
        <w:rPr>
          <w:noProof/>
        </w:rPr>
        <w:fldChar w:fldCharType="begin"/>
      </w:r>
      <w:r>
        <w:rPr>
          <w:noProof/>
        </w:rPr>
        <w:instrText xml:space="preserve"> PAGEREF _Toc185415879 \h </w:instrText>
      </w:r>
      <w:r>
        <w:rPr>
          <w:noProof/>
        </w:rPr>
      </w:r>
      <w:r>
        <w:rPr>
          <w:noProof/>
        </w:rPr>
        <w:fldChar w:fldCharType="separate"/>
      </w:r>
      <w:r w:rsidR="00302DB2">
        <w:rPr>
          <w:noProof/>
        </w:rPr>
        <w:t>216</w:t>
      </w:r>
      <w:r>
        <w:rPr>
          <w:noProof/>
        </w:rPr>
        <w:fldChar w:fldCharType="end"/>
      </w:r>
    </w:p>
    <w:p w14:paraId="42D10238" w14:textId="716711A0" w:rsidR="007931CC" w:rsidRDefault="007931CC">
      <w:pPr>
        <w:pStyle w:val="TOC5"/>
        <w:rPr>
          <w:rFonts w:asciiTheme="minorHAnsi" w:eastAsiaTheme="minorEastAsia" w:hAnsiTheme="minorHAnsi" w:cstheme="minorBidi"/>
          <w:noProof/>
          <w:kern w:val="0"/>
          <w:sz w:val="22"/>
          <w:szCs w:val="22"/>
        </w:rPr>
      </w:pPr>
      <w:r>
        <w:rPr>
          <w:noProof/>
        </w:rPr>
        <w:t>76C  Information to be entered on the Virtual Asset Service Provider Register</w:t>
      </w:r>
      <w:r>
        <w:rPr>
          <w:noProof/>
        </w:rPr>
        <w:tab/>
      </w:r>
      <w:r>
        <w:rPr>
          <w:noProof/>
        </w:rPr>
        <w:fldChar w:fldCharType="begin"/>
      </w:r>
      <w:r>
        <w:rPr>
          <w:noProof/>
        </w:rPr>
        <w:instrText xml:space="preserve"> PAGEREF _Toc185415880 \h </w:instrText>
      </w:r>
      <w:r>
        <w:rPr>
          <w:noProof/>
        </w:rPr>
      </w:r>
      <w:r>
        <w:rPr>
          <w:noProof/>
        </w:rPr>
        <w:fldChar w:fldCharType="separate"/>
      </w:r>
      <w:r w:rsidR="00302DB2">
        <w:rPr>
          <w:noProof/>
        </w:rPr>
        <w:t>216</w:t>
      </w:r>
      <w:r>
        <w:rPr>
          <w:noProof/>
        </w:rPr>
        <w:fldChar w:fldCharType="end"/>
      </w:r>
    </w:p>
    <w:p w14:paraId="674EF5A2" w14:textId="41747D6C" w:rsidR="007931CC" w:rsidRDefault="007931CC">
      <w:pPr>
        <w:pStyle w:val="TOC5"/>
        <w:rPr>
          <w:rFonts w:asciiTheme="minorHAnsi" w:eastAsiaTheme="minorEastAsia" w:hAnsiTheme="minorHAnsi" w:cstheme="minorBidi"/>
          <w:noProof/>
          <w:kern w:val="0"/>
          <w:sz w:val="22"/>
          <w:szCs w:val="22"/>
        </w:rPr>
      </w:pPr>
      <w:r>
        <w:rPr>
          <w:noProof/>
        </w:rPr>
        <w:t>76D  Applications for registration</w:t>
      </w:r>
      <w:r>
        <w:rPr>
          <w:noProof/>
        </w:rPr>
        <w:tab/>
      </w:r>
      <w:r>
        <w:rPr>
          <w:noProof/>
        </w:rPr>
        <w:fldChar w:fldCharType="begin"/>
      </w:r>
      <w:r>
        <w:rPr>
          <w:noProof/>
        </w:rPr>
        <w:instrText xml:space="preserve"> PAGEREF _Toc185415881 \h </w:instrText>
      </w:r>
      <w:r>
        <w:rPr>
          <w:noProof/>
        </w:rPr>
      </w:r>
      <w:r>
        <w:rPr>
          <w:noProof/>
        </w:rPr>
        <w:fldChar w:fldCharType="separate"/>
      </w:r>
      <w:r w:rsidR="00302DB2">
        <w:rPr>
          <w:noProof/>
        </w:rPr>
        <w:t>217</w:t>
      </w:r>
      <w:r>
        <w:rPr>
          <w:noProof/>
        </w:rPr>
        <w:fldChar w:fldCharType="end"/>
      </w:r>
    </w:p>
    <w:p w14:paraId="5B323924" w14:textId="6CC7E807" w:rsidR="007931CC" w:rsidRDefault="007931CC">
      <w:pPr>
        <w:pStyle w:val="TOC5"/>
        <w:rPr>
          <w:rFonts w:asciiTheme="minorHAnsi" w:eastAsiaTheme="minorEastAsia" w:hAnsiTheme="minorHAnsi" w:cstheme="minorBidi"/>
          <w:noProof/>
          <w:kern w:val="0"/>
          <w:sz w:val="22"/>
          <w:szCs w:val="22"/>
        </w:rPr>
      </w:pPr>
      <w:r>
        <w:rPr>
          <w:noProof/>
        </w:rPr>
        <w:t>76E  Registration by AUSTRAC CEO</w:t>
      </w:r>
      <w:r>
        <w:rPr>
          <w:noProof/>
        </w:rPr>
        <w:tab/>
      </w:r>
      <w:r>
        <w:rPr>
          <w:noProof/>
        </w:rPr>
        <w:fldChar w:fldCharType="begin"/>
      </w:r>
      <w:r>
        <w:rPr>
          <w:noProof/>
        </w:rPr>
        <w:instrText xml:space="preserve"> PAGEREF _Toc185415882 \h </w:instrText>
      </w:r>
      <w:r>
        <w:rPr>
          <w:noProof/>
        </w:rPr>
      </w:r>
      <w:r>
        <w:rPr>
          <w:noProof/>
        </w:rPr>
        <w:fldChar w:fldCharType="separate"/>
      </w:r>
      <w:r w:rsidR="00302DB2">
        <w:rPr>
          <w:noProof/>
        </w:rPr>
        <w:t>218</w:t>
      </w:r>
      <w:r>
        <w:rPr>
          <w:noProof/>
        </w:rPr>
        <w:fldChar w:fldCharType="end"/>
      </w:r>
    </w:p>
    <w:p w14:paraId="30C70C7F" w14:textId="19CDB1CB" w:rsidR="007931CC" w:rsidRDefault="007931CC">
      <w:pPr>
        <w:pStyle w:val="TOC5"/>
        <w:rPr>
          <w:rFonts w:asciiTheme="minorHAnsi" w:eastAsiaTheme="minorEastAsia" w:hAnsiTheme="minorHAnsi" w:cstheme="minorBidi"/>
          <w:noProof/>
          <w:kern w:val="0"/>
          <w:sz w:val="22"/>
          <w:szCs w:val="22"/>
        </w:rPr>
      </w:pPr>
      <w:r>
        <w:rPr>
          <w:noProof/>
        </w:rPr>
        <w:t>76F  Spent convictions scheme</w:t>
      </w:r>
      <w:r>
        <w:rPr>
          <w:noProof/>
        </w:rPr>
        <w:tab/>
      </w:r>
      <w:r>
        <w:rPr>
          <w:noProof/>
        </w:rPr>
        <w:fldChar w:fldCharType="begin"/>
      </w:r>
      <w:r>
        <w:rPr>
          <w:noProof/>
        </w:rPr>
        <w:instrText xml:space="preserve"> PAGEREF _Toc185415883 \h </w:instrText>
      </w:r>
      <w:r>
        <w:rPr>
          <w:noProof/>
        </w:rPr>
      </w:r>
      <w:r>
        <w:rPr>
          <w:noProof/>
        </w:rPr>
        <w:fldChar w:fldCharType="separate"/>
      </w:r>
      <w:r w:rsidR="00302DB2">
        <w:rPr>
          <w:noProof/>
        </w:rPr>
        <w:t>219</w:t>
      </w:r>
      <w:r>
        <w:rPr>
          <w:noProof/>
        </w:rPr>
        <w:fldChar w:fldCharType="end"/>
      </w:r>
    </w:p>
    <w:p w14:paraId="5F37259F" w14:textId="0E0DB24E" w:rsidR="007931CC" w:rsidRDefault="007931CC">
      <w:pPr>
        <w:pStyle w:val="TOC5"/>
        <w:rPr>
          <w:rFonts w:asciiTheme="minorHAnsi" w:eastAsiaTheme="minorEastAsia" w:hAnsiTheme="minorHAnsi" w:cstheme="minorBidi"/>
          <w:noProof/>
          <w:kern w:val="0"/>
          <w:sz w:val="22"/>
          <w:szCs w:val="22"/>
        </w:rPr>
      </w:pPr>
      <w:r>
        <w:rPr>
          <w:noProof/>
        </w:rPr>
        <w:t>76G  Registration may be subject to conditions</w:t>
      </w:r>
      <w:r>
        <w:rPr>
          <w:noProof/>
        </w:rPr>
        <w:tab/>
      </w:r>
      <w:r>
        <w:rPr>
          <w:noProof/>
        </w:rPr>
        <w:fldChar w:fldCharType="begin"/>
      </w:r>
      <w:r>
        <w:rPr>
          <w:noProof/>
        </w:rPr>
        <w:instrText xml:space="preserve"> PAGEREF _Toc185415884 \h </w:instrText>
      </w:r>
      <w:r>
        <w:rPr>
          <w:noProof/>
        </w:rPr>
      </w:r>
      <w:r>
        <w:rPr>
          <w:noProof/>
        </w:rPr>
        <w:fldChar w:fldCharType="separate"/>
      </w:r>
      <w:r w:rsidR="00302DB2">
        <w:rPr>
          <w:noProof/>
        </w:rPr>
        <w:t>219</w:t>
      </w:r>
      <w:r>
        <w:rPr>
          <w:noProof/>
        </w:rPr>
        <w:fldChar w:fldCharType="end"/>
      </w:r>
    </w:p>
    <w:p w14:paraId="61AB3B85" w14:textId="048BB140" w:rsidR="007931CC" w:rsidRDefault="007931CC">
      <w:pPr>
        <w:pStyle w:val="TOC5"/>
        <w:rPr>
          <w:rFonts w:asciiTheme="minorHAnsi" w:eastAsiaTheme="minorEastAsia" w:hAnsiTheme="minorHAnsi" w:cstheme="minorBidi"/>
          <w:noProof/>
          <w:kern w:val="0"/>
          <w:sz w:val="22"/>
          <w:szCs w:val="22"/>
        </w:rPr>
      </w:pPr>
      <w:r>
        <w:rPr>
          <w:noProof/>
        </w:rPr>
        <w:t>76H  When registration of a person ceases</w:t>
      </w:r>
      <w:r>
        <w:rPr>
          <w:noProof/>
        </w:rPr>
        <w:tab/>
      </w:r>
      <w:r>
        <w:rPr>
          <w:noProof/>
        </w:rPr>
        <w:fldChar w:fldCharType="begin"/>
      </w:r>
      <w:r>
        <w:rPr>
          <w:noProof/>
        </w:rPr>
        <w:instrText xml:space="preserve"> PAGEREF _Toc185415885 \h </w:instrText>
      </w:r>
      <w:r>
        <w:rPr>
          <w:noProof/>
        </w:rPr>
      </w:r>
      <w:r>
        <w:rPr>
          <w:noProof/>
        </w:rPr>
        <w:fldChar w:fldCharType="separate"/>
      </w:r>
      <w:r w:rsidR="00302DB2">
        <w:rPr>
          <w:noProof/>
        </w:rPr>
        <w:t>220</w:t>
      </w:r>
      <w:r>
        <w:rPr>
          <w:noProof/>
        </w:rPr>
        <w:fldChar w:fldCharType="end"/>
      </w:r>
    </w:p>
    <w:p w14:paraId="011759B4" w14:textId="041146D0" w:rsidR="007931CC" w:rsidRDefault="007931CC">
      <w:pPr>
        <w:pStyle w:val="TOC5"/>
        <w:rPr>
          <w:rFonts w:asciiTheme="minorHAnsi" w:eastAsiaTheme="minorEastAsia" w:hAnsiTheme="minorHAnsi" w:cstheme="minorBidi"/>
          <w:noProof/>
          <w:kern w:val="0"/>
          <w:sz w:val="22"/>
          <w:szCs w:val="22"/>
        </w:rPr>
      </w:pPr>
      <w:r>
        <w:rPr>
          <w:noProof/>
        </w:rPr>
        <w:t>76J  Cancellation of registration</w:t>
      </w:r>
      <w:r>
        <w:rPr>
          <w:noProof/>
        </w:rPr>
        <w:tab/>
      </w:r>
      <w:r>
        <w:rPr>
          <w:noProof/>
        </w:rPr>
        <w:fldChar w:fldCharType="begin"/>
      </w:r>
      <w:r>
        <w:rPr>
          <w:noProof/>
        </w:rPr>
        <w:instrText xml:space="preserve"> PAGEREF _Toc185415886 \h </w:instrText>
      </w:r>
      <w:r>
        <w:rPr>
          <w:noProof/>
        </w:rPr>
      </w:r>
      <w:r>
        <w:rPr>
          <w:noProof/>
        </w:rPr>
        <w:fldChar w:fldCharType="separate"/>
      </w:r>
      <w:r w:rsidR="00302DB2">
        <w:rPr>
          <w:noProof/>
        </w:rPr>
        <w:t>220</w:t>
      </w:r>
      <w:r>
        <w:rPr>
          <w:noProof/>
        </w:rPr>
        <w:fldChar w:fldCharType="end"/>
      </w:r>
    </w:p>
    <w:p w14:paraId="77D8EF95" w14:textId="2C13AAC0" w:rsidR="007931CC" w:rsidRDefault="007931CC">
      <w:pPr>
        <w:pStyle w:val="TOC5"/>
        <w:rPr>
          <w:rFonts w:asciiTheme="minorHAnsi" w:eastAsiaTheme="minorEastAsia" w:hAnsiTheme="minorHAnsi" w:cstheme="minorBidi"/>
          <w:noProof/>
          <w:kern w:val="0"/>
          <w:sz w:val="22"/>
          <w:szCs w:val="22"/>
        </w:rPr>
      </w:pPr>
      <w:r>
        <w:rPr>
          <w:noProof/>
        </w:rPr>
        <w:t>76K  Suspension of registration</w:t>
      </w:r>
      <w:r>
        <w:rPr>
          <w:noProof/>
        </w:rPr>
        <w:tab/>
      </w:r>
      <w:r>
        <w:rPr>
          <w:noProof/>
        </w:rPr>
        <w:fldChar w:fldCharType="begin"/>
      </w:r>
      <w:r>
        <w:rPr>
          <w:noProof/>
        </w:rPr>
        <w:instrText xml:space="preserve"> PAGEREF _Toc185415887 \h </w:instrText>
      </w:r>
      <w:r>
        <w:rPr>
          <w:noProof/>
        </w:rPr>
      </w:r>
      <w:r>
        <w:rPr>
          <w:noProof/>
        </w:rPr>
        <w:fldChar w:fldCharType="separate"/>
      </w:r>
      <w:r w:rsidR="00302DB2">
        <w:rPr>
          <w:noProof/>
        </w:rPr>
        <w:t>221</w:t>
      </w:r>
      <w:r>
        <w:rPr>
          <w:noProof/>
        </w:rPr>
        <w:fldChar w:fldCharType="end"/>
      </w:r>
    </w:p>
    <w:p w14:paraId="586C12E0" w14:textId="1B86FE46" w:rsidR="007931CC" w:rsidRDefault="007931CC">
      <w:pPr>
        <w:pStyle w:val="TOC5"/>
        <w:rPr>
          <w:rFonts w:asciiTheme="minorHAnsi" w:eastAsiaTheme="minorEastAsia" w:hAnsiTheme="minorHAnsi" w:cstheme="minorBidi"/>
          <w:noProof/>
          <w:kern w:val="0"/>
          <w:sz w:val="22"/>
          <w:szCs w:val="22"/>
        </w:rPr>
      </w:pPr>
      <w:r>
        <w:rPr>
          <w:noProof/>
        </w:rPr>
        <w:t>76L  Renewal of registration</w:t>
      </w:r>
      <w:r>
        <w:rPr>
          <w:noProof/>
        </w:rPr>
        <w:tab/>
      </w:r>
      <w:r>
        <w:rPr>
          <w:noProof/>
        </w:rPr>
        <w:fldChar w:fldCharType="begin"/>
      </w:r>
      <w:r>
        <w:rPr>
          <w:noProof/>
        </w:rPr>
        <w:instrText xml:space="preserve"> PAGEREF _Toc185415888 \h </w:instrText>
      </w:r>
      <w:r>
        <w:rPr>
          <w:noProof/>
        </w:rPr>
      </w:r>
      <w:r>
        <w:rPr>
          <w:noProof/>
        </w:rPr>
        <w:fldChar w:fldCharType="separate"/>
      </w:r>
      <w:r w:rsidR="00302DB2">
        <w:rPr>
          <w:noProof/>
        </w:rPr>
        <w:t>221</w:t>
      </w:r>
      <w:r>
        <w:rPr>
          <w:noProof/>
        </w:rPr>
        <w:fldChar w:fldCharType="end"/>
      </w:r>
    </w:p>
    <w:p w14:paraId="451D0865" w14:textId="2D98646F" w:rsidR="007931CC" w:rsidRDefault="007931CC">
      <w:pPr>
        <w:pStyle w:val="TOC5"/>
        <w:rPr>
          <w:rFonts w:asciiTheme="minorHAnsi" w:eastAsiaTheme="minorEastAsia" w:hAnsiTheme="minorHAnsi" w:cstheme="minorBidi"/>
          <w:noProof/>
          <w:kern w:val="0"/>
          <w:sz w:val="22"/>
          <w:szCs w:val="22"/>
        </w:rPr>
      </w:pPr>
      <w:r>
        <w:rPr>
          <w:noProof/>
        </w:rPr>
        <w:t>76M  Removal of entries from the Virtual Asset Service Provider Register</w:t>
      </w:r>
      <w:r>
        <w:rPr>
          <w:noProof/>
        </w:rPr>
        <w:tab/>
      </w:r>
      <w:r>
        <w:rPr>
          <w:noProof/>
        </w:rPr>
        <w:fldChar w:fldCharType="begin"/>
      </w:r>
      <w:r>
        <w:rPr>
          <w:noProof/>
        </w:rPr>
        <w:instrText xml:space="preserve"> PAGEREF _Toc185415889 \h </w:instrText>
      </w:r>
      <w:r>
        <w:rPr>
          <w:noProof/>
        </w:rPr>
      </w:r>
      <w:r>
        <w:rPr>
          <w:noProof/>
        </w:rPr>
        <w:fldChar w:fldCharType="separate"/>
      </w:r>
      <w:r w:rsidR="00302DB2">
        <w:rPr>
          <w:noProof/>
        </w:rPr>
        <w:t>222</w:t>
      </w:r>
      <w:r>
        <w:rPr>
          <w:noProof/>
        </w:rPr>
        <w:fldChar w:fldCharType="end"/>
      </w:r>
    </w:p>
    <w:p w14:paraId="05D7EF8C" w14:textId="403B6677" w:rsidR="007931CC" w:rsidRDefault="007931CC">
      <w:pPr>
        <w:pStyle w:val="TOC5"/>
        <w:rPr>
          <w:rFonts w:asciiTheme="minorHAnsi" w:eastAsiaTheme="minorEastAsia" w:hAnsiTheme="minorHAnsi" w:cstheme="minorBidi"/>
          <w:noProof/>
          <w:kern w:val="0"/>
          <w:sz w:val="22"/>
          <w:szCs w:val="22"/>
        </w:rPr>
      </w:pPr>
      <w:r>
        <w:rPr>
          <w:noProof/>
        </w:rPr>
        <w:t>76N  AML/CTF Rules—general provision</w:t>
      </w:r>
      <w:r>
        <w:rPr>
          <w:noProof/>
        </w:rPr>
        <w:tab/>
      </w:r>
      <w:r>
        <w:rPr>
          <w:noProof/>
        </w:rPr>
        <w:fldChar w:fldCharType="begin"/>
      </w:r>
      <w:r>
        <w:rPr>
          <w:noProof/>
        </w:rPr>
        <w:instrText xml:space="preserve"> PAGEREF _Toc185415890 \h </w:instrText>
      </w:r>
      <w:r>
        <w:rPr>
          <w:noProof/>
        </w:rPr>
      </w:r>
      <w:r>
        <w:rPr>
          <w:noProof/>
        </w:rPr>
        <w:fldChar w:fldCharType="separate"/>
      </w:r>
      <w:r w:rsidR="00302DB2">
        <w:rPr>
          <w:noProof/>
        </w:rPr>
        <w:t>223</w:t>
      </w:r>
      <w:r>
        <w:rPr>
          <w:noProof/>
        </w:rPr>
        <w:fldChar w:fldCharType="end"/>
      </w:r>
    </w:p>
    <w:p w14:paraId="480D9411" w14:textId="63ECC68F" w:rsidR="007931CC" w:rsidRDefault="007931CC">
      <w:pPr>
        <w:pStyle w:val="TOC5"/>
        <w:rPr>
          <w:rFonts w:asciiTheme="minorHAnsi" w:eastAsiaTheme="minorEastAsia" w:hAnsiTheme="minorHAnsi" w:cstheme="minorBidi"/>
          <w:noProof/>
          <w:kern w:val="0"/>
          <w:sz w:val="22"/>
          <w:szCs w:val="22"/>
        </w:rPr>
      </w:pPr>
      <w:r>
        <w:rPr>
          <w:noProof/>
        </w:rPr>
        <w:t>76P  Registered persons to advise of material changes in circumstance etc.</w:t>
      </w:r>
      <w:r>
        <w:rPr>
          <w:noProof/>
        </w:rPr>
        <w:tab/>
      </w:r>
      <w:r>
        <w:rPr>
          <w:noProof/>
        </w:rPr>
        <w:fldChar w:fldCharType="begin"/>
      </w:r>
      <w:r>
        <w:rPr>
          <w:noProof/>
        </w:rPr>
        <w:instrText xml:space="preserve"> PAGEREF _Toc185415891 \h </w:instrText>
      </w:r>
      <w:r>
        <w:rPr>
          <w:noProof/>
        </w:rPr>
      </w:r>
      <w:r>
        <w:rPr>
          <w:noProof/>
        </w:rPr>
        <w:fldChar w:fldCharType="separate"/>
      </w:r>
      <w:r w:rsidR="00302DB2">
        <w:rPr>
          <w:noProof/>
        </w:rPr>
        <w:t>223</w:t>
      </w:r>
      <w:r>
        <w:rPr>
          <w:noProof/>
        </w:rPr>
        <w:fldChar w:fldCharType="end"/>
      </w:r>
    </w:p>
    <w:p w14:paraId="4BF63195" w14:textId="0A7D9537" w:rsidR="007931CC" w:rsidRDefault="007931CC">
      <w:pPr>
        <w:pStyle w:val="TOC5"/>
        <w:rPr>
          <w:rFonts w:asciiTheme="minorHAnsi" w:eastAsiaTheme="minorEastAsia" w:hAnsiTheme="minorHAnsi" w:cstheme="minorBidi"/>
          <w:noProof/>
          <w:kern w:val="0"/>
          <w:sz w:val="22"/>
          <w:szCs w:val="22"/>
        </w:rPr>
      </w:pPr>
      <w:r>
        <w:rPr>
          <w:noProof/>
        </w:rPr>
        <w:t>76Q  AUSTRAC CEO may request further information</w:t>
      </w:r>
      <w:r>
        <w:rPr>
          <w:noProof/>
        </w:rPr>
        <w:tab/>
      </w:r>
      <w:r>
        <w:rPr>
          <w:noProof/>
        </w:rPr>
        <w:fldChar w:fldCharType="begin"/>
      </w:r>
      <w:r>
        <w:rPr>
          <w:noProof/>
        </w:rPr>
        <w:instrText xml:space="preserve"> PAGEREF _Toc185415892 \h </w:instrText>
      </w:r>
      <w:r>
        <w:rPr>
          <w:noProof/>
        </w:rPr>
      </w:r>
      <w:r>
        <w:rPr>
          <w:noProof/>
        </w:rPr>
        <w:fldChar w:fldCharType="separate"/>
      </w:r>
      <w:r w:rsidR="00302DB2">
        <w:rPr>
          <w:noProof/>
        </w:rPr>
        <w:t>224</w:t>
      </w:r>
      <w:r>
        <w:rPr>
          <w:noProof/>
        </w:rPr>
        <w:fldChar w:fldCharType="end"/>
      </w:r>
    </w:p>
    <w:p w14:paraId="3ED90010" w14:textId="29F2FD02" w:rsidR="007931CC" w:rsidRDefault="007931CC">
      <w:pPr>
        <w:pStyle w:val="TOC5"/>
        <w:rPr>
          <w:rFonts w:asciiTheme="minorHAnsi" w:eastAsiaTheme="minorEastAsia" w:hAnsiTheme="minorHAnsi" w:cstheme="minorBidi"/>
          <w:noProof/>
          <w:kern w:val="0"/>
          <w:sz w:val="22"/>
          <w:szCs w:val="22"/>
        </w:rPr>
      </w:pPr>
      <w:r>
        <w:rPr>
          <w:noProof/>
        </w:rPr>
        <w:t>76R  Immunity from suit</w:t>
      </w:r>
      <w:r>
        <w:rPr>
          <w:noProof/>
        </w:rPr>
        <w:tab/>
      </w:r>
      <w:r>
        <w:rPr>
          <w:noProof/>
        </w:rPr>
        <w:fldChar w:fldCharType="begin"/>
      </w:r>
      <w:r>
        <w:rPr>
          <w:noProof/>
        </w:rPr>
        <w:instrText xml:space="preserve"> PAGEREF _Toc185415893 \h </w:instrText>
      </w:r>
      <w:r>
        <w:rPr>
          <w:noProof/>
        </w:rPr>
      </w:r>
      <w:r>
        <w:rPr>
          <w:noProof/>
        </w:rPr>
        <w:fldChar w:fldCharType="separate"/>
      </w:r>
      <w:r w:rsidR="00302DB2">
        <w:rPr>
          <w:noProof/>
        </w:rPr>
        <w:t>224</w:t>
      </w:r>
      <w:r>
        <w:rPr>
          <w:noProof/>
        </w:rPr>
        <w:fldChar w:fldCharType="end"/>
      </w:r>
    </w:p>
    <w:p w14:paraId="25E444F9" w14:textId="77E5D8F3" w:rsidR="007931CC" w:rsidRDefault="007931CC">
      <w:pPr>
        <w:pStyle w:val="TOC5"/>
        <w:rPr>
          <w:rFonts w:asciiTheme="minorHAnsi" w:eastAsiaTheme="minorEastAsia" w:hAnsiTheme="minorHAnsi" w:cstheme="minorBidi"/>
          <w:noProof/>
          <w:kern w:val="0"/>
          <w:sz w:val="22"/>
          <w:szCs w:val="22"/>
        </w:rPr>
      </w:pPr>
      <w:r>
        <w:rPr>
          <w:noProof/>
        </w:rPr>
        <w:t>76S  Steps to be taken by AUSTRAC CEO before making certain reviewable decisions</w:t>
      </w:r>
      <w:r>
        <w:rPr>
          <w:noProof/>
        </w:rPr>
        <w:tab/>
      </w:r>
      <w:r>
        <w:rPr>
          <w:noProof/>
        </w:rPr>
        <w:fldChar w:fldCharType="begin"/>
      </w:r>
      <w:r>
        <w:rPr>
          <w:noProof/>
        </w:rPr>
        <w:instrText xml:space="preserve"> PAGEREF _Toc185415894 \h </w:instrText>
      </w:r>
      <w:r>
        <w:rPr>
          <w:noProof/>
        </w:rPr>
      </w:r>
      <w:r>
        <w:rPr>
          <w:noProof/>
        </w:rPr>
        <w:fldChar w:fldCharType="separate"/>
      </w:r>
      <w:r w:rsidR="00302DB2">
        <w:rPr>
          <w:noProof/>
        </w:rPr>
        <w:t>225</w:t>
      </w:r>
      <w:r>
        <w:rPr>
          <w:noProof/>
        </w:rPr>
        <w:fldChar w:fldCharType="end"/>
      </w:r>
    </w:p>
    <w:p w14:paraId="4136D228" w14:textId="4F38C95C" w:rsidR="007931CC" w:rsidRDefault="007931CC">
      <w:pPr>
        <w:pStyle w:val="TOC3"/>
        <w:rPr>
          <w:rFonts w:asciiTheme="minorHAnsi" w:eastAsiaTheme="minorEastAsia" w:hAnsiTheme="minorHAnsi" w:cstheme="minorBidi"/>
          <w:b w:val="0"/>
          <w:noProof/>
          <w:kern w:val="0"/>
          <w:szCs w:val="22"/>
        </w:rPr>
      </w:pPr>
      <w:r>
        <w:rPr>
          <w:noProof/>
        </w:rPr>
        <w:t>Division 4—Basis of registration</w:t>
      </w:r>
      <w:r>
        <w:rPr>
          <w:noProof/>
        </w:rPr>
        <w:tab/>
      </w:r>
      <w:r>
        <w:rPr>
          <w:noProof/>
        </w:rPr>
        <w:fldChar w:fldCharType="begin"/>
      </w:r>
      <w:r>
        <w:rPr>
          <w:noProof/>
        </w:rPr>
        <w:instrText xml:space="preserve"> PAGEREF _Toc185415895 \h </w:instrText>
      </w:r>
      <w:r>
        <w:rPr>
          <w:noProof/>
        </w:rPr>
      </w:r>
      <w:r>
        <w:rPr>
          <w:noProof/>
        </w:rPr>
        <w:fldChar w:fldCharType="separate"/>
      </w:r>
      <w:r w:rsidR="00302DB2">
        <w:rPr>
          <w:noProof/>
        </w:rPr>
        <w:t>226</w:t>
      </w:r>
      <w:r>
        <w:rPr>
          <w:noProof/>
        </w:rPr>
        <w:fldChar w:fldCharType="end"/>
      </w:r>
    </w:p>
    <w:p w14:paraId="6F29303B" w14:textId="7EE284A8" w:rsidR="007931CC" w:rsidRDefault="007931CC">
      <w:pPr>
        <w:pStyle w:val="TOC5"/>
        <w:rPr>
          <w:rFonts w:asciiTheme="minorHAnsi" w:eastAsiaTheme="minorEastAsia" w:hAnsiTheme="minorHAnsi" w:cstheme="minorBidi"/>
          <w:noProof/>
          <w:kern w:val="0"/>
          <w:sz w:val="22"/>
          <w:szCs w:val="22"/>
        </w:rPr>
      </w:pPr>
      <w:r>
        <w:rPr>
          <w:noProof/>
        </w:rPr>
        <w:t>76T  Basis of registration</w:t>
      </w:r>
      <w:r>
        <w:rPr>
          <w:noProof/>
        </w:rPr>
        <w:tab/>
      </w:r>
      <w:r>
        <w:rPr>
          <w:noProof/>
        </w:rPr>
        <w:fldChar w:fldCharType="begin"/>
      </w:r>
      <w:r>
        <w:rPr>
          <w:noProof/>
        </w:rPr>
        <w:instrText xml:space="preserve"> PAGEREF _Toc185415896 \h </w:instrText>
      </w:r>
      <w:r>
        <w:rPr>
          <w:noProof/>
        </w:rPr>
      </w:r>
      <w:r>
        <w:rPr>
          <w:noProof/>
        </w:rPr>
        <w:fldChar w:fldCharType="separate"/>
      </w:r>
      <w:r w:rsidR="00302DB2">
        <w:rPr>
          <w:noProof/>
        </w:rPr>
        <w:t>226</w:t>
      </w:r>
      <w:r>
        <w:rPr>
          <w:noProof/>
        </w:rPr>
        <w:fldChar w:fldCharType="end"/>
      </w:r>
    </w:p>
    <w:p w14:paraId="1A2C3043" w14:textId="77354BE4" w:rsidR="007931CC" w:rsidRDefault="007931CC">
      <w:pPr>
        <w:pStyle w:val="TOC2"/>
        <w:rPr>
          <w:rFonts w:asciiTheme="minorHAnsi" w:eastAsiaTheme="minorEastAsia" w:hAnsiTheme="minorHAnsi" w:cstheme="minorBidi"/>
          <w:b w:val="0"/>
          <w:noProof/>
          <w:kern w:val="0"/>
          <w:sz w:val="22"/>
          <w:szCs w:val="22"/>
        </w:rPr>
      </w:pPr>
      <w:r>
        <w:rPr>
          <w:noProof/>
        </w:rPr>
        <w:t>Part 8—Correspondent banking</w:t>
      </w:r>
      <w:r>
        <w:rPr>
          <w:noProof/>
        </w:rPr>
        <w:tab/>
      </w:r>
      <w:r>
        <w:rPr>
          <w:noProof/>
        </w:rPr>
        <w:fldChar w:fldCharType="begin"/>
      </w:r>
      <w:r>
        <w:rPr>
          <w:noProof/>
        </w:rPr>
        <w:instrText xml:space="preserve"> PAGEREF _Toc185415897 \h </w:instrText>
      </w:r>
      <w:r>
        <w:rPr>
          <w:noProof/>
        </w:rPr>
      </w:r>
      <w:r>
        <w:rPr>
          <w:noProof/>
        </w:rPr>
        <w:fldChar w:fldCharType="separate"/>
      </w:r>
      <w:r w:rsidR="00302DB2">
        <w:rPr>
          <w:noProof/>
        </w:rPr>
        <w:t>227</w:t>
      </w:r>
      <w:r>
        <w:rPr>
          <w:noProof/>
        </w:rPr>
        <w:fldChar w:fldCharType="end"/>
      </w:r>
    </w:p>
    <w:p w14:paraId="2C443250" w14:textId="6250A0A6" w:rsidR="007931CC" w:rsidRDefault="007931CC">
      <w:pPr>
        <w:pStyle w:val="TOC5"/>
        <w:rPr>
          <w:rFonts w:asciiTheme="minorHAnsi" w:eastAsiaTheme="minorEastAsia" w:hAnsiTheme="minorHAnsi" w:cstheme="minorBidi"/>
          <w:noProof/>
          <w:kern w:val="0"/>
          <w:sz w:val="22"/>
          <w:szCs w:val="22"/>
        </w:rPr>
      </w:pPr>
      <w:r>
        <w:rPr>
          <w:noProof/>
        </w:rPr>
        <w:t>94  Simplified outline of this Part</w:t>
      </w:r>
      <w:r>
        <w:rPr>
          <w:noProof/>
        </w:rPr>
        <w:tab/>
      </w:r>
      <w:r>
        <w:rPr>
          <w:noProof/>
        </w:rPr>
        <w:fldChar w:fldCharType="begin"/>
      </w:r>
      <w:r>
        <w:rPr>
          <w:noProof/>
        </w:rPr>
        <w:instrText xml:space="preserve"> PAGEREF _Toc185415898 \h </w:instrText>
      </w:r>
      <w:r>
        <w:rPr>
          <w:noProof/>
        </w:rPr>
      </w:r>
      <w:r>
        <w:rPr>
          <w:noProof/>
        </w:rPr>
        <w:fldChar w:fldCharType="separate"/>
      </w:r>
      <w:r w:rsidR="00302DB2">
        <w:rPr>
          <w:noProof/>
        </w:rPr>
        <w:t>227</w:t>
      </w:r>
      <w:r>
        <w:rPr>
          <w:noProof/>
        </w:rPr>
        <w:fldChar w:fldCharType="end"/>
      </w:r>
    </w:p>
    <w:p w14:paraId="4F4AF4D6" w14:textId="2A8E1B12" w:rsidR="007931CC" w:rsidRDefault="007931CC">
      <w:pPr>
        <w:pStyle w:val="TOC5"/>
        <w:rPr>
          <w:rFonts w:asciiTheme="minorHAnsi" w:eastAsiaTheme="minorEastAsia" w:hAnsiTheme="minorHAnsi" w:cstheme="minorBidi"/>
          <w:noProof/>
          <w:kern w:val="0"/>
          <w:sz w:val="22"/>
          <w:szCs w:val="22"/>
        </w:rPr>
      </w:pPr>
      <w:r>
        <w:rPr>
          <w:noProof/>
        </w:rPr>
        <w:t>94A  Shell banks</w:t>
      </w:r>
      <w:r>
        <w:rPr>
          <w:noProof/>
        </w:rPr>
        <w:tab/>
      </w:r>
      <w:r>
        <w:rPr>
          <w:noProof/>
        </w:rPr>
        <w:fldChar w:fldCharType="begin"/>
      </w:r>
      <w:r>
        <w:rPr>
          <w:noProof/>
        </w:rPr>
        <w:instrText xml:space="preserve"> PAGEREF _Toc185415899 \h </w:instrText>
      </w:r>
      <w:r>
        <w:rPr>
          <w:noProof/>
        </w:rPr>
      </w:r>
      <w:r>
        <w:rPr>
          <w:noProof/>
        </w:rPr>
        <w:fldChar w:fldCharType="separate"/>
      </w:r>
      <w:r w:rsidR="00302DB2">
        <w:rPr>
          <w:noProof/>
        </w:rPr>
        <w:t>227</w:t>
      </w:r>
      <w:r>
        <w:rPr>
          <w:noProof/>
        </w:rPr>
        <w:fldChar w:fldCharType="end"/>
      </w:r>
    </w:p>
    <w:p w14:paraId="099FA46A" w14:textId="333CF5C1" w:rsidR="007931CC" w:rsidRDefault="007931CC">
      <w:pPr>
        <w:pStyle w:val="TOC5"/>
        <w:rPr>
          <w:rFonts w:asciiTheme="minorHAnsi" w:eastAsiaTheme="minorEastAsia" w:hAnsiTheme="minorHAnsi" w:cstheme="minorBidi"/>
          <w:noProof/>
          <w:kern w:val="0"/>
          <w:sz w:val="22"/>
          <w:szCs w:val="22"/>
        </w:rPr>
      </w:pPr>
      <w:r>
        <w:rPr>
          <w:noProof/>
        </w:rPr>
        <w:t>95  Prohibitions on correspondent banking relationships involving shell banks</w:t>
      </w:r>
      <w:r>
        <w:rPr>
          <w:noProof/>
        </w:rPr>
        <w:tab/>
      </w:r>
      <w:r>
        <w:rPr>
          <w:noProof/>
        </w:rPr>
        <w:fldChar w:fldCharType="begin"/>
      </w:r>
      <w:r>
        <w:rPr>
          <w:noProof/>
        </w:rPr>
        <w:instrText xml:space="preserve"> PAGEREF _Toc185415900 \h </w:instrText>
      </w:r>
      <w:r>
        <w:rPr>
          <w:noProof/>
        </w:rPr>
      </w:r>
      <w:r>
        <w:rPr>
          <w:noProof/>
        </w:rPr>
        <w:fldChar w:fldCharType="separate"/>
      </w:r>
      <w:r w:rsidR="00302DB2">
        <w:rPr>
          <w:noProof/>
        </w:rPr>
        <w:t>228</w:t>
      </w:r>
      <w:r>
        <w:rPr>
          <w:noProof/>
        </w:rPr>
        <w:fldChar w:fldCharType="end"/>
      </w:r>
    </w:p>
    <w:p w14:paraId="4C7334D9" w14:textId="2FEC97C2" w:rsidR="007931CC" w:rsidRDefault="007931CC">
      <w:pPr>
        <w:pStyle w:val="TOC5"/>
        <w:rPr>
          <w:rFonts w:asciiTheme="minorHAnsi" w:eastAsiaTheme="minorEastAsia" w:hAnsiTheme="minorHAnsi" w:cstheme="minorBidi"/>
          <w:noProof/>
          <w:kern w:val="0"/>
          <w:sz w:val="22"/>
          <w:szCs w:val="22"/>
        </w:rPr>
      </w:pPr>
      <w:r>
        <w:rPr>
          <w:noProof/>
        </w:rPr>
        <w:t>96  Due diligence assessments and records of correspondent banking relationships</w:t>
      </w:r>
      <w:r>
        <w:rPr>
          <w:noProof/>
        </w:rPr>
        <w:tab/>
      </w:r>
      <w:r>
        <w:rPr>
          <w:noProof/>
        </w:rPr>
        <w:fldChar w:fldCharType="begin"/>
      </w:r>
      <w:r>
        <w:rPr>
          <w:noProof/>
        </w:rPr>
        <w:instrText xml:space="preserve"> PAGEREF _Toc185415901 \h </w:instrText>
      </w:r>
      <w:r>
        <w:rPr>
          <w:noProof/>
        </w:rPr>
      </w:r>
      <w:r>
        <w:rPr>
          <w:noProof/>
        </w:rPr>
        <w:fldChar w:fldCharType="separate"/>
      </w:r>
      <w:r w:rsidR="00302DB2">
        <w:rPr>
          <w:noProof/>
        </w:rPr>
        <w:t>229</w:t>
      </w:r>
      <w:r>
        <w:rPr>
          <w:noProof/>
        </w:rPr>
        <w:fldChar w:fldCharType="end"/>
      </w:r>
    </w:p>
    <w:p w14:paraId="7ABF4777" w14:textId="262C3086" w:rsidR="007931CC" w:rsidRDefault="007931CC">
      <w:pPr>
        <w:pStyle w:val="TOC5"/>
        <w:rPr>
          <w:rFonts w:asciiTheme="minorHAnsi" w:eastAsiaTheme="minorEastAsia" w:hAnsiTheme="minorHAnsi" w:cstheme="minorBidi"/>
          <w:noProof/>
          <w:kern w:val="0"/>
          <w:sz w:val="22"/>
          <w:szCs w:val="22"/>
        </w:rPr>
      </w:pPr>
      <w:r>
        <w:rPr>
          <w:noProof/>
        </w:rPr>
        <w:t>100  Geographical links</w:t>
      </w:r>
      <w:r>
        <w:rPr>
          <w:noProof/>
        </w:rPr>
        <w:tab/>
      </w:r>
      <w:r>
        <w:rPr>
          <w:noProof/>
        </w:rPr>
        <w:fldChar w:fldCharType="begin"/>
      </w:r>
      <w:r>
        <w:rPr>
          <w:noProof/>
        </w:rPr>
        <w:instrText xml:space="preserve"> PAGEREF _Toc185415902 \h </w:instrText>
      </w:r>
      <w:r>
        <w:rPr>
          <w:noProof/>
        </w:rPr>
      </w:r>
      <w:r>
        <w:rPr>
          <w:noProof/>
        </w:rPr>
        <w:fldChar w:fldCharType="separate"/>
      </w:r>
      <w:r w:rsidR="00302DB2">
        <w:rPr>
          <w:noProof/>
        </w:rPr>
        <w:t>231</w:t>
      </w:r>
      <w:r>
        <w:rPr>
          <w:noProof/>
        </w:rPr>
        <w:fldChar w:fldCharType="end"/>
      </w:r>
    </w:p>
    <w:p w14:paraId="172589E2" w14:textId="3F6D9E6E" w:rsidR="007931CC" w:rsidRDefault="007931CC">
      <w:pPr>
        <w:pStyle w:val="TOC2"/>
        <w:rPr>
          <w:rFonts w:asciiTheme="minorHAnsi" w:eastAsiaTheme="minorEastAsia" w:hAnsiTheme="minorHAnsi" w:cstheme="minorBidi"/>
          <w:b w:val="0"/>
          <w:noProof/>
          <w:kern w:val="0"/>
          <w:sz w:val="22"/>
          <w:szCs w:val="22"/>
        </w:rPr>
      </w:pPr>
      <w:r>
        <w:rPr>
          <w:noProof/>
        </w:rPr>
        <w:t>Part 9—Countermeasures</w:t>
      </w:r>
      <w:r>
        <w:rPr>
          <w:noProof/>
        </w:rPr>
        <w:tab/>
      </w:r>
      <w:r>
        <w:rPr>
          <w:noProof/>
        </w:rPr>
        <w:fldChar w:fldCharType="begin"/>
      </w:r>
      <w:r>
        <w:rPr>
          <w:noProof/>
        </w:rPr>
        <w:instrText xml:space="preserve"> PAGEREF _Toc185415903 \h </w:instrText>
      </w:r>
      <w:r>
        <w:rPr>
          <w:noProof/>
        </w:rPr>
      </w:r>
      <w:r>
        <w:rPr>
          <w:noProof/>
        </w:rPr>
        <w:fldChar w:fldCharType="separate"/>
      </w:r>
      <w:r w:rsidR="00302DB2">
        <w:rPr>
          <w:noProof/>
        </w:rPr>
        <w:t>232</w:t>
      </w:r>
      <w:r>
        <w:rPr>
          <w:noProof/>
        </w:rPr>
        <w:fldChar w:fldCharType="end"/>
      </w:r>
    </w:p>
    <w:p w14:paraId="16275B13" w14:textId="6DD4C5DF" w:rsidR="007931CC" w:rsidRDefault="007931CC">
      <w:pPr>
        <w:pStyle w:val="TOC5"/>
        <w:rPr>
          <w:rFonts w:asciiTheme="minorHAnsi" w:eastAsiaTheme="minorEastAsia" w:hAnsiTheme="minorHAnsi" w:cstheme="minorBidi"/>
          <w:noProof/>
          <w:kern w:val="0"/>
          <w:sz w:val="22"/>
          <w:szCs w:val="22"/>
        </w:rPr>
      </w:pPr>
      <w:r>
        <w:rPr>
          <w:noProof/>
        </w:rPr>
        <w:t>101  Simplified outline</w:t>
      </w:r>
      <w:r>
        <w:rPr>
          <w:noProof/>
        </w:rPr>
        <w:tab/>
      </w:r>
      <w:r>
        <w:rPr>
          <w:noProof/>
        </w:rPr>
        <w:fldChar w:fldCharType="begin"/>
      </w:r>
      <w:r>
        <w:rPr>
          <w:noProof/>
        </w:rPr>
        <w:instrText xml:space="preserve"> PAGEREF _Toc185415904 \h </w:instrText>
      </w:r>
      <w:r>
        <w:rPr>
          <w:noProof/>
        </w:rPr>
      </w:r>
      <w:r>
        <w:rPr>
          <w:noProof/>
        </w:rPr>
        <w:fldChar w:fldCharType="separate"/>
      </w:r>
      <w:r w:rsidR="00302DB2">
        <w:rPr>
          <w:noProof/>
        </w:rPr>
        <w:t>232</w:t>
      </w:r>
      <w:r>
        <w:rPr>
          <w:noProof/>
        </w:rPr>
        <w:fldChar w:fldCharType="end"/>
      </w:r>
    </w:p>
    <w:p w14:paraId="7EDDB5AD" w14:textId="2B3C9CC3" w:rsidR="007931CC" w:rsidRDefault="007931CC">
      <w:pPr>
        <w:pStyle w:val="TOC5"/>
        <w:rPr>
          <w:rFonts w:asciiTheme="minorHAnsi" w:eastAsiaTheme="minorEastAsia" w:hAnsiTheme="minorHAnsi" w:cstheme="minorBidi"/>
          <w:noProof/>
          <w:kern w:val="0"/>
          <w:sz w:val="22"/>
          <w:szCs w:val="22"/>
        </w:rPr>
      </w:pPr>
      <w:r>
        <w:rPr>
          <w:noProof/>
        </w:rPr>
        <w:t>102  Countermeasures</w:t>
      </w:r>
      <w:r>
        <w:rPr>
          <w:noProof/>
        </w:rPr>
        <w:tab/>
      </w:r>
      <w:r>
        <w:rPr>
          <w:noProof/>
        </w:rPr>
        <w:fldChar w:fldCharType="begin"/>
      </w:r>
      <w:r>
        <w:rPr>
          <w:noProof/>
        </w:rPr>
        <w:instrText xml:space="preserve"> PAGEREF _Toc185415905 \h </w:instrText>
      </w:r>
      <w:r>
        <w:rPr>
          <w:noProof/>
        </w:rPr>
      </w:r>
      <w:r>
        <w:rPr>
          <w:noProof/>
        </w:rPr>
        <w:fldChar w:fldCharType="separate"/>
      </w:r>
      <w:r w:rsidR="00302DB2">
        <w:rPr>
          <w:noProof/>
        </w:rPr>
        <w:t>232</w:t>
      </w:r>
      <w:r>
        <w:rPr>
          <w:noProof/>
        </w:rPr>
        <w:fldChar w:fldCharType="end"/>
      </w:r>
    </w:p>
    <w:p w14:paraId="1A8F9C85" w14:textId="4E0908F1" w:rsidR="007931CC" w:rsidRDefault="007931CC">
      <w:pPr>
        <w:pStyle w:val="TOC5"/>
        <w:rPr>
          <w:rFonts w:asciiTheme="minorHAnsi" w:eastAsiaTheme="minorEastAsia" w:hAnsiTheme="minorHAnsi" w:cstheme="minorBidi"/>
          <w:noProof/>
          <w:kern w:val="0"/>
          <w:sz w:val="22"/>
          <w:szCs w:val="22"/>
        </w:rPr>
      </w:pPr>
      <w:r>
        <w:rPr>
          <w:noProof/>
        </w:rPr>
        <w:t>103  Sunsetting of regulations after 2 years</w:t>
      </w:r>
      <w:r>
        <w:rPr>
          <w:noProof/>
        </w:rPr>
        <w:tab/>
      </w:r>
      <w:r>
        <w:rPr>
          <w:noProof/>
        </w:rPr>
        <w:fldChar w:fldCharType="begin"/>
      </w:r>
      <w:r>
        <w:rPr>
          <w:noProof/>
        </w:rPr>
        <w:instrText xml:space="preserve"> PAGEREF _Toc185415906 \h </w:instrText>
      </w:r>
      <w:r>
        <w:rPr>
          <w:noProof/>
        </w:rPr>
      </w:r>
      <w:r>
        <w:rPr>
          <w:noProof/>
        </w:rPr>
        <w:fldChar w:fldCharType="separate"/>
      </w:r>
      <w:r w:rsidR="00302DB2">
        <w:rPr>
          <w:noProof/>
        </w:rPr>
        <w:t>234</w:t>
      </w:r>
      <w:r>
        <w:rPr>
          <w:noProof/>
        </w:rPr>
        <w:fldChar w:fldCharType="end"/>
      </w:r>
    </w:p>
    <w:p w14:paraId="127458BC" w14:textId="2AB9980B" w:rsidR="007931CC" w:rsidRDefault="007931CC">
      <w:pPr>
        <w:pStyle w:val="TOC2"/>
        <w:rPr>
          <w:rFonts w:asciiTheme="minorHAnsi" w:eastAsiaTheme="minorEastAsia" w:hAnsiTheme="minorHAnsi" w:cstheme="minorBidi"/>
          <w:b w:val="0"/>
          <w:noProof/>
          <w:kern w:val="0"/>
          <w:sz w:val="22"/>
          <w:szCs w:val="22"/>
        </w:rPr>
      </w:pPr>
      <w:r>
        <w:rPr>
          <w:noProof/>
        </w:rPr>
        <w:t>Part 10—Record</w:t>
      </w:r>
      <w:r>
        <w:rPr>
          <w:noProof/>
        </w:rPr>
        <w:noBreakHyphen/>
        <w:t>keeping requirements</w:t>
      </w:r>
      <w:r>
        <w:rPr>
          <w:noProof/>
        </w:rPr>
        <w:tab/>
      </w:r>
      <w:r>
        <w:rPr>
          <w:noProof/>
        </w:rPr>
        <w:fldChar w:fldCharType="begin"/>
      </w:r>
      <w:r>
        <w:rPr>
          <w:noProof/>
        </w:rPr>
        <w:instrText xml:space="preserve"> PAGEREF _Toc185415907 \h </w:instrText>
      </w:r>
      <w:r>
        <w:rPr>
          <w:noProof/>
        </w:rPr>
      </w:r>
      <w:r>
        <w:rPr>
          <w:noProof/>
        </w:rPr>
        <w:fldChar w:fldCharType="separate"/>
      </w:r>
      <w:r w:rsidR="00302DB2">
        <w:rPr>
          <w:noProof/>
        </w:rPr>
        <w:t>235</w:t>
      </w:r>
      <w:r>
        <w:rPr>
          <w:noProof/>
        </w:rPr>
        <w:fldChar w:fldCharType="end"/>
      </w:r>
    </w:p>
    <w:p w14:paraId="147CE38A" w14:textId="0AF42FB1"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_Toc185415908 \h </w:instrText>
      </w:r>
      <w:r>
        <w:rPr>
          <w:noProof/>
        </w:rPr>
      </w:r>
      <w:r>
        <w:rPr>
          <w:noProof/>
        </w:rPr>
        <w:fldChar w:fldCharType="separate"/>
      </w:r>
      <w:r w:rsidR="00302DB2">
        <w:rPr>
          <w:noProof/>
        </w:rPr>
        <w:t>235</w:t>
      </w:r>
      <w:r>
        <w:rPr>
          <w:noProof/>
        </w:rPr>
        <w:fldChar w:fldCharType="end"/>
      </w:r>
    </w:p>
    <w:p w14:paraId="1631E44D" w14:textId="3BD0A587" w:rsidR="007931CC" w:rsidRDefault="007931CC">
      <w:pPr>
        <w:pStyle w:val="TOC5"/>
        <w:rPr>
          <w:rFonts w:asciiTheme="minorHAnsi" w:eastAsiaTheme="minorEastAsia" w:hAnsiTheme="minorHAnsi" w:cstheme="minorBidi"/>
          <w:noProof/>
          <w:kern w:val="0"/>
          <w:sz w:val="22"/>
          <w:szCs w:val="22"/>
        </w:rPr>
      </w:pPr>
      <w:r>
        <w:rPr>
          <w:noProof/>
        </w:rPr>
        <w:t>104  Simplified outline</w:t>
      </w:r>
      <w:r>
        <w:rPr>
          <w:noProof/>
        </w:rPr>
        <w:tab/>
      </w:r>
      <w:r>
        <w:rPr>
          <w:noProof/>
        </w:rPr>
        <w:fldChar w:fldCharType="begin"/>
      </w:r>
      <w:r>
        <w:rPr>
          <w:noProof/>
        </w:rPr>
        <w:instrText xml:space="preserve"> PAGEREF _Toc185415909 \h </w:instrText>
      </w:r>
      <w:r>
        <w:rPr>
          <w:noProof/>
        </w:rPr>
      </w:r>
      <w:r>
        <w:rPr>
          <w:noProof/>
        </w:rPr>
        <w:fldChar w:fldCharType="separate"/>
      </w:r>
      <w:r w:rsidR="00302DB2">
        <w:rPr>
          <w:noProof/>
        </w:rPr>
        <w:t>235</w:t>
      </w:r>
      <w:r>
        <w:rPr>
          <w:noProof/>
        </w:rPr>
        <w:fldChar w:fldCharType="end"/>
      </w:r>
    </w:p>
    <w:p w14:paraId="1310162C" w14:textId="788BBAC4" w:rsidR="007931CC" w:rsidRDefault="007931CC">
      <w:pPr>
        <w:pStyle w:val="TOC5"/>
        <w:rPr>
          <w:rFonts w:asciiTheme="minorHAnsi" w:eastAsiaTheme="minorEastAsia" w:hAnsiTheme="minorHAnsi" w:cstheme="minorBidi"/>
          <w:noProof/>
          <w:kern w:val="0"/>
          <w:sz w:val="22"/>
          <w:szCs w:val="22"/>
        </w:rPr>
      </w:pPr>
      <w:r>
        <w:rPr>
          <w:noProof/>
        </w:rPr>
        <w:t>105  Privacy Act not overridden by this Part</w:t>
      </w:r>
      <w:r>
        <w:rPr>
          <w:noProof/>
        </w:rPr>
        <w:tab/>
      </w:r>
      <w:r>
        <w:rPr>
          <w:noProof/>
        </w:rPr>
        <w:fldChar w:fldCharType="begin"/>
      </w:r>
      <w:r>
        <w:rPr>
          <w:noProof/>
        </w:rPr>
        <w:instrText xml:space="preserve"> PAGEREF _Toc185415910 \h </w:instrText>
      </w:r>
      <w:r>
        <w:rPr>
          <w:noProof/>
        </w:rPr>
      </w:r>
      <w:r>
        <w:rPr>
          <w:noProof/>
        </w:rPr>
        <w:fldChar w:fldCharType="separate"/>
      </w:r>
      <w:r w:rsidR="00302DB2">
        <w:rPr>
          <w:noProof/>
        </w:rPr>
        <w:t>235</w:t>
      </w:r>
      <w:r>
        <w:rPr>
          <w:noProof/>
        </w:rPr>
        <w:fldChar w:fldCharType="end"/>
      </w:r>
    </w:p>
    <w:p w14:paraId="6B2F524D" w14:textId="5537F042" w:rsidR="007931CC" w:rsidRDefault="007931CC">
      <w:pPr>
        <w:pStyle w:val="TOC3"/>
        <w:rPr>
          <w:rFonts w:asciiTheme="minorHAnsi" w:eastAsiaTheme="minorEastAsia" w:hAnsiTheme="minorHAnsi" w:cstheme="minorBidi"/>
          <w:b w:val="0"/>
          <w:noProof/>
          <w:kern w:val="0"/>
          <w:szCs w:val="22"/>
        </w:rPr>
      </w:pPr>
      <w:r>
        <w:rPr>
          <w:noProof/>
        </w:rPr>
        <w:t>Division 2—Records of transactions etc.</w:t>
      </w:r>
      <w:r>
        <w:rPr>
          <w:noProof/>
        </w:rPr>
        <w:tab/>
      </w:r>
      <w:r>
        <w:rPr>
          <w:noProof/>
        </w:rPr>
        <w:fldChar w:fldCharType="begin"/>
      </w:r>
      <w:r>
        <w:rPr>
          <w:noProof/>
        </w:rPr>
        <w:instrText xml:space="preserve"> PAGEREF _Toc185415911 \h </w:instrText>
      </w:r>
      <w:r>
        <w:rPr>
          <w:noProof/>
        </w:rPr>
      </w:r>
      <w:r>
        <w:rPr>
          <w:noProof/>
        </w:rPr>
        <w:fldChar w:fldCharType="separate"/>
      </w:r>
      <w:r w:rsidR="00302DB2">
        <w:rPr>
          <w:noProof/>
        </w:rPr>
        <w:t>236</w:t>
      </w:r>
      <w:r>
        <w:rPr>
          <w:noProof/>
        </w:rPr>
        <w:fldChar w:fldCharType="end"/>
      </w:r>
    </w:p>
    <w:p w14:paraId="11753648" w14:textId="1813D70A" w:rsidR="007931CC" w:rsidRDefault="007931CC">
      <w:pPr>
        <w:pStyle w:val="TOC5"/>
        <w:rPr>
          <w:rFonts w:asciiTheme="minorHAnsi" w:eastAsiaTheme="minorEastAsia" w:hAnsiTheme="minorHAnsi" w:cstheme="minorBidi"/>
          <w:noProof/>
          <w:kern w:val="0"/>
          <w:sz w:val="22"/>
          <w:szCs w:val="22"/>
        </w:rPr>
      </w:pPr>
      <w:r>
        <w:rPr>
          <w:noProof/>
        </w:rPr>
        <w:t>107  Transaction records to be retained</w:t>
      </w:r>
      <w:r>
        <w:rPr>
          <w:noProof/>
        </w:rPr>
        <w:tab/>
      </w:r>
      <w:r>
        <w:rPr>
          <w:noProof/>
        </w:rPr>
        <w:fldChar w:fldCharType="begin"/>
      </w:r>
      <w:r>
        <w:rPr>
          <w:noProof/>
        </w:rPr>
        <w:instrText xml:space="preserve"> PAGEREF _Toc185415912 \h </w:instrText>
      </w:r>
      <w:r>
        <w:rPr>
          <w:noProof/>
        </w:rPr>
      </w:r>
      <w:r>
        <w:rPr>
          <w:noProof/>
        </w:rPr>
        <w:fldChar w:fldCharType="separate"/>
      </w:r>
      <w:r w:rsidR="00302DB2">
        <w:rPr>
          <w:noProof/>
        </w:rPr>
        <w:t>236</w:t>
      </w:r>
      <w:r>
        <w:rPr>
          <w:noProof/>
        </w:rPr>
        <w:fldChar w:fldCharType="end"/>
      </w:r>
    </w:p>
    <w:p w14:paraId="58B0279F" w14:textId="0339A168" w:rsidR="007931CC" w:rsidRDefault="007931CC">
      <w:pPr>
        <w:pStyle w:val="TOC5"/>
        <w:rPr>
          <w:rFonts w:asciiTheme="minorHAnsi" w:eastAsiaTheme="minorEastAsia" w:hAnsiTheme="minorHAnsi" w:cstheme="minorBidi"/>
          <w:noProof/>
          <w:kern w:val="0"/>
          <w:sz w:val="22"/>
          <w:szCs w:val="22"/>
        </w:rPr>
      </w:pPr>
      <w:r>
        <w:rPr>
          <w:noProof/>
        </w:rPr>
        <w:t>108  Customer</w:t>
      </w:r>
      <w:r>
        <w:rPr>
          <w:noProof/>
        </w:rPr>
        <w:noBreakHyphen/>
        <w:t>provided transaction documents to be retained</w:t>
      </w:r>
      <w:r>
        <w:rPr>
          <w:noProof/>
        </w:rPr>
        <w:tab/>
      </w:r>
      <w:r>
        <w:rPr>
          <w:noProof/>
        </w:rPr>
        <w:fldChar w:fldCharType="begin"/>
      </w:r>
      <w:r>
        <w:rPr>
          <w:noProof/>
        </w:rPr>
        <w:instrText xml:space="preserve"> PAGEREF _Toc185415913 \h </w:instrText>
      </w:r>
      <w:r>
        <w:rPr>
          <w:noProof/>
        </w:rPr>
      </w:r>
      <w:r>
        <w:rPr>
          <w:noProof/>
        </w:rPr>
        <w:fldChar w:fldCharType="separate"/>
      </w:r>
      <w:r w:rsidR="00302DB2">
        <w:rPr>
          <w:noProof/>
        </w:rPr>
        <w:t>236</w:t>
      </w:r>
      <w:r>
        <w:rPr>
          <w:noProof/>
        </w:rPr>
        <w:fldChar w:fldCharType="end"/>
      </w:r>
    </w:p>
    <w:p w14:paraId="78ECD2D4" w14:textId="5880D879" w:rsidR="007931CC" w:rsidRDefault="007931CC">
      <w:pPr>
        <w:pStyle w:val="TOC5"/>
        <w:rPr>
          <w:rFonts w:asciiTheme="minorHAnsi" w:eastAsiaTheme="minorEastAsia" w:hAnsiTheme="minorHAnsi" w:cstheme="minorBidi"/>
          <w:noProof/>
          <w:kern w:val="0"/>
          <w:sz w:val="22"/>
          <w:szCs w:val="22"/>
        </w:rPr>
      </w:pPr>
      <w:r>
        <w:rPr>
          <w:noProof/>
        </w:rPr>
        <w:t>109  Records relating to transferred ADI accounts</w:t>
      </w:r>
      <w:r>
        <w:rPr>
          <w:noProof/>
        </w:rPr>
        <w:tab/>
      </w:r>
      <w:r>
        <w:rPr>
          <w:noProof/>
        </w:rPr>
        <w:fldChar w:fldCharType="begin"/>
      </w:r>
      <w:r>
        <w:rPr>
          <w:noProof/>
        </w:rPr>
        <w:instrText xml:space="preserve"> PAGEREF _Toc185415914 \h </w:instrText>
      </w:r>
      <w:r>
        <w:rPr>
          <w:noProof/>
        </w:rPr>
      </w:r>
      <w:r>
        <w:rPr>
          <w:noProof/>
        </w:rPr>
        <w:fldChar w:fldCharType="separate"/>
      </w:r>
      <w:r w:rsidR="00302DB2">
        <w:rPr>
          <w:noProof/>
        </w:rPr>
        <w:t>237</w:t>
      </w:r>
      <w:r>
        <w:rPr>
          <w:noProof/>
        </w:rPr>
        <w:fldChar w:fldCharType="end"/>
      </w:r>
    </w:p>
    <w:p w14:paraId="30610794" w14:textId="52A3B28A" w:rsidR="007931CC" w:rsidRDefault="007931CC">
      <w:pPr>
        <w:pStyle w:val="TOC5"/>
        <w:rPr>
          <w:rFonts w:asciiTheme="minorHAnsi" w:eastAsiaTheme="minorEastAsia" w:hAnsiTheme="minorHAnsi" w:cstheme="minorBidi"/>
          <w:noProof/>
          <w:kern w:val="0"/>
          <w:sz w:val="22"/>
          <w:szCs w:val="22"/>
        </w:rPr>
      </w:pPr>
      <w:r>
        <w:rPr>
          <w:noProof/>
        </w:rPr>
        <w:t>110  Retention of records relating to closed ADI accounts</w:t>
      </w:r>
      <w:r>
        <w:rPr>
          <w:noProof/>
        </w:rPr>
        <w:tab/>
      </w:r>
      <w:r>
        <w:rPr>
          <w:noProof/>
        </w:rPr>
        <w:fldChar w:fldCharType="begin"/>
      </w:r>
      <w:r>
        <w:rPr>
          <w:noProof/>
        </w:rPr>
        <w:instrText xml:space="preserve"> PAGEREF _Toc185415915 \h </w:instrText>
      </w:r>
      <w:r>
        <w:rPr>
          <w:noProof/>
        </w:rPr>
      </w:r>
      <w:r>
        <w:rPr>
          <w:noProof/>
        </w:rPr>
        <w:fldChar w:fldCharType="separate"/>
      </w:r>
      <w:r w:rsidR="00302DB2">
        <w:rPr>
          <w:noProof/>
        </w:rPr>
        <w:t>238</w:t>
      </w:r>
      <w:r>
        <w:rPr>
          <w:noProof/>
        </w:rPr>
        <w:fldChar w:fldCharType="end"/>
      </w:r>
    </w:p>
    <w:p w14:paraId="156C7649" w14:textId="7DD9126A" w:rsidR="007931CC" w:rsidRDefault="007931CC">
      <w:pPr>
        <w:pStyle w:val="TOC3"/>
        <w:rPr>
          <w:rFonts w:asciiTheme="minorHAnsi" w:eastAsiaTheme="minorEastAsia" w:hAnsiTheme="minorHAnsi" w:cstheme="minorBidi"/>
          <w:b w:val="0"/>
          <w:noProof/>
          <w:kern w:val="0"/>
          <w:szCs w:val="22"/>
        </w:rPr>
      </w:pPr>
      <w:r>
        <w:rPr>
          <w:noProof/>
        </w:rPr>
        <w:t>Division 3—Records in connection with customer due diligence and other procedures</w:t>
      </w:r>
      <w:r>
        <w:rPr>
          <w:noProof/>
        </w:rPr>
        <w:tab/>
      </w:r>
      <w:r>
        <w:rPr>
          <w:noProof/>
        </w:rPr>
        <w:fldChar w:fldCharType="begin"/>
      </w:r>
      <w:r>
        <w:rPr>
          <w:noProof/>
        </w:rPr>
        <w:instrText xml:space="preserve"> PAGEREF _Toc185415916 \h </w:instrText>
      </w:r>
      <w:r>
        <w:rPr>
          <w:noProof/>
        </w:rPr>
      </w:r>
      <w:r>
        <w:rPr>
          <w:noProof/>
        </w:rPr>
        <w:fldChar w:fldCharType="separate"/>
      </w:r>
      <w:r w:rsidR="00302DB2">
        <w:rPr>
          <w:noProof/>
        </w:rPr>
        <w:t>240</w:t>
      </w:r>
      <w:r>
        <w:rPr>
          <w:noProof/>
        </w:rPr>
        <w:fldChar w:fldCharType="end"/>
      </w:r>
    </w:p>
    <w:p w14:paraId="7D0286DD" w14:textId="3EBA4A8E" w:rsidR="007931CC" w:rsidRDefault="007931CC">
      <w:pPr>
        <w:pStyle w:val="TOC5"/>
        <w:rPr>
          <w:rFonts w:asciiTheme="minorHAnsi" w:eastAsiaTheme="minorEastAsia" w:hAnsiTheme="minorHAnsi" w:cstheme="minorBidi"/>
          <w:noProof/>
          <w:kern w:val="0"/>
          <w:sz w:val="22"/>
          <w:szCs w:val="22"/>
        </w:rPr>
      </w:pPr>
      <w:r>
        <w:rPr>
          <w:noProof/>
        </w:rPr>
        <w:t>111  Retention of records of customer due diligence</w:t>
      </w:r>
      <w:r>
        <w:rPr>
          <w:noProof/>
        </w:rPr>
        <w:tab/>
      </w:r>
      <w:r>
        <w:rPr>
          <w:noProof/>
        </w:rPr>
        <w:fldChar w:fldCharType="begin"/>
      </w:r>
      <w:r>
        <w:rPr>
          <w:noProof/>
        </w:rPr>
        <w:instrText xml:space="preserve"> PAGEREF _Toc185415917 \h </w:instrText>
      </w:r>
      <w:r>
        <w:rPr>
          <w:noProof/>
        </w:rPr>
      </w:r>
      <w:r>
        <w:rPr>
          <w:noProof/>
        </w:rPr>
        <w:fldChar w:fldCharType="separate"/>
      </w:r>
      <w:r w:rsidR="00302DB2">
        <w:rPr>
          <w:noProof/>
        </w:rPr>
        <w:t>240</w:t>
      </w:r>
      <w:r>
        <w:rPr>
          <w:noProof/>
        </w:rPr>
        <w:fldChar w:fldCharType="end"/>
      </w:r>
    </w:p>
    <w:p w14:paraId="64FCBCE7" w14:textId="031083A6" w:rsidR="007931CC" w:rsidRDefault="007931CC">
      <w:pPr>
        <w:pStyle w:val="TOC5"/>
        <w:rPr>
          <w:rFonts w:asciiTheme="minorHAnsi" w:eastAsiaTheme="minorEastAsia" w:hAnsiTheme="minorHAnsi" w:cstheme="minorBidi"/>
          <w:noProof/>
          <w:kern w:val="0"/>
          <w:sz w:val="22"/>
          <w:szCs w:val="22"/>
        </w:rPr>
      </w:pPr>
      <w:r>
        <w:rPr>
          <w:noProof/>
        </w:rPr>
        <w:t>114  Retention of information if initial customer due diligence taken to have been carried out by a reporting entity</w:t>
      </w:r>
      <w:r>
        <w:rPr>
          <w:noProof/>
        </w:rPr>
        <w:tab/>
      </w:r>
      <w:r>
        <w:rPr>
          <w:noProof/>
        </w:rPr>
        <w:fldChar w:fldCharType="begin"/>
      </w:r>
      <w:r>
        <w:rPr>
          <w:noProof/>
        </w:rPr>
        <w:instrText xml:space="preserve"> PAGEREF _Toc185415918 \h </w:instrText>
      </w:r>
      <w:r>
        <w:rPr>
          <w:noProof/>
        </w:rPr>
      </w:r>
      <w:r>
        <w:rPr>
          <w:noProof/>
        </w:rPr>
        <w:fldChar w:fldCharType="separate"/>
      </w:r>
      <w:r w:rsidR="00302DB2">
        <w:rPr>
          <w:noProof/>
        </w:rPr>
        <w:t>240</w:t>
      </w:r>
      <w:r>
        <w:rPr>
          <w:noProof/>
        </w:rPr>
        <w:fldChar w:fldCharType="end"/>
      </w:r>
    </w:p>
    <w:p w14:paraId="4EE7C40E" w14:textId="6181EA21" w:rsidR="007931CC" w:rsidRDefault="007931CC">
      <w:pPr>
        <w:pStyle w:val="TOC5"/>
        <w:rPr>
          <w:rFonts w:asciiTheme="minorHAnsi" w:eastAsiaTheme="minorEastAsia" w:hAnsiTheme="minorHAnsi" w:cstheme="minorBidi"/>
          <w:noProof/>
          <w:kern w:val="0"/>
          <w:sz w:val="22"/>
          <w:szCs w:val="22"/>
        </w:rPr>
      </w:pPr>
      <w:r>
        <w:rPr>
          <w:noProof/>
        </w:rPr>
        <w:t>114A  Retention of records of assessments of agreements or arrangements covered by section 37A</w:t>
      </w:r>
      <w:r>
        <w:rPr>
          <w:noProof/>
        </w:rPr>
        <w:tab/>
      </w:r>
      <w:r>
        <w:rPr>
          <w:noProof/>
        </w:rPr>
        <w:fldChar w:fldCharType="begin"/>
      </w:r>
      <w:r>
        <w:rPr>
          <w:noProof/>
        </w:rPr>
        <w:instrText xml:space="preserve"> PAGEREF _Toc185415919 \h </w:instrText>
      </w:r>
      <w:r>
        <w:rPr>
          <w:noProof/>
        </w:rPr>
      </w:r>
      <w:r>
        <w:rPr>
          <w:noProof/>
        </w:rPr>
        <w:fldChar w:fldCharType="separate"/>
      </w:r>
      <w:r w:rsidR="00302DB2">
        <w:rPr>
          <w:noProof/>
        </w:rPr>
        <w:t>241</w:t>
      </w:r>
      <w:r>
        <w:rPr>
          <w:noProof/>
        </w:rPr>
        <w:fldChar w:fldCharType="end"/>
      </w:r>
    </w:p>
    <w:p w14:paraId="2C593AA2" w14:textId="27E91D41" w:rsidR="007931CC" w:rsidRDefault="007931CC">
      <w:pPr>
        <w:pStyle w:val="TOC5"/>
        <w:rPr>
          <w:rFonts w:asciiTheme="minorHAnsi" w:eastAsiaTheme="minorEastAsia" w:hAnsiTheme="minorHAnsi" w:cstheme="minorBidi"/>
          <w:noProof/>
          <w:kern w:val="0"/>
          <w:sz w:val="22"/>
          <w:szCs w:val="22"/>
        </w:rPr>
      </w:pPr>
      <w:r>
        <w:rPr>
          <w:noProof/>
        </w:rPr>
        <w:t xml:space="preserve">114B  Retention of records made or obtained under the repealed </w:t>
      </w:r>
      <w:r w:rsidRPr="00540F8C">
        <w:rPr>
          <w:i/>
          <w:noProof/>
        </w:rPr>
        <w:t>Financial Transaction Reports Act 1988</w:t>
      </w:r>
      <w:r>
        <w:rPr>
          <w:noProof/>
        </w:rPr>
        <w:tab/>
      </w:r>
      <w:r>
        <w:rPr>
          <w:noProof/>
        </w:rPr>
        <w:fldChar w:fldCharType="begin"/>
      </w:r>
      <w:r>
        <w:rPr>
          <w:noProof/>
        </w:rPr>
        <w:instrText xml:space="preserve"> PAGEREF _Toc185415920 \h </w:instrText>
      </w:r>
      <w:r>
        <w:rPr>
          <w:noProof/>
        </w:rPr>
      </w:r>
      <w:r>
        <w:rPr>
          <w:noProof/>
        </w:rPr>
        <w:fldChar w:fldCharType="separate"/>
      </w:r>
      <w:r w:rsidR="00302DB2">
        <w:rPr>
          <w:noProof/>
        </w:rPr>
        <w:t>241</w:t>
      </w:r>
      <w:r>
        <w:rPr>
          <w:noProof/>
        </w:rPr>
        <w:fldChar w:fldCharType="end"/>
      </w:r>
    </w:p>
    <w:p w14:paraId="762B21C1" w14:textId="5AF80FD1" w:rsidR="007931CC" w:rsidRDefault="007931CC">
      <w:pPr>
        <w:pStyle w:val="TOC3"/>
        <w:rPr>
          <w:rFonts w:asciiTheme="minorHAnsi" w:eastAsiaTheme="minorEastAsia" w:hAnsiTheme="minorHAnsi" w:cstheme="minorBidi"/>
          <w:b w:val="0"/>
          <w:noProof/>
          <w:kern w:val="0"/>
          <w:szCs w:val="22"/>
        </w:rPr>
      </w:pPr>
      <w:r>
        <w:rPr>
          <w:noProof/>
        </w:rPr>
        <w:t>Division 5—AML/CTF program record</w:t>
      </w:r>
      <w:r>
        <w:rPr>
          <w:noProof/>
        </w:rPr>
        <w:noBreakHyphen/>
        <w:t>keeping requirements</w:t>
      </w:r>
      <w:r>
        <w:rPr>
          <w:noProof/>
        </w:rPr>
        <w:tab/>
      </w:r>
      <w:r>
        <w:rPr>
          <w:noProof/>
        </w:rPr>
        <w:fldChar w:fldCharType="begin"/>
      </w:r>
      <w:r>
        <w:rPr>
          <w:noProof/>
        </w:rPr>
        <w:instrText xml:space="preserve"> PAGEREF _Toc185415921 \h </w:instrText>
      </w:r>
      <w:r>
        <w:rPr>
          <w:noProof/>
        </w:rPr>
      </w:r>
      <w:r>
        <w:rPr>
          <w:noProof/>
        </w:rPr>
        <w:fldChar w:fldCharType="separate"/>
      </w:r>
      <w:r w:rsidR="00302DB2">
        <w:rPr>
          <w:noProof/>
        </w:rPr>
        <w:t>243</w:t>
      </w:r>
      <w:r>
        <w:rPr>
          <w:noProof/>
        </w:rPr>
        <w:fldChar w:fldCharType="end"/>
      </w:r>
    </w:p>
    <w:p w14:paraId="6FBADF33" w14:textId="4E371FC8" w:rsidR="007931CC" w:rsidRDefault="007931CC">
      <w:pPr>
        <w:pStyle w:val="TOC5"/>
        <w:rPr>
          <w:rFonts w:asciiTheme="minorHAnsi" w:eastAsiaTheme="minorEastAsia" w:hAnsiTheme="minorHAnsi" w:cstheme="minorBidi"/>
          <w:noProof/>
          <w:kern w:val="0"/>
          <w:sz w:val="22"/>
          <w:szCs w:val="22"/>
        </w:rPr>
      </w:pPr>
      <w:r>
        <w:rPr>
          <w:noProof/>
        </w:rPr>
        <w:t>116  Retention of records relating to Part 1A</w:t>
      </w:r>
      <w:r>
        <w:rPr>
          <w:noProof/>
        </w:rPr>
        <w:tab/>
      </w:r>
      <w:r>
        <w:rPr>
          <w:noProof/>
        </w:rPr>
        <w:fldChar w:fldCharType="begin"/>
      </w:r>
      <w:r>
        <w:rPr>
          <w:noProof/>
        </w:rPr>
        <w:instrText xml:space="preserve"> PAGEREF _Toc185415922 \h </w:instrText>
      </w:r>
      <w:r>
        <w:rPr>
          <w:noProof/>
        </w:rPr>
      </w:r>
      <w:r>
        <w:rPr>
          <w:noProof/>
        </w:rPr>
        <w:fldChar w:fldCharType="separate"/>
      </w:r>
      <w:r w:rsidR="00302DB2">
        <w:rPr>
          <w:noProof/>
        </w:rPr>
        <w:t>243</w:t>
      </w:r>
      <w:r>
        <w:rPr>
          <w:noProof/>
        </w:rPr>
        <w:fldChar w:fldCharType="end"/>
      </w:r>
    </w:p>
    <w:p w14:paraId="6F118B8E" w14:textId="1251EBCF" w:rsidR="007931CC" w:rsidRDefault="007931CC">
      <w:pPr>
        <w:pStyle w:val="TOC3"/>
        <w:rPr>
          <w:rFonts w:asciiTheme="minorHAnsi" w:eastAsiaTheme="minorEastAsia" w:hAnsiTheme="minorHAnsi" w:cstheme="minorBidi"/>
          <w:b w:val="0"/>
          <w:noProof/>
          <w:kern w:val="0"/>
          <w:szCs w:val="22"/>
        </w:rPr>
      </w:pPr>
      <w:r>
        <w:rPr>
          <w:noProof/>
        </w:rPr>
        <w:t>Division 6—Records about correspondent banking relationships</w:t>
      </w:r>
      <w:r>
        <w:rPr>
          <w:noProof/>
        </w:rPr>
        <w:tab/>
      </w:r>
      <w:r>
        <w:rPr>
          <w:noProof/>
        </w:rPr>
        <w:fldChar w:fldCharType="begin"/>
      </w:r>
      <w:r>
        <w:rPr>
          <w:noProof/>
        </w:rPr>
        <w:instrText xml:space="preserve"> PAGEREF _Toc185415923 \h </w:instrText>
      </w:r>
      <w:r>
        <w:rPr>
          <w:noProof/>
        </w:rPr>
      </w:r>
      <w:r>
        <w:rPr>
          <w:noProof/>
        </w:rPr>
        <w:fldChar w:fldCharType="separate"/>
      </w:r>
      <w:r w:rsidR="00302DB2">
        <w:rPr>
          <w:noProof/>
        </w:rPr>
        <w:t>244</w:t>
      </w:r>
      <w:r>
        <w:rPr>
          <w:noProof/>
        </w:rPr>
        <w:fldChar w:fldCharType="end"/>
      </w:r>
    </w:p>
    <w:p w14:paraId="0F23B34F" w14:textId="2C31369A" w:rsidR="007931CC" w:rsidRDefault="007931CC">
      <w:pPr>
        <w:pStyle w:val="TOC5"/>
        <w:rPr>
          <w:rFonts w:asciiTheme="minorHAnsi" w:eastAsiaTheme="minorEastAsia" w:hAnsiTheme="minorHAnsi" w:cstheme="minorBidi"/>
          <w:noProof/>
          <w:kern w:val="0"/>
          <w:sz w:val="22"/>
          <w:szCs w:val="22"/>
        </w:rPr>
      </w:pPr>
      <w:r>
        <w:rPr>
          <w:noProof/>
        </w:rPr>
        <w:t>117  Retention of records about correspondent banking relationships</w:t>
      </w:r>
      <w:r>
        <w:rPr>
          <w:noProof/>
        </w:rPr>
        <w:tab/>
      </w:r>
      <w:r>
        <w:rPr>
          <w:noProof/>
        </w:rPr>
        <w:fldChar w:fldCharType="begin"/>
      </w:r>
      <w:r>
        <w:rPr>
          <w:noProof/>
        </w:rPr>
        <w:instrText xml:space="preserve"> PAGEREF _Toc185415924 \h </w:instrText>
      </w:r>
      <w:r>
        <w:rPr>
          <w:noProof/>
        </w:rPr>
      </w:r>
      <w:r>
        <w:rPr>
          <w:noProof/>
        </w:rPr>
        <w:fldChar w:fldCharType="separate"/>
      </w:r>
      <w:r w:rsidR="00302DB2">
        <w:rPr>
          <w:noProof/>
        </w:rPr>
        <w:t>244</w:t>
      </w:r>
      <w:r>
        <w:rPr>
          <w:noProof/>
        </w:rPr>
        <w:fldChar w:fldCharType="end"/>
      </w:r>
    </w:p>
    <w:p w14:paraId="67A2A6C1" w14:textId="1DD070BA" w:rsidR="007931CC" w:rsidRDefault="007931CC">
      <w:pPr>
        <w:pStyle w:val="TOC3"/>
        <w:rPr>
          <w:rFonts w:asciiTheme="minorHAnsi" w:eastAsiaTheme="minorEastAsia" w:hAnsiTheme="minorHAnsi" w:cstheme="minorBidi"/>
          <w:b w:val="0"/>
          <w:noProof/>
          <w:kern w:val="0"/>
          <w:szCs w:val="22"/>
        </w:rPr>
      </w:pPr>
      <w:r>
        <w:rPr>
          <w:noProof/>
        </w:rPr>
        <w:t>Division 7—General provisions</w:t>
      </w:r>
      <w:r>
        <w:rPr>
          <w:noProof/>
        </w:rPr>
        <w:tab/>
      </w:r>
      <w:r>
        <w:rPr>
          <w:noProof/>
        </w:rPr>
        <w:fldChar w:fldCharType="begin"/>
      </w:r>
      <w:r>
        <w:rPr>
          <w:noProof/>
        </w:rPr>
        <w:instrText xml:space="preserve"> PAGEREF _Toc185415925 \h </w:instrText>
      </w:r>
      <w:r>
        <w:rPr>
          <w:noProof/>
        </w:rPr>
      </w:r>
      <w:r>
        <w:rPr>
          <w:noProof/>
        </w:rPr>
        <w:fldChar w:fldCharType="separate"/>
      </w:r>
      <w:r w:rsidR="00302DB2">
        <w:rPr>
          <w:noProof/>
        </w:rPr>
        <w:t>245</w:t>
      </w:r>
      <w:r>
        <w:rPr>
          <w:noProof/>
        </w:rPr>
        <w:fldChar w:fldCharType="end"/>
      </w:r>
    </w:p>
    <w:p w14:paraId="65E417C6" w14:textId="5EDB3CA5" w:rsidR="007931CC" w:rsidRDefault="007931CC">
      <w:pPr>
        <w:pStyle w:val="TOC5"/>
        <w:rPr>
          <w:rFonts w:asciiTheme="minorHAnsi" w:eastAsiaTheme="minorEastAsia" w:hAnsiTheme="minorHAnsi" w:cstheme="minorBidi"/>
          <w:noProof/>
          <w:kern w:val="0"/>
          <w:sz w:val="22"/>
          <w:szCs w:val="22"/>
        </w:rPr>
      </w:pPr>
      <w:r>
        <w:rPr>
          <w:noProof/>
        </w:rPr>
        <w:t>118  Exemptions</w:t>
      </w:r>
      <w:r>
        <w:rPr>
          <w:noProof/>
        </w:rPr>
        <w:tab/>
      </w:r>
      <w:r>
        <w:rPr>
          <w:noProof/>
        </w:rPr>
        <w:fldChar w:fldCharType="begin"/>
      </w:r>
      <w:r>
        <w:rPr>
          <w:noProof/>
        </w:rPr>
        <w:instrText xml:space="preserve"> PAGEREF _Toc185415926 \h </w:instrText>
      </w:r>
      <w:r>
        <w:rPr>
          <w:noProof/>
        </w:rPr>
      </w:r>
      <w:r>
        <w:rPr>
          <w:noProof/>
        </w:rPr>
        <w:fldChar w:fldCharType="separate"/>
      </w:r>
      <w:r w:rsidR="00302DB2">
        <w:rPr>
          <w:noProof/>
        </w:rPr>
        <w:t>245</w:t>
      </w:r>
      <w:r>
        <w:rPr>
          <w:noProof/>
        </w:rPr>
        <w:fldChar w:fldCharType="end"/>
      </w:r>
    </w:p>
    <w:p w14:paraId="7A70E2B7" w14:textId="25F1833E" w:rsidR="007931CC" w:rsidRDefault="007931CC">
      <w:pPr>
        <w:pStyle w:val="TOC5"/>
        <w:rPr>
          <w:rFonts w:asciiTheme="minorHAnsi" w:eastAsiaTheme="minorEastAsia" w:hAnsiTheme="minorHAnsi" w:cstheme="minorBidi"/>
          <w:noProof/>
          <w:kern w:val="0"/>
          <w:sz w:val="22"/>
          <w:szCs w:val="22"/>
        </w:rPr>
      </w:pPr>
      <w:r>
        <w:rPr>
          <w:noProof/>
        </w:rPr>
        <w:t>119  This Part does not limit any other obligations</w:t>
      </w:r>
      <w:r>
        <w:rPr>
          <w:noProof/>
        </w:rPr>
        <w:tab/>
      </w:r>
      <w:r>
        <w:rPr>
          <w:noProof/>
        </w:rPr>
        <w:fldChar w:fldCharType="begin"/>
      </w:r>
      <w:r>
        <w:rPr>
          <w:noProof/>
        </w:rPr>
        <w:instrText xml:space="preserve"> PAGEREF _Toc185415927 \h </w:instrText>
      </w:r>
      <w:r>
        <w:rPr>
          <w:noProof/>
        </w:rPr>
      </w:r>
      <w:r>
        <w:rPr>
          <w:noProof/>
        </w:rPr>
        <w:fldChar w:fldCharType="separate"/>
      </w:r>
      <w:r w:rsidR="00302DB2">
        <w:rPr>
          <w:noProof/>
        </w:rPr>
        <w:t>245</w:t>
      </w:r>
      <w:r>
        <w:rPr>
          <w:noProof/>
        </w:rPr>
        <w:fldChar w:fldCharType="end"/>
      </w:r>
    </w:p>
    <w:p w14:paraId="57B673E0" w14:textId="0E95CA53" w:rsidR="007931CC" w:rsidRDefault="007931CC">
      <w:pPr>
        <w:pStyle w:val="TOC2"/>
        <w:rPr>
          <w:rFonts w:asciiTheme="minorHAnsi" w:eastAsiaTheme="minorEastAsia" w:hAnsiTheme="minorHAnsi" w:cstheme="minorBidi"/>
          <w:b w:val="0"/>
          <w:noProof/>
          <w:kern w:val="0"/>
          <w:sz w:val="22"/>
          <w:szCs w:val="22"/>
        </w:rPr>
      </w:pPr>
      <w:r>
        <w:rPr>
          <w:noProof/>
        </w:rPr>
        <w:t>Part 11—Secrecy and access</w:t>
      </w:r>
      <w:r>
        <w:rPr>
          <w:noProof/>
        </w:rPr>
        <w:tab/>
      </w:r>
      <w:r>
        <w:rPr>
          <w:noProof/>
        </w:rPr>
        <w:fldChar w:fldCharType="begin"/>
      </w:r>
      <w:r>
        <w:rPr>
          <w:noProof/>
        </w:rPr>
        <w:instrText xml:space="preserve"> PAGEREF _Toc185415928 \h </w:instrText>
      </w:r>
      <w:r>
        <w:rPr>
          <w:noProof/>
        </w:rPr>
      </w:r>
      <w:r>
        <w:rPr>
          <w:noProof/>
        </w:rPr>
        <w:fldChar w:fldCharType="separate"/>
      </w:r>
      <w:r w:rsidR="00302DB2">
        <w:rPr>
          <w:noProof/>
        </w:rPr>
        <w:t>246</w:t>
      </w:r>
      <w:r>
        <w:rPr>
          <w:noProof/>
        </w:rPr>
        <w:fldChar w:fldCharType="end"/>
      </w:r>
    </w:p>
    <w:p w14:paraId="0D8839B6" w14:textId="70EDE3DC"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_Toc185415929 \h </w:instrText>
      </w:r>
      <w:r>
        <w:rPr>
          <w:noProof/>
        </w:rPr>
      </w:r>
      <w:r>
        <w:rPr>
          <w:noProof/>
        </w:rPr>
        <w:fldChar w:fldCharType="separate"/>
      </w:r>
      <w:r w:rsidR="00302DB2">
        <w:rPr>
          <w:noProof/>
        </w:rPr>
        <w:t>246</w:t>
      </w:r>
      <w:r>
        <w:rPr>
          <w:noProof/>
        </w:rPr>
        <w:fldChar w:fldCharType="end"/>
      </w:r>
    </w:p>
    <w:p w14:paraId="3E1AACB8" w14:textId="75E770E3" w:rsidR="007931CC" w:rsidRDefault="007931CC">
      <w:pPr>
        <w:pStyle w:val="TOC5"/>
        <w:rPr>
          <w:rFonts w:asciiTheme="minorHAnsi" w:eastAsiaTheme="minorEastAsia" w:hAnsiTheme="minorHAnsi" w:cstheme="minorBidi"/>
          <w:noProof/>
          <w:kern w:val="0"/>
          <w:sz w:val="22"/>
          <w:szCs w:val="22"/>
        </w:rPr>
      </w:pPr>
      <w:r>
        <w:rPr>
          <w:noProof/>
        </w:rPr>
        <w:t>120  Simplified outline of this Part</w:t>
      </w:r>
      <w:r>
        <w:rPr>
          <w:noProof/>
        </w:rPr>
        <w:tab/>
      </w:r>
      <w:r>
        <w:rPr>
          <w:noProof/>
        </w:rPr>
        <w:fldChar w:fldCharType="begin"/>
      </w:r>
      <w:r>
        <w:rPr>
          <w:noProof/>
        </w:rPr>
        <w:instrText xml:space="preserve"> PAGEREF _Toc185415930 \h </w:instrText>
      </w:r>
      <w:r>
        <w:rPr>
          <w:noProof/>
        </w:rPr>
      </w:r>
      <w:r>
        <w:rPr>
          <w:noProof/>
        </w:rPr>
        <w:fldChar w:fldCharType="separate"/>
      </w:r>
      <w:r w:rsidR="00302DB2">
        <w:rPr>
          <w:noProof/>
        </w:rPr>
        <w:t>246</w:t>
      </w:r>
      <w:r>
        <w:rPr>
          <w:noProof/>
        </w:rPr>
        <w:fldChar w:fldCharType="end"/>
      </w:r>
    </w:p>
    <w:p w14:paraId="2060F220" w14:textId="73EF703F" w:rsidR="007931CC" w:rsidRDefault="007931CC">
      <w:pPr>
        <w:pStyle w:val="TOC3"/>
        <w:rPr>
          <w:rFonts w:asciiTheme="minorHAnsi" w:eastAsiaTheme="minorEastAsia" w:hAnsiTheme="minorHAnsi" w:cstheme="minorBidi"/>
          <w:b w:val="0"/>
          <w:noProof/>
          <w:kern w:val="0"/>
          <w:szCs w:val="22"/>
        </w:rPr>
      </w:pPr>
      <w:r>
        <w:rPr>
          <w:noProof/>
        </w:rPr>
        <w:t>Division 2—AUSTRAC entrusted persons</w:t>
      </w:r>
      <w:r>
        <w:rPr>
          <w:noProof/>
        </w:rPr>
        <w:tab/>
      </w:r>
      <w:r>
        <w:rPr>
          <w:noProof/>
        </w:rPr>
        <w:fldChar w:fldCharType="begin"/>
      </w:r>
      <w:r>
        <w:rPr>
          <w:noProof/>
        </w:rPr>
        <w:instrText xml:space="preserve"> PAGEREF _Toc185415931 \h </w:instrText>
      </w:r>
      <w:r>
        <w:rPr>
          <w:noProof/>
        </w:rPr>
      </w:r>
      <w:r>
        <w:rPr>
          <w:noProof/>
        </w:rPr>
        <w:fldChar w:fldCharType="separate"/>
      </w:r>
      <w:r w:rsidR="00302DB2">
        <w:rPr>
          <w:noProof/>
        </w:rPr>
        <w:t>247</w:t>
      </w:r>
      <w:r>
        <w:rPr>
          <w:noProof/>
        </w:rPr>
        <w:fldChar w:fldCharType="end"/>
      </w:r>
    </w:p>
    <w:p w14:paraId="423582F4" w14:textId="2427DB9E" w:rsidR="007931CC" w:rsidRDefault="007931CC">
      <w:pPr>
        <w:pStyle w:val="TOC5"/>
        <w:rPr>
          <w:rFonts w:asciiTheme="minorHAnsi" w:eastAsiaTheme="minorEastAsia" w:hAnsiTheme="minorHAnsi" w:cstheme="minorBidi"/>
          <w:noProof/>
          <w:kern w:val="0"/>
          <w:sz w:val="22"/>
          <w:szCs w:val="22"/>
        </w:rPr>
      </w:pPr>
      <w:r>
        <w:rPr>
          <w:noProof/>
        </w:rPr>
        <w:t>121  Offence—AUSTRAC entrusted persons</w:t>
      </w:r>
      <w:r>
        <w:rPr>
          <w:noProof/>
        </w:rPr>
        <w:tab/>
      </w:r>
      <w:r>
        <w:rPr>
          <w:noProof/>
        </w:rPr>
        <w:fldChar w:fldCharType="begin"/>
      </w:r>
      <w:r>
        <w:rPr>
          <w:noProof/>
        </w:rPr>
        <w:instrText xml:space="preserve"> PAGEREF _Toc185415932 \h </w:instrText>
      </w:r>
      <w:r>
        <w:rPr>
          <w:noProof/>
        </w:rPr>
      </w:r>
      <w:r>
        <w:rPr>
          <w:noProof/>
        </w:rPr>
        <w:fldChar w:fldCharType="separate"/>
      </w:r>
      <w:r w:rsidR="00302DB2">
        <w:rPr>
          <w:noProof/>
        </w:rPr>
        <w:t>247</w:t>
      </w:r>
      <w:r>
        <w:rPr>
          <w:noProof/>
        </w:rPr>
        <w:fldChar w:fldCharType="end"/>
      </w:r>
    </w:p>
    <w:p w14:paraId="19ED8F81" w14:textId="16D5258D" w:rsidR="007931CC" w:rsidRDefault="007931CC">
      <w:pPr>
        <w:pStyle w:val="TOC3"/>
        <w:rPr>
          <w:rFonts w:asciiTheme="minorHAnsi" w:eastAsiaTheme="minorEastAsia" w:hAnsiTheme="minorHAnsi" w:cstheme="minorBidi"/>
          <w:b w:val="0"/>
          <w:noProof/>
          <w:kern w:val="0"/>
          <w:szCs w:val="22"/>
        </w:rPr>
      </w:pPr>
      <w:r>
        <w:rPr>
          <w:noProof/>
        </w:rPr>
        <w:t>Division 3—Protection of information given under Part 3</w:t>
      </w:r>
      <w:r>
        <w:rPr>
          <w:noProof/>
        </w:rPr>
        <w:tab/>
      </w:r>
      <w:r>
        <w:rPr>
          <w:noProof/>
        </w:rPr>
        <w:fldChar w:fldCharType="begin"/>
      </w:r>
      <w:r>
        <w:rPr>
          <w:noProof/>
        </w:rPr>
        <w:instrText xml:space="preserve"> PAGEREF _Toc185415933 \h </w:instrText>
      </w:r>
      <w:r>
        <w:rPr>
          <w:noProof/>
        </w:rPr>
      </w:r>
      <w:r>
        <w:rPr>
          <w:noProof/>
        </w:rPr>
        <w:fldChar w:fldCharType="separate"/>
      </w:r>
      <w:r w:rsidR="00302DB2">
        <w:rPr>
          <w:noProof/>
        </w:rPr>
        <w:t>250</w:t>
      </w:r>
      <w:r>
        <w:rPr>
          <w:noProof/>
        </w:rPr>
        <w:fldChar w:fldCharType="end"/>
      </w:r>
    </w:p>
    <w:p w14:paraId="49A6F891" w14:textId="64A26703" w:rsidR="007931CC" w:rsidRDefault="007931CC">
      <w:pPr>
        <w:pStyle w:val="TOC5"/>
        <w:rPr>
          <w:rFonts w:asciiTheme="minorHAnsi" w:eastAsiaTheme="minorEastAsia" w:hAnsiTheme="minorHAnsi" w:cstheme="minorBidi"/>
          <w:noProof/>
          <w:kern w:val="0"/>
          <w:sz w:val="22"/>
          <w:szCs w:val="22"/>
        </w:rPr>
      </w:pPr>
      <w:r>
        <w:rPr>
          <w:noProof/>
        </w:rPr>
        <w:t>123  Offence of tipping off</w:t>
      </w:r>
      <w:r>
        <w:rPr>
          <w:noProof/>
        </w:rPr>
        <w:tab/>
      </w:r>
      <w:r>
        <w:rPr>
          <w:noProof/>
        </w:rPr>
        <w:fldChar w:fldCharType="begin"/>
      </w:r>
      <w:r>
        <w:rPr>
          <w:noProof/>
        </w:rPr>
        <w:instrText xml:space="preserve"> PAGEREF _Toc185415934 \h </w:instrText>
      </w:r>
      <w:r>
        <w:rPr>
          <w:noProof/>
        </w:rPr>
      </w:r>
      <w:r>
        <w:rPr>
          <w:noProof/>
        </w:rPr>
        <w:fldChar w:fldCharType="separate"/>
      </w:r>
      <w:r w:rsidR="00302DB2">
        <w:rPr>
          <w:noProof/>
        </w:rPr>
        <w:t>250</w:t>
      </w:r>
      <w:r>
        <w:rPr>
          <w:noProof/>
        </w:rPr>
        <w:fldChar w:fldCharType="end"/>
      </w:r>
    </w:p>
    <w:p w14:paraId="259AAF10" w14:textId="2C0E894C" w:rsidR="007931CC" w:rsidRDefault="007931CC">
      <w:pPr>
        <w:pStyle w:val="TOC5"/>
        <w:rPr>
          <w:rFonts w:asciiTheme="minorHAnsi" w:eastAsiaTheme="minorEastAsia" w:hAnsiTheme="minorHAnsi" w:cstheme="minorBidi"/>
          <w:noProof/>
          <w:kern w:val="0"/>
          <w:sz w:val="22"/>
          <w:szCs w:val="22"/>
        </w:rPr>
      </w:pPr>
      <w:r>
        <w:rPr>
          <w:noProof/>
        </w:rPr>
        <w:t>124  Report and information not admissible</w:t>
      </w:r>
      <w:r>
        <w:rPr>
          <w:noProof/>
        </w:rPr>
        <w:tab/>
      </w:r>
      <w:r>
        <w:rPr>
          <w:noProof/>
        </w:rPr>
        <w:fldChar w:fldCharType="begin"/>
      </w:r>
      <w:r>
        <w:rPr>
          <w:noProof/>
        </w:rPr>
        <w:instrText xml:space="preserve"> PAGEREF _Toc185415935 \h </w:instrText>
      </w:r>
      <w:r>
        <w:rPr>
          <w:noProof/>
        </w:rPr>
      </w:r>
      <w:r>
        <w:rPr>
          <w:noProof/>
        </w:rPr>
        <w:fldChar w:fldCharType="separate"/>
      </w:r>
      <w:r w:rsidR="00302DB2">
        <w:rPr>
          <w:noProof/>
        </w:rPr>
        <w:t>253</w:t>
      </w:r>
      <w:r>
        <w:rPr>
          <w:noProof/>
        </w:rPr>
        <w:fldChar w:fldCharType="end"/>
      </w:r>
    </w:p>
    <w:p w14:paraId="3A3AD13B" w14:textId="12A048F3" w:rsidR="007931CC" w:rsidRDefault="007931CC">
      <w:pPr>
        <w:pStyle w:val="TOC3"/>
        <w:rPr>
          <w:rFonts w:asciiTheme="minorHAnsi" w:eastAsiaTheme="minorEastAsia" w:hAnsiTheme="minorHAnsi" w:cstheme="minorBidi"/>
          <w:b w:val="0"/>
          <w:noProof/>
          <w:kern w:val="0"/>
          <w:szCs w:val="22"/>
        </w:rPr>
      </w:pPr>
      <w:r>
        <w:rPr>
          <w:noProof/>
        </w:rPr>
        <w:t>Division 4—Access to AUSTRAC information by Commonwealth, State or Territory agencies</w:t>
      </w:r>
      <w:r>
        <w:rPr>
          <w:noProof/>
        </w:rPr>
        <w:tab/>
      </w:r>
      <w:r>
        <w:rPr>
          <w:noProof/>
        </w:rPr>
        <w:fldChar w:fldCharType="begin"/>
      </w:r>
      <w:r>
        <w:rPr>
          <w:noProof/>
        </w:rPr>
        <w:instrText xml:space="preserve"> PAGEREF _Toc185415936 \h </w:instrText>
      </w:r>
      <w:r>
        <w:rPr>
          <w:noProof/>
        </w:rPr>
      </w:r>
      <w:r>
        <w:rPr>
          <w:noProof/>
        </w:rPr>
        <w:fldChar w:fldCharType="separate"/>
      </w:r>
      <w:r w:rsidR="00302DB2">
        <w:rPr>
          <w:noProof/>
        </w:rPr>
        <w:t>255</w:t>
      </w:r>
      <w:r>
        <w:rPr>
          <w:noProof/>
        </w:rPr>
        <w:fldChar w:fldCharType="end"/>
      </w:r>
    </w:p>
    <w:p w14:paraId="7D7984CB" w14:textId="7238FB54" w:rsidR="007931CC" w:rsidRDefault="007931CC">
      <w:pPr>
        <w:pStyle w:val="TOC5"/>
        <w:rPr>
          <w:rFonts w:asciiTheme="minorHAnsi" w:eastAsiaTheme="minorEastAsia" w:hAnsiTheme="minorHAnsi" w:cstheme="minorBidi"/>
          <w:noProof/>
          <w:kern w:val="0"/>
          <w:sz w:val="22"/>
          <w:szCs w:val="22"/>
        </w:rPr>
      </w:pPr>
      <w:r>
        <w:rPr>
          <w:noProof/>
        </w:rPr>
        <w:t>125  Access to AUSTRAC information</w:t>
      </w:r>
      <w:r>
        <w:rPr>
          <w:noProof/>
        </w:rPr>
        <w:tab/>
      </w:r>
      <w:r>
        <w:rPr>
          <w:noProof/>
        </w:rPr>
        <w:fldChar w:fldCharType="begin"/>
      </w:r>
      <w:r>
        <w:rPr>
          <w:noProof/>
        </w:rPr>
        <w:instrText xml:space="preserve"> PAGEREF _Toc185415937 \h </w:instrText>
      </w:r>
      <w:r>
        <w:rPr>
          <w:noProof/>
        </w:rPr>
      </w:r>
      <w:r>
        <w:rPr>
          <w:noProof/>
        </w:rPr>
        <w:fldChar w:fldCharType="separate"/>
      </w:r>
      <w:r w:rsidR="00302DB2">
        <w:rPr>
          <w:noProof/>
        </w:rPr>
        <w:t>255</w:t>
      </w:r>
      <w:r>
        <w:rPr>
          <w:noProof/>
        </w:rPr>
        <w:fldChar w:fldCharType="end"/>
      </w:r>
    </w:p>
    <w:p w14:paraId="39E86113" w14:textId="415CFCB4" w:rsidR="007931CC" w:rsidRDefault="007931CC">
      <w:pPr>
        <w:pStyle w:val="TOC5"/>
        <w:rPr>
          <w:rFonts w:asciiTheme="minorHAnsi" w:eastAsiaTheme="minorEastAsia" w:hAnsiTheme="minorHAnsi" w:cstheme="minorBidi"/>
          <w:noProof/>
          <w:kern w:val="0"/>
          <w:sz w:val="22"/>
          <w:szCs w:val="22"/>
        </w:rPr>
      </w:pPr>
      <w:r>
        <w:rPr>
          <w:noProof/>
        </w:rPr>
        <w:t>126  Dealings with AUSTRAC information</w:t>
      </w:r>
      <w:r>
        <w:rPr>
          <w:noProof/>
        </w:rPr>
        <w:tab/>
      </w:r>
      <w:r>
        <w:rPr>
          <w:noProof/>
        </w:rPr>
        <w:fldChar w:fldCharType="begin"/>
      </w:r>
      <w:r>
        <w:rPr>
          <w:noProof/>
        </w:rPr>
        <w:instrText xml:space="preserve"> PAGEREF _Toc185415938 \h </w:instrText>
      </w:r>
      <w:r>
        <w:rPr>
          <w:noProof/>
        </w:rPr>
      </w:r>
      <w:r>
        <w:rPr>
          <w:noProof/>
        </w:rPr>
        <w:fldChar w:fldCharType="separate"/>
      </w:r>
      <w:r w:rsidR="00302DB2">
        <w:rPr>
          <w:noProof/>
        </w:rPr>
        <w:t>255</w:t>
      </w:r>
      <w:r>
        <w:rPr>
          <w:noProof/>
        </w:rPr>
        <w:fldChar w:fldCharType="end"/>
      </w:r>
    </w:p>
    <w:p w14:paraId="22E0DD29" w14:textId="5B43EAC1" w:rsidR="007931CC" w:rsidRDefault="007931CC">
      <w:pPr>
        <w:pStyle w:val="TOC3"/>
        <w:rPr>
          <w:rFonts w:asciiTheme="minorHAnsi" w:eastAsiaTheme="minorEastAsia" w:hAnsiTheme="minorHAnsi" w:cstheme="minorBidi"/>
          <w:b w:val="0"/>
          <w:noProof/>
          <w:kern w:val="0"/>
          <w:szCs w:val="22"/>
        </w:rPr>
      </w:pPr>
      <w:r>
        <w:rPr>
          <w:noProof/>
        </w:rPr>
        <w:t>Division 5—Disclosure of AUSTRAC information to foreign countries or agencies</w:t>
      </w:r>
      <w:r>
        <w:rPr>
          <w:noProof/>
        </w:rPr>
        <w:tab/>
      </w:r>
      <w:r>
        <w:rPr>
          <w:noProof/>
        </w:rPr>
        <w:fldChar w:fldCharType="begin"/>
      </w:r>
      <w:r>
        <w:rPr>
          <w:noProof/>
        </w:rPr>
        <w:instrText xml:space="preserve"> PAGEREF _Toc185415939 \h </w:instrText>
      </w:r>
      <w:r>
        <w:rPr>
          <w:noProof/>
        </w:rPr>
      </w:r>
      <w:r>
        <w:rPr>
          <w:noProof/>
        </w:rPr>
        <w:fldChar w:fldCharType="separate"/>
      </w:r>
      <w:r w:rsidR="00302DB2">
        <w:rPr>
          <w:noProof/>
        </w:rPr>
        <w:t>258</w:t>
      </w:r>
      <w:r>
        <w:rPr>
          <w:noProof/>
        </w:rPr>
        <w:fldChar w:fldCharType="end"/>
      </w:r>
    </w:p>
    <w:p w14:paraId="27913DC5" w14:textId="1142EFB3" w:rsidR="007931CC" w:rsidRDefault="007931CC">
      <w:pPr>
        <w:pStyle w:val="TOC5"/>
        <w:rPr>
          <w:rFonts w:asciiTheme="minorHAnsi" w:eastAsiaTheme="minorEastAsia" w:hAnsiTheme="minorHAnsi" w:cstheme="minorBidi"/>
          <w:noProof/>
          <w:kern w:val="0"/>
          <w:sz w:val="22"/>
          <w:szCs w:val="22"/>
        </w:rPr>
      </w:pPr>
      <w:r>
        <w:rPr>
          <w:noProof/>
        </w:rPr>
        <w:t>127  Disclosure of AUSTRAC information to foreign countries or agencies</w:t>
      </w:r>
      <w:r>
        <w:rPr>
          <w:noProof/>
        </w:rPr>
        <w:tab/>
      </w:r>
      <w:r>
        <w:rPr>
          <w:noProof/>
        </w:rPr>
        <w:fldChar w:fldCharType="begin"/>
      </w:r>
      <w:r>
        <w:rPr>
          <w:noProof/>
        </w:rPr>
        <w:instrText xml:space="preserve"> PAGEREF _Toc185415940 \h </w:instrText>
      </w:r>
      <w:r>
        <w:rPr>
          <w:noProof/>
        </w:rPr>
      </w:r>
      <w:r>
        <w:rPr>
          <w:noProof/>
        </w:rPr>
        <w:fldChar w:fldCharType="separate"/>
      </w:r>
      <w:r w:rsidR="00302DB2">
        <w:rPr>
          <w:noProof/>
        </w:rPr>
        <w:t>258</w:t>
      </w:r>
      <w:r>
        <w:rPr>
          <w:noProof/>
        </w:rPr>
        <w:fldChar w:fldCharType="end"/>
      </w:r>
    </w:p>
    <w:p w14:paraId="09FB7A2C" w14:textId="219C81CD" w:rsidR="007931CC" w:rsidRDefault="007931CC">
      <w:pPr>
        <w:pStyle w:val="TOC3"/>
        <w:rPr>
          <w:rFonts w:asciiTheme="minorHAnsi" w:eastAsiaTheme="minorEastAsia" w:hAnsiTheme="minorHAnsi" w:cstheme="minorBidi"/>
          <w:b w:val="0"/>
          <w:noProof/>
          <w:kern w:val="0"/>
          <w:szCs w:val="22"/>
        </w:rPr>
      </w:pPr>
      <w:r>
        <w:rPr>
          <w:noProof/>
        </w:rPr>
        <w:t>Division 6—Unauthorised accessing of or use or disclosure of AUSTRAC information</w:t>
      </w:r>
      <w:r>
        <w:rPr>
          <w:noProof/>
        </w:rPr>
        <w:tab/>
      </w:r>
      <w:r>
        <w:rPr>
          <w:noProof/>
        </w:rPr>
        <w:fldChar w:fldCharType="begin"/>
      </w:r>
      <w:r>
        <w:rPr>
          <w:noProof/>
        </w:rPr>
        <w:instrText xml:space="preserve"> PAGEREF _Toc185415941 \h </w:instrText>
      </w:r>
      <w:r>
        <w:rPr>
          <w:noProof/>
        </w:rPr>
      </w:r>
      <w:r>
        <w:rPr>
          <w:noProof/>
        </w:rPr>
        <w:fldChar w:fldCharType="separate"/>
      </w:r>
      <w:r w:rsidR="00302DB2">
        <w:rPr>
          <w:noProof/>
        </w:rPr>
        <w:t>260</w:t>
      </w:r>
      <w:r>
        <w:rPr>
          <w:noProof/>
        </w:rPr>
        <w:fldChar w:fldCharType="end"/>
      </w:r>
    </w:p>
    <w:p w14:paraId="0F8AA807" w14:textId="1D7B1B79" w:rsidR="007931CC" w:rsidRDefault="007931CC">
      <w:pPr>
        <w:pStyle w:val="TOC5"/>
        <w:rPr>
          <w:rFonts w:asciiTheme="minorHAnsi" w:eastAsiaTheme="minorEastAsia" w:hAnsiTheme="minorHAnsi" w:cstheme="minorBidi"/>
          <w:noProof/>
          <w:kern w:val="0"/>
          <w:sz w:val="22"/>
          <w:szCs w:val="22"/>
        </w:rPr>
      </w:pPr>
      <w:r>
        <w:rPr>
          <w:noProof/>
        </w:rPr>
        <w:t>128  Unauthorised accessing of AUSTRAC information</w:t>
      </w:r>
      <w:r>
        <w:rPr>
          <w:noProof/>
        </w:rPr>
        <w:tab/>
      </w:r>
      <w:r>
        <w:rPr>
          <w:noProof/>
        </w:rPr>
        <w:fldChar w:fldCharType="begin"/>
      </w:r>
      <w:r>
        <w:rPr>
          <w:noProof/>
        </w:rPr>
        <w:instrText xml:space="preserve"> PAGEREF _Toc185415942 \h </w:instrText>
      </w:r>
      <w:r>
        <w:rPr>
          <w:noProof/>
        </w:rPr>
      </w:r>
      <w:r>
        <w:rPr>
          <w:noProof/>
        </w:rPr>
        <w:fldChar w:fldCharType="separate"/>
      </w:r>
      <w:r w:rsidR="00302DB2">
        <w:rPr>
          <w:noProof/>
        </w:rPr>
        <w:t>260</w:t>
      </w:r>
      <w:r>
        <w:rPr>
          <w:noProof/>
        </w:rPr>
        <w:fldChar w:fldCharType="end"/>
      </w:r>
    </w:p>
    <w:p w14:paraId="555CD74E" w14:textId="389F8FD0" w:rsidR="007931CC" w:rsidRDefault="007931CC">
      <w:pPr>
        <w:pStyle w:val="TOC5"/>
        <w:rPr>
          <w:rFonts w:asciiTheme="minorHAnsi" w:eastAsiaTheme="minorEastAsia" w:hAnsiTheme="minorHAnsi" w:cstheme="minorBidi"/>
          <w:noProof/>
          <w:kern w:val="0"/>
          <w:sz w:val="22"/>
          <w:szCs w:val="22"/>
        </w:rPr>
      </w:pPr>
      <w:r>
        <w:rPr>
          <w:noProof/>
        </w:rPr>
        <w:t>129  Use or disclosure of AUSTRAC information disclosed in contravention of this Part</w:t>
      </w:r>
      <w:r>
        <w:rPr>
          <w:noProof/>
        </w:rPr>
        <w:tab/>
      </w:r>
      <w:r>
        <w:rPr>
          <w:noProof/>
        </w:rPr>
        <w:fldChar w:fldCharType="begin"/>
      </w:r>
      <w:r>
        <w:rPr>
          <w:noProof/>
        </w:rPr>
        <w:instrText xml:space="preserve"> PAGEREF _Toc185415943 \h </w:instrText>
      </w:r>
      <w:r>
        <w:rPr>
          <w:noProof/>
        </w:rPr>
      </w:r>
      <w:r>
        <w:rPr>
          <w:noProof/>
        </w:rPr>
        <w:fldChar w:fldCharType="separate"/>
      </w:r>
      <w:r w:rsidR="00302DB2">
        <w:rPr>
          <w:noProof/>
        </w:rPr>
        <w:t>260</w:t>
      </w:r>
      <w:r>
        <w:rPr>
          <w:noProof/>
        </w:rPr>
        <w:fldChar w:fldCharType="end"/>
      </w:r>
    </w:p>
    <w:p w14:paraId="65BC9F1B" w14:textId="751FBFAF" w:rsidR="007931CC" w:rsidRDefault="007931CC">
      <w:pPr>
        <w:pStyle w:val="TOC3"/>
        <w:rPr>
          <w:rFonts w:asciiTheme="minorHAnsi" w:eastAsiaTheme="minorEastAsia" w:hAnsiTheme="minorHAnsi" w:cstheme="minorBidi"/>
          <w:b w:val="0"/>
          <w:noProof/>
          <w:kern w:val="0"/>
          <w:szCs w:val="22"/>
        </w:rPr>
      </w:pPr>
      <w:r>
        <w:rPr>
          <w:noProof/>
        </w:rPr>
        <w:t>Division 7—Use of AUSTRAC information in court or tribunal proceedings</w:t>
      </w:r>
      <w:r>
        <w:rPr>
          <w:noProof/>
        </w:rPr>
        <w:tab/>
      </w:r>
      <w:r>
        <w:rPr>
          <w:noProof/>
        </w:rPr>
        <w:fldChar w:fldCharType="begin"/>
      </w:r>
      <w:r>
        <w:rPr>
          <w:noProof/>
        </w:rPr>
        <w:instrText xml:space="preserve"> PAGEREF _Toc185415944 \h </w:instrText>
      </w:r>
      <w:r>
        <w:rPr>
          <w:noProof/>
        </w:rPr>
      </w:r>
      <w:r>
        <w:rPr>
          <w:noProof/>
        </w:rPr>
        <w:fldChar w:fldCharType="separate"/>
      </w:r>
      <w:r w:rsidR="00302DB2">
        <w:rPr>
          <w:noProof/>
        </w:rPr>
        <w:t>261</w:t>
      </w:r>
      <w:r>
        <w:rPr>
          <w:noProof/>
        </w:rPr>
        <w:fldChar w:fldCharType="end"/>
      </w:r>
    </w:p>
    <w:p w14:paraId="1030AB80" w14:textId="2EBF936C" w:rsidR="007931CC" w:rsidRDefault="007931CC">
      <w:pPr>
        <w:pStyle w:val="TOC5"/>
        <w:rPr>
          <w:rFonts w:asciiTheme="minorHAnsi" w:eastAsiaTheme="minorEastAsia" w:hAnsiTheme="minorHAnsi" w:cstheme="minorBidi"/>
          <w:noProof/>
          <w:kern w:val="0"/>
          <w:sz w:val="22"/>
          <w:szCs w:val="22"/>
        </w:rPr>
      </w:pPr>
      <w:r>
        <w:rPr>
          <w:noProof/>
        </w:rPr>
        <w:t>134  Use of AUSTRAC information in court or tribunal proceedings</w:t>
      </w:r>
      <w:r>
        <w:rPr>
          <w:noProof/>
        </w:rPr>
        <w:tab/>
      </w:r>
      <w:r>
        <w:rPr>
          <w:noProof/>
        </w:rPr>
        <w:fldChar w:fldCharType="begin"/>
      </w:r>
      <w:r>
        <w:rPr>
          <w:noProof/>
        </w:rPr>
        <w:instrText xml:space="preserve"> PAGEREF _Toc185415945 \h </w:instrText>
      </w:r>
      <w:r>
        <w:rPr>
          <w:noProof/>
        </w:rPr>
      </w:r>
      <w:r>
        <w:rPr>
          <w:noProof/>
        </w:rPr>
        <w:fldChar w:fldCharType="separate"/>
      </w:r>
      <w:r w:rsidR="00302DB2">
        <w:rPr>
          <w:noProof/>
        </w:rPr>
        <w:t>261</w:t>
      </w:r>
      <w:r>
        <w:rPr>
          <w:noProof/>
        </w:rPr>
        <w:fldChar w:fldCharType="end"/>
      </w:r>
    </w:p>
    <w:p w14:paraId="362FF510" w14:textId="13090FEB" w:rsidR="007931CC" w:rsidRDefault="007931CC">
      <w:pPr>
        <w:pStyle w:val="TOC2"/>
        <w:rPr>
          <w:rFonts w:asciiTheme="minorHAnsi" w:eastAsiaTheme="minorEastAsia" w:hAnsiTheme="minorHAnsi" w:cstheme="minorBidi"/>
          <w:b w:val="0"/>
          <w:noProof/>
          <w:kern w:val="0"/>
          <w:sz w:val="22"/>
          <w:szCs w:val="22"/>
        </w:rPr>
      </w:pPr>
      <w:r>
        <w:rPr>
          <w:noProof/>
        </w:rPr>
        <w:t>Part 12—Offences</w:t>
      </w:r>
      <w:r>
        <w:rPr>
          <w:noProof/>
        </w:rPr>
        <w:tab/>
      </w:r>
      <w:r>
        <w:rPr>
          <w:noProof/>
        </w:rPr>
        <w:fldChar w:fldCharType="begin"/>
      </w:r>
      <w:r>
        <w:rPr>
          <w:noProof/>
        </w:rPr>
        <w:instrText xml:space="preserve"> PAGEREF _Toc185415946 \h </w:instrText>
      </w:r>
      <w:r>
        <w:rPr>
          <w:noProof/>
        </w:rPr>
      </w:r>
      <w:r>
        <w:rPr>
          <w:noProof/>
        </w:rPr>
        <w:fldChar w:fldCharType="separate"/>
      </w:r>
      <w:r w:rsidR="00302DB2">
        <w:rPr>
          <w:noProof/>
        </w:rPr>
        <w:t>262</w:t>
      </w:r>
      <w:r>
        <w:rPr>
          <w:noProof/>
        </w:rPr>
        <w:fldChar w:fldCharType="end"/>
      </w:r>
    </w:p>
    <w:p w14:paraId="68D93D0E" w14:textId="69DA9283" w:rsidR="007931CC" w:rsidRDefault="007931CC">
      <w:pPr>
        <w:pStyle w:val="TOC5"/>
        <w:rPr>
          <w:rFonts w:asciiTheme="minorHAnsi" w:eastAsiaTheme="minorEastAsia" w:hAnsiTheme="minorHAnsi" w:cstheme="minorBidi"/>
          <w:noProof/>
          <w:kern w:val="0"/>
          <w:sz w:val="22"/>
          <w:szCs w:val="22"/>
        </w:rPr>
      </w:pPr>
      <w:r>
        <w:rPr>
          <w:noProof/>
        </w:rPr>
        <w:t>135  Simplified outline</w:t>
      </w:r>
      <w:r>
        <w:rPr>
          <w:noProof/>
        </w:rPr>
        <w:tab/>
      </w:r>
      <w:r>
        <w:rPr>
          <w:noProof/>
        </w:rPr>
        <w:fldChar w:fldCharType="begin"/>
      </w:r>
      <w:r>
        <w:rPr>
          <w:noProof/>
        </w:rPr>
        <w:instrText xml:space="preserve"> PAGEREF _Toc185415947 \h </w:instrText>
      </w:r>
      <w:r>
        <w:rPr>
          <w:noProof/>
        </w:rPr>
      </w:r>
      <w:r>
        <w:rPr>
          <w:noProof/>
        </w:rPr>
        <w:fldChar w:fldCharType="separate"/>
      </w:r>
      <w:r w:rsidR="00302DB2">
        <w:rPr>
          <w:noProof/>
        </w:rPr>
        <w:t>262</w:t>
      </w:r>
      <w:r>
        <w:rPr>
          <w:noProof/>
        </w:rPr>
        <w:fldChar w:fldCharType="end"/>
      </w:r>
    </w:p>
    <w:p w14:paraId="71081E8B" w14:textId="350D8B08" w:rsidR="007931CC" w:rsidRDefault="007931CC">
      <w:pPr>
        <w:pStyle w:val="TOC5"/>
        <w:rPr>
          <w:rFonts w:asciiTheme="minorHAnsi" w:eastAsiaTheme="minorEastAsia" w:hAnsiTheme="minorHAnsi" w:cstheme="minorBidi"/>
          <w:noProof/>
          <w:kern w:val="0"/>
          <w:sz w:val="22"/>
          <w:szCs w:val="22"/>
        </w:rPr>
      </w:pPr>
      <w:r>
        <w:rPr>
          <w:noProof/>
        </w:rPr>
        <w:t>136  False or misleading information</w:t>
      </w:r>
      <w:r>
        <w:rPr>
          <w:noProof/>
        </w:rPr>
        <w:tab/>
      </w:r>
      <w:r>
        <w:rPr>
          <w:noProof/>
        </w:rPr>
        <w:fldChar w:fldCharType="begin"/>
      </w:r>
      <w:r>
        <w:rPr>
          <w:noProof/>
        </w:rPr>
        <w:instrText xml:space="preserve"> PAGEREF _Toc185415948 \h </w:instrText>
      </w:r>
      <w:r>
        <w:rPr>
          <w:noProof/>
        </w:rPr>
      </w:r>
      <w:r>
        <w:rPr>
          <w:noProof/>
        </w:rPr>
        <w:fldChar w:fldCharType="separate"/>
      </w:r>
      <w:r w:rsidR="00302DB2">
        <w:rPr>
          <w:noProof/>
        </w:rPr>
        <w:t>262</w:t>
      </w:r>
      <w:r>
        <w:rPr>
          <w:noProof/>
        </w:rPr>
        <w:fldChar w:fldCharType="end"/>
      </w:r>
    </w:p>
    <w:p w14:paraId="5F88C03E" w14:textId="6207D327" w:rsidR="007931CC" w:rsidRDefault="007931CC">
      <w:pPr>
        <w:pStyle w:val="TOC5"/>
        <w:rPr>
          <w:rFonts w:asciiTheme="minorHAnsi" w:eastAsiaTheme="minorEastAsia" w:hAnsiTheme="minorHAnsi" w:cstheme="minorBidi"/>
          <w:noProof/>
          <w:kern w:val="0"/>
          <w:sz w:val="22"/>
          <w:szCs w:val="22"/>
        </w:rPr>
      </w:pPr>
      <w:r>
        <w:rPr>
          <w:noProof/>
        </w:rPr>
        <w:t>137  Producing false or misleading documents</w:t>
      </w:r>
      <w:r>
        <w:rPr>
          <w:noProof/>
        </w:rPr>
        <w:tab/>
      </w:r>
      <w:r>
        <w:rPr>
          <w:noProof/>
        </w:rPr>
        <w:fldChar w:fldCharType="begin"/>
      </w:r>
      <w:r>
        <w:rPr>
          <w:noProof/>
        </w:rPr>
        <w:instrText xml:space="preserve"> PAGEREF _Toc185415949 \h </w:instrText>
      </w:r>
      <w:r>
        <w:rPr>
          <w:noProof/>
        </w:rPr>
      </w:r>
      <w:r>
        <w:rPr>
          <w:noProof/>
        </w:rPr>
        <w:fldChar w:fldCharType="separate"/>
      </w:r>
      <w:r w:rsidR="00302DB2">
        <w:rPr>
          <w:noProof/>
        </w:rPr>
        <w:t>263</w:t>
      </w:r>
      <w:r>
        <w:rPr>
          <w:noProof/>
        </w:rPr>
        <w:fldChar w:fldCharType="end"/>
      </w:r>
    </w:p>
    <w:p w14:paraId="1C43ED35" w14:textId="656B79A9" w:rsidR="007931CC" w:rsidRDefault="007931CC">
      <w:pPr>
        <w:pStyle w:val="TOC5"/>
        <w:rPr>
          <w:rFonts w:asciiTheme="minorHAnsi" w:eastAsiaTheme="minorEastAsia" w:hAnsiTheme="minorHAnsi" w:cstheme="minorBidi"/>
          <w:noProof/>
          <w:kern w:val="0"/>
          <w:sz w:val="22"/>
          <w:szCs w:val="22"/>
        </w:rPr>
      </w:pPr>
      <w:r>
        <w:rPr>
          <w:noProof/>
        </w:rPr>
        <w:t>138  False documents</w:t>
      </w:r>
      <w:r>
        <w:rPr>
          <w:noProof/>
        </w:rPr>
        <w:tab/>
      </w:r>
      <w:r>
        <w:rPr>
          <w:noProof/>
        </w:rPr>
        <w:fldChar w:fldCharType="begin"/>
      </w:r>
      <w:r>
        <w:rPr>
          <w:noProof/>
        </w:rPr>
        <w:instrText xml:space="preserve"> PAGEREF _Toc185415950 \h </w:instrText>
      </w:r>
      <w:r>
        <w:rPr>
          <w:noProof/>
        </w:rPr>
      </w:r>
      <w:r>
        <w:rPr>
          <w:noProof/>
        </w:rPr>
        <w:fldChar w:fldCharType="separate"/>
      </w:r>
      <w:r w:rsidR="00302DB2">
        <w:rPr>
          <w:noProof/>
        </w:rPr>
        <w:t>264</w:t>
      </w:r>
      <w:r>
        <w:rPr>
          <w:noProof/>
        </w:rPr>
        <w:fldChar w:fldCharType="end"/>
      </w:r>
    </w:p>
    <w:p w14:paraId="74EFC632" w14:textId="66DCE0FD" w:rsidR="007931CC" w:rsidRDefault="007931CC">
      <w:pPr>
        <w:pStyle w:val="TOC5"/>
        <w:rPr>
          <w:rFonts w:asciiTheme="minorHAnsi" w:eastAsiaTheme="minorEastAsia" w:hAnsiTheme="minorHAnsi" w:cstheme="minorBidi"/>
          <w:noProof/>
          <w:kern w:val="0"/>
          <w:sz w:val="22"/>
          <w:szCs w:val="22"/>
        </w:rPr>
      </w:pPr>
      <w:r>
        <w:rPr>
          <w:noProof/>
        </w:rPr>
        <w:t>139  Providing a designated service using a false customer name or customer anonymity</w:t>
      </w:r>
      <w:r>
        <w:rPr>
          <w:noProof/>
        </w:rPr>
        <w:tab/>
      </w:r>
      <w:r>
        <w:rPr>
          <w:noProof/>
        </w:rPr>
        <w:fldChar w:fldCharType="begin"/>
      </w:r>
      <w:r>
        <w:rPr>
          <w:noProof/>
        </w:rPr>
        <w:instrText xml:space="preserve"> PAGEREF _Toc185415951 \h </w:instrText>
      </w:r>
      <w:r>
        <w:rPr>
          <w:noProof/>
        </w:rPr>
      </w:r>
      <w:r>
        <w:rPr>
          <w:noProof/>
        </w:rPr>
        <w:fldChar w:fldCharType="separate"/>
      </w:r>
      <w:r w:rsidR="00302DB2">
        <w:rPr>
          <w:noProof/>
        </w:rPr>
        <w:t>266</w:t>
      </w:r>
      <w:r>
        <w:rPr>
          <w:noProof/>
        </w:rPr>
        <w:fldChar w:fldCharType="end"/>
      </w:r>
    </w:p>
    <w:p w14:paraId="2D9351FE" w14:textId="7C71D63C" w:rsidR="007931CC" w:rsidRDefault="007931CC">
      <w:pPr>
        <w:pStyle w:val="TOC5"/>
        <w:rPr>
          <w:rFonts w:asciiTheme="minorHAnsi" w:eastAsiaTheme="minorEastAsia" w:hAnsiTheme="minorHAnsi" w:cstheme="minorBidi"/>
          <w:noProof/>
          <w:kern w:val="0"/>
          <w:sz w:val="22"/>
          <w:szCs w:val="22"/>
        </w:rPr>
      </w:pPr>
      <w:r>
        <w:rPr>
          <w:noProof/>
        </w:rPr>
        <w:t>140  Receiving a designated service using a false customer name or customer anonymity</w:t>
      </w:r>
      <w:r>
        <w:rPr>
          <w:noProof/>
        </w:rPr>
        <w:tab/>
      </w:r>
      <w:r>
        <w:rPr>
          <w:noProof/>
        </w:rPr>
        <w:fldChar w:fldCharType="begin"/>
      </w:r>
      <w:r>
        <w:rPr>
          <w:noProof/>
        </w:rPr>
        <w:instrText xml:space="preserve"> PAGEREF _Toc185415952 \h </w:instrText>
      </w:r>
      <w:r>
        <w:rPr>
          <w:noProof/>
        </w:rPr>
      </w:r>
      <w:r>
        <w:rPr>
          <w:noProof/>
        </w:rPr>
        <w:fldChar w:fldCharType="separate"/>
      </w:r>
      <w:r w:rsidR="00302DB2">
        <w:rPr>
          <w:noProof/>
        </w:rPr>
        <w:t>267</w:t>
      </w:r>
      <w:r>
        <w:rPr>
          <w:noProof/>
        </w:rPr>
        <w:fldChar w:fldCharType="end"/>
      </w:r>
    </w:p>
    <w:p w14:paraId="07BD516C" w14:textId="1F8A8445" w:rsidR="007931CC" w:rsidRDefault="007931CC">
      <w:pPr>
        <w:pStyle w:val="TOC5"/>
        <w:rPr>
          <w:rFonts w:asciiTheme="minorHAnsi" w:eastAsiaTheme="minorEastAsia" w:hAnsiTheme="minorHAnsi" w:cstheme="minorBidi"/>
          <w:noProof/>
          <w:kern w:val="0"/>
          <w:sz w:val="22"/>
          <w:szCs w:val="22"/>
        </w:rPr>
      </w:pPr>
      <w:r>
        <w:rPr>
          <w:noProof/>
        </w:rPr>
        <w:t>141  Customer commonly known by 2 or more different names—disclosure to reporting entity</w:t>
      </w:r>
      <w:r>
        <w:rPr>
          <w:noProof/>
        </w:rPr>
        <w:tab/>
      </w:r>
      <w:r>
        <w:rPr>
          <w:noProof/>
        </w:rPr>
        <w:fldChar w:fldCharType="begin"/>
      </w:r>
      <w:r>
        <w:rPr>
          <w:noProof/>
        </w:rPr>
        <w:instrText xml:space="preserve"> PAGEREF _Toc185415953 \h </w:instrText>
      </w:r>
      <w:r>
        <w:rPr>
          <w:noProof/>
        </w:rPr>
      </w:r>
      <w:r>
        <w:rPr>
          <w:noProof/>
        </w:rPr>
        <w:fldChar w:fldCharType="separate"/>
      </w:r>
      <w:r w:rsidR="00302DB2">
        <w:rPr>
          <w:noProof/>
        </w:rPr>
        <w:t>267</w:t>
      </w:r>
      <w:r>
        <w:rPr>
          <w:noProof/>
        </w:rPr>
        <w:fldChar w:fldCharType="end"/>
      </w:r>
    </w:p>
    <w:p w14:paraId="04E94F0A" w14:textId="63E0ED42" w:rsidR="007931CC" w:rsidRDefault="007931CC">
      <w:pPr>
        <w:pStyle w:val="TOC5"/>
        <w:rPr>
          <w:rFonts w:asciiTheme="minorHAnsi" w:eastAsiaTheme="minorEastAsia" w:hAnsiTheme="minorHAnsi" w:cstheme="minorBidi"/>
          <w:noProof/>
          <w:kern w:val="0"/>
          <w:sz w:val="22"/>
          <w:szCs w:val="22"/>
        </w:rPr>
      </w:pPr>
      <w:r>
        <w:rPr>
          <w:noProof/>
        </w:rPr>
        <w:t>142  Conducting transactions so as to avoid reporting requirements relating to threshold transactions</w:t>
      </w:r>
      <w:r>
        <w:rPr>
          <w:noProof/>
        </w:rPr>
        <w:tab/>
      </w:r>
      <w:r>
        <w:rPr>
          <w:noProof/>
        </w:rPr>
        <w:fldChar w:fldCharType="begin"/>
      </w:r>
      <w:r>
        <w:rPr>
          <w:noProof/>
        </w:rPr>
        <w:instrText xml:space="preserve"> PAGEREF _Toc185415954 \h </w:instrText>
      </w:r>
      <w:r>
        <w:rPr>
          <w:noProof/>
        </w:rPr>
      </w:r>
      <w:r>
        <w:rPr>
          <w:noProof/>
        </w:rPr>
        <w:fldChar w:fldCharType="separate"/>
      </w:r>
      <w:r w:rsidR="00302DB2">
        <w:rPr>
          <w:noProof/>
        </w:rPr>
        <w:t>268</w:t>
      </w:r>
      <w:r>
        <w:rPr>
          <w:noProof/>
        </w:rPr>
        <w:fldChar w:fldCharType="end"/>
      </w:r>
    </w:p>
    <w:p w14:paraId="0589EBF5" w14:textId="21DEACC7" w:rsidR="007931CC" w:rsidRDefault="007931CC">
      <w:pPr>
        <w:pStyle w:val="TOC5"/>
        <w:rPr>
          <w:rFonts w:asciiTheme="minorHAnsi" w:eastAsiaTheme="minorEastAsia" w:hAnsiTheme="minorHAnsi" w:cstheme="minorBidi"/>
          <w:noProof/>
          <w:kern w:val="0"/>
          <w:sz w:val="22"/>
          <w:szCs w:val="22"/>
        </w:rPr>
      </w:pPr>
      <w:r>
        <w:rPr>
          <w:noProof/>
        </w:rPr>
        <w:t>143  Conducting transfers to avoid reporting requirements relating to cross</w:t>
      </w:r>
      <w:r>
        <w:rPr>
          <w:noProof/>
        </w:rPr>
        <w:noBreakHyphen/>
        <w:t>border movements of monetary instruments</w:t>
      </w:r>
      <w:r>
        <w:rPr>
          <w:noProof/>
        </w:rPr>
        <w:tab/>
      </w:r>
      <w:r>
        <w:rPr>
          <w:noProof/>
        </w:rPr>
        <w:fldChar w:fldCharType="begin"/>
      </w:r>
      <w:r>
        <w:rPr>
          <w:noProof/>
        </w:rPr>
        <w:instrText xml:space="preserve"> PAGEREF _Toc185415955 \h </w:instrText>
      </w:r>
      <w:r>
        <w:rPr>
          <w:noProof/>
        </w:rPr>
      </w:r>
      <w:r>
        <w:rPr>
          <w:noProof/>
        </w:rPr>
        <w:fldChar w:fldCharType="separate"/>
      </w:r>
      <w:r w:rsidR="00302DB2">
        <w:rPr>
          <w:noProof/>
        </w:rPr>
        <w:t>269</w:t>
      </w:r>
      <w:r>
        <w:rPr>
          <w:noProof/>
        </w:rPr>
        <w:fldChar w:fldCharType="end"/>
      </w:r>
    </w:p>
    <w:p w14:paraId="172DC7C2" w14:textId="1E282654" w:rsidR="007931CC" w:rsidRDefault="007931CC">
      <w:pPr>
        <w:pStyle w:val="TOC2"/>
        <w:rPr>
          <w:rFonts w:asciiTheme="minorHAnsi" w:eastAsiaTheme="minorEastAsia" w:hAnsiTheme="minorHAnsi" w:cstheme="minorBidi"/>
          <w:b w:val="0"/>
          <w:noProof/>
          <w:kern w:val="0"/>
          <w:sz w:val="22"/>
          <w:szCs w:val="22"/>
        </w:rPr>
      </w:pPr>
      <w:r>
        <w:rPr>
          <w:noProof/>
        </w:rPr>
        <w:t>Part 13—Audit</w:t>
      </w:r>
      <w:r>
        <w:rPr>
          <w:noProof/>
        </w:rPr>
        <w:tab/>
      </w:r>
      <w:r>
        <w:rPr>
          <w:noProof/>
        </w:rPr>
        <w:fldChar w:fldCharType="begin"/>
      </w:r>
      <w:r>
        <w:rPr>
          <w:noProof/>
        </w:rPr>
        <w:instrText xml:space="preserve"> PAGEREF _Toc185415956 \h </w:instrText>
      </w:r>
      <w:r>
        <w:rPr>
          <w:noProof/>
        </w:rPr>
      </w:r>
      <w:r>
        <w:rPr>
          <w:noProof/>
        </w:rPr>
        <w:fldChar w:fldCharType="separate"/>
      </w:r>
      <w:r w:rsidR="00302DB2">
        <w:rPr>
          <w:noProof/>
        </w:rPr>
        <w:t>271</w:t>
      </w:r>
      <w:r>
        <w:rPr>
          <w:noProof/>
        </w:rPr>
        <w:fldChar w:fldCharType="end"/>
      </w:r>
    </w:p>
    <w:p w14:paraId="52552854" w14:textId="64B7444C"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_Toc185415957 \h </w:instrText>
      </w:r>
      <w:r>
        <w:rPr>
          <w:noProof/>
        </w:rPr>
      </w:r>
      <w:r>
        <w:rPr>
          <w:noProof/>
        </w:rPr>
        <w:fldChar w:fldCharType="separate"/>
      </w:r>
      <w:r w:rsidR="00302DB2">
        <w:rPr>
          <w:noProof/>
        </w:rPr>
        <w:t>271</w:t>
      </w:r>
      <w:r>
        <w:rPr>
          <w:noProof/>
        </w:rPr>
        <w:fldChar w:fldCharType="end"/>
      </w:r>
    </w:p>
    <w:p w14:paraId="27F909F7" w14:textId="2E765C60" w:rsidR="007931CC" w:rsidRDefault="007931CC">
      <w:pPr>
        <w:pStyle w:val="TOC5"/>
        <w:rPr>
          <w:rFonts w:asciiTheme="minorHAnsi" w:eastAsiaTheme="minorEastAsia" w:hAnsiTheme="minorHAnsi" w:cstheme="minorBidi"/>
          <w:noProof/>
          <w:kern w:val="0"/>
          <w:sz w:val="22"/>
          <w:szCs w:val="22"/>
        </w:rPr>
      </w:pPr>
      <w:r>
        <w:rPr>
          <w:noProof/>
        </w:rPr>
        <w:t>144  Simplified outline</w:t>
      </w:r>
      <w:r>
        <w:rPr>
          <w:noProof/>
        </w:rPr>
        <w:tab/>
      </w:r>
      <w:r>
        <w:rPr>
          <w:noProof/>
        </w:rPr>
        <w:fldChar w:fldCharType="begin"/>
      </w:r>
      <w:r>
        <w:rPr>
          <w:noProof/>
        </w:rPr>
        <w:instrText xml:space="preserve"> PAGEREF _Toc185415958 \h </w:instrText>
      </w:r>
      <w:r>
        <w:rPr>
          <w:noProof/>
        </w:rPr>
      </w:r>
      <w:r>
        <w:rPr>
          <w:noProof/>
        </w:rPr>
        <w:fldChar w:fldCharType="separate"/>
      </w:r>
      <w:r w:rsidR="00302DB2">
        <w:rPr>
          <w:noProof/>
        </w:rPr>
        <w:t>271</w:t>
      </w:r>
      <w:r>
        <w:rPr>
          <w:noProof/>
        </w:rPr>
        <w:fldChar w:fldCharType="end"/>
      </w:r>
    </w:p>
    <w:p w14:paraId="18000E57" w14:textId="7C822C2C" w:rsidR="007931CC" w:rsidRDefault="007931CC">
      <w:pPr>
        <w:pStyle w:val="TOC3"/>
        <w:rPr>
          <w:rFonts w:asciiTheme="minorHAnsi" w:eastAsiaTheme="minorEastAsia" w:hAnsiTheme="minorHAnsi" w:cstheme="minorBidi"/>
          <w:b w:val="0"/>
          <w:noProof/>
          <w:kern w:val="0"/>
          <w:szCs w:val="22"/>
        </w:rPr>
      </w:pPr>
      <w:r>
        <w:rPr>
          <w:noProof/>
        </w:rPr>
        <w:t>Division 2—Appointment of authorised officers and issue of identity cards</w:t>
      </w:r>
      <w:r>
        <w:rPr>
          <w:noProof/>
        </w:rPr>
        <w:tab/>
      </w:r>
      <w:r>
        <w:rPr>
          <w:noProof/>
        </w:rPr>
        <w:fldChar w:fldCharType="begin"/>
      </w:r>
      <w:r>
        <w:rPr>
          <w:noProof/>
        </w:rPr>
        <w:instrText xml:space="preserve"> PAGEREF _Toc185415959 \h </w:instrText>
      </w:r>
      <w:r>
        <w:rPr>
          <w:noProof/>
        </w:rPr>
      </w:r>
      <w:r>
        <w:rPr>
          <w:noProof/>
        </w:rPr>
        <w:fldChar w:fldCharType="separate"/>
      </w:r>
      <w:r w:rsidR="00302DB2">
        <w:rPr>
          <w:noProof/>
        </w:rPr>
        <w:t>272</w:t>
      </w:r>
      <w:r>
        <w:rPr>
          <w:noProof/>
        </w:rPr>
        <w:fldChar w:fldCharType="end"/>
      </w:r>
    </w:p>
    <w:p w14:paraId="5532EFA1" w14:textId="07FA63A4" w:rsidR="007931CC" w:rsidRDefault="007931CC">
      <w:pPr>
        <w:pStyle w:val="TOC5"/>
        <w:rPr>
          <w:rFonts w:asciiTheme="minorHAnsi" w:eastAsiaTheme="minorEastAsia" w:hAnsiTheme="minorHAnsi" w:cstheme="minorBidi"/>
          <w:noProof/>
          <w:kern w:val="0"/>
          <w:sz w:val="22"/>
          <w:szCs w:val="22"/>
        </w:rPr>
      </w:pPr>
      <w:r>
        <w:rPr>
          <w:noProof/>
        </w:rPr>
        <w:t>145  Appointment of authorised officers</w:t>
      </w:r>
      <w:r>
        <w:rPr>
          <w:noProof/>
        </w:rPr>
        <w:tab/>
      </w:r>
      <w:r>
        <w:rPr>
          <w:noProof/>
        </w:rPr>
        <w:fldChar w:fldCharType="begin"/>
      </w:r>
      <w:r>
        <w:rPr>
          <w:noProof/>
        </w:rPr>
        <w:instrText xml:space="preserve"> PAGEREF _Toc185415960 \h </w:instrText>
      </w:r>
      <w:r>
        <w:rPr>
          <w:noProof/>
        </w:rPr>
      </w:r>
      <w:r>
        <w:rPr>
          <w:noProof/>
        </w:rPr>
        <w:fldChar w:fldCharType="separate"/>
      </w:r>
      <w:r w:rsidR="00302DB2">
        <w:rPr>
          <w:noProof/>
        </w:rPr>
        <w:t>272</w:t>
      </w:r>
      <w:r>
        <w:rPr>
          <w:noProof/>
        </w:rPr>
        <w:fldChar w:fldCharType="end"/>
      </w:r>
    </w:p>
    <w:p w14:paraId="1E1FCD08" w14:textId="7AB01DD1" w:rsidR="007931CC" w:rsidRDefault="007931CC">
      <w:pPr>
        <w:pStyle w:val="TOC5"/>
        <w:rPr>
          <w:rFonts w:asciiTheme="minorHAnsi" w:eastAsiaTheme="minorEastAsia" w:hAnsiTheme="minorHAnsi" w:cstheme="minorBidi"/>
          <w:noProof/>
          <w:kern w:val="0"/>
          <w:sz w:val="22"/>
          <w:szCs w:val="22"/>
        </w:rPr>
      </w:pPr>
      <w:r>
        <w:rPr>
          <w:noProof/>
        </w:rPr>
        <w:t>146  Identity cards</w:t>
      </w:r>
      <w:r>
        <w:rPr>
          <w:noProof/>
        </w:rPr>
        <w:tab/>
      </w:r>
      <w:r>
        <w:rPr>
          <w:noProof/>
        </w:rPr>
        <w:fldChar w:fldCharType="begin"/>
      </w:r>
      <w:r>
        <w:rPr>
          <w:noProof/>
        </w:rPr>
        <w:instrText xml:space="preserve"> PAGEREF _Toc185415961 \h </w:instrText>
      </w:r>
      <w:r>
        <w:rPr>
          <w:noProof/>
        </w:rPr>
      </w:r>
      <w:r>
        <w:rPr>
          <w:noProof/>
        </w:rPr>
        <w:fldChar w:fldCharType="separate"/>
      </w:r>
      <w:r w:rsidR="00302DB2">
        <w:rPr>
          <w:noProof/>
        </w:rPr>
        <w:t>272</w:t>
      </w:r>
      <w:r>
        <w:rPr>
          <w:noProof/>
        </w:rPr>
        <w:fldChar w:fldCharType="end"/>
      </w:r>
    </w:p>
    <w:p w14:paraId="450961B4" w14:textId="0A18BD66" w:rsidR="007931CC" w:rsidRDefault="007931CC">
      <w:pPr>
        <w:pStyle w:val="TOC3"/>
        <w:rPr>
          <w:rFonts w:asciiTheme="minorHAnsi" w:eastAsiaTheme="minorEastAsia" w:hAnsiTheme="minorHAnsi" w:cstheme="minorBidi"/>
          <w:b w:val="0"/>
          <w:noProof/>
          <w:kern w:val="0"/>
          <w:szCs w:val="22"/>
        </w:rPr>
      </w:pPr>
      <w:r>
        <w:rPr>
          <w:noProof/>
        </w:rPr>
        <w:t>Division 3—Powers of authorised officers</w:t>
      </w:r>
      <w:r>
        <w:rPr>
          <w:noProof/>
        </w:rPr>
        <w:tab/>
      </w:r>
      <w:r>
        <w:rPr>
          <w:noProof/>
        </w:rPr>
        <w:fldChar w:fldCharType="begin"/>
      </w:r>
      <w:r>
        <w:rPr>
          <w:noProof/>
        </w:rPr>
        <w:instrText xml:space="preserve"> PAGEREF _Toc185415962 \h </w:instrText>
      </w:r>
      <w:r>
        <w:rPr>
          <w:noProof/>
        </w:rPr>
      </w:r>
      <w:r>
        <w:rPr>
          <w:noProof/>
        </w:rPr>
        <w:fldChar w:fldCharType="separate"/>
      </w:r>
      <w:r w:rsidR="00302DB2">
        <w:rPr>
          <w:noProof/>
        </w:rPr>
        <w:t>274</w:t>
      </w:r>
      <w:r>
        <w:rPr>
          <w:noProof/>
        </w:rPr>
        <w:fldChar w:fldCharType="end"/>
      </w:r>
    </w:p>
    <w:p w14:paraId="13F62044" w14:textId="4F1C4A6A" w:rsidR="007931CC" w:rsidRDefault="007931CC">
      <w:pPr>
        <w:pStyle w:val="TOC4"/>
        <w:rPr>
          <w:rFonts w:asciiTheme="minorHAnsi" w:eastAsiaTheme="minorEastAsia" w:hAnsiTheme="minorHAnsi" w:cstheme="minorBidi"/>
          <w:b w:val="0"/>
          <w:noProof/>
          <w:kern w:val="0"/>
          <w:sz w:val="22"/>
          <w:szCs w:val="22"/>
        </w:rPr>
      </w:pPr>
      <w:r>
        <w:rPr>
          <w:noProof/>
        </w:rPr>
        <w:t>Subdivision A—Monitoring powers</w:t>
      </w:r>
      <w:r>
        <w:rPr>
          <w:noProof/>
        </w:rPr>
        <w:tab/>
      </w:r>
      <w:r>
        <w:rPr>
          <w:noProof/>
        </w:rPr>
        <w:fldChar w:fldCharType="begin"/>
      </w:r>
      <w:r>
        <w:rPr>
          <w:noProof/>
        </w:rPr>
        <w:instrText xml:space="preserve"> PAGEREF _Toc185415963 \h </w:instrText>
      </w:r>
      <w:r>
        <w:rPr>
          <w:noProof/>
        </w:rPr>
      </w:r>
      <w:r>
        <w:rPr>
          <w:noProof/>
        </w:rPr>
        <w:fldChar w:fldCharType="separate"/>
      </w:r>
      <w:r w:rsidR="00302DB2">
        <w:rPr>
          <w:noProof/>
        </w:rPr>
        <w:t>274</w:t>
      </w:r>
      <w:r>
        <w:rPr>
          <w:noProof/>
        </w:rPr>
        <w:fldChar w:fldCharType="end"/>
      </w:r>
    </w:p>
    <w:p w14:paraId="64409D6E" w14:textId="6FC03D30" w:rsidR="007931CC" w:rsidRDefault="007931CC">
      <w:pPr>
        <w:pStyle w:val="TOC5"/>
        <w:rPr>
          <w:rFonts w:asciiTheme="minorHAnsi" w:eastAsiaTheme="minorEastAsia" w:hAnsiTheme="minorHAnsi" w:cstheme="minorBidi"/>
          <w:noProof/>
          <w:kern w:val="0"/>
          <w:sz w:val="22"/>
          <w:szCs w:val="22"/>
        </w:rPr>
      </w:pPr>
      <w:r>
        <w:rPr>
          <w:noProof/>
        </w:rPr>
        <w:t>147  Authorised officer may enter premises by consent or under a monitoring warrant</w:t>
      </w:r>
      <w:r>
        <w:rPr>
          <w:noProof/>
        </w:rPr>
        <w:tab/>
      </w:r>
      <w:r>
        <w:rPr>
          <w:noProof/>
        </w:rPr>
        <w:fldChar w:fldCharType="begin"/>
      </w:r>
      <w:r>
        <w:rPr>
          <w:noProof/>
        </w:rPr>
        <w:instrText xml:space="preserve"> PAGEREF _Toc185415964 \h </w:instrText>
      </w:r>
      <w:r>
        <w:rPr>
          <w:noProof/>
        </w:rPr>
      </w:r>
      <w:r>
        <w:rPr>
          <w:noProof/>
        </w:rPr>
        <w:fldChar w:fldCharType="separate"/>
      </w:r>
      <w:r w:rsidR="00302DB2">
        <w:rPr>
          <w:noProof/>
        </w:rPr>
        <w:t>274</w:t>
      </w:r>
      <w:r>
        <w:rPr>
          <w:noProof/>
        </w:rPr>
        <w:fldChar w:fldCharType="end"/>
      </w:r>
    </w:p>
    <w:p w14:paraId="1DE45ECD" w14:textId="1EDC95C6" w:rsidR="007931CC" w:rsidRDefault="007931CC">
      <w:pPr>
        <w:pStyle w:val="TOC5"/>
        <w:rPr>
          <w:rFonts w:asciiTheme="minorHAnsi" w:eastAsiaTheme="minorEastAsia" w:hAnsiTheme="minorHAnsi" w:cstheme="minorBidi"/>
          <w:noProof/>
          <w:kern w:val="0"/>
          <w:sz w:val="22"/>
          <w:szCs w:val="22"/>
        </w:rPr>
      </w:pPr>
      <w:r>
        <w:rPr>
          <w:noProof/>
        </w:rPr>
        <w:t>148  Monitoring powers of authorised officers</w:t>
      </w:r>
      <w:r>
        <w:rPr>
          <w:noProof/>
        </w:rPr>
        <w:tab/>
      </w:r>
      <w:r>
        <w:rPr>
          <w:noProof/>
        </w:rPr>
        <w:fldChar w:fldCharType="begin"/>
      </w:r>
      <w:r>
        <w:rPr>
          <w:noProof/>
        </w:rPr>
        <w:instrText xml:space="preserve"> PAGEREF _Toc185415965 \h </w:instrText>
      </w:r>
      <w:r>
        <w:rPr>
          <w:noProof/>
        </w:rPr>
      </w:r>
      <w:r>
        <w:rPr>
          <w:noProof/>
        </w:rPr>
        <w:fldChar w:fldCharType="separate"/>
      </w:r>
      <w:r w:rsidR="00302DB2">
        <w:rPr>
          <w:noProof/>
        </w:rPr>
        <w:t>274</w:t>
      </w:r>
      <w:r>
        <w:rPr>
          <w:noProof/>
        </w:rPr>
        <w:fldChar w:fldCharType="end"/>
      </w:r>
    </w:p>
    <w:p w14:paraId="5D15B025" w14:textId="08DD4D21" w:rsidR="007931CC" w:rsidRDefault="007931CC">
      <w:pPr>
        <w:pStyle w:val="TOC5"/>
        <w:rPr>
          <w:rFonts w:asciiTheme="minorHAnsi" w:eastAsiaTheme="minorEastAsia" w:hAnsiTheme="minorHAnsi" w:cstheme="minorBidi"/>
          <w:noProof/>
          <w:kern w:val="0"/>
          <w:sz w:val="22"/>
          <w:szCs w:val="22"/>
        </w:rPr>
      </w:pPr>
      <w:r>
        <w:rPr>
          <w:noProof/>
        </w:rPr>
        <w:t>149  Tampering or interfering with things secured in the exercise of monitoring powers</w:t>
      </w:r>
      <w:r>
        <w:rPr>
          <w:noProof/>
        </w:rPr>
        <w:tab/>
      </w:r>
      <w:r>
        <w:rPr>
          <w:noProof/>
        </w:rPr>
        <w:fldChar w:fldCharType="begin"/>
      </w:r>
      <w:r>
        <w:rPr>
          <w:noProof/>
        </w:rPr>
        <w:instrText xml:space="preserve"> PAGEREF _Toc185415966 \h </w:instrText>
      </w:r>
      <w:r>
        <w:rPr>
          <w:noProof/>
        </w:rPr>
      </w:r>
      <w:r>
        <w:rPr>
          <w:noProof/>
        </w:rPr>
        <w:fldChar w:fldCharType="separate"/>
      </w:r>
      <w:r w:rsidR="00302DB2">
        <w:rPr>
          <w:noProof/>
        </w:rPr>
        <w:t>277</w:t>
      </w:r>
      <w:r>
        <w:rPr>
          <w:noProof/>
        </w:rPr>
        <w:fldChar w:fldCharType="end"/>
      </w:r>
    </w:p>
    <w:p w14:paraId="241354D5" w14:textId="5CBC4914" w:rsidR="007931CC" w:rsidRDefault="007931CC">
      <w:pPr>
        <w:pStyle w:val="TOC4"/>
        <w:rPr>
          <w:rFonts w:asciiTheme="minorHAnsi" w:eastAsiaTheme="minorEastAsia" w:hAnsiTheme="minorHAnsi" w:cstheme="minorBidi"/>
          <w:b w:val="0"/>
          <w:noProof/>
          <w:kern w:val="0"/>
          <w:sz w:val="22"/>
          <w:szCs w:val="22"/>
        </w:rPr>
      </w:pPr>
      <w:r>
        <w:rPr>
          <w:noProof/>
        </w:rPr>
        <w:t>Subdivision B—Powers of authorised officers to ask questions and seek production of documents</w:t>
      </w:r>
      <w:r>
        <w:rPr>
          <w:noProof/>
        </w:rPr>
        <w:tab/>
      </w:r>
      <w:r>
        <w:rPr>
          <w:noProof/>
        </w:rPr>
        <w:fldChar w:fldCharType="begin"/>
      </w:r>
      <w:r>
        <w:rPr>
          <w:noProof/>
        </w:rPr>
        <w:instrText xml:space="preserve"> PAGEREF _Toc185415967 \h </w:instrText>
      </w:r>
      <w:r>
        <w:rPr>
          <w:noProof/>
        </w:rPr>
      </w:r>
      <w:r>
        <w:rPr>
          <w:noProof/>
        </w:rPr>
        <w:fldChar w:fldCharType="separate"/>
      </w:r>
      <w:r w:rsidR="00302DB2">
        <w:rPr>
          <w:noProof/>
        </w:rPr>
        <w:t>277</w:t>
      </w:r>
      <w:r>
        <w:rPr>
          <w:noProof/>
        </w:rPr>
        <w:fldChar w:fldCharType="end"/>
      </w:r>
    </w:p>
    <w:p w14:paraId="14AA3D9B" w14:textId="14191418" w:rsidR="007931CC" w:rsidRDefault="007931CC">
      <w:pPr>
        <w:pStyle w:val="TOC5"/>
        <w:rPr>
          <w:rFonts w:asciiTheme="minorHAnsi" w:eastAsiaTheme="minorEastAsia" w:hAnsiTheme="minorHAnsi" w:cstheme="minorBidi"/>
          <w:noProof/>
          <w:kern w:val="0"/>
          <w:sz w:val="22"/>
          <w:szCs w:val="22"/>
        </w:rPr>
      </w:pPr>
      <w:r>
        <w:rPr>
          <w:noProof/>
        </w:rPr>
        <w:t>150  Authorised officer may ask questions and seek production of documents</w:t>
      </w:r>
      <w:r>
        <w:rPr>
          <w:noProof/>
        </w:rPr>
        <w:tab/>
      </w:r>
      <w:r>
        <w:rPr>
          <w:noProof/>
        </w:rPr>
        <w:fldChar w:fldCharType="begin"/>
      </w:r>
      <w:r>
        <w:rPr>
          <w:noProof/>
        </w:rPr>
        <w:instrText xml:space="preserve"> PAGEREF _Toc185415968 \h </w:instrText>
      </w:r>
      <w:r>
        <w:rPr>
          <w:noProof/>
        </w:rPr>
      </w:r>
      <w:r>
        <w:rPr>
          <w:noProof/>
        </w:rPr>
        <w:fldChar w:fldCharType="separate"/>
      </w:r>
      <w:r w:rsidR="00302DB2">
        <w:rPr>
          <w:noProof/>
        </w:rPr>
        <w:t>277</w:t>
      </w:r>
      <w:r>
        <w:rPr>
          <w:noProof/>
        </w:rPr>
        <w:fldChar w:fldCharType="end"/>
      </w:r>
    </w:p>
    <w:p w14:paraId="620A2F0F" w14:textId="13EA7242" w:rsidR="007931CC" w:rsidRDefault="007931CC">
      <w:pPr>
        <w:pStyle w:val="TOC3"/>
        <w:rPr>
          <w:rFonts w:asciiTheme="minorHAnsi" w:eastAsiaTheme="minorEastAsia" w:hAnsiTheme="minorHAnsi" w:cstheme="minorBidi"/>
          <w:b w:val="0"/>
          <w:noProof/>
          <w:kern w:val="0"/>
          <w:szCs w:val="22"/>
        </w:rPr>
      </w:pPr>
      <w:r>
        <w:rPr>
          <w:noProof/>
        </w:rPr>
        <w:t>Division 4—Obligations and incidental powers of authorised officers</w:t>
      </w:r>
      <w:r>
        <w:rPr>
          <w:noProof/>
        </w:rPr>
        <w:tab/>
      </w:r>
      <w:r>
        <w:rPr>
          <w:noProof/>
        </w:rPr>
        <w:fldChar w:fldCharType="begin"/>
      </w:r>
      <w:r>
        <w:rPr>
          <w:noProof/>
        </w:rPr>
        <w:instrText xml:space="preserve"> PAGEREF _Toc185415969 \h </w:instrText>
      </w:r>
      <w:r>
        <w:rPr>
          <w:noProof/>
        </w:rPr>
      </w:r>
      <w:r>
        <w:rPr>
          <w:noProof/>
        </w:rPr>
        <w:fldChar w:fldCharType="separate"/>
      </w:r>
      <w:r w:rsidR="00302DB2">
        <w:rPr>
          <w:noProof/>
        </w:rPr>
        <w:t>279</w:t>
      </w:r>
      <w:r>
        <w:rPr>
          <w:noProof/>
        </w:rPr>
        <w:fldChar w:fldCharType="end"/>
      </w:r>
    </w:p>
    <w:p w14:paraId="3BBC44CA" w14:textId="180E01DF" w:rsidR="007931CC" w:rsidRDefault="007931CC">
      <w:pPr>
        <w:pStyle w:val="TOC5"/>
        <w:rPr>
          <w:rFonts w:asciiTheme="minorHAnsi" w:eastAsiaTheme="minorEastAsia" w:hAnsiTheme="minorHAnsi" w:cstheme="minorBidi"/>
          <w:noProof/>
          <w:kern w:val="0"/>
          <w:sz w:val="22"/>
          <w:szCs w:val="22"/>
        </w:rPr>
      </w:pPr>
      <w:r>
        <w:rPr>
          <w:noProof/>
        </w:rPr>
        <w:t>151  Authorised officer must produce identity card on request</w:t>
      </w:r>
      <w:r>
        <w:rPr>
          <w:noProof/>
        </w:rPr>
        <w:tab/>
      </w:r>
      <w:r>
        <w:rPr>
          <w:noProof/>
        </w:rPr>
        <w:fldChar w:fldCharType="begin"/>
      </w:r>
      <w:r>
        <w:rPr>
          <w:noProof/>
        </w:rPr>
        <w:instrText xml:space="preserve"> PAGEREF _Toc185415970 \h </w:instrText>
      </w:r>
      <w:r>
        <w:rPr>
          <w:noProof/>
        </w:rPr>
      </w:r>
      <w:r>
        <w:rPr>
          <w:noProof/>
        </w:rPr>
        <w:fldChar w:fldCharType="separate"/>
      </w:r>
      <w:r w:rsidR="00302DB2">
        <w:rPr>
          <w:noProof/>
        </w:rPr>
        <w:t>279</w:t>
      </w:r>
      <w:r>
        <w:rPr>
          <w:noProof/>
        </w:rPr>
        <w:fldChar w:fldCharType="end"/>
      </w:r>
    </w:p>
    <w:p w14:paraId="40A7DA44" w14:textId="4C079C78" w:rsidR="007931CC" w:rsidRDefault="007931CC">
      <w:pPr>
        <w:pStyle w:val="TOC5"/>
        <w:rPr>
          <w:rFonts w:asciiTheme="minorHAnsi" w:eastAsiaTheme="minorEastAsia" w:hAnsiTheme="minorHAnsi" w:cstheme="minorBidi"/>
          <w:noProof/>
          <w:kern w:val="0"/>
          <w:sz w:val="22"/>
          <w:szCs w:val="22"/>
        </w:rPr>
      </w:pPr>
      <w:r>
        <w:rPr>
          <w:noProof/>
        </w:rPr>
        <w:t>152  Consent</w:t>
      </w:r>
      <w:r>
        <w:rPr>
          <w:noProof/>
        </w:rPr>
        <w:tab/>
      </w:r>
      <w:r>
        <w:rPr>
          <w:noProof/>
        </w:rPr>
        <w:fldChar w:fldCharType="begin"/>
      </w:r>
      <w:r>
        <w:rPr>
          <w:noProof/>
        </w:rPr>
        <w:instrText xml:space="preserve"> PAGEREF _Toc185415971 \h </w:instrText>
      </w:r>
      <w:r>
        <w:rPr>
          <w:noProof/>
        </w:rPr>
      </w:r>
      <w:r>
        <w:rPr>
          <w:noProof/>
        </w:rPr>
        <w:fldChar w:fldCharType="separate"/>
      </w:r>
      <w:r w:rsidR="00302DB2">
        <w:rPr>
          <w:noProof/>
        </w:rPr>
        <w:t>279</w:t>
      </w:r>
      <w:r>
        <w:rPr>
          <w:noProof/>
        </w:rPr>
        <w:fldChar w:fldCharType="end"/>
      </w:r>
    </w:p>
    <w:p w14:paraId="026D373A" w14:textId="3EE03C4E" w:rsidR="007931CC" w:rsidRDefault="007931CC">
      <w:pPr>
        <w:pStyle w:val="TOC5"/>
        <w:rPr>
          <w:rFonts w:asciiTheme="minorHAnsi" w:eastAsiaTheme="minorEastAsia" w:hAnsiTheme="minorHAnsi" w:cstheme="minorBidi"/>
          <w:noProof/>
          <w:kern w:val="0"/>
          <w:sz w:val="22"/>
          <w:szCs w:val="22"/>
        </w:rPr>
      </w:pPr>
      <w:r>
        <w:rPr>
          <w:noProof/>
        </w:rPr>
        <w:t>153  Announcement before entry</w:t>
      </w:r>
      <w:r>
        <w:rPr>
          <w:noProof/>
        </w:rPr>
        <w:tab/>
      </w:r>
      <w:r>
        <w:rPr>
          <w:noProof/>
        </w:rPr>
        <w:fldChar w:fldCharType="begin"/>
      </w:r>
      <w:r>
        <w:rPr>
          <w:noProof/>
        </w:rPr>
        <w:instrText xml:space="preserve"> PAGEREF _Toc185415972 \h </w:instrText>
      </w:r>
      <w:r>
        <w:rPr>
          <w:noProof/>
        </w:rPr>
      </w:r>
      <w:r>
        <w:rPr>
          <w:noProof/>
        </w:rPr>
        <w:fldChar w:fldCharType="separate"/>
      </w:r>
      <w:r w:rsidR="00302DB2">
        <w:rPr>
          <w:noProof/>
        </w:rPr>
        <w:t>279</w:t>
      </w:r>
      <w:r>
        <w:rPr>
          <w:noProof/>
        </w:rPr>
        <w:fldChar w:fldCharType="end"/>
      </w:r>
    </w:p>
    <w:p w14:paraId="32EC5B5A" w14:textId="44AF9B36" w:rsidR="007931CC" w:rsidRDefault="007931CC">
      <w:pPr>
        <w:pStyle w:val="TOC5"/>
        <w:rPr>
          <w:rFonts w:asciiTheme="minorHAnsi" w:eastAsiaTheme="minorEastAsia" w:hAnsiTheme="minorHAnsi" w:cstheme="minorBidi"/>
          <w:noProof/>
          <w:kern w:val="0"/>
          <w:sz w:val="22"/>
          <w:szCs w:val="22"/>
        </w:rPr>
      </w:pPr>
      <w:r>
        <w:rPr>
          <w:noProof/>
        </w:rPr>
        <w:t>154  Details of monitoring warrant to be given to occupier etc. before entry</w:t>
      </w:r>
      <w:r>
        <w:rPr>
          <w:noProof/>
        </w:rPr>
        <w:tab/>
      </w:r>
      <w:r>
        <w:rPr>
          <w:noProof/>
        </w:rPr>
        <w:fldChar w:fldCharType="begin"/>
      </w:r>
      <w:r>
        <w:rPr>
          <w:noProof/>
        </w:rPr>
        <w:instrText xml:space="preserve"> PAGEREF _Toc185415973 \h </w:instrText>
      </w:r>
      <w:r>
        <w:rPr>
          <w:noProof/>
        </w:rPr>
      </w:r>
      <w:r>
        <w:rPr>
          <w:noProof/>
        </w:rPr>
        <w:fldChar w:fldCharType="separate"/>
      </w:r>
      <w:r w:rsidR="00302DB2">
        <w:rPr>
          <w:noProof/>
        </w:rPr>
        <w:t>280</w:t>
      </w:r>
      <w:r>
        <w:rPr>
          <w:noProof/>
        </w:rPr>
        <w:fldChar w:fldCharType="end"/>
      </w:r>
    </w:p>
    <w:p w14:paraId="307956C7" w14:textId="457F1DCC" w:rsidR="007931CC" w:rsidRDefault="007931CC">
      <w:pPr>
        <w:pStyle w:val="TOC5"/>
        <w:rPr>
          <w:rFonts w:asciiTheme="minorHAnsi" w:eastAsiaTheme="minorEastAsia" w:hAnsiTheme="minorHAnsi" w:cstheme="minorBidi"/>
          <w:noProof/>
          <w:kern w:val="0"/>
          <w:sz w:val="22"/>
          <w:szCs w:val="22"/>
        </w:rPr>
      </w:pPr>
      <w:r>
        <w:rPr>
          <w:noProof/>
        </w:rPr>
        <w:t>155  Use of electronic equipment in exercising monitoring powers</w:t>
      </w:r>
      <w:r>
        <w:rPr>
          <w:noProof/>
        </w:rPr>
        <w:tab/>
      </w:r>
      <w:r>
        <w:rPr>
          <w:noProof/>
        </w:rPr>
        <w:fldChar w:fldCharType="begin"/>
      </w:r>
      <w:r>
        <w:rPr>
          <w:noProof/>
        </w:rPr>
        <w:instrText xml:space="preserve"> PAGEREF _Toc185415974 \h </w:instrText>
      </w:r>
      <w:r>
        <w:rPr>
          <w:noProof/>
        </w:rPr>
      </w:r>
      <w:r>
        <w:rPr>
          <w:noProof/>
        </w:rPr>
        <w:fldChar w:fldCharType="separate"/>
      </w:r>
      <w:r w:rsidR="00302DB2">
        <w:rPr>
          <w:noProof/>
        </w:rPr>
        <w:t>280</w:t>
      </w:r>
      <w:r>
        <w:rPr>
          <w:noProof/>
        </w:rPr>
        <w:fldChar w:fldCharType="end"/>
      </w:r>
    </w:p>
    <w:p w14:paraId="3A02DAEC" w14:textId="780A2034" w:rsidR="007931CC" w:rsidRDefault="007931CC">
      <w:pPr>
        <w:pStyle w:val="TOC5"/>
        <w:rPr>
          <w:rFonts w:asciiTheme="minorHAnsi" w:eastAsiaTheme="minorEastAsia" w:hAnsiTheme="minorHAnsi" w:cstheme="minorBidi"/>
          <w:noProof/>
          <w:kern w:val="0"/>
          <w:sz w:val="22"/>
          <w:szCs w:val="22"/>
        </w:rPr>
      </w:pPr>
      <w:r>
        <w:rPr>
          <w:noProof/>
        </w:rPr>
        <w:t>156  Compensation for damage to electronic equipment</w:t>
      </w:r>
      <w:r>
        <w:rPr>
          <w:noProof/>
        </w:rPr>
        <w:tab/>
      </w:r>
      <w:r>
        <w:rPr>
          <w:noProof/>
        </w:rPr>
        <w:fldChar w:fldCharType="begin"/>
      </w:r>
      <w:r>
        <w:rPr>
          <w:noProof/>
        </w:rPr>
        <w:instrText xml:space="preserve"> PAGEREF _Toc185415975 \h </w:instrText>
      </w:r>
      <w:r>
        <w:rPr>
          <w:noProof/>
        </w:rPr>
      </w:r>
      <w:r>
        <w:rPr>
          <w:noProof/>
        </w:rPr>
        <w:fldChar w:fldCharType="separate"/>
      </w:r>
      <w:r w:rsidR="00302DB2">
        <w:rPr>
          <w:noProof/>
        </w:rPr>
        <w:t>282</w:t>
      </w:r>
      <w:r>
        <w:rPr>
          <w:noProof/>
        </w:rPr>
        <w:fldChar w:fldCharType="end"/>
      </w:r>
    </w:p>
    <w:p w14:paraId="1A956647" w14:textId="227E3C05" w:rsidR="007931CC" w:rsidRDefault="007931CC">
      <w:pPr>
        <w:pStyle w:val="TOC3"/>
        <w:rPr>
          <w:rFonts w:asciiTheme="minorHAnsi" w:eastAsiaTheme="minorEastAsia" w:hAnsiTheme="minorHAnsi" w:cstheme="minorBidi"/>
          <w:b w:val="0"/>
          <w:noProof/>
          <w:kern w:val="0"/>
          <w:szCs w:val="22"/>
        </w:rPr>
      </w:pPr>
      <w:r>
        <w:rPr>
          <w:noProof/>
        </w:rPr>
        <w:t>Division 5—Occupier’s rights and responsibilities</w:t>
      </w:r>
      <w:r>
        <w:rPr>
          <w:noProof/>
        </w:rPr>
        <w:tab/>
      </w:r>
      <w:r>
        <w:rPr>
          <w:noProof/>
        </w:rPr>
        <w:fldChar w:fldCharType="begin"/>
      </w:r>
      <w:r>
        <w:rPr>
          <w:noProof/>
        </w:rPr>
        <w:instrText xml:space="preserve"> PAGEREF _Toc185415976 \h </w:instrText>
      </w:r>
      <w:r>
        <w:rPr>
          <w:noProof/>
        </w:rPr>
      </w:r>
      <w:r>
        <w:rPr>
          <w:noProof/>
        </w:rPr>
        <w:fldChar w:fldCharType="separate"/>
      </w:r>
      <w:r w:rsidR="00302DB2">
        <w:rPr>
          <w:noProof/>
        </w:rPr>
        <w:t>284</w:t>
      </w:r>
      <w:r>
        <w:rPr>
          <w:noProof/>
        </w:rPr>
        <w:fldChar w:fldCharType="end"/>
      </w:r>
    </w:p>
    <w:p w14:paraId="708183C3" w14:textId="7973120B" w:rsidR="007931CC" w:rsidRDefault="007931CC">
      <w:pPr>
        <w:pStyle w:val="TOC5"/>
        <w:rPr>
          <w:rFonts w:asciiTheme="minorHAnsi" w:eastAsiaTheme="minorEastAsia" w:hAnsiTheme="minorHAnsi" w:cstheme="minorBidi"/>
          <w:noProof/>
          <w:kern w:val="0"/>
          <w:sz w:val="22"/>
          <w:szCs w:val="22"/>
        </w:rPr>
      </w:pPr>
      <w:r>
        <w:rPr>
          <w:noProof/>
        </w:rPr>
        <w:t>157  Occupier entitled to be present during execution of monitoring warrant</w:t>
      </w:r>
      <w:r>
        <w:rPr>
          <w:noProof/>
        </w:rPr>
        <w:tab/>
      </w:r>
      <w:r>
        <w:rPr>
          <w:noProof/>
        </w:rPr>
        <w:fldChar w:fldCharType="begin"/>
      </w:r>
      <w:r>
        <w:rPr>
          <w:noProof/>
        </w:rPr>
        <w:instrText xml:space="preserve"> PAGEREF _Toc185415977 \h </w:instrText>
      </w:r>
      <w:r>
        <w:rPr>
          <w:noProof/>
        </w:rPr>
      </w:r>
      <w:r>
        <w:rPr>
          <w:noProof/>
        </w:rPr>
        <w:fldChar w:fldCharType="separate"/>
      </w:r>
      <w:r w:rsidR="00302DB2">
        <w:rPr>
          <w:noProof/>
        </w:rPr>
        <w:t>284</w:t>
      </w:r>
      <w:r>
        <w:rPr>
          <w:noProof/>
        </w:rPr>
        <w:fldChar w:fldCharType="end"/>
      </w:r>
    </w:p>
    <w:p w14:paraId="33A8C51B" w14:textId="5A3ABFDC" w:rsidR="007931CC" w:rsidRDefault="007931CC">
      <w:pPr>
        <w:pStyle w:val="TOC5"/>
        <w:rPr>
          <w:rFonts w:asciiTheme="minorHAnsi" w:eastAsiaTheme="minorEastAsia" w:hAnsiTheme="minorHAnsi" w:cstheme="minorBidi"/>
          <w:noProof/>
          <w:kern w:val="0"/>
          <w:sz w:val="22"/>
          <w:szCs w:val="22"/>
        </w:rPr>
      </w:pPr>
      <w:r>
        <w:rPr>
          <w:noProof/>
        </w:rPr>
        <w:t>158  Occupier to provide authorised officer with facilities and assistance</w:t>
      </w:r>
      <w:r>
        <w:rPr>
          <w:noProof/>
        </w:rPr>
        <w:tab/>
      </w:r>
      <w:r>
        <w:rPr>
          <w:noProof/>
        </w:rPr>
        <w:fldChar w:fldCharType="begin"/>
      </w:r>
      <w:r>
        <w:rPr>
          <w:noProof/>
        </w:rPr>
        <w:instrText xml:space="preserve"> PAGEREF _Toc185415978 \h </w:instrText>
      </w:r>
      <w:r>
        <w:rPr>
          <w:noProof/>
        </w:rPr>
      </w:r>
      <w:r>
        <w:rPr>
          <w:noProof/>
        </w:rPr>
        <w:fldChar w:fldCharType="separate"/>
      </w:r>
      <w:r w:rsidR="00302DB2">
        <w:rPr>
          <w:noProof/>
        </w:rPr>
        <w:t>284</w:t>
      </w:r>
      <w:r>
        <w:rPr>
          <w:noProof/>
        </w:rPr>
        <w:fldChar w:fldCharType="end"/>
      </w:r>
    </w:p>
    <w:p w14:paraId="6C9E5A9F" w14:textId="04225E89" w:rsidR="007931CC" w:rsidRDefault="007931CC">
      <w:pPr>
        <w:pStyle w:val="TOC3"/>
        <w:rPr>
          <w:rFonts w:asciiTheme="minorHAnsi" w:eastAsiaTheme="minorEastAsia" w:hAnsiTheme="minorHAnsi" w:cstheme="minorBidi"/>
          <w:b w:val="0"/>
          <w:noProof/>
          <w:kern w:val="0"/>
          <w:szCs w:val="22"/>
        </w:rPr>
      </w:pPr>
      <w:r>
        <w:rPr>
          <w:noProof/>
        </w:rPr>
        <w:t>Division 6—Monitoring warrants</w:t>
      </w:r>
      <w:r>
        <w:rPr>
          <w:noProof/>
        </w:rPr>
        <w:tab/>
      </w:r>
      <w:r>
        <w:rPr>
          <w:noProof/>
        </w:rPr>
        <w:fldChar w:fldCharType="begin"/>
      </w:r>
      <w:r>
        <w:rPr>
          <w:noProof/>
        </w:rPr>
        <w:instrText xml:space="preserve"> PAGEREF _Toc185415979 \h </w:instrText>
      </w:r>
      <w:r>
        <w:rPr>
          <w:noProof/>
        </w:rPr>
      </w:r>
      <w:r>
        <w:rPr>
          <w:noProof/>
        </w:rPr>
        <w:fldChar w:fldCharType="separate"/>
      </w:r>
      <w:r w:rsidR="00302DB2">
        <w:rPr>
          <w:noProof/>
        </w:rPr>
        <w:t>285</w:t>
      </w:r>
      <w:r>
        <w:rPr>
          <w:noProof/>
        </w:rPr>
        <w:fldChar w:fldCharType="end"/>
      </w:r>
    </w:p>
    <w:p w14:paraId="12078059" w14:textId="2612D6A3" w:rsidR="007931CC" w:rsidRDefault="007931CC">
      <w:pPr>
        <w:pStyle w:val="TOC5"/>
        <w:rPr>
          <w:rFonts w:asciiTheme="minorHAnsi" w:eastAsiaTheme="minorEastAsia" w:hAnsiTheme="minorHAnsi" w:cstheme="minorBidi"/>
          <w:noProof/>
          <w:kern w:val="0"/>
          <w:sz w:val="22"/>
          <w:szCs w:val="22"/>
        </w:rPr>
      </w:pPr>
      <w:r>
        <w:rPr>
          <w:noProof/>
        </w:rPr>
        <w:t>159  Monitoring warrants</w:t>
      </w:r>
      <w:r>
        <w:rPr>
          <w:noProof/>
        </w:rPr>
        <w:tab/>
      </w:r>
      <w:r>
        <w:rPr>
          <w:noProof/>
        </w:rPr>
        <w:fldChar w:fldCharType="begin"/>
      </w:r>
      <w:r>
        <w:rPr>
          <w:noProof/>
        </w:rPr>
        <w:instrText xml:space="preserve"> PAGEREF _Toc185415980 \h </w:instrText>
      </w:r>
      <w:r>
        <w:rPr>
          <w:noProof/>
        </w:rPr>
      </w:r>
      <w:r>
        <w:rPr>
          <w:noProof/>
        </w:rPr>
        <w:fldChar w:fldCharType="separate"/>
      </w:r>
      <w:r w:rsidR="00302DB2">
        <w:rPr>
          <w:noProof/>
        </w:rPr>
        <w:t>285</w:t>
      </w:r>
      <w:r>
        <w:rPr>
          <w:noProof/>
        </w:rPr>
        <w:fldChar w:fldCharType="end"/>
      </w:r>
    </w:p>
    <w:p w14:paraId="44D3901A" w14:textId="747BF7D2" w:rsidR="007931CC" w:rsidRDefault="007931CC">
      <w:pPr>
        <w:pStyle w:val="TOC5"/>
        <w:rPr>
          <w:rFonts w:asciiTheme="minorHAnsi" w:eastAsiaTheme="minorEastAsia" w:hAnsiTheme="minorHAnsi" w:cstheme="minorBidi"/>
          <w:noProof/>
          <w:kern w:val="0"/>
          <w:sz w:val="22"/>
          <w:szCs w:val="22"/>
        </w:rPr>
      </w:pPr>
      <w:r>
        <w:rPr>
          <w:noProof/>
        </w:rPr>
        <w:t>160  Magistrates—personal capacity</w:t>
      </w:r>
      <w:r>
        <w:rPr>
          <w:noProof/>
        </w:rPr>
        <w:tab/>
      </w:r>
      <w:r>
        <w:rPr>
          <w:noProof/>
        </w:rPr>
        <w:fldChar w:fldCharType="begin"/>
      </w:r>
      <w:r>
        <w:rPr>
          <w:noProof/>
        </w:rPr>
        <w:instrText xml:space="preserve"> PAGEREF _Toc185415981 \h </w:instrText>
      </w:r>
      <w:r>
        <w:rPr>
          <w:noProof/>
        </w:rPr>
      </w:r>
      <w:r>
        <w:rPr>
          <w:noProof/>
        </w:rPr>
        <w:fldChar w:fldCharType="separate"/>
      </w:r>
      <w:r w:rsidR="00302DB2">
        <w:rPr>
          <w:noProof/>
        </w:rPr>
        <w:t>286</w:t>
      </w:r>
      <w:r>
        <w:rPr>
          <w:noProof/>
        </w:rPr>
        <w:fldChar w:fldCharType="end"/>
      </w:r>
    </w:p>
    <w:p w14:paraId="034C1103" w14:textId="53BF48DF" w:rsidR="007931CC" w:rsidRDefault="007931CC">
      <w:pPr>
        <w:pStyle w:val="TOC3"/>
        <w:rPr>
          <w:rFonts w:asciiTheme="minorHAnsi" w:eastAsiaTheme="minorEastAsia" w:hAnsiTheme="minorHAnsi" w:cstheme="minorBidi"/>
          <w:b w:val="0"/>
          <w:noProof/>
          <w:kern w:val="0"/>
          <w:szCs w:val="22"/>
        </w:rPr>
      </w:pPr>
      <w:r>
        <w:rPr>
          <w:noProof/>
        </w:rPr>
        <w:t>Division 7—External audits</w:t>
      </w:r>
      <w:r>
        <w:rPr>
          <w:noProof/>
        </w:rPr>
        <w:tab/>
      </w:r>
      <w:r>
        <w:rPr>
          <w:noProof/>
        </w:rPr>
        <w:fldChar w:fldCharType="begin"/>
      </w:r>
      <w:r>
        <w:rPr>
          <w:noProof/>
        </w:rPr>
        <w:instrText xml:space="preserve"> PAGEREF _Toc185415982 \h </w:instrText>
      </w:r>
      <w:r>
        <w:rPr>
          <w:noProof/>
        </w:rPr>
      </w:r>
      <w:r>
        <w:rPr>
          <w:noProof/>
        </w:rPr>
        <w:fldChar w:fldCharType="separate"/>
      </w:r>
      <w:r w:rsidR="00302DB2">
        <w:rPr>
          <w:noProof/>
        </w:rPr>
        <w:t>287</w:t>
      </w:r>
      <w:r>
        <w:rPr>
          <w:noProof/>
        </w:rPr>
        <w:fldChar w:fldCharType="end"/>
      </w:r>
    </w:p>
    <w:p w14:paraId="18355238" w14:textId="0D993445" w:rsidR="007931CC" w:rsidRDefault="007931CC">
      <w:pPr>
        <w:pStyle w:val="TOC5"/>
        <w:rPr>
          <w:rFonts w:asciiTheme="minorHAnsi" w:eastAsiaTheme="minorEastAsia" w:hAnsiTheme="minorHAnsi" w:cstheme="minorBidi"/>
          <w:noProof/>
          <w:kern w:val="0"/>
          <w:sz w:val="22"/>
          <w:szCs w:val="22"/>
        </w:rPr>
      </w:pPr>
      <w:r>
        <w:rPr>
          <w:noProof/>
        </w:rPr>
        <w:t>161  External audits—risk management etc.</w:t>
      </w:r>
      <w:r>
        <w:rPr>
          <w:noProof/>
        </w:rPr>
        <w:tab/>
      </w:r>
      <w:r>
        <w:rPr>
          <w:noProof/>
        </w:rPr>
        <w:fldChar w:fldCharType="begin"/>
      </w:r>
      <w:r>
        <w:rPr>
          <w:noProof/>
        </w:rPr>
        <w:instrText xml:space="preserve"> PAGEREF _Toc185415983 \h </w:instrText>
      </w:r>
      <w:r>
        <w:rPr>
          <w:noProof/>
        </w:rPr>
      </w:r>
      <w:r>
        <w:rPr>
          <w:noProof/>
        </w:rPr>
        <w:fldChar w:fldCharType="separate"/>
      </w:r>
      <w:r w:rsidR="00302DB2">
        <w:rPr>
          <w:noProof/>
        </w:rPr>
        <w:t>287</w:t>
      </w:r>
      <w:r>
        <w:rPr>
          <w:noProof/>
        </w:rPr>
        <w:fldChar w:fldCharType="end"/>
      </w:r>
    </w:p>
    <w:p w14:paraId="509FF5AD" w14:textId="760E351C" w:rsidR="007931CC" w:rsidRDefault="007931CC">
      <w:pPr>
        <w:pStyle w:val="TOC5"/>
        <w:rPr>
          <w:rFonts w:asciiTheme="minorHAnsi" w:eastAsiaTheme="minorEastAsia" w:hAnsiTheme="minorHAnsi" w:cstheme="minorBidi"/>
          <w:noProof/>
          <w:kern w:val="0"/>
          <w:sz w:val="22"/>
          <w:szCs w:val="22"/>
        </w:rPr>
      </w:pPr>
      <w:r>
        <w:rPr>
          <w:noProof/>
        </w:rPr>
        <w:t>162  External audits—compliance</w:t>
      </w:r>
      <w:r>
        <w:rPr>
          <w:noProof/>
        </w:rPr>
        <w:tab/>
      </w:r>
      <w:r>
        <w:rPr>
          <w:noProof/>
        </w:rPr>
        <w:fldChar w:fldCharType="begin"/>
      </w:r>
      <w:r>
        <w:rPr>
          <w:noProof/>
        </w:rPr>
        <w:instrText xml:space="preserve"> PAGEREF _Toc185415984 \h </w:instrText>
      </w:r>
      <w:r>
        <w:rPr>
          <w:noProof/>
        </w:rPr>
      </w:r>
      <w:r>
        <w:rPr>
          <w:noProof/>
        </w:rPr>
        <w:fldChar w:fldCharType="separate"/>
      </w:r>
      <w:r w:rsidR="00302DB2">
        <w:rPr>
          <w:noProof/>
        </w:rPr>
        <w:t>289</w:t>
      </w:r>
      <w:r>
        <w:rPr>
          <w:noProof/>
        </w:rPr>
        <w:fldChar w:fldCharType="end"/>
      </w:r>
    </w:p>
    <w:p w14:paraId="23A0DBB2" w14:textId="347419A0" w:rsidR="007931CC" w:rsidRDefault="007931CC">
      <w:pPr>
        <w:pStyle w:val="TOC5"/>
        <w:rPr>
          <w:rFonts w:asciiTheme="minorHAnsi" w:eastAsiaTheme="minorEastAsia" w:hAnsiTheme="minorHAnsi" w:cstheme="minorBidi"/>
          <w:noProof/>
          <w:kern w:val="0"/>
          <w:sz w:val="22"/>
          <w:szCs w:val="22"/>
        </w:rPr>
      </w:pPr>
      <w:r>
        <w:rPr>
          <w:noProof/>
        </w:rPr>
        <w:t>163  External auditor may have regard to the results of previous audit</w:t>
      </w:r>
      <w:r>
        <w:rPr>
          <w:noProof/>
        </w:rPr>
        <w:tab/>
      </w:r>
      <w:r>
        <w:rPr>
          <w:noProof/>
        </w:rPr>
        <w:fldChar w:fldCharType="begin"/>
      </w:r>
      <w:r>
        <w:rPr>
          <w:noProof/>
        </w:rPr>
        <w:instrText xml:space="preserve"> PAGEREF _Toc185415985 \h </w:instrText>
      </w:r>
      <w:r>
        <w:rPr>
          <w:noProof/>
        </w:rPr>
      </w:r>
      <w:r>
        <w:rPr>
          <w:noProof/>
        </w:rPr>
        <w:fldChar w:fldCharType="separate"/>
      </w:r>
      <w:r w:rsidR="00302DB2">
        <w:rPr>
          <w:noProof/>
        </w:rPr>
        <w:t>291</w:t>
      </w:r>
      <w:r>
        <w:rPr>
          <w:noProof/>
        </w:rPr>
        <w:fldChar w:fldCharType="end"/>
      </w:r>
    </w:p>
    <w:p w14:paraId="6D18FA14" w14:textId="7C083752" w:rsidR="007931CC" w:rsidRDefault="007931CC">
      <w:pPr>
        <w:pStyle w:val="TOC5"/>
        <w:rPr>
          <w:rFonts w:asciiTheme="minorHAnsi" w:eastAsiaTheme="minorEastAsia" w:hAnsiTheme="minorHAnsi" w:cstheme="minorBidi"/>
          <w:noProof/>
          <w:kern w:val="0"/>
          <w:sz w:val="22"/>
          <w:szCs w:val="22"/>
        </w:rPr>
      </w:pPr>
      <w:r>
        <w:rPr>
          <w:noProof/>
        </w:rPr>
        <w:t>164  External auditors</w:t>
      </w:r>
      <w:r>
        <w:rPr>
          <w:noProof/>
        </w:rPr>
        <w:tab/>
      </w:r>
      <w:r>
        <w:rPr>
          <w:noProof/>
        </w:rPr>
        <w:fldChar w:fldCharType="begin"/>
      </w:r>
      <w:r>
        <w:rPr>
          <w:noProof/>
        </w:rPr>
        <w:instrText xml:space="preserve"> PAGEREF _Toc185415986 \h </w:instrText>
      </w:r>
      <w:r>
        <w:rPr>
          <w:noProof/>
        </w:rPr>
      </w:r>
      <w:r>
        <w:rPr>
          <w:noProof/>
        </w:rPr>
        <w:fldChar w:fldCharType="separate"/>
      </w:r>
      <w:r w:rsidR="00302DB2">
        <w:rPr>
          <w:noProof/>
        </w:rPr>
        <w:t>291</w:t>
      </w:r>
      <w:r>
        <w:rPr>
          <w:noProof/>
        </w:rPr>
        <w:fldChar w:fldCharType="end"/>
      </w:r>
    </w:p>
    <w:p w14:paraId="723EB6DE" w14:textId="2FED79F5" w:rsidR="007931CC" w:rsidRDefault="007931CC">
      <w:pPr>
        <w:pStyle w:val="TOC2"/>
        <w:rPr>
          <w:rFonts w:asciiTheme="minorHAnsi" w:eastAsiaTheme="minorEastAsia" w:hAnsiTheme="minorHAnsi" w:cstheme="minorBidi"/>
          <w:b w:val="0"/>
          <w:noProof/>
          <w:kern w:val="0"/>
          <w:sz w:val="22"/>
          <w:szCs w:val="22"/>
        </w:rPr>
      </w:pPr>
      <w:r>
        <w:rPr>
          <w:noProof/>
        </w:rPr>
        <w:t>Part 14—Information</w:t>
      </w:r>
      <w:r>
        <w:rPr>
          <w:noProof/>
        </w:rPr>
        <w:noBreakHyphen/>
        <w:t>gathering powers</w:t>
      </w:r>
      <w:r>
        <w:rPr>
          <w:noProof/>
        </w:rPr>
        <w:tab/>
      </w:r>
      <w:r>
        <w:rPr>
          <w:noProof/>
        </w:rPr>
        <w:fldChar w:fldCharType="begin"/>
      </w:r>
      <w:r>
        <w:rPr>
          <w:noProof/>
        </w:rPr>
        <w:instrText xml:space="preserve"> PAGEREF _Toc185415987 \h </w:instrText>
      </w:r>
      <w:r>
        <w:rPr>
          <w:noProof/>
        </w:rPr>
      </w:r>
      <w:r>
        <w:rPr>
          <w:noProof/>
        </w:rPr>
        <w:fldChar w:fldCharType="separate"/>
      </w:r>
      <w:r w:rsidR="00302DB2">
        <w:rPr>
          <w:noProof/>
        </w:rPr>
        <w:t>292</w:t>
      </w:r>
      <w:r>
        <w:rPr>
          <w:noProof/>
        </w:rPr>
        <w:fldChar w:fldCharType="end"/>
      </w:r>
    </w:p>
    <w:p w14:paraId="6AFA482D" w14:textId="0E6C4E47"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_Toc185415988 \h </w:instrText>
      </w:r>
      <w:r>
        <w:rPr>
          <w:noProof/>
        </w:rPr>
      </w:r>
      <w:r>
        <w:rPr>
          <w:noProof/>
        </w:rPr>
        <w:fldChar w:fldCharType="separate"/>
      </w:r>
      <w:r w:rsidR="00302DB2">
        <w:rPr>
          <w:noProof/>
        </w:rPr>
        <w:t>292</w:t>
      </w:r>
      <w:r>
        <w:rPr>
          <w:noProof/>
        </w:rPr>
        <w:fldChar w:fldCharType="end"/>
      </w:r>
    </w:p>
    <w:p w14:paraId="1EAFC4FC" w14:textId="66DB420D" w:rsidR="007931CC" w:rsidRDefault="007931CC">
      <w:pPr>
        <w:pStyle w:val="TOC5"/>
        <w:rPr>
          <w:rFonts w:asciiTheme="minorHAnsi" w:eastAsiaTheme="minorEastAsia" w:hAnsiTheme="minorHAnsi" w:cstheme="minorBidi"/>
          <w:noProof/>
          <w:kern w:val="0"/>
          <w:sz w:val="22"/>
          <w:szCs w:val="22"/>
        </w:rPr>
      </w:pPr>
      <w:r>
        <w:rPr>
          <w:noProof/>
        </w:rPr>
        <w:t>166  Simplified outline</w:t>
      </w:r>
      <w:r>
        <w:rPr>
          <w:noProof/>
        </w:rPr>
        <w:tab/>
      </w:r>
      <w:r>
        <w:rPr>
          <w:noProof/>
        </w:rPr>
        <w:fldChar w:fldCharType="begin"/>
      </w:r>
      <w:r>
        <w:rPr>
          <w:noProof/>
        </w:rPr>
        <w:instrText xml:space="preserve"> PAGEREF _Toc185415989 \h </w:instrText>
      </w:r>
      <w:r>
        <w:rPr>
          <w:noProof/>
        </w:rPr>
      </w:r>
      <w:r>
        <w:rPr>
          <w:noProof/>
        </w:rPr>
        <w:fldChar w:fldCharType="separate"/>
      </w:r>
      <w:r w:rsidR="00302DB2">
        <w:rPr>
          <w:noProof/>
        </w:rPr>
        <w:t>292</w:t>
      </w:r>
      <w:r>
        <w:rPr>
          <w:noProof/>
        </w:rPr>
        <w:fldChar w:fldCharType="end"/>
      </w:r>
    </w:p>
    <w:p w14:paraId="5824BAE8" w14:textId="05882780" w:rsidR="007931CC" w:rsidRDefault="007931CC">
      <w:pPr>
        <w:pStyle w:val="TOC3"/>
        <w:rPr>
          <w:rFonts w:asciiTheme="minorHAnsi" w:eastAsiaTheme="minorEastAsia" w:hAnsiTheme="minorHAnsi" w:cstheme="minorBidi"/>
          <w:b w:val="0"/>
          <w:noProof/>
          <w:kern w:val="0"/>
          <w:szCs w:val="22"/>
        </w:rPr>
      </w:pPr>
      <w:r>
        <w:rPr>
          <w:noProof/>
        </w:rPr>
        <w:t>Division 2—Powers of authorised officers</w:t>
      </w:r>
      <w:r>
        <w:rPr>
          <w:noProof/>
        </w:rPr>
        <w:tab/>
      </w:r>
      <w:r>
        <w:rPr>
          <w:noProof/>
        </w:rPr>
        <w:fldChar w:fldCharType="begin"/>
      </w:r>
      <w:r>
        <w:rPr>
          <w:noProof/>
        </w:rPr>
        <w:instrText xml:space="preserve"> PAGEREF _Toc185415990 \h </w:instrText>
      </w:r>
      <w:r>
        <w:rPr>
          <w:noProof/>
        </w:rPr>
      </w:r>
      <w:r>
        <w:rPr>
          <w:noProof/>
        </w:rPr>
        <w:fldChar w:fldCharType="separate"/>
      </w:r>
      <w:r w:rsidR="00302DB2">
        <w:rPr>
          <w:noProof/>
        </w:rPr>
        <w:t>293</w:t>
      </w:r>
      <w:r>
        <w:rPr>
          <w:noProof/>
        </w:rPr>
        <w:fldChar w:fldCharType="end"/>
      </w:r>
    </w:p>
    <w:p w14:paraId="14233B70" w14:textId="2712622B" w:rsidR="007931CC" w:rsidRDefault="007931CC">
      <w:pPr>
        <w:pStyle w:val="TOC5"/>
        <w:rPr>
          <w:rFonts w:asciiTheme="minorHAnsi" w:eastAsiaTheme="minorEastAsia" w:hAnsiTheme="minorHAnsi" w:cstheme="minorBidi"/>
          <w:noProof/>
          <w:kern w:val="0"/>
          <w:sz w:val="22"/>
          <w:szCs w:val="22"/>
        </w:rPr>
      </w:pPr>
      <w:r>
        <w:rPr>
          <w:noProof/>
        </w:rPr>
        <w:t>167  Authorised officer may obtain information and documents</w:t>
      </w:r>
      <w:r>
        <w:rPr>
          <w:noProof/>
        </w:rPr>
        <w:tab/>
      </w:r>
      <w:r>
        <w:rPr>
          <w:noProof/>
        </w:rPr>
        <w:fldChar w:fldCharType="begin"/>
      </w:r>
      <w:r>
        <w:rPr>
          <w:noProof/>
        </w:rPr>
        <w:instrText xml:space="preserve"> PAGEREF _Toc185415991 \h </w:instrText>
      </w:r>
      <w:r>
        <w:rPr>
          <w:noProof/>
        </w:rPr>
      </w:r>
      <w:r>
        <w:rPr>
          <w:noProof/>
        </w:rPr>
        <w:fldChar w:fldCharType="separate"/>
      </w:r>
      <w:r w:rsidR="00302DB2">
        <w:rPr>
          <w:noProof/>
        </w:rPr>
        <w:t>293</w:t>
      </w:r>
      <w:r>
        <w:rPr>
          <w:noProof/>
        </w:rPr>
        <w:fldChar w:fldCharType="end"/>
      </w:r>
    </w:p>
    <w:p w14:paraId="26ABF368" w14:textId="269C7022" w:rsidR="007931CC" w:rsidRDefault="007931CC">
      <w:pPr>
        <w:pStyle w:val="TOC5"/>
        <w:rPr>
          <w:rFonts w:asciiTheme="minorHAnsi" w:eastAsiaTheme="minorEastAsia" w:hAnsiTheme="minorHAnsi" w:cstheme="minorBidi"/>
          <w:noProof/>
          <w:kern w:val="0"/>
          <w:sz w:val="22"/>
          <w:szCs w:val="22"/>
        </w:rPr>
      </w:pPr>
      <w:r>
        <w:rPr>
          <w:noProof/>
        </w:rPr>
        <w:t>168  Copying documents—reasonable compensation</w:t>
      </w:r>
      <w:r>
        <w:rPr>
          <w:noProof/>
        </w:rPr>
        <w:tab/>
      </w:r>
      <w:r>
        <w:rPr>
          <w:noProof/>
        </w:rPr>
        <w:fldChar w:fldCharType="begin"/>
      </w:r>
      <w:r>
        <w:rPr>
          <w:noProof/>
        </w:rPr>
        <w:instrText xml:space="preserve"> PAGEREF _Toc185415992 \h </w:instrText>
      </w:r>
      <w:r>
        <w:rPr>
          <w:noProof/>
        </w:rPr>
      </w:r>
      <w:r>
        <w:rPr>
          <w:noProof/>
        </w:rPr>
        <w:fldChar w:fldCharType="separate"/>
      </w:r>
      <w:r w:rsidR="00302DB2">
        <w:rPr>
          <w:noProof/>
        </w:rPr>
        <w:t>294</w:t>
      </w:r>
      <w:r>
        <w:rPr>
          <w:noProof/>
        </w:rPr>
        <w:fldChar w:fldCharType="end"/>
      </w:r>
    </w:p>
    <w:p w14:paraId="2DA5ADB5" w14:textId="79EC44C3" w:rsidR="007931CC" w:rsidRDefault="007931CC">
      <w:pPr>
        <w:pStyle w:val="TOC5"/>
        <w:rPr>
          <w:rFonts w:asciiTheme="minorHAnsi" w:eastAsiaTheme="minorEastAsia" w:hAnsiTheme="minorHAnsi" w:cstheme="minorBidi"/>
          <w:noProof/>
          <w:kern w:val="0"/>
          <w:sz w:val="22"/>
          <w:szCs w:val="22"/>
        </w:rPr>
      </w:pPr>
      <w:r>
        <w:rPr>
          <w:noProof/>
        </w:rPr>
        <w:t>169  Self</w:t>
      </w:r>
      <w:r>
        <w:rPr>
          <w:noProof/>
        </w:rPr>
        <w:noBreakHyphen/>
        <w:t>incrimination</w:t>
      </w:r>
      <w:r>
        <w:rPr>
          <w:noProof/>
        </w:rPr>
        <w:tab/>
      </w:r>
      <w:r>
        <w:rPr>
          <w:noProof/>
        </w:rPr>
        <w:fldChar w:fldCharType="begin"/>
      </w:r>
      <w:r>
        <w:rPr>
          <w:noProof/>
        </w:rPr>
        <w:instrText xml:space="preserve"> PAGEREF _Toc185415993 \h </w:instrText>
      </w:r>
      <w:r>
        <w:rPr>
          <w:noProof/>
        </w:rPr>
      </w:r>
      <w:r>
        <w:rPr>
          <w:noProof/>
        </w:rPr>
        <w:fldChar w:fldCharType="separate"/>
      </w:r>
      <w:r w:rsidR="00302DB2">
        <w:rPr>
          <w:noProof/>
        </w:rPr>
        <w:t>295</w:t>
      </w:r>
      <w:r>
        <w:rPr>
          <w:noProof/>
        </w:rPr>
        <w:fldChar w:fldCharType="end"/>
      </w:r>
    </w:p>
    <w:p w14:paraId="4805B2D3" w14:textId="22EC8C9B" w:rsidR="007931CC" w:rsidRDefault="007931CC">
      <w:pPr>
        <w:pStyle w:val="TOC5"/>
        <w:rPr>
          <w:rFonts w:asciiTheme="minorHAnsi" w:eastAsiaTheme="minorEastAsia" w:hAnsiTheme="minorHAnsi" w:cstheme="minorBidi"/>
          <w:noProof/>
          <w:kern w:val="0"/>
          <w:sz w:val="22"/>
          <w:szCs w:val="22"/>
        </w:rPr>
      </w:pPr>
      <w:r>
        <w:rPr>
          <w:noProof/>
        </w:rPr>
        <w:t>170  Copies of documents</w:t>
      </w:r>
      <w:r>
        <w:rPr>
          <w:noProof/>
        </w:rPr>
        <w:tab/>
      </w:r>
      <w:r>
        <w:rPr>
          <w:noProof/>
        </w:rPr>
        <w:fldChar w:fldCharType="begin"/>
      </w:r>
      <w:r>
        <w:rPr>
          <w:noProof/>
        </w:rPr>
        <w:instrText xml:space="preserve"> PAGEREF _Toc185415994 \h </w:instrText>
      </w:r>
      <w:r>
        <w:rPr>
          <w:noProof/>
        </w:rPr>
      </w:r>
      <w:r>
        <w:rPr>
          <w:noProof/>
        </w:rPr>
        <w:fldChar w:fldCharType="separate"/>
      </w:r>
      <w:r w:rsidR="00302DB2">
        <w:rPr>
          <w:noProof/>
        </w:rPr>
        <w:t>295</w:t>
      </w:r>
      <w:r>
        <w:rPr>
          <w:noProof/>
        </w:rPr>
        <w:fldChar w:fldCharType="end"/>
      </w:r>
    </w:p>
    <w:p w14:paraId="1DAA19BA" w14:textId="53B4C510" w:rsidR="007931CC" w:rsidRDefault="007931CC">
      <w:pPr>
        <w:pStyle w:val="TOC5"/>
        <w:rPr>
          <w:rFonts w:asciiTheme="minorHAnsi" w:eastAsiaTheme="minorEastAsia" w:hAnsiTheme="minorHAnsi" w:cstheme="minorBidi"/>
          <w:noProof/>
          <w:kern w:val="0"/>
          <w:sz w:val="22"/>
          <w:szCs w:val="22"/>
        </w:rPr>
      </w:pPr>
      <w:r>
        <w:rPr>
          <w:noProof/>
        </w:rPr>
        <w:t>171  Authorised officer may retain documents</w:t>
      </w:r>
      <w:r>
        <w:rPr>
          <w:noProof/>
        </w:rPr>
        <w:tab/>
      </w:r>
      <w:r>
        <w:rPr>
          <w:noProof/>
        </w:rPr>
        <w:fldChar w:fldCharType="begin"/>
      </w:r>
      <w:r>
        <w:rPr>
          <w:noProof/>
        </w:rPr>
        <w:instrText xml:space="preserve"> PAGEREF _Toc185415995 \h </w:instrText>
      </w:r>
      <w:r>
        <w:rPr>
          <w:noProof/>
        </w:rPr>
      </w:r>
      <w:r>
        <w:rPr>
          <w:noProof/>
        </w:rPr>
        <w:fldChar w:fldCharType="separate"/>
      </w:r>
      <w:r w:rsidR="00302DB2">
        <w:rPr>
          <w:noProof/>
        </w:rPr>
        <w:t>295</w:t>
      </w:r>
      <w:r>
        <w:rPr>
          <w:noProof/>
        </w:rPr>
        <w:fldChar w:fldCharType="end"/>
      </w:r>
    </w:p>
    <w:p w14:paraId="21A9BC94" w14:textId="5FD900C4" w:rsidR="007931CC" w:rsidRDefault="007931CC">
      <w:pPr>
        <w:pStyle w:val="TOC5"/>
        <w:rPr>
          <w:rFonts w:asciiTheme="minorHAnsi" w:eastAsiaTheme="minorEastAsia" w:hAnsiTheme="minorHAnsi" w:cstheme="minorBidi"/>
          <w:noProof/>
          <w:kern w:val="0"/>
          <w:sz w:val="22"/>
          <w:szCs w:val="22"/>
        </w:rPr>
      </w:pPr>
      <w:r>
        <w:rPr>
          <w:noProof/>
        </w:rPr>
        <w:t xml:space="preserve">172  Division 400 and Chapter 5 of the </w:t>
      </w:r>
      <w:r w:rsidRPr="00540F8C">
        <w:rPr>
          <w:i/>
          <w:noProof/>
        </w:rPr>
        <w:t>Criminal Code</w:t>
      </w:r>
      <w:r>
        <w:rPr>
          <w:noProof/>
        </w:rPr>
        <w:tab/>
      </w:r>
      <w:r>
        <w:rPr>
          <w:noProof/>
        </w:rPr>
        <w:fldChar w:fldCharType="begin"/>
      </w:r>
      <w:r>
        <w:rPr>
          <w:noProof/>
        </w:rPr>
        <w:instrText xml:space="preserve"> PAGEREF _Toc185415996 \h </w:instrText>
      </w:r>
      <w:r>
        <w:rPr>
          <w:noProof/>
        </w:rPr>
      </w:r>
      <w:r>
        <w:rPr>
          <w:noProof/>
        </w:rPr>
        <w:fldChar w:fldCharType="separate"/>
      </w:r>
      <w:r w:rsidR="00302DB2">
        <w:rPr>
          <w:noProof/>
        </w:rPr>
        <w:t>296</w:t>
      </w:r>
      <w:r>
        <w:rPr>
          <w:noProof/>
        </w:rPr>
        <w:fldChar w:fldCharType="end"/>
      </w:r>
    </w:p>
    <w:p w14:paraId="07B4429A" w14:textId="34E8A4E9" w:rsidR="007931CC" w:rsidRDefault="007931CC">
      <w:pPr>
        <w:pStyle w:val="TOC3"/>
        <w:rPr>
          <w:rFonts w:asciiTheme="minorHAnsi" w:eastAsiaTheme="minorEastAsia" w:hAnsiTheme="minorHAnsi" w:cstheme="minorBidi"/>
          <w:b w:val="0"/>
          <w:noProof/>
          <w:kern w:val="0"/>
          <w:szCs w:val="22"/>
        </w:rPr>
      </w:pPr>
      <w:r>
        <w:rPr>
          <w:noProof/>
        </w:rPr>
        <w:t>Division 3—Other powers to obtain information and documents</w:t>
      </w:r>
      <w:r>
        <w:rPr>
          <w:noProof/>
        </w:rPr>
        <w:tab/>
      </w:r>
      <w:r>
        <w:rPr>
          <w:noProof/>
        </w:rPr>
        <w:fldChar w:fldCharType="begin"/>
      </w:r>
      <w:r>
        <w:rPr>
          <w:noProof/>
        </w:rPr>
        <w:instrText xml:space="preserve"> PAGEREF _Toc185415997 \h </w:instrText>
      </w:r>
      <w:r>
        <w:rPr>
          <w:noProof/>
        </w:rPr>
      </w:r>
      <w:r>
        <w:rPr>
          <w:noProof/>
        </w:rPr>
        <w:fldChar w:fldCharType="separate"/>
      </w:r>
      <w:r w:rsidR="00302DB2">
        <w:rPr>
          <w:noProof/>
        </w:rPr>
        <w:t>297</w:t>
      </w:r>
      <w:r>
        <w:rPr>
          <w:noProof/>
        </w:rPr>
        <w:fldChar w:fldCharType="end"/>
      </w:r>
    </w:p>
    <w:p w14:paraId="296BB057" w14:textId="37ADBCFB" w:rsidR="007931CC" w:rsidRDefault="007931CC">
      <w:pPr>
        <w:pStyle w:val="TOC4"/>
        <w:rPr>
          <w:rFonts w:asciiTheme="minorHAnsi" w:eastAsiaTheme="minorEastAsia" w:hAnsiTheme="minorHAnsi" w:cstheme="minorBidi"/>
          <w:b w:val="0"/>
          <w:noProof/>
          <w:kern w:val="0"/>
          <w:sz w:val="22"/>
          <w:szCs w:val="22"/>
        </w:rPr>
      </w:pPr>
      <w:r>
        <w:rPr>
          <w:noProof/>
        </w:rPr>
        <w:t>Subdivision A—Examination of persons</w:t>
      </w:r>
      <w:r>
        <w:rPr>
          <w:noProof/>
        </w:rPr>
        <w:tab/>
      </w:r>
      <w:r>
        <w:rPr>
          <w:noProof/>
        </w:rPr>
        <w:fldChar w:fldCharType="begin"/>
      </w:r>
      <w:r>
        <w:rPr>
          <w:noProof/>
        </w:rPr>
        <w:instrText xml:space="preserve"> PAGEREF _Toc185415998 \h </w:instrText>
      </w:r>
      <w:r>
        <w:rPr>
          <w:noProof/>
        </w:rPr>
      </w:r>
      <w:r>
        <w:rPr>
          <w:noProof/>
        </w:rPr>
        <w:fldChar w:fldCharType="separate"/>
      </w:r>
      <w:r w:rsidR="00302DB2">
        <w:rPr>
          <w:noProof/>
        </w:rPr>
        <w:t>297</w:t>
      </w:r>
      <w:r>
        <w:rPr>
          <w:noProof/>
        </w:rPr>
        <w:fldChar w:fldCharType="end"/>
      </w:r>
    </w:p>
    <w:p w14:paraId="2358BB65" w14:textId="39F98693" w:rsidR="007931CC" w:rsidRDefault="007931CC">
      <w:pPr>
        <w:pStyle w:val="TOC5"/>
        <w:rPr>
          <w:rFonts w:asciiTheme="minorHAnsi" w:eastAsiaTheme="minorEastAsia" w:hAnsiTheme="minorHAnsi" w:cstheme="minorBidi"/>
          <w:noProof/>
          <w:kern w:val="0"/>
          <w:sz w:val="22"/>
          <w:szCs w:val="22"/>
        </w:rPr>
      </w:pPr>
      <w:r>
        <w:rPr>
          <w:noProof/>
        </w:rPr>
        <w:t>172A  Power of AUSTRAC CEO to obtain information and documents</w:t>
      </w:r>
      <w:r>
        <w:rPr>
          <w:noProof/>
        </w:rPr>
        <w:tab/>
      </w:r>
      <w:r>
        <w:rPr>
          <w:noProof/>
        </w:rPr>
        <w:fldChar w:fldCharType="begin"/>
      </w:r>
      <w:r>
        <w:rPr>
          <w:noProof/>
        </w:rPr>
        <w:instrText xml:space="preserve"> PAGEREF _Toc185415999 \h </w:instrText>
      </w:r>
      <w:r>
        <w:rPr>
          <w:noProof/>
        </w:rPr>
      </w:r>
      <w:r>
        <w:rPr>
          <w:noProof/>
        </w:rPr>
        <w:fldChar w:fldCharType="separate"/>
      </w:r>
      <w:r w:rsidR="00302DB2">
        <w:rPr>
          <w:noProof/>
        </w:rPr>
        <w:t>297</w:t>
      </w:r>
      <w:r>
        <w:rPr>
          <w:noProof/>
        </w:rPr>
        <w:fldChar w:fldCharType="end"/>
      </w:r>
    </w:p>
    <w:p w14:paraId="1E19D79A" w14:textId="5BA6C7B1" w:rsidR="007931CC" w:rsidRDefault="007931CC">
      <w:pPr>
        <w:pStyle w:val="TOC5"/>
        <w:rPr>
          <w:rFonts w:asciiTheme="minorHAnsi" w:eastAsiaTheme="minorEastAsia" w:hAnsiTheme="minorHAnsi" w:cstheme="minorBidi"/>
          <w:noProof/>
          <w:kern w:val="0"/>
          <w:sz w:val="22"/>
          <w:szCs w:val="22"/>
        </w:rPr>
      </w:pPr>
      <w:r>
        <w:rPr>
          <w:noProof/>
        </w:rPr>
        <w:t>172B  Proceedings at examination</w:t>
      </w:r>
      <w:r>
        <w:rPr>
          <w:noProof/>
        </w:rPr>
        <w:tab/>
      </w:r>
      <w:r>
        <w:rPr>
          <w:noProof/>
        </w:rPr>
        <w:fldChar w:fldCharType="begin"/>
      </w:r>
      <w:r>
        <w:rPr>
          <w:noProof/>
        </w:rPr>
        <w:instrText xml:space="preserve"> PAGEREF _Toc185416000 \h </w:instrText>
      </w:r>
      <w:r>
        <w:rPr>
          <w:noProof/>
        </w:rPr>
      </w:r>
      <w:r>
        <w:rPr>
          <w:noProof/>
        </w:rPr>
        <w:fldChar w:fldCharType="separate"/>
      </w:r>
      <w:r w:rsidR="00302DB2">
        <w:rPr>
          <w:noProof/>
        </w:rPr>
        <w:t>298</w:t>
      </w:r>
      <w:r>
        <w:rPr>
          <w:noProof/>
        </w:rPr>
        <w:fldChar w:fldCharType="end"/>
      </w:r>
    </w:p>
    <w:p w14:paraId="6070F47A" w14:textId="64D8A392" w:rsidR="007931CC" w:rsidRDefault="007931CC">
      <w:pPr>
        <w:pStyle w:val="TOC5"/>
        <w:rPr>
          <w:rFonts w:asciiTheme="minorHAnsi" w:eastAsiaTheme="minorEastAsia" w:hAnsiTheme="minorHAnsi" w:cstheme="minorBidi"/>
          <w:noProof/>
          <w:kern w:val="0"/>
          <w:sz w:val="22"/>
          <w:szCs w:val="22"/>
        </w:rPr>
      </w:pPr>
      <w:r>
        <w:rPr>
          <w:noProof/>
        </w:rPr>
        <w:t>172C  Requirements made of persons appearing for examination</w:t>
      </w:r>
      <w:r>
        <w:rPr>
          <w:noProof/>
        </w:rPr>
        <w:tab/>
      </w:r>
      <w:r>
        <w:rPr>
          <w:noProof/>
        </w:rPr>
        <w:fldChar w:fldCharType="begin"/>
      </w:r>
      <w:r>
        <w:rPr>
          <w:noProof/>
        </w:rPr>
        <w:instrText xml:space="preserve"> PAGEREF _Toc185416001 \h </w:instrText>
      </w:r>
      <w:r>
        <w:rPr>
          <w:noProof/>
        </w:rPr>
      </w:r>
      <w:r>
        <w:rPr>
          <w:noProof/>
        </w:rPr>
        <w:fldChar w:fldCharType="separate"/>
      </w:r>
      <w:r w:rsidR="00302DB2">
        <w:rPr>
          <w:noProof/>
        </w:rPr>
        <w:t>298</w:t>
      </w:r>
      <w:r>
        <w:rPr>
          <w:noProof/>
        </w:rPr>
        <w:fldChar w:fldCharType="end"/>
      </w:r>
    </w:p>
    <w:p w14:paraId="685FDBBD" w14:textId="5B9D41FA" w:rsidR="007931CC" w:rsidRDefault="007931CC">
      <w:pPr>
        <w:pStyle w:val="TOC5"/>
        <w:rPr>
          <w:rFonts w:asciiTheme="minorHAnsi" w:eastAsiaTheme="minorEastAsia" w:hAnsiTheme="minorHAnsi" w:cstheme="minorBidi"/>
          <w:noProof/>
          <w:kern w:val="0"/>
          <w:sz w:val="22"/>
          <w:szCs w:val="22"/>
        </w:rPr>
      </w:pPr>
      <w:r>
        <w:rPr>
          <w:noProof/>
        </w:rPr>
        <w:t>172D  Examination to take place in private</w:t>
      </w:r>
      <w:r>
        <w:rPr>
          <w:noProof/>
        </w:rPr>
        <w:tab/>
      </w:r>
      <w:r>
        <w:rPr>
          <w:noProof/>
        </w:rPr>
        <w:fldChar w:fldCharType="begin"/>
      </w:r>
      <w:r>
        <w:rPr>
          <w:noProof/>
        </w:rPr>
        <w:instrText xml:space="preserve"> PAGEREF _Toc185416002 \h </w:instrText>
      </w:r>
      <w:r>
        <w:rPr>
          <w:noProof/>
        </w:rPr>
      </w:r>
      <w:r>
        <w:rPr>
          <w:noProof/>
        </w:rPr>
        <w:fldChar w:fldCharType="separate"/>
      </w:r>
      <w:r w:rsidR="00302DB2">
        <w:rPr>
          <w:noProof/>
        </w:rPr>
        <w:t>299</w:t>
      </w:r>
      <w:r>
        <w:rPr>
          <w:noProof/>
        </w:rPr>
        <w:fldChar w:fldCharType="end"/>
      </w:r>
    </w:p>
    <w:p w14:paraId="407DBF52" w14:textId="7AD93D07" w:rsidR="007931CC" w:rsidRDefault="007931CC">
      <w:pPr>
        <w:pStyle w:val="TOC5"/>
        <w:rPr>
          <w:rFonts w:asciiTheme="minorHAnsi" w:eastAsiaTheme="minorEastAsia" w:hAnsiTheme="minorHAnsi" w:cstheme="minorBidi"/>
          <w:noProof/>
          <w:kern w:val="0"/>
          <w:sz w:val="22"/>
          <w:szCs w:val="22"/>
        </w:rPr>
      </w:pPr>
      <w:r>
        <w:rPr>
          <w:noProof/>
        </w:rPr>
        <w:t>172E  Procedures for holding an examination</w:t>
      </w:r>
      <w:r>
        <w:rPr>
          <w:noProof/>
        </w:rPr>
        <w:tab/>
      </w:r>
      <w:r>
        <w:rPr>
          <w:noProof/>
        </w:rPr>
        <w:fldChar w:fldCharType="begin"/>
      </w:r>
      <w:r>
        <w:rPr>
          <w:noProof/>
        </w:rPr>
        <w:instrText xml:space="preserve"> PAGEREF _Toc185416003 \h </w:instrText>
      </w:r>
      <w:r>
        <w:rPr>
          <w:noProof/>
        </w:rPr>
      </w:r>
      <w:r>
        <w:rPr>
          <w:noProof/>
        </w:rPr>
        <w:fldChar w:fldCharType="separate"/>
      </w:r>
      <w:r w:rsidR="00302DB2">
        <w:rPr>
          <w:noProof/>
        </w:rPr>
        <w:t>299</w:t>
      </w:r>
      <w:r>
        <w:rPr>
          <w:noProof/>
        </w:rPr>
        <w:fldChar w:fldCharType="end"/>
      </w:r>
    </w:p>
    <w:p w14:paraId="33218894" w14:textId="5F636999" w:rsidR="007931CC" w:rsidRDefault="007931CC">
      <w:pPr>
        <w:pStyle w:val="TOC5"/>
        <w:rPr>
          <w:rFonts w:asciiTheme="minorHAnsi" w:eastAsiaTheme="minorEastAsia" w:hAnsiTheme="minorHAnsi" w:cstheme="minorBidi"/>
          <w:noProof/>
          <w:kern w:val="0"/>
          <w:sz w:val="22"/>
          <w:szCs w:val="22"/>
        </w:rPr>
      </w:pPr>
      <w:r>
        <w:rPr>
          <w:noProof/>
        </w:rPr>
        <w:t>172F  Examinee’s lawyer may attend</w:t>
      </w:r>
      <w:r>
        <w:rPr>
          <w:noProof/>
        </w:rPr>
        <w:tab/>
      </w:r>
      <w:r>
        <w:rPr>
          <w:noProof/>
        </w:rPr>
        <w:fldChar w:fldCharType="begin"/>
      </w:r>
      <w:r>
        <w:rPr>
          <w:noProof/>
        </w:rPr>
        <w:instrText xml:space="preserve"> PAGEREF _Toc185416004 \h </w:instrText>
      </w:r>
      <w:r>
        <w:rPr>
          <w:noProof/>
        </w:rPr>
      </w:r>
      <w:r>
        <w:rPr>
          <w:noProof/>
        </w:rPr>
        <w:fldChar w:fldCharType="separate"/>
      </w:r>
      <w:r w:rsidR="00302DB2">
        <w:rPr>
          <w:noProof/>
        </w:rPr>
        <w:t>300</w:t>
      </w:r>
      <w:r>
        <w:rPr>
          <w:noProof/>
        </w:rPr>
        <w:fldChar w:fldCharType="end"/>
      </w:r>
    </w:p>
    <w:p w14:paraId="28815CCD" w14:textId="67B17779" w:rsidR="007931CC" w:rsidRDefault="007931CC">
      <w:pPr>
        <w:pStyle w:val="TOC5"/>
        <w:rPr>
          <w:rFonts w:asciiTheme="minorHAnsi" w:eastAsiaTheme="minorEastAsia" w:hAnsiTheme="minorHAnsi" w:cstheme="minorBidi"/>
          <w:noProof/>
          <w:kern w:val="0"/>
          <w:sz w:val="22"/>
          <w:szCs w:val="22"/>
        </w:rPr>
      </w:pPr>
      <w:r>
        <w:rPr>
          <w:noProof/>
        </w:rPr>
        <w:t>172G  Record of examination</w:t>
      </w:r>
      <w:r>
        <w:rPr>
          <w:noProof/>
        </w:rPr>
        <w:tab/>
      </w:r>
      <w:r>
        <w:rPr>
          <w:noProof/>
        </w:rPr>
        <w:fldChar w:fldCharType="begin"/>
      </w:r>
      <w:r>
        <w:rPr>
          <w:noProof/>
        </w:rPr>
        <w:instrText xml:space="preserve"> PAGEREF _Toc185416005 \h </w:instrText>
      </w:r>
      <w:r>
        <w:rPr>
          <w:noProof/>
        </w:rPr>
      </w:r>
      <w:r>
        <w:rPr>
          <w:noProof/>
        </w:rPr>
        <w:fldChar w:fldCharType="separate"/>
      </w:r>
      <w:r w:rsidR="00302DB2">
        <w:rPr>
          <w:noProof/>
        </w:rPr>
        <w:t>301</w:t>
      </w:r>
      <w:r>
        <w:rPr>
          <w:noProof/>
        </w:rPr>
        <w:fldChar w:fldCharType="end"/>
      </w:r>
    </w:p>
    <w:p w14:paraId="05D1DF72" w14:textId="499D623A" w:rsidR="007931CC" w:rsidRDefault="007931CC">
      <w:pPr>
        <w:pStyle w:val="TOC5"/>
        <w:rPr>
          <w:rFonts w:asciiTheme="minorHAnsi" w:eastAsiaTheme="minorEastAsia" w:hAnsiTheme="minorHAnsi" w:cstheme="minorBidi"/>
          <w:noProof/>
          <w:kern w:val="0"/>
          <w:sz w:val="22"/>
          <w:szCs w:val="22"/>
        </w:rPr>
      </w:pPr>
      <w:r>
        <w:rPr>
          <w:noProof/>
        </w:rPr>
        <w:t>172H  Giving to other persons copies of written record of examination</w:t>
      </w:r>
      <w:r>
        <w:rPr>
          <w:noProof/>
        </w:rPr>
        <w:tab/>
      </w:r>
      <w:r>
        <w:rPr>
          <w:noProof/>
        </w:rPr>
        <w:fldChar w:fldCharType="begin"/>
      </w:r>
      <w:r>
        <w:rPr>
          <w:noProof/>
        </w:rPr>
        <w:instrText xml:space="preserve"> PAGEREF _Toc185416006 \h </w:instrText>
      </w:r>
      <w:r>
        <w:rPr>
          <w:noProof/>
        </w:rPr>
      </w:r>
      <w:r>
        <w:rPr>
          <w:noProof/>
        </w:rPr>
        <w:fldChar w:fldCharType="separate"/>
      </w:r>
      <w:r w:rsidR="00302DB2">
        <w:rPr>
          <w:noProof/>
        </w:rPr>
        <w:t>301</w:t>
      </w:r>
      <w:r>
        <w:rPr>
          <w:noProof/>
        </w:rPr>
        <w:fldChar w:fldCharType="end"/>
      </w:r>
    </w:p>
    <w:p w14:paraId="5F75CA04" w14:textId="3F231F0F" w:rsidR="007931CC" w:rsidRDefault="007931CC">
      <w:pPr>
        <w:pStyle w:val="TOC5"/>
        <w:rPr>
          <w:rFonts w:asciiTheme="minorHAnsi" w:eastAsiaTheme="minorEastAsia" w:hAnsiTheme="minorHAnsi" w:cstheme="minorBidi"/>
          <w:noProof/>
          <w:kern w:val="0"/>
          <w:sz w:val="22"/>
          <w:szCs w:val="22"/>
        </w:rPr>
      </w:pPr>
      <w:r>
        <w:rPr>
          <w:noProof/>
        </w:rPr>
        <w:t>172J  Copies of record of examination given subject to conditions</w:t>
      </w:r>
      <w:r>
        <w:rPr>
          <w:noProof/>
        </w:rPr>
        <w:tab/>
      </w:r>
      <w:r>
        <w:rPr>
          <w:noProof/>
        </w:rPr>
        <w:fldChar w:fldCharType="begin"/>
      </w:r>
      <w:r>
        <w:rPr>
          <w:noProof/>
        </w:rPr>
        <w:instrText xml:space="preserve"> PAGEREF _Toc185416007 \h </w:instrText>
      </w:r>
      <w:r>
        <w:rPr>
          <w:noProof/>
        </w:rPr>
      </w:r>
      <w:r>
        <w:rPr>
          <w:noProof/>
        </w:rPr>
        <w:fldChar w:fldCharType="separate"/>
      </w:r>
      <w:r w:rsidR="00302DB2">
        <w:rPr>
          <w:noProof/>
        </w:rPr>
        <w:t>302</w:t>
      </w:r>
      <w:r>
        <w:rPr>
          <w:noProof/>
        </w:rPr>
        <w:fldChar w:fldCharType="end"/>
      </w:r>
    </w:p>
    <w:p w14:paraId="44D3DEBC" w14:textId="50194509" w:rsidR="007931CC" w:rsidRDefault="007931CC">
      <w:pPr>
        <w:pStyle w:val="TOC5"/>
        <w:rPr>
          <w:rFonts w:asciiTheme="minorHAnsi" w:eastAsiaTheme="minorEastAsia" w:hAnsiTheme="minorHAnsi" w:cstheme="minorBidi"/>
          <w:noProof/>
          <w:kern w:val="0"/>
          <w:sz w:val="22"/>
          <w:szCs w:val="22"/>
        </w:rPr>
      </w:pPr>
      <w:r>
        <w:rPr>
          <w:noProof/>
        </w:rPr>
        <w:t>172K  Self</w:t>
      </w:r>
      <w:r>
        <w:rPr>
          <w:noProof/>
        </w:rPr>
        <w:noBreakHyphen/>
        <w:t>incrimination</w:t>
      </w:r>
      <w:r>
        <w:rPr>
          <w:noProof/>
        </w:rPr>
        <w:tab/>
      </w:r>
      <w:r>
        <w:rPr>
          <w:noProof/>
        </w:rPr>
        <w:fldChar w:fldCharType="begin"/>
      </w:r>
      <w:r>
        <w:rPr>
          <w:noProof/>
        </w:rPr>
        <w:instrText xml:space="preserve"> PAGEREF _Toc185416008 \h </w:instrText>
      </w:r>
      <w:r>
        <w:rPr>
          <w:noProof/>
        </w:rPr>
      </w:r>
      <w:r>
        <w:rPr>
          <w:noProof/>
        </w:rPr>
        <w:fldChar w:fldCharType="separate"/>
      </w:r>
      <w:r w:rsidR="00302DB2">
        <w:rPr>
          <w:noProof/>
        </w:rPr>
        <w:t>302</w:t>
      </w:r>
      <w:r>
        <w:rPr>
          <w:noProof/>
        </w:rPr>
        <w:fldChar w:fldCharType="end"/>
      </w:r>
    </w:p>
    <w:p w14:paraId="0F149FA0" w14:textId="12237161" w:rsidR="007931CC" w:rsidRDefault="007931CC">
      <w:pPr>
        <w:pStyle w:val="TOC4"/>
        <w:rPr>
          <w:rFonts w:asciiTheme="minorHAnsi" w:eastAsiaTheme="minorEastAsia" w:hAnsiTheme="minorHAnsi" w:cstheme="minorBidi"/>
          <w:b w:val="0"/>
          <w:noProof/>
          <w:kern w:val="0"/>
          <w:sz w:val="22"/>
          <w:szCs w:val="22"/>
        </w:rPr>
      </w:pPr>
      <w:r>
        <w:rPr>
          <w:noProof/>
        </w:rPr>
        <w:t>Subdivision B—Evidentiary use of certain material</w:t>
      </w:r>
      <w:r>
        <w:rPr>
          <w:noProof/>
        </w:rPr>
        <w:tab/>
      </w:r>
      <w:r>
        <w:rPr>
          <w:noProof/>
        </w:rPr>
        <w:fldChar w:fldCharType="begin"/>
      </w:r>
      <w:r>
        <w:rPr>
          <w:noProof/>
        </w:rPr>
        <w:instrText xml:space="preserve"> PAGEREF _Toc185416009 \h </w:instrText>
      </w:r>
      <w:r>
        <w:rPr>
          <w:noProof/>
        </w:rPr>
      </w:r>
      <w:r>
        <w:rPr>
          <w:noProof/>
        </w:rPr>
        <w:fldChar w:fldCharType="separate"/>
      </w:r>
      <w:r w:rsidR="00302DB2">
        <w:rPr>
          <w:noProof/>
        </w:rPr>
        <w:t>303</w:t>
      </w:r>
      <w:r>
        <w:rPr>
          <w:noProof/>
        </w:rPr>
        <w:fldChar w:fldCharType="end"/>
      </w:r>
    </w:p>
    <w:p w14:paraId="253C81FC" w14:textId="39C21A49" w:rsidR="007931CC" w:rsidRDefault="007931CC">
      <w:pPr>
        <w:pStyle w:val="TOC5"/>
        <w:rPr>
          <w:rFonts w:asciiTheme="minorHAnsi" w:eastAsiaTheme="minorEastAsia" w:hAnsiTheme="minorHAnsi" w:cstheme="minorBidi"/>
          <w:noProof/>
          <w:kern w:val="0"/>
          <w:sz w:val="22"/>
          <w:szCs w:val="22"/>
        </w:rPr>
      </w:pPr>
      <w:r>
        <w:rPr>
          <w:noProof/>
        </w:rPr>
        <w:t>172L  Statements made at an examination—proceedings against examinee</w:t>
      </w:r>
      <w:r>
        <w:rPr>
          <w:noProof/>
        </w:rPr>
        <w:tab/>
      </w:r>
      <w:r>
        <w:rPr>
          <w:noProof/>
        </w:rPr>
        <w:fldChar w:fldCharType="begin"/>
      </w:r>
      <w:r>
        <w:rPr>
          <w:noProof/>
        </w:rPr>
        <w:instrText xml:space="preserve"> PAGEREF _Toc185416010 \h </w:instrText>
      </w:r>
      <w:r>
        <w:rPr>
          <w:noProof/>
        </w:rPr>
      </w:r>
      <w:r>
        <w:rPr>
          <w:noProof/>
        </w:rPr>
        <w:fldChar w:fldCharType="separate"/>
      </w:r>
      <w:r w:rsidR="00302DB2">
        <w:rPr>
          <w:noProof/>
        </w:rPr>
        <w:t>303</w:t>
      </w:r>
      <w:r>
        <w:rPr>
          <w:noProof/>
        </w:rPr>
        <w:fldChar w:fldCharType="end"/>
      </w:r>
    </w:p>
    <w:p w14:paraId="1D53779E" w14:textId="079863FE" w:rsidR="007931CC" w:rsidRDefault="007931CC">
      <w:pPr>
        <w:pStyle w:val="TOC5"/>
        <w:rPr>
          <w:rFonts w:asciiTheme="minorHAnsi" w:eastAsiaTheme="minorEastAsia" w:hAnsiTheme="minorHAnsi" w:cstheme="minorBidi"/>
          <w:noProof/>
          <w:kern w:val="0"/>
          <w:sz w:val="22"/>
          <w:szCs w:val="22"/>
        </w:rPr>
      </w:pPr>
      <w:r>
        <w:rPr>
          <w:noProof/>
        </w:rPr>
        <w:t>172M  Statements made at an examination—other proceedings</w:t>
      </w:r>
      <w:r>
        <w:rPr>
          <w:noProof/>
        </w:rPr>
        <w:tab/>
      </w:r>
      <w:r>
        <w:rPr>
          <w:noProof/>
        </w:rPr>
        <w:fldChar w:fldCharType="begin"/>
      </w:r>
      <w:r>
        <w:rPr>
          <w:noProof/>
        </w:rPr>
        <w:instrText xml:space="preserve"> PAGEREF _Toc185416011 \h </w:instrText>
      </w:r>
      <w:r>
        <w:rPr>
          <w:noProof/>
        </w:rPr>
      </w:r>
      <w:r>
        <w:rPr>
          <w:noProof/>
        </w:rPr>
        <w:fldChar w:fldCharType="separate"/>
      </w:r>
      <w:r w:rsidR="00302DB2">
        <w:rPr>
          <w:noProof/>
        </w:rPr>
        <w:t>304</w:t>
      </w:r>
      <w:r>
        <w:rPr>
          <w:noProof/>
        </w:rPr>
        <w:fldChar w:fldCharType="end"/>
      </w:r>
    </w:p>
    <w:p w14:paraId="26209E6C" w14:textId="5CA4CE43" w:rsidR="007931CC" w:rsidRDefault="007931CC">
      <w:pPr>
        <w:pStyle w:val="TOC5"/>
        <w:rPr>
          <w:rFonts w:asciiTheme="minorHAnsi" w:eastAsiaTheme="minorEastAsia" w:hAnsiTheme="minorHAnsi" w:cstheme="minorBidi"/>
          <w:noProof/>
          <w:kern w:val="0"/>
          <w:sz w:val="22"/>
          <w:szCs w:val="22"/>
        </w:rPr>
      </w:pPr>
      <w:r>
        <w:rPr>
          <w:noProof/>
        </w:rPr>
        <w:t>172N  Weight of evidence admitted under section 172M</w:t>
      </w:r>
      <w:r>
        <w:rPr>
          <w:noProof/>
        </w:rPr>
        <w:tab/>
      </w:r>
      <w:r>
        <w:rPr>
          <w:noProof/>
        </w:rPr>
        <w:fldChar w:fldCharType="begin"/>
      </w:r>
      <w:r>
        <w:rPr>
          <w:noProof/>
        </w:rPr>
        <w:instrText xml:space="preserve"> PAGEREF _Toc185416012 \h </w:instrText>
      </w:r>
      <w:r>
        <w:rPr>
          <w:noProof/>
        </w:rPr>
      </w:r>
      <w:r>
        <w:rPr>
          <w:noProof/>
        </w:rPr>
        <w:fldChar w:fldCharType="separate"/>
      </w:r>
      <w:r w:rsidR="00302DB2">
        <w:rPr>
          <w:noProof/>
        </w:rPr>
        <w:t>305</w:t>
      </w:r>
      <w:r>
        <w:rPr>
          <w:noProof/>
        </w:rPr>
        <w:fldChar w:fldCharType="end"/>
      </w:r>
    </w:p>
    <w:p w14:paraId="4C6A6DA6" w14:textId="7630ABEE" w:rsidR="007931CC" w:rsidRDefault="007931CC">
      <w:pPr>
        <w:pStyle w:val="TOC5"/>
        <w:rPr>
          <w:rFonts w:asciiTheme="minorHAnsi" w:eastAsiaTheme="minorEastAsia" w:hAnsiTheme="minorHAnsi" w:cstheme="minorBidi"/>
          <w:noProof/>
          <w:kern w:val="0"/>
          <w:sz w:val="22"/>
          <w:szCs w:val="22"/>
        </w:rPr>
      </w:pPr>
      <w:r>
        <w:rPr>
          <w:noProof/>
        </w:rPr>
        <w:t>172P  Objection to admission of statements made at examination</w:t>
      </w:r>
      <w:r>
        <w:rPr>
          <w:noProof/>
        </w:rPr>
        <w:tab/>
      </w:r>
      <w:r>
        <w:rPr>
          <w:noProof/>
        </w:rPr>
        <w:fldChar w:fldCharType="begin"/>
      </w:r>
      <w:r>
        <w:rPr>
          <w:noProof/>
        </w:rPr>
        <w:instrText xml:space="preserve"> PAGEREF _Toc185416013 \h </w:instrText>
      </w:r>
      <w:r>
        <w:rPr>
          <w:noProof/>
        </w:rPr>
      </w:r>
      <w:r>
        <w:rPr>
          <w:noProof/>
        </w:rPr>
        <w:fldChar w:fldCharType="separate"/>
      </w:r>
      <w:r w:rsidR="00302DB2">
        <w:rPr>
          <w:noProof/>
        </w:rPr>
        <w:t>306</w:t>
      </w:r>
      <w:r>
        <w:rPr>
          <w:noProof/>
        </w:rPr>
        <w:fldChar w:fldCharType="end"/>
      </w:r>
    </w:p>
    <w:p w14:paraId="29FD6008" w14:textId="00D0BB30" w:rsidR="007931CC" w:rsidRDefault="007931CC">
      <w:pPr>
        <w:pStyle w:val="TOC5"/>
        <w:rPr>
          <w:rFonts w:asciiTheme="minorHAnsi" w:eastAsiaTheme="minorEastAsia" w:hAnsiTheme="minorHAnsi" w:cstheme="minorBidi"/>
          <w:noProof/>
          <w:kern w:val="0"/>
          <w:sz w:val="22"/>
          <w:szCs w:val="22"/>
        </w:rPr>
      </w:pPr>
      <w:r>
        <w:rPr>
          <w:noProof/>
        </w:rPr>
        <w:t>172Q  Material otherwise admissible</w:t>
      </w:r>
      <w:r>
        <w:rPr>
          <w:noProof/>
        </w:rPr>
        <w:tab/>
      </w:r>
      <w:r>
        <w:rPr>
          <w:noProof/>
        </w:rPr>
        <w:fldChar w:fldCharType="begin"/>
      </w:r>
      <w:r>
        <w:rPr>
          <w:noProof/>
        </w:rPr>
        <w:instrText xml:space="preserve"> PAGEREF _Toc185416014 \h </w:instrText>
      </w:r>
      <w:r>
        <w:rPr>
          <w:noProof/>
        </w:rPr>
      </w:r>
      <w:r>
        <w:rPr>
          <w:noProof/>
        </w:rPr>
        <w:fldChar w:fldCharType="separate"/>
      </w:r>
      <w:r w:rsidR="00302DB2">
        <w:rPr>
          <w:noProof/>
        </w:rPr>
        <w:t>308</w:t>
      </w:r>
      <w:r>
        <w:rPr>
          <w:noProof/>
        </w:rPr>
        <w:fldChar w:fldCharType="end"/>
      </w:r>
    </w:p>
    <w:p w14:paraId="7859EDDE" w14:textId="260302E7" w:rsidR="007931CC" w:rsidRDefault="007931CC">
      <w:pPr>
        <w:pStyle w:val="TOC4"/>
        <w:rPr>
          <w:rFonts w:asciiTheme="minorHAnsi" w:eastAsiaTheme="minorEastAsia" w:hAnsiTheme="minorHAnsi" w:cstheme="minorBidi"/>
          <w:b w:val="0"/>
          <w:noProof/>
          <w:kern w:val="0"/>
          <w:sz w:val="22"/>
          <w:szCs w:val="22"/>
        </w:rPr>
      </w:pPr>
      <w:r>
        <w:rPr>
          <w:noProof/>
        </w:rPr>
        <w:t>Subdivision C—Miscellaneous</w:t>
      </w:r>
      <w:r>
        <w:rPr>
          <w:noProof/>
        </w:rPr>
        <w:tab/>
      </w:r>
      <w:r>
        <w:rPr>
          <w:noProof/>
        </w:rPr>
        <w:fldChar w:fldCharType="begin"/>
      </w:r>
      <w:r>
        <w:rPr>
          <w:noProof/>
        </w:rPr>
        <w:instrText xml:space="preserve"> PAGEREF _Toc185416015 \h </w:instrText>
      </w:r>
      <w:r>
        <w:rPr>
          <w:noProof/>
        </w:rPr>
      </w:r>
      <w:r>
        <w:rPr>
          <w:noProof/>
        </w:rPr>
        <w:fldChar w:fldCharType="separate"/>
      </w:r>
      <w:r w:rsidR="00302DB2">
        <w:rPr>
          <w:noProof/>
        </w:rPr>
        <w:t>308</w:t>
      </w:r>
      <w:r>
        <w:rPr>
          <w:noProof/>
        </w:rPr>
        <w:fldChar w:fldCharType="end"/>
      </w:r>
    </w:p>
    <w:p w14:paraId="2D074B1F" w14:textId="1181E3D9" w:rsidR="007931CC" w:rsidRDefault="007931CC">
      <w:pPr>
        <w:pStyle w:val="TOC5"/>
        <w:rPr>
          <w:rFonts w:asciiTheme="minorHAnsi" w:eastAsiaTheme="minorEastAsia" w:hAnsiTheme="minorHAnsi" w:cstheme="minorBidi"/>
          <w:noProof/>
          <w:kern w:val="0"/>
          <w:sz w:val="22"/>
          <w:szCs w:val="22"/>
        </w:rPr>
      </w:pPr>
      <w:r>
        <w:rPr>
          <w:noProof/>
        </w:rPr>
        <w:t>172R  Application of Crimes Act and Evidence Act</w:t>
      </w:r>
      <w:r>
        <w:rPr>
          <w:noProof/>
        </w:rPr>
        <w:tab/>
      </w:r>
      <w:r>
        <w:rPr>
          <w:noProof/>
        </w:rPr>
        <w:fldChar w:fldCharType="begin"/>
      </w:r>
      <w:r>
        <w:rPr>
          <w:noProof/>
        </w:rPr>
        <w:instrText xml:space="preserve"> PAGEREF _Toc185416016 \h </w:instrText>
      </w:r>
      <w:r>
        <w:rPr>
          <w:noProof/>
        </w:rPr>
      </w:r>
      <w:r>
        <w:rPr>
          <w:noProof/>
        </w:rPr>
        <w:fldChar w:fldCharType="separate"/>
      </w:r>
      <w:r w:rsidR="00302DB2">
        <w:rPr>
          <w:noProof/>
        </w:rPr>
        <w:t>308</w:t>
      </w:r>
      <w:r>
        <w:rPr>
          <w:noProof/>
        </w:rPr>
        <w:fldChar w:fldCharType="end"/>
      </w:r>
    </w:p>
    <w:p w14:paraId="0BD9A647" w14:textId="31F7F4E8" w:rsidR="007931CC" w:rsidRDefault="007931CC">
      <w:pPr>
        <w:pStyle w:val="TOC2"/>
        <w:rPr>
          <w:rFonts w:asciiTheme="minorHAnsi" w:eastAsiaTheme="minorEastAsia" w:hAnsiTheme="minorHAnsi" w:cstheme="minorBidi"/>
          <w:b w:val="0"/>
          <w:noProof/>
          <w:kern w:val="0"/>
          <w:sz w:val="22"/>
          <w:szCs w:val="22"/>
        </w:rPr>
      </w:pPr>
      <w:r>
        <w:rPr>
          <w:noProof/>
        </w:rPr>
        <w:t>Part 15—Enforcement</w:t>
      </w:r>
      <w:r>
        <w:rPr>
          <w:noProof/>
        </w:rPr>
        <w:tab/>
      </w:r>
      <w:r>
        <w:rPr>
          <w:noProof/>
        </w:rPr>
        <w:fldChar w:fldCharType="begin"/>
      </w:r>
      <w:r>
        <w:rPr>
          <w:noProof/>
        </w:rPr>
        <w:instrText xml:space="preserve"> PAGEREF _Toc185416017 \h </w:instrText>
      </w:r>
      <w:r>
        <w:rPr>
          <w:noProof/>
        </w:rPr>
      </w:r>
      <w:r>
        <w:rPr>
          <w:noProof/>
        </w:rPr>
        <w:fldChar w:fldCharType="separate"/>
      </w:r>
      <w:r w:rsidR="00302DB2">
        <w:rPr>
          <w:noProof/>
        </w:rPr>
        <w:t>309</w:t>
      </w:r>
      <w:r>
        <w:rPr>
          <w:noProof/>
        </w:rPr>
        <w:fldChar w:fldCharType="end"/>
      </w:r>
    </w:p>
    <w:p w14:paraId="37CCA63E" w14:textId="61710A48"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_Toc185416018 \h </w:instrText>
      </w:r>
      <w:r>
        <w:rPr>
          <w:noProof/>
        </w:rPr>
      </w:r>
      <w:r>
        <w:rPr>
          <w:noProof/>
        </w:rPr>
        <w:fldChar w:fldCharType="separate"/>
      </w:r>
      <w:r w:rsidR="00302DB2">
        <w:rPr>
          <w:noProof/>
        </w:rPr>
        <w:t>309</w:t>
      </w:r>
      <w:r>
        <w:rPr>
          <w:noProof/>
        </w:rPr>
        <w:fldChar w:fldCharType="end"/>
      </w:r>
    </w:p>
    <w:p w14:paraId="4112780F" w14:textId="615D5676" w:rsidR="007931CC" w:rsidRDefault="007931CC">
      <w:pPr>
        <w:pStyle w:val="TOC5"/>
        <w:rPr>
          <w:rFonts w:asciiTheme="minorHAnsi" w:eastAsiaTheme="minorEastAsia" w:hAnsiTheme="minorHAnsi" w:cstheme="minorBidi"/>
          <w:noProof/>
          <w:kern w:val="0"/>
          <w:sz w:val="22"/>
          <w:szCs w:val="22"/>
        </w:rPr>
      </w:pPr>
      <w:r>
        <w:rPr>
          <w:noProof/>
        </w:rPr>
        <w:t>173  Simplified outline</w:t>
      </w:r>
      <w:r>
        <w:rPr>
          <w:noProof/>
        </w:rPr>
        <w:tab/>
      </w:r>
      <w:r>
        <w:rPr>
          <w:noProof/>
        </w:rPr>
        <w:fldChar w:fldCharType="begin"/>
      </w:r>
      <w:r>
        <w:rPr>
          <w:noProof/>
        </w:rPr>
        <w:instrText xml:space="preserve"> PAGEREF _Toc185416019 \h </w:instrText>
      </w:r>
      <w:r>
        <w:rPr>
          <w:noProof/>
        </w:rPr>
      </w:r>
      <w:r>
        <w:rPr>
          <w:noProof/>
        </w:rPr>
        <w:fldChar w:fldCharType="separate"/>
      </w:r>
      <w:r w:rsidR="00302DB2">
        <w:rPr>
          <w:noProof/>
        </w:rPr>
        <w:t>309</w:t>
      </w:r>
      <w:r>
        <w:rPr>
          <w:noProof/>
        </w:rPr>
        <w:fldChar w:fldCharType="end"/>
      </w:r>
    </w:p>
    <w:p w14:paraId="7C94A1A0" w14:textId="05CDB60C" w:rsidR="007931CC" w:rsidRDefault="007931CC">
      <w:pPr>
        <w:pStyle w:val="TOC3"/>
        <w:rPr>
          <w:rFonts w:asciiTheme="minorHAnsi" w:eastAsiaTheme="minorEastAsia" w:hAnsiTheme="minorHAnsi" w:cstheme="minorBidi"/>
          <w:b w:val="0"/>
          <w:noProof/>
          <w:kern w:val="0"/>
          <w:szCs w:val="22"/>
        </w:rPr>
      </w:pPr>
      <w:r>
        <w:rPr>
          <w:noProof/>
        </w:rPr>
        <w:t>Division 2—Civil penalties</w:t>
      </w:r>
      <w:r>
        <w:rPr>
          <w:noProof/>
        </w:rPr>
        <w:tab/>
      </w:r>
      <w:r>
        <w:rPr>
          <w:noProof/>
        </w:rPr>
        <w:fldChar w:fldCharType="begin"/>
      </w:r>
      <w:r>
        <w:rPr>
          <w:noProof/>
        </w:rPr>
        <w:instrText xml:space="preserve"> PAGEREF _Toc185416020 \h </w:instrText>
      </w:r>
      <w:r>
        <w:rPr>
          <w:noProof/>
        </w:rPr>
      </w:r>
      <w:r>
        <w:rPr>
          <w:noProof/>
        </w:rPr>
        <w:fldChar w:fldCharType="separate"/>
      </w:r>
      <w:r w:rsidR="00302DB2">
        <w:rPr>
          <w:noProof/>
        </w:rPr>
        <w:t>310</w:t>
      </w:r>
      <w:r>
        <w:rPr>
          <w:noProof/>
        </w:rPr>
        <w:fldChar w:fldCharType="end"/>
      </w:r>
    </w:p>
    <w:p w14:paraId="6D097095" w14:textId="4BF3C605" w:rsidR="007931CC" w:rsidRDefault="007931CC">
      <w:pPr>
        <w:pStyle w:val="TOC5"/>
        <w:rPr>
          <w:rFonts w:asciiTheme="minorHAnsi" w:eastAsiaTheme="minorEastAsia" w:hAnsiTheme="minorHAnsi" w:cstheme="minorBidi"/>
          <w:noProof/>
          <w:kern w:val="0"/>
          <w:sz w:val="22"/>
          <w:szCs w:val="22"/>
        </w:rPr>
      </w:pPr>
      <w:r>
        <w:rPr>
          <w:noProof/>
        </w:rPr>
        <w:t>174  Ancillary contravention of civil penalty provision</w:t>
      </w:r>
      <w:r>
        <w:rPr>
          <w:noProof/>
        </w:rPr>
        <w:tab/>
      </w:r>
      <w:r>
        <w:rPr>
          <w:noProof/>
        </w:rPr>
        <w:fldChar w:fldCharType="begin"/>
      </w:r>
      <w:r>
        <w:rPr>
          <w:noProof/>
        </w:rPr>
        <w:instrText xml:space="preserve"> PAGEREF _Toc185416021 \h </w:instrText>
      </w:r>
      <w:r>
        <w:rPr>
          <w:noProof/>
        </w:rPr>
      </w:r>
      <w:r>
        <w:rPr>
          <w:noProof/>
        </w:rPr>
        <w:fldChar w:fldCharType="separate"/>
      </w:r>
      <w:r w:rsidR="00302DB2">
        <w:rPr>
          <w:noProof/>
        </w:rPr>
        <w:t>310</w:t>
      </w:r>
      <w:r>
        <w:rPr>
          <w:noProof/>
        </w:rPr>
        <w:fldChar w:fldCharType="end"/>
      </w:r>
    </w:p>
    <w:p w14:paraId="1E30EEE7" w14:textId="4ADC78A2" w:rsidR="007931CC" w:rsidRDefault="007931CC">
      <w:pPr>
        <w:pStyle w:val="TOC5"/>
        <w:rPr>
          <w:rFonts w:asciiTheme="minorHAnsi" w:eastAsiaTheme="minorEastAsia" w:hAnsiTheme="minorHAnsi" w:cstheme="minorBidi"/>
          <w:noProof/>
          <w:kern w:val="0"/>
          <w:sz w:val="22"/>
          <w:szCs w:val="22"/>
        </w:rPr>
      </w:pPr>
      <w:r>
        <w:rPr>
          <w:noProof/>
        </w:rPr>
        <w:t>175  Civil penalty orders</w:t>
      </w:r>
      <w:r>
        <w:rPr>
          <w:noProof/>
        </w:rPr>
        <w:tab/>
      </w:r>
      <w:r>
        <w:rPr>
          <w:noProof/>
        </w:rPr>
        <w:fldChar w:fldCharType="begin"/>
      </w:r>
      <w:r>
        <w:rPr>
          <w:noProof/>
        </w:rPr>
        <w:instrText xml:space="preserve"> PAGEREF _Toc185416022 \h </w:instrText>
      </w:r>
      <w:r>
        <w:rPr>
          <w:noProof/>
        </w:rPr>
      </w:r>
      <w:r>
        <w:rPr>
          <w:noProof/>
        </w:rPr>
        <w:fldChar w:fldCharType="separate"/>
      </w:r>
      <w:r w:rsidR="00302DB2">
        <w:rPr>
          <w:noProof/>
        </w:rPr>
        <w:t>310</w:t>
      </w:r>
      <w:r>
        <w:rPr>
          <w:noProof/>
        </w:rPr>
        <w:fldChar w:fldCharType="end"/>
      </w:r>
    </w:p>
    <w:p w14:paraId="5649E79D" w14:textId="0CFC7CA6" w:rsidR="007931CC" w:rsidRDefault="007931CC">
      <w:pPr>
        <w:pStyle w:val="TOC5"/>
        <w:rPr>
          <w:rFonts w:asciiTheme="minorHAnsi" w:eastAsiaTheme="minorEastAsia" w:hAnsiTheme="minorHAnsi" w:cstheme="minorBidi"/>
          <w:noProof/>
          <w:kern w:val="0"/>
          <w:sz w:val="22"/>
          <w:szCs w:val="22"/>
        </w:rPr>
      </w:pPr>
      <w:r>
        <w:rPr>
          <w:noProof/>
        </w:rPr>
        <w:t>176  Who may apply for a civil penalty order</w:t>
      </w:r>
      <w:r>
        <w:rPr>
          <w:noProof/>
        </w:rPr>
        <w:tab/>
      </w:r>
      <w:r>
        <w:rPr>
          <w:noProof/>
        </w:rPr>
        <w:fldChar w:fldCharType="begin"/>
      </w:r>
      <w:r>
        <w:rPr>
          <w:noProof/>
        </w:rPr>
        <w:instrText xml:space="preserve"> PAGEREF _Toc185416023 \h </w:instrText>
      </w:r>
      <w:r>
        <w:rPr>
          <w:noProof/>
        </w:rPr>
      </w:r>
      <w:r>
        <w:rPr>
          <w:noProof/>
        </w:rPr>
        <w:fldChar w:fldCharType="separate"/>
      </w:r>
      <w:r w:rsidR="00302DB2">
        <w:rPr>
          <w:noProof/>
        </w:rPr>
        <w:t>312</w:t>
      </w:r>
      <w:r>
        <w:rPr>
          <w:noProof/>
        </w:rPr>
        <w:fldChar w:fldCharType="end"/>
      </w:r>
    </w:p>
    <w:p w14:paraId="6C4747C0" w14:textId="2C636B30" w:rsidR="007931CC" w:rsidRDefault="007931CC">
      <w:pPr>
        <w:pStyle w:val="TOC5"/>
        <w:rPr>
          <w:rFonts w:asciiTheme="minorHAnsi" w:eastAsiaTheme="minorEastAsia" w:hAnsiTheme="minorHAnsi" w:cstheme="minorBidi"/>
          <w:noProof/>
          <w:kern w:val="0"/>
          <w:sz w:val="22"/>
          <w:szCs w:val="22"/>
        </w:rPr>
      </w:pPr>
      <w:r>
        <w:rPr>
          <w:noProof/>
        </w:rPr>
        <w:t>177  2 or more proceedings may be heard together</w:t>
      </w:r>
      <w:r>
        <w:rPr>
          <w:noProof/>
        </w:rPr>
        <w:tab/>
      </w:r>
      <w:r>
        <w:rPr>
          <w:noProof/>
        </w:rPr>
        <w:fldChar w:fldCharType="begin"/>
      </w:r>
      <w:r>
        <w:rPr>
          <w:noProof/>
        </w:rPr>
        <w:instrText xml:space="preserve"> PAGEREF _Toc185416024 \h </w:instrText>
      </w:r>
      <w:r>
        <w:rPr>
          <w:noProof/>
        </w:rPr>
      </w:r>
      <w:r>
        <w:rPr>
          <w:noProof/>
        </w:rPr>
        <w:fldChar w:fldCharType="separate"/>
      </w:r>
      <w:r w:rsidR="00302DB2">
        <w:rPr>
          <w:noProof/>
        </w:rPr>
        <w:t>312</w:t>
      </w:r>
      <w:r>
        <w:rPr>
          <w:noProof/>
        </w:rPr>
        <w:fldChar w:fldCharType="end"/>
      </w:r>
    </w:p>
    <w:p w14:paraId="0598892A" w14:textId="7DED5009" w:rsidR="007931CC" w:rsidRDefault="007931CC">
      <w:pPr>
        <w:pStyle w:val="TOC5"/>
        <w:rPr>
          <w:rFonts w:asciiTheme="minorHAnsi" w:eastAsiaTheme="minorEastAsia" w:hAnsiTheme="minorHAnsi" w:cstheme="minorBidi"/>
          <w:noProof/>
          <w:kern w:val="0"/>
          <w:sz w:val="22"/>
          <w:szCs w:val="22"/>
        </w:rPr>
      </w:pPr>
      <w:r>
        <w:rPr>
          <w:noProof/>
        </w:rPr>
        <w:t>178  Time limit for application for an order</w:t>
      </w:r>
      <w:r>
        <w:rPr>
          <w:noProof/>
        </w:rPr>
        <w:tab/>
      </w:r>
      <w:r>
        <w:rPr>
          <w:noProof/>
        </w:rPr>
        <w:fldChar w:fldCharType="begin"/>
      </w:r>
      <w:r>
        <w:rPr>
          <w:noProof/>
        </w:rPr>
        <w:instrText xml:space="preserve"> PAGEREF _Toc185416025 \h </w:instrText>
      </w:r>
      <w:r>
        <w:rPr>
          <w:noProof/>
        </w:rPr>
      </w:r>
      <w:r>
        <w:rPr>
          <w:noProof/>
        </w:rPr>
        <w:fldChar w:fldCharType="separate"/>
      </w:r>
      <w:r w:rsidR="00302DB2">
        <w:rPr>
          <w:noProof/>
        </w:rPr>
        <w:t>312</w:t>
      </w:r>
      <w:r>
        <w:rPr>
          <w:noProof/>
        </w:rPr>
        <w:fldChar w:fldCharType="end"/>
      </w:r>
    </w:p>
    <w:p w14:paraId="47D2BFD6" w14:textId="5079C089" w:rsidR="007931CC" w:rsidRDefault="007931CC">
      <w:pPr>
        <w:pStyle w:val="TOC5"/>
        <w:rPr>
          <w:rFonts w:asciiTheme="minorHAnsi" w:eastAsiaTheme="minorEastAsia" w:hAnsiTheme="minorHAnsi" w:cstheme="minorBidi"/>
          <w:noProof/>
          <w:kern w:val="0"/>
          <w:sz w:val="22"/>
          <w:szCs w:val="22"/>
        </w:rPr>
      </w:pPr>
      <w:r>
        <w:rPr>
          <w:noProof/>
        </w:rPr>
        <w:t>179  Civil evidence and procedure rules for civil penalty orders</w:t>
      </w:r>
      <w:r>
        <w:rPr>
          <w:noProof/>
        </w:rPr>
        <w:tab/>
      </w:r>
      <w:r>
        <w:rPr>
          <w:noProof/>
        </w:rPr>
        <w:fldChar w:fldCharType="begin"/>
      </w:r>
      <w:r>
        <w:rPr>
          <w:noProof/>
        </w:rPr>
        <w:instrText xml:space="preserve"> PAGEREF _Toc185416026 \h </w:instrText>
      </w:r>
      <w:r>
        <w:rPr>
          <w:noProof/>
        </w:rPr>
      </w:r>
      <w:r>
        <w:rPr>
          <w:noProof/>
        </w:rPr>
        <w:fldChar w:fldCharType="separate"/>
      </w:r>
      <w:r w:rsidR="00302DB2">
        <w:rPr>
          <w:noProof/>
        </w:rPr>
        <w:t>312</w:t>
      </w:r>
      <w:r>
        <w:rPr>
          <w:noProof/>
        </w:rPr>
        <w:fldChar w:fldCharType="end"/>
      </w:r>
    </w:p>
    <w:p w14:paraId="7B165BB1" w14:textId="3E7ABE67" w:rsidR="007931CC" w:rsidRDefault="007931CC">
      <w:pPr>
        <w:pStyle w:val="TOC5"/>
        <w:rPr>
          <w:rFonts w:asciiTheme="minorHAnsi" w:eastAsiaTheme="minorEastAsia" w:hAnsiTheme="minorHAnsi" w:cstheme="minorBidi"/>
          <w:noProof/>
          <w:kern w:val="0"/>
          <w:sz w:val="22"/>
          <w:szCs w:val="22"/>
        </w:rPr>
      </w:pPr>
      <w:r>
        <w:rPr>
          <w:noProof/>
        </w:rPr>
        <w:t>180  Civil proceedings after criminal proceedings</w:t>
      </w:r>
      <w:r>
        <w:rPr>
          <w:noProof/>
        </w:rPr>
        <w:tab/>
      </w:r>
      <w:r>
        <w:rPr>
          <w:noProof/>
        </w:rPr>
        <w:fldChar w:fldCharType="begin"/>
      </w:r>
      <w:r>
        <w:rPr>
          <w:noProof/>
        </w:rPr>
        <w:instrText xml:space="preserve"> PAGEREF _Toc185416027 \h </w:instrText>
      </w:r>
      <w:r>
        <w:rPr>
          <w:noProof/>
        </w:rPr>
      </w:r>
      <w:r>
        <w:rPr>
          <w:noProof/>
        </w:rPr>
        <w:fldChar w:fldCharType="separate"/>
      </w:r>
      <w:r w:rsidR="00302DB2">
        <w:rPr>
          <w:noProof/>
        </w:rPr>
        <w:t>312</w:t>
      </w:r>
      <w:r>
        <w:rPr>
          <w:noProof/>
        </w:rPr>
        <w:fldChar w:fldCharType="end"/>
      </w:r>
    </w:p>
    <w:p w14:paraId="23C8852C" w14:textId="155CCE36" w:rsidR="007931CC" w:rsidRDefault="007931CC">
      <w:pPr>
        <w:pStyle w:val="TOC5"/>
        <w:rPr>
          <w:rFonts w:asciiTheme="minorHAnsi" w:eastAsiaTheme="minorEastAsia" w:hAnsiTheme="minorHAnsi" w:cstheme="minorBidi"/>
          <w:noProof/>
          <w:kern w:val="0"/>
          <w:sz w:val="22"/>
          <w:szCs w:val="22"/>
        </w:rPr>
      </w:pPr>
      <w:r>
        <w:rPr>
          <w:noProof/>
        </w:rPr>
        <w:t>181  Criminal proceedings during civil proceedings</w:t>
      </w:r>
      <w:r>
        <w:rPr>
          <w:noProof/>
        </w:rPr>
        <w:tab/>
      </w:r>
      <w:r>
        <w:rPr>
          <w:noProof/>
        </w:rPr>
        <w:fldChar w:fldCharType="begin"/>
      </w:r>
      <w:r>
        <w:rPr>
          <w:noProof/>
        </w:rPr>
        <w:instrText xml:space="preserve"> PAGEREF _Toc185416028 \h </w:instrText>
      </w:r>
      <w:r>
        <w:rPr>
          <w:noProof/>
        </w:rPr>
      </w:r>
      <w:r>
        <w:rPr>
          <w:noProof/>
        </w:rPr>
        <w:fldChar w:fldCharType="separate"/>
      </w:r>
      <w:r w:rsidR="00302DB2">
        <w:rPr>
          <w:noProof/>
        </w:rPr>
        <w:t>312</w:t>
      </w:r>
      <w:r>
        <w:rPr>
          <w:noProof/>
        </w:rPr>
        <w:fldChar w:fldCharType="end"/>
      </w:r>
    </w:p>
    <w:p w14:paraId="5EA9A3CD" w14:textId="0731DF2D" w:rsidR="007931CC" w:rsidRDefault="007931CC">
      <w:pPr>
        <w:pStyle w:val="TOC5"/>
        <w:rPr>
          <w:rFonts w:asciiTheme="minorHAnsi" w:eastAsiaTheme="minorEastAsia" w:hAnsiTheme="minorHAnsi" w:cstheme="minorBidi"/>
          <w:noProof/>
          <w:kern w:val="0"/>
          <w:sz w:val="22"/>
          <w:szCs w:val="22"/>
        </w:rPr>
      </w:pPr>
      <w:r>
        <w:rPr>
          <w:noProof/>
        </w:rPr>
        <w:t>182  Criminal proceedings after civil proceedings</w:t>
      </w:r>
      <w:r>
        <w:rPr>
          <w:noProof/>
        </w:rPr>
        <w:tab/>
      </w:r>
      <w:r>
        <w:rPr>
          <w:noProof/>
        </w:rPr>
        <w:fldChar w:fldCharType="begin"/>
      </w:r>
      <w:r>
        <w:rPr>
          <w:noProof/>
        </w:rPr>
        <w:instrText xml:space="preserve"> PAGEREF _Toc185416029 \h </w:instrText>
      </w:r>
      <w:r>
        <w:rPr>
          <w:noProof/>
        </w:rPr>
      </w:r>
      <w:r>
        <w:rPr>
          <w:noProof/>
        </w:rPr>
        <w:fldChar w:fldCharType="separate"/>
      </w:r>
      <w:r w:rsidR="00302DB2">
        <w:rPr>
          <w:noProof/>
        </w:rPr>
        <w:t>313</w:t>
      </w:r>
      <w:r>
        <w:rPr>
          <w:noProof/>
        </w:rPr>
        <w:fldChar w:fldCharType="end"/>
      </w:r>
    </w:p>
    <w:p w14:paraId="2CFDDFDE" w14:textId="2A639022" w:rsidR="007931CC" w:rsidRDefault="007931CC">
      <w:pPr>
        <w:pStyle w:val="TOC5"/>
        <w:rPr>
          <w:rFonts w:asciiTheme="minorHAnsi" w:eastAsiaTheme="minorEastAsia" w:hAnsiTheme="minorHAnsi" w:cstheme="minorBidi"/>
          <w:noProof/>
          <w:kern w:val="0"/>
          <w:sz w:val="22"/>
          <w:szCs w:val="22"/>
        </w:rPr>
      </w:pPr>
      <w:r>
        <w:rPr>
          <w:noProof/>
        </w:rPr>
        <w:t>183  Evidence given in proceedings for penalty not admissible in criminal proceedings</w:t>
      </w:r>
      <w:r>
        <w:rPr>
          <w:noProof/>
        </w:rPr>
        <w:tab/>
      </w:r>
      <w:r>
        <w:rPr>
          <w:noProof/>
        </w:rPr>
        <w:fldChar w:fldCharType="begin"/>
      </w:r>
      <w:r>
        <w:rPr>
          <w:noProof/>
        </w:rPr>
        <w:instrText xml:space="preserve"> PAGEREF _Toc185416030 \h </w:instrText>
      </w:r>
      <w:r>
        <w:rPr>
          <w:noProof/>
        </w:rPr>
      </w:r>
      <w:r>
        <w:rPr>
          <w:noProof/>
        </w:rPr>
        <w:fldChar w:fldCharType="separate"/>
      </w:r>
      <w:r w:rsidR="00302DB2">
        <w:rPr>
          <w:noProof/>
        </w:rPr>
        <w:t>313</w:t>
      </w:r>
      <w:r>
        <w:rPr>
          <w:noProof/>
        </w:rPr>
        <w:fldChar w:fldCharType="end"/>
      </w:r>
    </w:p>
    <w:p w14:paraId="22820CCF" w14:textId="4EBD0020" w:rsidR="007931CC" w:rsidRDefault="007931CC">
      <w:pPr>
        <w:pStyle w:val="TOC3"/>
        <w:rPr>
          <w:rFonts w:asciiTheme="minorHAnsi" w:eastAsiaTheme="minorEastAsia" w:hAnsiTheme="minorHAnsi" w:cstheme="minorBidi"/>
          <w:b w:val="0"/>
          <w:noProof/>
          <w:kern w:val="0"/>
          <w:szCs w:val="22"/>
        </w:rPr>
      </w:pPr>
      <w:r>
        <w:rPr>
          <w:noProof/>
        </w:rPr>
        <w:t>Division 3—Infringement notices for certain contraventions</w:t>
      </w:r>
      <w:r>
        <w:rPr>
          <w:noProof/>
        </w:rPr>
        <w:tab/>
      </w:r>
      <w:r>
        <w:rPr>
          <w:noProof/>
        </w:rPr>
        <w:fldChar w:fldCharType="begin"/>
      </w:r>
      <w:r>
        <w:rPr>
          <w:noProof/>
        </w:rPr>
        <w:instrText xml:space="preserve"> PAGEREF _Toc185416031 \h </w:instrText>
      </w:r>
      <w:r>
        <w:rPr>
          <w:noProof/>
        </w:rPr>
      </w:r>
      <w:r>
        <w:rPr>
          <w:noProof/>
        </w:rPr>
        <w:fldChar w:fldCharType="separate"/>
      </w:r>
      <w:r w:rsidR="00302DB2">
        <w:rPr>
          <w:noProof/>
        </w:rPr>
        <w:t>314</w:t>
      </w:r>
      <w:r>
        <w:rPr>
          <w:noProof/>
        </w:rPr>
        <w:fldChar w:fldCharType="end"/>
      </w:r>
    </w:p>
    <w:p w14:paraId="72322DC6" w14:textId="6C89DF75" w:rsidR="007931CC" w:rsidRDefault="007931CC">
      <w:pPr>
        <w:pStyle w:val="TOC5"/>
        <w:rPr>
          <w:rFonts w:asciiTheme="minorHAnsi" w:eastAsiaTheme="minorEastAsia" w:hAnsiTheme="minorHAnsi" w:cstheme="minorBidi"/>
          <w:noProof/>
          <w:kern w:val="0"/>
          <w:sz w:val="22"/>
          <w:szCs w:val="22"/>
        </w:rPr>
      </w:pPr>
      <w:r>
        <w:rPr>
          <w:noProof/>
        </w:rPr>
        <w:t>184  When an infringement notice can be given</w:t>
      </w:r>
      <w:r>
        <w:rPr>
          <w:noProof/>
        </w:rPr>
        <w:tab/>
      </w:r>
      <w:r>
        <w:rPr>
          <w:noProof/>
        </w:rPr>
        <w:fldChar w:fldCharType="begin"/>
      </w:r>
      <w:r>
        <w:rPr>
          <w:noProof/>
        </w:rPr>
        <w:instrText xml:space="preserve"> PAGEREF _Toc185416032 \h </w:instrText>
      </w:r>
      <w:r>
        <w:rPr>
          <w:noProof/>
        </w:rPr>
      </w:r>
      <w:r>
        <w:rPr>
          <w:noProof/>
        </w:rPr>
        <w:fldChar w:fldCharType="separate"/>
      </w:r>
      <w:r w:rsidR="00302DB2">
        <w:rPr>
          <w:noProof/>
        </w:rPr>
        <w:t>314</w:t>
      </w:r>
      <w:r>
        <w:rPr>
          <w:noProof/>
        </w:rPr>
        <w:fldChar w:fldCharType="end"/>
      </w:r>
    </w:p>
    <w:p w14:paraId="0A12F733" w14:textId="5E83A565" w:rsidR="007931CC" w:rsidRDefault="007931CC">
      <w:pPr>
        <w:pStyle w:val="TOC5"/>
        <w:rPr>
          <w:rFonts w:asciiTheme="minorHAnsi" w:eastAsiaTheme="minorEastAsia" w:hAnsiTheme="minorHAnsi" w:cstheme="minorBidi"/>
          <w:noProof/>
          <w:kern w:val="0"/>
          <w:sz w:val="22"/>
          <w:szCs w:val="22"/>
        </w:rPr>
      </w:pPr>
      <w:r>
        <w:rPr>
          <w:noProof/>
        </w:rPr>
        <w:t>185  Matters to be included in an infringement notice</w:t>
      </w:r>
      <w:r>
        <w:rPr>
          <w:noProof/>
        </w:rPr>
        <w:tab/>
      </w:r>
      <w:r>
        <w:rPr>
          <w:noProof/>
        </w:rPr>
        <w:fldChar w:fldCharType="begin"/>
      </w:r>
      <w:r>
        <w:rPr>
          <w:noProof/>
        </w:rPr>
        <w:instrText xml:space="preserve"> PAGEREF _Toc185416033 \h </w:instrText>
      </w:r>
      <w:r>
        <w:rPr>
          <w:noProof/>
        </w:rPr>
      </w:r>
      <w:r>
        <w:rPr>
          <w:noProof/>
        </w:rPr>
        <w:fldChar w:fldCharType="separate"/>
      </w:r>
      <w:r w:rsidR="00302DB2">
        <w:rPr>
          <w:noProof/>
        </w:rPr>
        <w:t>317</w:t>
      </w:r>
      <w:r>
        <w:rPr>
          <w:noProof/>
        </w:rPr>
        <w:fldChar w:fldCharType="end"/>
      </w:r>
    </w:p>
    <w:p w14:paraId="14A21328" w14:textId="2098CFA9" w:rsidR="007931CC" w:rsidRDefault="007931CC">
      <w:pPr>
        <w:pStyle w:val="TOC5"/>
        <w:rPr>
          <w:rFonts w:asciiTheme="minorHAnsi" w:eastAsiaTheme="minorEastAsia" w:hAnsiTheme="minorHAnsi" w:cstheme="minorBidi"/>
          <w:noProof/>
          <w:kern w:val="0"/>
          <w:sz w:val="22"/>
          <w:szCs w:val="22"/>
        </w:rPr>
      </w:pPr>
      <w:r>
        <w:rPr>
          <w:noProof/>
        </w:rPr>
        <w:t>186A  Amount of penalty—breaches of certain provisions of Part 3A, 4, 6 or 6A</w:t>
      </w:r>
      <w:r>
        <w:rPr>
          <w:noProof/>
        </w:rPr>
        <w:tab/>
      </w:r>
      <w:r>
        <w:rPr>
          <w:noProof/>
        </w:rPr>
        <w:fldChar w:fldCharType="begin"/>
      </w:r>
      <w:r>
        <w:rPr>
          <w:noProof/>
        </w:rPr>
        <w:instrText xml:space="preserve"> PAGEREF _Toc185416034 \h </w:instrText>
      </w:r>
      <w:r>
        <w:rPr>
          <w:noProof/>
        </w:rPr>
      </w:r>
      <w:r>
        <w:rPr>
          <w:noProof/>
        </w:rPr>
        <w:fldChar w:fldCharType="separate"/>
      </w:r>
      <w:r w:rsidR="00302DB2">
        <w:rPr>
          <w:noProof/>
        </w:rPr>
        <w:t>318</w:t>
      </w:r>
      <w:r>
        <w:rPr>
          <w:noProof/>
        </w:rPr>
        <w:fldChar w:fldCharType="end"/>
      </w:r>
    </w:p>
    <w:p w14:paraId="28C59EC7" w14:textId="78761D3F" w:rsidR="007931CC" w:rsidRDefault="007931CC">
      <w:pPr>
        <w:pStyle w:val="TOC5"/>
        <w:rPr>
          <w:rFonts w:asciiTheme="minorHAnsi" w:eastAsiaTheme="minorEastAsia" w:hAnsiTheme="minorHAnsi" w:cstheme="minorBidi"/>
          <w:noProof/>
          <w:kern w:val="0"/>
          <w:sz w:val="22"/>
          <w:szCs w:val="22"/>
        </w:rPr>
      </w:pPr>
      <w:r>
        <w:rPr>
          <w:noProof/>
        </w:rPr>
        <w:t>186B  Amount of penalty—breaches of designated infringement notice provisions</w:t>
      </w:r>
      <w:r>
        <w:rPr>
          <w:noProof/>
        </w:rPr>
        <w:tab/>
      </w:r>
      <w:r>
        <w:rPr>
          <w:noProof/>
        </w:rPr>
        <w:fldChar w:fldCharType="begin"/>
      </w:r>
      <w:r>
        <w:rPr>
          <w:noProof/>
        </w:rPr>
        <w:instrText xml:space="preserve"> PAGEREF _Toc185416035 \h </w:instrText>
      </w:r>
      <w:r>
        <w:rPr>
          <w:noProof/>
        </w:rPr>
      </w:r>
      <w:r>
        <w:rPr>
          <w:noProof/>
        </w:rPr>
        <w:fldChar w:fldCharType="separate"/>
      </w:r>
      <w:r w:rsidR="00302DB2">
        <w:rPr>
          <w:noProof/>
        </w:rPr>
        <w:t>319</w:t>
      </w:r>
      <w:r>
        <w:rPr>
          <w:noProof/>
        </w:rPr>
        <w:fldChar w:fldCharType="end"/>
      </w:r>
    </w:p>
    <w:p w14:paraId="40690971" w14:textId="323A1512" w:rsidR="007931CC" w:rsidRDefault="007931CC">
      <w:pPr>
        <w:pStyle w:val="TOC5"/>
        <w:rPr>
          <w:rFonts w:asciiTheme="minorHAnsi" w:eastAsiaTheme="minorEastAsia" w:hAnsiTheme="minorHAnsi" w:cstheme="minorBidi"/>
          <w:noProof/>
          <w:kern w:val="0"/>
          <w:sz w:val="22"/>
          <w:szCs w:val="22"/>
        </w:rPr>
      </w:pPr>
      <w:r>
        <w:rPr>
          <w:noProof/>
        </w:rPr>
        <w:t>187  Withdrawal of an infringement notice</w:t>
      </w:r>
      <w:r>
        <w:rPr>
          <w:noProof/>
        </w:rPr>
        <w:tab/>
      </w:r>
      <w:r>
        <w:rPr>
          <w:noProof/>
        </w:rPr>
        <w:fldChar w:fldCharType="begin"/>
      </w:r>
      <w:r>
        <w:rPr>
          <w:noProof/>
        </w:rPr>
        <w:instrText xml:space="preserve"> PAGEREF _Toc185416036 \h </w:instrText>
      </w:r>
      <w:r>
        <w:rPr>
          <w:noProof/>
        </w:rPr>
      </w:r>
      <w:r>
        <w:rPr>
          <w:noProof/>
        </w:rPr>
        <w:fldChar w:fldCharType="separate"/>
      </w:r>
      <w:r w:rsidR="00302DB2">
        <w:rPr>
          <w:noProof/>
        </w:rPr>
        <w:t>320</w:t>
      </w:r>
      <w:r>
        <w:rPr>
          <w:noProof/>
        </w:rPr>
        <w:fldChar w:fldCharType="end"/>
      </w:r>
    </w:p>
    <w:p w14:paraId="189C0307" w14:textId="36AE0190" w:rsidR="007931CC" w:rsidRDefault="007931CC">
      <w:pPr>
        <w:pStyle w:val="TOC5"/>
        <w:rPr>
          <w:rFonts w:asciiTheme="minorHAnsi" w:eastAsiaTheme="minorEastAsia" w:hAnsiTheme="minorHAnsi" w:cstheme="minorBidi"/>
          <w:noProof/>
          <w:kern w:val="0"/>
          <w:sz w:val="22"/>
          <w:szCs w:val="22"/>
        </w:rPr>
      </w:pPr>
      <w:r>
        <w:rPr>
          <w:noProof/>
        </w:rPr>
        <w:t>188  What happens if the penalty is paid</w:t>
      </w:r>
      <w:r>
        <w:rPr>
          <w:noProof/>
        </w:rPr>
        <w:tab/>
      </w:r>
      <w:r>
        <w:rPr>
          <w:noProof/>
        </w:rPr>
        <w:fldChar w:fldCharType="begin"/>
      </w:r>
      <w:r>
        <w:rPr>
          <w:noProof/>
        </w:rPr>
        <w:instrText xml:space="preserve"> PAGEREF _Toc185416037 \h </w:instrText>
      </w:r>
      <w:r>
        <w:rPr>
          <w:noProof/>
        </w:rPr>
      </w:r>
      <w:r>
        <w:rPr>
          <w:noProof/>
        </w:rPr>
        <w:fldChar w:fldCharType="separate"/>
      </w:r>
      <w:r w:rsidR="00302DB2">
        <w:rPr>
          <w:noProof/>
        </w:rPr>
        <w:t>320</w:t>
      </w:r>
      <w:r>
        <w:rPr>
          <w:noProof/>
        </w:rPr>
        <w:fldChar w:fldCharType="end"/>
      </w:r>
    </w:p>
    <w:p w14:paraId="342CE841" w14:textId="36C02ECA" w:rsidR="007931CC" w:rsidRDefault="007931CC">
      <w:pPr>
        <w:pStyle w:val="TOC5"/>
        <w:rPr>
          <w:rFonts w:asciiTheme="minorHAnsi" w:eastAsiaTheme="minorEastAsia" w:hAnsiTheme="minorHAnsi" w:cstheme="minorBidi"/>
          <w:noProof/>
          <w:kern w:val="0"/>
          <w:sz w:val="22"/>
          <w:szCs w:val="22"/>
        </w:rPr>
      </w:pPr>
      <w:r>
        <w:rPr>
          <w:noProof/>
        </w:rPr>
        <w:t>189  Effect of this Division on criminal and civil proceedings</w:t>
      </w:r>
      <w:r>
        <w:rPr>
          <w:noProof/>
        </w:rPr>
        <w:tab/>
      </w:r>
      <w:r>
        <w:rPr>
          <w:noProof/>
        </w:rPr>
        <w:fldChar w:fldCharType="begin"/>
      </w:r>
      <w:r>
        <w:rPr>
          <w:noProof/>
        </w:rPr>
        <w:instrText xml:space="preserve"> PAGEREF _Toc185416038 \h </w:instrText>
      </w:r>
      <w:r>
        <w:rPr>
          <w:noProof/>
        </w:rPr>
      </w:r>
      <w:r>
        <w:rPr>
          <w:noProof/>
        </w:rPr>
        <w:fldChar w:fldCharType="separate"/>
      </w:r>
      <w:r w:rsidR="00302DB2">
        <w:rPr>
          <w:noProof/>
        </w:rPr>
        <w:t>320</w:t>
      </w:r>
      <w:r>
        <w:rPr>
          <w:noProof/>
        </w:rPr>
        <w:fldChar w:fldCharType="end"/>
      </w:r>
    </w:p>
    <w:p w14:paraId="39D6CEBE" w14:textId="10CC420A" w:rsidR="007931CC" w:rsidRDefault="007931CC">
      <w:pPr>
        <w:pStyle w:val="TOC3"/>
        <w:rPr>
          <w:rFonts w:asciiTheme="minorHAnsi" w:eastAsiaTheme="minorEastAsia" w:hAnsiTheme="minorHAnsi" w:cstheme="minorBidi"/>
          <w:b w:val="0"/>
          <w:noProof/>
          <w:kern w:val="0"/>
          <w:szCs w:val="22"/>
        </w:rPr>
      </w:pPr>
      <w:r>
        <w:rPr>
          <w:noProof/>
        </w:rPr>
        <w:t>Division 4—Monitoring of compliance</w:t>
      </w:r>
      <w:r>
        <w:rPr>
          <w:noProof/>
        </w:rPr>
        <w:tab/>
      </w:r>
      <w:r>
        <w:rPr>
          <w:noProof/>
        </w:rPr>
        <w:fldChar w:fldCharType="begin"/>
      </w:r>
      <w:r>
        <w:rPr>
          <w:noProof/>
        </w:rPr>
        <w:instrText xml:space="preserve"> PAGEREF _Toc185416039 \h </w:instrText>
      </w:r>
      <w:r>
        <w:rPr>
          <w:noProof/>
        </w:rPr>
      </w:r>
      <w:r>
        <w:rPr>
          <w:noProof/>
        </w:rPr>
        <w:fldChar w:fldCharType="separate"/>
      </w:r>
      <w:r w:rsidR="00302DB2">
        <w:rPr>
          <w:noProof/>
        </w:rPr>
        <w:t>322</w:t>
      </w:r>
      <w:r>
        <w:rPr>
          <w:noProof/>
        </w:rPr>
        <w:fldChar w:fldCharType="end"/>
      </w:r>
    </w:p>
    <w:p w14:paraId="00C633A8" w14:textId="4510A66A" w:rsidR="007931CC" w:rsidRDefault="007931CC">
      <w:pPr>
        <w:pStyle w:val="TOC5"/>
        <w:rPr>
          <w:rFonts w:asciiTheme="minorHAnsi" w:eastAsiaTheme="minorEastAsia" w:hAnsiTheme="minorHAnsi" w:cstheme="minorBidi"/>
          <w:noProof/>
          <w:kern w:val="0"/>
          <w:sz w:val="22"/>
          <w:szCs w:val="22"/>
        </w:rPr>
      </w:pPr>
      <w:r>
        <w:rPr>
          <w:noProof/>
        </w:rPr>
        <w:t>190  Monitoring of compliance</w:t>
      </w:r>
      <w:r>
        <w:rPr>
          <w:noProof/>
        </w:rPr>
        <w:tab/>
      </w:r>
      <w:r>
        <w:rPr>
          <w:noProof/>
        </w:rPr>
        <w:fldChar w:fldCharType="begin"/>
      </w:r>
      <w:r>
        <w:rPr>
          <w:noProof/>
        </w:rPr>
        <w:instrText xml:space="preserve"> PAGEREF _Toc185416040 \h </w:instrText>
      </w:r>
      <w:r>
        <w:rPr>
          <w:noProof/>
        </w:rPr>
      </w:r>
      <w:r>
        <w:rPr>
          <w:noProof/>
        </w:rPr>
        <w:fldChar w:fldCharType="separate"/>
      </w:r>
      <w:r w:rsidR="00302DB2">
        <w:rPr>
          <w:noProof/>
        </w:rPr>
        <w:t>322</w:t>
      </w:r>
      <w:r>
        <w:rPr>
          <w:noProof/>
        </w:rPr>
        <w:fldChar w:fldCharType="end"/>
      </w:r>
    </w:p>
    <w:p w14:paraId="4EB86555" w14:textId="16B6CE25" w:rsidR="007931CC" w:rsidRDefault="007931CC">
      <w:pPr>
        <w:pStyle w:val="TOC3"/>
        <w:rPr>
          <w:rFonts w:asciiTheme="minorHAnsi" w:eastAsiaTheme="minorEastAsia" w:hAnsiTheme="minorHAnsi" w:cstheme="minorBidi"/>
          <w:b w:val="0"/>
          <w:noProof/>
          <w:kern w:val="0"/>
          <w:szCs w:val="22"/>
        </w:rPr>
      </w:pPr>
      <w:r>
        <w:rPr>
          <w:noProof/>
        </w:rPr>
        <w:t>Division 5—Remedial directions</w:t>
      </w:r>
      <w:r>
        <w:rPr>
          <w:noProof/>
        </w:rPr>
        <w:tab/>
      </w:r>
      <w:r>
        <w:rPr>
          <w:noProof/>
        </w:rPr>
        <w:fldChar w:fldCharType="begin"/>
      </w:r>
      <w:r>
        <w:rPr>
          <w:noProof/>
        </w:rPr>
        <w:instrText xml:space="preserve"> PAGEREF _Toc185416041 \h </w:instrText>
      </w:r>
      <w:r>
        <w:rPr>
          <w:noProof/>
        </w:rPr>
      </w:r>
      <w:r>
        <w:rPr>
          <w:noProof/>
        </w:rPr>
        <w:fldChar w:fldCharType="separate"/>
      </w:r>
      <w:r w:rsidR="00302DB2">
        <w:rPr>
          <w:noProof/>
        </w:rPr>
        <w:t>323</w:t>
      </w:r>
      <w:r>
        <w:rPr>
          <w:noProof/>
        </w:rPr>
        <w:fldChar w:fldCharType="end"/>
      </w:r>
    </w:p>
    <w:p w14:paraId="13145BA7" w14:textId="2614F0DA" w:rsidR="007931CC" w:rsidRDefault="007931CC">
      <w:pPr>
        <w:pStyle w:val="TOC5"/>
        <w:rPr>
          <w:rFonts w:asciiTheme="minorHAnsi" w:eastAsiaTheme="minorEastAsia" w:hAnsiTheme="minorHAnsi" w:cstheme="minorBidi"/>
          <w:noProof/>
          <w:kern w:val="0"/>
          <w:sz w:val="22"/>
          <w:szCs w:val="22"/>
        </w:rPr>
      </w:pPr>
      <w:r>
        <w:rPr>
          <w:noProof/>
        </w:rPr>
        <w:t>191  Remedial directions</w:t>
      </w:r>
      <w:r>
        <w:rPr>
          <w:noProof/>
        </w:rPr>
        <w:tab/>
      </w:r>
      <w:r>
        <w:rPr>
          <w:noProof/>
        </w:rPr>
        <w:fldChar w:fldCharType="begin"/>
      </w:r>
      <w:r>
        <w:rPr>
          <w:noProof/>
        </w:rPr>
        <w:instrText xml:space="preserve"> PAGEREF _Toc185416042 \h </w:instrText>
      </w:r>
      <w:r>
        <w:rPr>
          <w:noProof/>
        </w:rPr>
      </w:r>
      <w:r>
        <w:rPr>
          <w:noProof/>
        </w:rPr>
        <w:fldChar w:fldCharType="separate"/>
      </w:r>
      <w:r w:rsidR="00302DB2">
        <w:rPr>
          <w:noProof/>
        </w:rPr>
        <w:t>323</w:t>
      </w:r>
      <w:r>
        <w:rPr>
          <w:noProof/>
        </w:rPr>
        <w:fldChar w:fldCharType="end"/>
      </w:r>
    </w:p>
    <w:p w14:paraId="0F0CD895" w14:textId="257D8865" w:rsidR="007931CC" w:rsidRDefault="007931CC">
      <w:pPr>
        <w:pStyle w:val="TOC3"/>
        <w:rPr>
          <w:rFonts w:asciiTheme="minorHAnsi" w:eastAsiaTheme="minorEastAsia" w:hAnsiTheme="minorHAnsi" w:cstheme="minorBidi"/>
          <w:b w:val="0"/>
          <w:noProof/>
          <w:kern w:val="0"/>
          <w:szCs w:val="22"/>
        </w:rPr>
      </w:pPr>
      <w:r>
        <w:rPr>
          <w:noProof/>
        </w:rPr>
        <w:t>Division 6—Injunctions</w:t>
      </w:r>
      <w:r>
        <w:rPr>
          <w:noProof/>
        </w:rPr>
        <w:tab/>
      </w:r>
      <w:r>
        <w:rPr>
          <w:noProof/>
        </w:rPr>
        <w:fldChar w:fldCharType="begin"/>
      </w:r>
      <w:r>
        <w:rPr>
          <w:noProof/>
        </w:rPr>
        <w:instrText xml:space="preserve"> PAGEREF _Toc185416043 \h </w:instrText>
      </w:r>
      <w:r>
        <w:rPr>
          <w:noProof/>
        </w:rPr>
      </w:r>
      <w:r>
        <w:rPr>
          <w:noProof/>
        </w:rPr>
        <w:fldChar w:fldCharType="separate"/>
      </w:r>
      <w:r w:rsidR="00302DB2">
        <w:rPr>
          <w:noProof/>
        </w:rPr>
        <w:t>325</w:t>
      </w:r>
      <w:r>
        <w:rPr>
          <w:noProof/>
        </w:rPr>
        <w:fldChar w:fldCharType="end"/>
      </w:r>
    </w:p>
    <w:p w14:paraId="7ADD8778" w14:textId="2E7DE02B" w:rsidR="007931CC" w:rsidRDefault="007931CC">
      <w:pPr>
        <w:pStyle w:val="TOC5"/>
        <w:rPr>
          <w:rFonts w:asciiTheme="minorHAnsi" w:eastAsiaTheme="minorEastAsia" w:hAnsiTheme="minorHAnsi" w:cstheme="minorBidi"/>
          <w:noProof/>
          <w:kern w:val="0"/>
          <w:sz w:val="22"/>
          <w:szCs w:val="22"/>
        </w:rPr>
      </w:pPr>
      <w:r>
        <w:rPr>
          <w:noProof/>
        </w:rPr>
        <w:t>192  Injunctions</w:t>
      </w:r>
      <w:r>
        <w:rPr>
          <w:noProof/>
        </w:rPr>
        <w:tab/>
      </w:r>
      <w:r>
        <w:rPr>
          <w:noProof/>
        </w:rPr>
        <w:fldChar w:fldCharType="begin"/>
      </w:r>
      <w:r>
        <w:rPr>
          <w:noProof/>
        </w:rPr>
        <w:instrText xml:space="preserve"> PAGEREF _Toc185416044 \h </w:instrText>
      </w:r>
      <w:r>
        <w:rPr>
          <w:noProof/>
        </w:rPr>
      </w:r>
      <w:r>
        <w:rPr>
          <w:noProof/>
        </w:rPr>
        <w:fldChar w:fldCharType="separate"/>
      </w:r>
      <w:r w:rsidR="00302DB2">
        <w:rPr>
          <w:noProof/>
        </w:rPr>
        <w:t>325</w:t>
      </w:r>
      <w:r>
        <w:rPr>
          <w:noProof/>
        </w:rPr>
        <w:fldChar w:fldCharType="end"/>
      </w:r>
    </w:p>
    <w:p w14:paraId="1FA30167" w14:textId="5C7AAAEB" w:rsidR="007931CC" w:rsidRDefault="007931CC">
      <w:pPr>
        <w:pStyle w:val="TOC5"/>
        <w:rPr>
          <w:rFonts w:asciiTheme="minorHAnsi" w:eastAsiaTheme="minorEastAsia" w:hAnsiTheme="minorHAnsi" w:cstheme="minorBidi"/>
          <w:noProof/>
          <w:kern w:val="0"/>
          <w:sz w:val="22"/>
          <w:szCs w:val="22"/>
        </w:rPr>
      </w:pPr>
      <w:r>
        <w:rPr>
          <w:noProof/>
        </w:rPr>
        <w:t>193  Interim injunctions</w:t>
      </w:r>
      <w:r>
        <w:rPr>
          <w:noProof/>
        </w:rPr>
        <w:tab/>
      </w:r>
      <w:r>
        <w:rPr>
          <w:noProof/>
        </w:rPr>
        <w:fldChar w:fldCharType="begin"/>
      </w:r>
      <w:r>
        <w:rPr>
          <w:noProof/>
        </w:rPr>
        <w:instrText xml:space="preserve"> PAGEREF _Toc185416045 \h </w:instrText>
      </w:r>
      <w:r>
        <w:rPr>
          <w:noProof/>
        </w:rPr>
      </w:r>
      <w:r>
        <w:rPr>
          <w:noProof/>
        </w:rPr>
        <w:fldChar w:fldCharType="separate"/>
      </w:r>
      <w:r w:rsidR="00302DB2">
        <w:rPr>
          <w:noProof/>
        </w:rPr>
        <w:t>325</w:t>
      </w:r>
      <w:r>
        <w:rPr>
          <w:noProof/>
        </w:rPr>
        <w:fldChar w:fldCharType="end"/>
      </w:r>
    </w:p>
    <w:p w14:paraId="4B799B2B" w14:textId="226C3310" w:rsidR="007931CC" w:rsidRDefault="007931CC">
      <w:pPr>
        <w:pStyle w:val="TOC5"/>
        <w:rPr>
          <w:rFonts w:asciiTheme="minorHAnsi" w:eastAsiaTheme="minorEastAsia" w:hAnsiTheme="minorHAnsi" w:cstheme="minorBidi"/>
          <w:noProof/>
          <w:kern w:val="0"/>
          <w:sz w:val="22"/>
          <w:szCs w:val="22"/>
        </w:rPr>
      </w:pPr>
      <w:r>
        <w:rPr>
          <w:noProof/>
        </w:rPr>
        <w:t>194  Discharge etc. of injunctions</w:t>
      </w:r>
      <w:r>
        <w:rPr>
          <w:noProof/>
        </w:rPr>
        <w:tab/>
      </w:r>
      <w:r>
        <w:rPr>
          <w:noProof/>
        </w:rPr>
        <w:fldChar w:fldCharType="begin"/>
      </w:r>
      <w:r>
        <w:rPr>
          <w:noProof/>
        </w:rPr>
        <w:instrText xml:space="preserve"> PAGEREF _Toc185416046 \h </w:instrText>
      </w:r>
      <w:r>
        <w:rPr>
          <w:noProof/>
        </w:rPr>
      </w:r>
      <w:r>
        <w:rPr>
          <w:noProof/>
        </w:rPr>
        <w:fldChar w:fldCharType="separate"/>
      </w:r>
      <w:r w:rsidR="00302DB2">
        <w:rPr>
          <w:noProof/>
        </w:rPr>
        <w:t>326</w:t>
      </w:r>
      <w:r>
        <w:rPr>
          <w:noProof/>
        </w:rPr>
        <w:fldChar w:fldCharType="end"/>
      </w:r>
    </w:p>
    <w:p w14:paraId="134296CB" w14:textId="26FB597B" w:rsidR="007931CC" w:rsidRDefault="007931CC">
      <w:pPr>
        <w:pStyle w:val="TOC5"/>
        <w:rPr>
          <w:rFonts w:asciiTheme="minorHAnsi" w:eastAsiaTheme="minorEastAsia" w:hAnsiTheme="minorHAnsi" w:cstheme="minorBidi"/>
          <w:noProof/>
          <w:kern w:val="0"/>
          <w:sz w:val="22"/>
          <w:szCs w:val="22"/>
        </w:rPr>
      </w:pPr>
      <w:r>
        <w:rPr>
          <w:noProof/>
        </w:rPr>
        <w:t>195  Certain limits on granting injunctions not to apply</w:t>
      </w:r>
      <w:r>
        <w:rPr>
          <w:noProof/>
        </w:rPr>
        <w:tab/>
      </w:r>
      <w:r>
        <w:rPr>
          <w:noProof/>
        </w:rPr>
        <w:fldChar w:fldCharType="begin"/>
      </w:r>
      <w:r>
        <w:rPr>
          <w:noProof/>
        </w:rPr>
        <w:instrText xml:space="preserve"> PAGEREF _Toc185416047 \h </w:instrText>
      </w:r>
      <w:r>
        <w:rPr>
          <w:noProof/>
        </w:rPr>
      </w:r>
      <w:r>
        <w:rPr>
          <w:noProof/>
        </w:rPr>
        <w:fldChar w:fldCharType="separate"/>
      </w:r>
      <w:r w:rsidR="00302DB2">
        <w:rPr>
          <w:noProof/>
        </w:rPr>
        <w:t>326</w:t>
      </w:r>
      <w:r>
        <w:rPr>
          <w:noProof/>
        </w:rPr>
        <w:fldChar w:fldCharType="end"/>
      </w:r>
    </w:p>
    <w:p w14:paraId="7C9F98DF" w14:textId="2C9536DB" w:rsidR="007931CC" w:rsidRDefault="007931CC">
      <w:pPr>
        <w:pStyle w:val="TOC5"/>
        <w:rPr>
          <w:rFonts w:asciiTheme="minorHAnsi" w:eastAsiaTheme="minorEastAsia" w:hAnsiTheme="minorHAnsi" w:cstheme="minorBidi"/>
          <w:noProof/>
          <w:kern w:val="0"/>
          <w:sz w:val="22"/>
          <w:szCs w:val="22"/>
        </w:rPr>
      </w:pPr>
      <w:r>
        <w:rPr>
          <w:noProof/>
        </w:rPr>
        <w:t>196  Other powers of the Federal Court unaffected</w:t>
      </w:r>
      <w:r>
        <w:rPr>
          <w:noProof/>
        </w:rPr>
        <w:tab/>
      </w:r>
      <w:r>
        <w:rPr>
          <w:noProof/>
        </w:rPr>
        <w:fldChar w:fldCharType="begin"/>
      </w:r>
      <w:r>
        <w:rPr>
          <w:noProof/>
        </w:rPr>
        <w:instrText xml:space="preserve"> PAGEREF _Toc185416048 \h </w:instrText>
      </w:r>
      <w:r>
        <w:rPr>
          <w:noProof/>
        </w:rPr>
      </w:r>
      <w:r>
        <w:rPr>
          <w:noProof/>
        </w:rPr>
        <w:fldChar w:fldCharType="separate"/>
      </w:r>
      <w:r w:rsidR="00302DB2">
        <w:rPr>
          <w:noProof/>
        </w:rPr>
        <w:t>327</w:t>
      </w:r>
      <w:r>
        <w:rPr>
          <w:noProof/>
        </w:rPr>
        <w:fldChar w:fldCharType="end"/>
      </w:r>
    </w:p>
    <w:p w14:paraId="11B8ACE2" w14:textId="319CD375" w:rsidR="007931CC" w:rsidRDefault="007931CC">
      <w:pPr>
        <w:pStyle w:val="TOC3"/>
        <w:rPr>
          <w:rFonts w:asciiTheme="minorHAnsi" w:eastAsiaTheme="minorEastAsia" w:hAnsiTheme="minorHAnsi" w:cstheme="minorBidi"/>
          <w:b w:val="0"/>
          <w:noProof/>
          <w:kern w:val="0"/>
          <w:szCs w:val="22"/>
        </w:rPr>
      </w:pPr>
      <w:r>
        <w:rPr>
          <w:noProof/>
        </w:rPr>
        <w:t>Division 7—Enforceable undertakings</w:t>
      </w:r>
      <w:r>
        <w:rPr>
          <w:noProof/>
        </w:rPr>
        <w:tab/>
      </w:r>
      <w:r>
        <w:rPr>
          <w:noProof/>
        </w:rPr>
        <w:fldChar w:fldCharType="begin"/>
      </w:r>
      <w:r>
        <w:rPr>
          <w:noProof/>
        </w:rPr>
        <w:instrText xml:space="preserve"> PAGEREF _Toc185416049 \h </w:instrText>
      </w:r>
      <w:r>
        <w:rPr>
          <w:noProof/>
        </w:rPr>
      </w:r>
      <w:r>
        <w:rPr>
          <w:noProof/>
        </w:rPr>
        <w:fldChar w:fldCharType="separate"/>
      </w:r>
      <w:r w:rsidR="00302DB2">
        <w:rPr>
          <w:noProof/>
        </w:rPr>
        <w:t>328</w:t>
      </w:r>
      <w:r>
        <w:rPr>
          <w:noProof/>
        </w:rPr>
        <w:fldChar w:fldCharType="end"/>
      </w:r>
    </w:p>
    <w:p w14:paraId="74CD15F7" w14:textId="205EC93B" w:rsidR="007931CC" w:rsidRDefault="007931CC">
      <w:pPr>
        <w:pStyle w:val="TOC5"/>
        <w:rPr>
          <w:rFonts w:asciiTheme="minorHAnsi" w:eastAsiaTheme="minorEastAsia" w:hAnsiTheme="minorHAnsi" w:cstheme="minorBidi"/>
          <w:noProof/>
          <w:kern w:val="0"/>
          <w:sz w:val="22"/>
          <w:szCs w:val="22"/>
        </w:rPr>
      </w:pPr>
      <w:r>
        <w:rPr>
          <w:noProof/>
        </w:rPr>
        <w:t>197  Acceptance of undertakings</w:t>
      </w:r>
      <w:r>
        <w:rPr>
          <w:noProof/>
        </w:rPr>
        <w:tab/>
      </w:r>
      <w:r>
        <w:rPr>
          <w:noProof/>
        </w:rPr>
        <w:fldChar w:fldCharType="begin"/>
      </w:r>
      <w:r>
        <w:rPr>
          <w:noProof/>
        </w:rPr>
        <w:instrText xml:space="preserve"> PAGEREF _Toc185416050 \h </w:instrText>
      </w:r>
      <w:r>
        <w:rPr>
          <w:noProof/>
        </w:rPr>
      </w:r>
      <w:r>
        <w:rPr>
          <w:noProof/>
        </w:rPr>
        <w:fldChar w:fldCharType="separate"/>
      </w:r>
      <w:r w:rsidR="00302DB2">
        <w:rPr>
          <w:noProof/>
        </w:rPr>
        <w:t>328</w:t>
      </w:r>
      <w:r>
        <w:rPr>
          <w:noProof/>
        </w:rPr>
        <w:fldChar w:fldCharType="end"/>
      </w:r>
    </w:p>
    <w:p w14:paraId="7AD0A9F3" w14:textId="0118E645" w:rsidR="007931CC" w:rsidRDefault="007931CC">
      <w:pPr>
        <w:pStyle w:val="TOC5"/>
        <w:rPr>
          <w:rFonts w:asciiTheme="minorHAnsi" w:eastAsiaTheme="minorEastAsia" w:hAnsiTheme="minorHAnsi" w:cstheme="minorBidi"/>
          <w:noProof/>
          <w:kern w:val="0"/>
          <w:sz w:val="22"/>
          <w:szCs w:val="22"/>
        </w:rPr>
      </w:pPr>
      <w:r>
        <w:rPr>
          <w:noProof/>
        </w:rPr>
        <w:t>198  Enforcement of undertakings</w:t>
      </w:r>
      <w:r>
        <w:rPr>
          <w:noProof/>
        </w:rPr>
        <w:tab/>
      </w:r>
      <w:r>
        <w:rPr>
          <w:noProof/>
        </w:rPr>
        <w:fldChar w:fldCharType="begin"/>
      </w:r>
      <w:r>
        <w:rPr>
          <w:noProof/>
        </w:rPr>
        <w:instrText xml:space="preserve"> PAGEREF _Toc185416051 \h </w:instrText>
      </w:r>
      <w:r>
        <w:rPr>
          <w:noProof/>
        </w:rPr>
      </w:r>
      <w:r>
        <w:rPr>
          <w:noProof/>
        </w:rPr>
        <w:fldChar w:fldCharType="separate"/>
      </w:r>
      <w:r w:rsidR="00302DB2">
        <w:rPr>
          <w:noProof/>
        </w:rPr>
        <w:t>329</w:t>
      </w:r>
      <w:r>
        <w:rPr>
          <w:noProof/>
        </w:rPr>
        <w:fldChar w:fldCharType="end"/>
      </w:r>
    </w:p>
    <w:p w14:paraId="3214CDFB" w14:textId="33490159" w:rsidR="007931CC" w:rsidRDefault="007931CC">
      <w:pPr>
        <w:pStyle w:val="TOC3"/>
        <w:rPr>
          <w:rFonts w:asciiTheme="minorHAnsi" w:eastAsiaTheme="minorEastAsia" w:hAnsiTheme="minorHAnsi" w:cstheme="minorBidi"/>
          <w:b w:val="0"/>
          <w:noProof/>
          <w:kern w:val="0"/>
          <w:szCs w:val="22"/>
        </w:rPr>
      </w:pPr>
      <w:r>
        <w:rPr>
          <w:noProof/>
        </w:rPr>
        <w:t>Division 8—Powers of questioning, search and arrest for cross</w:t>
      </w:r>
      <w:r>
        <w:rPr>
          <w:noProof/>
        </w:rPr>
        <w:noBreakHyphen/>
        <w:t>border movements of monetary instruments</w:t>
      </w:r>
      <w:r>
        <w:rPr>
          <w:noProof/>
        </w:rPr>
        <w:tab/>
      </w:r>
      <w:r>
        <w:rPr>
          <w:noProof/>
        </w:rPr>
        <w:fldChar w:fldCharType="begin"/>
      </w:r>
      <w:r>
        <w:rPr>
          <w:noProof/>
        </w:rPr>
        <w:instrText xml:space="preserve"> PAGEREF _Toc185416052 \h </w:instrText>
      </w:r>
      <w:r>
        <w:rPr>
          <w:noProof/>
        </w:rPr>
      </w:r>
      <w:r>
        <w:rPr>
          <w:noProof/>
        </w:rPr>
        <w:fldChar w:fldCharType="separate"/>
      </w:r>
      <w:r w:rsidR="00302DB2">
        <w:rPr>
          <w:noProof/>
        </w:rPr>
        <w:t>330</w:t>
      </w:r>
      <w:r>
        <w:rPr>
          <w:noProof/>
        </w:rPr>
        <w:fldChar w:fldCharType="end"/>
      </w:r>
    </w:p>
    <w:p w14:paraId="632EF604" w14:textId="3CEFD350" w:rsidR="007931CC" w:rsidRDefault="007931CC">
      <w:pPr>
        <w:pStyle w:val="TOC5"/>
        <w:rPr>
          <w:rFonts w:asciiTheme="minorHAnsi" w:eastAsiaTheme="minorEastAsia" w:hAnsiTheme="minorHAnsi" w:cstheme="minorBidi"/>
          <w:noProof/>
          <w:kern w:val="0"/>
          <w:sz w:val="22"/>
          <w:szCs w:val="22"/>
        </w:rPr>
      </w:pPr>
      <w:r>
        <w:rPr>
          <w:noProof/>
        </w:rPr>
        <w:t>199  Questioning and search powers in relation to monetary instruments</w:t>
      </w:r>
      <w:r>
        <w:rPr>
          <w:noProof/>
        </w:rPr>
        <w:tab/>
      </w:r>
      <w:r>
        <w:rPr>
          <w:noProof/>
        </w:rPr>
        <w:fldChar w:fldCharType="begin"/>
      </w:r>
      <w:r>
        <w:rPr>
          <w:noProof/>
        </w:rPr>
        <w:instrText xml:space="preserve"> PAGEREF _Toc185416053 \h </w:instrText>
      </w:r>
      <w:r>
        <w:rPr>
          <w:noProof/>
        </w:rPr>
      </w:r>
      <w:r>
        <w:rPr>
          <w:noProof/>
        </w:rPr>
        <w:fldChar w:fldCharType="separate"/>
      </w:r>
      <w:r w:rsidR="00302DB2">
        <w:rPr>
          <w:noProof/>
        </w:rPr>
        <w:t>330</w:t>
      </w:r>
      <w:r>
        <w:rPr>
          <w:noProof/>
        </w:rPr>
        <w:fldChar w:fldCharType="end"/>
      </w:r>
    </w:p>
    <w:p w14:paraId="1BA0DD82" w14:textId="74D2424C" w:rsidR="007931CC" w:rsidRDefault="007931CC">
      <w:pPr>
        <w:pStyle w:val="TOC5"/>
        <w:rPr>
          <w:rFonts w:asciiTheme="minorHAnsi" w:eastAsiaTheme="minorEastAsia" w:hAnsiTheme="minorHAnsi" w:cstheme="minorBidi"/>
          <w:noProof/>
          <w:kern w:val="0"/>
          <w:sz w:val="22"/>
          <w:szCs w:val="22"/>
        </w:rPr>
      </w:pPr>
      <w:r>
        <w:rPr>
          <w:noProof/>
        </w:rPr>
        <w:t>201  Arrest without warrant</w:t>
      </w:r>
      <w:r>
        <w:rPr>
          <w:noProof/>
        </w:rPr>
        <w:tab/>
      </w:r>
      <w:r>
        <w:rPr>
          <w:noProof/>
        </w:rPr>
        <w:fldChar w:fldCharType="begin"/>
      </w:r>
      <w:r>
        <w:rPr>
          <w:noProof/>
        </w:rPr>
        <w:instrText xml:space="preserve"> PAGEREF _Toc185416054 \h </w:instrText>
      </w:r>
      <w:r>
        <w:rPr>
          <w:noProof/>
        </w:rPr>
      </w:r>
      <w:r>
        <w:rPr>
          <w:noProof/>
        </w:rPr>
        <w:fldChar w:fldCharType="separate"/>
      </w:r>
      <w:r w:rsidR="00302DB2">
        <w:rPr>
          <w:noProof/>
        </w:rPr>
        <w:t>335</w:t>
      </w:r>
      <w:r>
        <w:rPr>
          <w:noProof/>
        </w:rPr>
        <w:fldChar w:fldCharType="end"/>
      </w:r>
    </w:p>
    <w:p w14:paraId="055E86D7" w14:textId="401A2DE2" w:rsidR="007931CC" w:rsidRDefault="007931CC">
      <w:pPr>
        <w:pStyle w:val="TOC3"/>
        <w:rPr>
          <w:rFonts w:asciiTheme="minorHAnsi" w:eastAsiaTheme="minorEastAsia" w:hAnsiTheme="minorHAnsi" w:cstheme="minorBidi"/>
          <w:b w:val="0"/>
          <w:noProof/>
          <w:kern w:val="0"/>
          <w:szCs w:val="22"/>
        </w:rPr>
      </w:pPr>
      <w:r>
        <w:rPr>
          <w:noProof/>
        </w:rPr>
        <w:t>Division 9—Notices to reporting entities</w:t>
      </w:r>
      <w:r>
        <w:rPr>
          <w:noProof/>
        </w:rPr>
        <w:tab/>
      </w:r>
      <w:r>
        <w:rPr>
          <w:noProof/>
        </w:rPr>
        <w:fldChar w:fldCharType="begin"/>
      </w:r>
      <w:r>
        <w:rPr>
          <w:noProof/>
        </w:rPr>
        <w:instrText xml:space="preserve"> PAGEREF _Toc185416055 \h </w:instrText>
      </w:r>
      <w:r>
        <w:rPr>
          <w:noProof/>
        </w:rPr>
      </w:r>
      <w:r>
        <w:rPr>
          <w:noProof/>
        </w:rPr>
        <w:fldChar w:fldCharType="separate"/>
      </w:r>
      <w:r w:rsidR="00302DB2">
        <w:rPr>
          <w:noProof/>
        </w:rPr>
        <w:t>336</w:t>
      </w:r>
      <w:r>
        <w:rPr>
          <w:noProof/>
        </w:rPr>
        <w:fldChar w:fldCharType="end"/>
      </w:r>
    </w:p>
    <w:p w14:paraId="1667ABF1" w14:textId="25561C82" w:rsidR="007931CC" w:rsidRDefault="007931CC">
      <w:pPr>
        <w:pStyle w:val="TOC5"/>
        <w:rPr>
          <w:rFonts w:asciiTheme="minorHAnsi" w:eastAsiaTheme="minorEastAsia" w:hAnsiTheme="minorHAnsi" w:cstheme="minorBidi"/>
          <w:noProof/>
          <w:kern w:val="0"/>
          <w:sz w:val="22"/>
          <w:szCs w:val="22"/>
        </w:rPr>
      </w:pPr>
      <w:r>
        <w:rPr>
          <w:noProof/>
        </w:rPr>
        <w:t>202  Notices to reporting entities</w:t>
      </w:r>
      <w:r>
        <w:rPr>
          <w:noProof/>
        </w:rPr>
        <w:tab/>
      </w:r>
      <w:r>
        <w:rPr>
          <w:noProof/>
        </w:rPr>
        <w:fldChar w:fldCharType="begin"/>
      </w:r>
      <w:r>
        <w:rPr>
          <w:noProof/>
        </w:rPr>
        <w:instrText xml:space="preserve"> PAGEREF _Toc185416056 \h </w:instrText>
      </w:r>
      <w:r>
        <w:rPr>
          <w:noProof/>
        </w:rPr>
      </w:r>
      <w:r>
        <w:rPr>
          <w:noProof/>
        </w:rPr>
        <w:fldChar w:fldCharType="separate"/>
      </w:r>
      <w:r w:rsidR="00302DB2">
        <w:rPr>
          <w:noProof/>
        </w:rPr>
        <w:t>336</w:t>
      </w:r>
      <w:r>
        <w:rPr>
          <w:noProof/>
        </w:rPr>
        <w:fldChar w:fldCharType="end"/>
      </w:r>
    </w:p>
    <w:p w14:paraId="223BFB1E" w14:textId="082A6C92" w:rsidR="007931CC" w:rsidRDefault="007931CC">
      <w:pPr>
        <w:pStyle w:val="TOC5"/>
        <w:rPr>
          <w:rFonts w:asciiTheme="minorHAnsi" w:eastAsiaTheme="minorEastAsia" w:hAnsiTheme="minorHAnsi" w:cstheme="minorBidi"/>
          <w:noProof/>
          <w:kern w:val="0"/>
          <w:sz w:val="22"/>
          <w:szCs w:val="22"/>
        </w:rPr>
      </w:pPr>
      <w:r>
        <w:rPr>
          <w:noProof/>
        </w:rPr>
        <w:t>203  Contents of notices to reporting entities</w:t>
      </w:r>
      <w:r>
        <w:rPr>
          <w:noProof/>
        </w:rPr>
        <w:tab/>
      </w:r>
      <w:r>
        <w:rPr>
          <w:noProof/>
        </w:rPr>
        <w:fldChar w:fldCharType="begin"/>
      </w:r>
      <w:r>
        <w:rPr>
          <w:noProof/>
        </w:rPr>
        <w:instrText xml:space="preserve"> PAGEREF _Toc185416057 \h </w:instrText>
      </w:r>
      <w:r>
        <w:rPr>
          <w:noProof/>
        </w:rPr>
      </w:r>
      <w:r>
        <w:rPr>
          <w:noProof/>
        </w:rPr>
        <w:fldChar w:fldCharType="separate"/>
      </w:r>
      <w:r w:rsidR="00302DB2">
        <w:rPr>
          <w:noProof/>
        </w:rPr>
        <w:t>337</w:t>
      </w:r>
      <w:r>
        <w:rPr>
          <w:noProof/>
        </w:rPr>
        <w:fldChar w:fldCharType="end"/>
      </w:r>
    </w:p>
    <w:p w14:paraId="721D7B12" w14:textId="6603FD06" w:rsidR="007931CC" w:rsidRDefault="007931CC">
      <w:pPr>
        <w:pStyle w:val="TOC5"/>
        <w:rPr>
          <w:rFonts w:asciiTheme="minorHAnsi" w:eastAsiaTheme="minorEastAsia" w:hAnsiTheme="minorHAnsi" w:cstheme="minorBidi"/>
          <w:noProof/>
          <w:kern w:val="0"/>
          <w:sz w:val="22"/>
          <w:szCs w:val="22"/>
        </w:rPr>
      </w:pPr>
      <w:r>
        <w:rPr>
          <w:noProof/>
        </w:rPr>
        <w:t>204  Breaching a notice requirement</w:t>
      </w:r>
      <w:r>
        <w:rPr>
          <w:noProof/>
        </w:rPr>
        <w:tab/>
      </w:r>
      <w:r>
        <w:rPr>
          <w:noProof/>
        </w:rPr>
        <w:fldChar w:fldCharType="begin"/>
      </w:r>
      <w:r>
        <w:rPr>
          <w:noProof/>
        </w:rPr>
        <w:instrText xml:space="preserve"> PAGEREF _Toc185416058 \h </w:instrText>
      </w:r>
      <w:r>
        <w:rPr>
          <w:noProof/>
        </w:rPr>
      </w:r>
      <w:r>
        <w:rPr>
          <w:noProof/>
        </w:rPr>
        <w:fldChar w:fldCharType="separate"/>
      </w:r>
      <w:r w:rsidR="00302DB2">
        <w:rPr>
          <w:noProof/>
        </w:rPr>
        <w:t>338</w:t>
      </w:r>
      <w:r>
        <w:rPr>
          <w:noProof/>
        </w:rPr>
        <w:fldChar w:fldCharType="end"/>
      </w:r>
    </w:p>
    <w:p w14:paraId="7007652F" w14:textId="480C6FC3" w:rsidR="007931CC" w:rsidRDefault="007931CC">
      <w:pPr>
        <w:pStyle w:val="TOC5"/>
        <w:rPr>
          <w:rFonts w:asciiTheme="minorHAnsi" w:eastAsiaTheme="minorEastAsia" w:hAnsiTheme="minorHAnsi" w:cstheme="minorBidi"/>
          <w:noProof/>
          <w:kern w:val="0"/>
          <w:sz w:val="22"/>
          <w:szCs w:val="22"/>
        </w:rPr>
      </w:pPr>
      <w:r>
        <w:rPr>
          <w:noProof/>
        </w:rPr>
        <w:t>205  Self</w:t>
      </w:r>
      <w:r>
        <w:rPr>
          <w:noProof/>
        </w:rPr>
        <w:noBreakHyphen/>
        <w:t>incrimination</w:t>
      </w:r>
      <w:r>
        <w:rPr>
          <w:noProof/>
        </w:rPr>
        <w:tab/>
      </w:r>
      <w:r>
        <w:rPr>
          <w:noProof/>
        </w:rPr>
        <w:fldChar w:fldCharType="begin"/>
      </w:r>
      <w:r>
        <w:rPr>
          <w:noProof/>
        </w:rPr>
        <w:instrText xml:space="preserve"> PAGEREF _Toc185416059 \h </w:instrText>
      </w:r>
      <w:r>
        <w:rPr>
          <w:noProof/>
        </w:rPr>
      </w:r>
      <w:r>
        <w:rPr>
          <w:noProof/>
        </w:rPr>
        <w:fldChar w:fldCharType="separate"/>
      </w:r>
      <w:r w:rsidR="00302DB2">
        <w:rPr>
          <w:noProof/>
        </w:rPr>
        <w:t>338</w:t>
      </w:r>
      <w:r>
        <w:rPr>
          <w:noProof/>
        </w:rPr>
        <w:fldChar w:fldCharType="end"/>
      </w:r>
    </w:p>
    <w:p w14:paraId="66C1C1D2" w14:textId="4B21BB3E" w:rsidR="007931CC" w:rsidRDefault="007931CC">
      <w:pPr>
        <w:pStyle w:val="TOC5"/>
        <w:rPr>
          <w:rFonts w:asciiTheme="minorHAnsi" w:eastAsiaTheme="minorEastAsia" w:hAnsiTheme="minorHAnsi" w:cstheme="minorBidi"/>
          <w:noProof/>
          <w:kern w:val="0"/>
          <w:sz w:val="22"/>
          <w:szCs w:val="22"/>
        </w:rPr>
      </w:pPr>
      <w:r>
        <w:rPr>
          <w:noProof/>
        </w:rPr>
        <w:t xml:space="preserve">206  Division 400 and Chapter 5 of the </w:t>
      </w:r>
      <w:r w:rsidRPr="00540F8C">
        <w:rPr>
          <w:i/>
          <w:noProof/>
        </w:rPr>
        <w:t>Criminal Code</w:t>
      </w:r>
      <w:r>
        <w:rPr>
          <w:noProof/>
        </w:rPr>
        <w:tab/>
      </w:r>
      <w:r>
        <w:rPr>
          <w:noProof/>
        </w:rPr>
        <w:fldChar w:fldCharType="begin"/>
      </w:r>
      <w:r>
        <w:rPr>
          <w:noProof/>
        </w:rPr>
        <w:instrText xml:space="preserve"> PAGEREF _Toc185416060 \h </w:instrText>
      </w:r>
      <w:r>
        <w:rPr>
          <w:noProof/>
        </w:rPr>
      </w:r>
      <w:r>
        <w:rPr>
          <w:noProof/>
        </w:rPr>
        <w:fldChar w:fldCharType="separate"/>
      </w:r>
      <w:r w:rsidR="00302DB2">
        <w:rPr>
          <w:noProof/>
        </w:rPr>
        <w:t>339</w:t>
      </w:r>
      <w:r>
        <w:rPr>
          <w:noProof/>
        </w:rPr>
        <w:fldChar w:fldCharType="end"/>
      </w:r>
    </w:p>
    <w:p w14:paraId="323577F9" w14:textId="2439B1C5" w:rsidR="007931CC" w:rsidRDefault="007931CC">
      <w:pPr>
        <w:pStyle w:val="TOC5"/>
        <w:rPr>
          <w:rFonts w:asciiTheme="minorHAnsi" w:eastAsiaTheme="minorEastAsia" w:hAnsiTheme="minorHAnsi" w:cstheme="minorBidi"/>
          <w:noProof/>
          <w:kern w:val="0"/>
          <w:sz w:val="22"/>
          <w:szCs w:val="22"/>
        </w:rPr>
      </w:pPr>
      <w:r>
        <w:rPr>
          <w:noProof/>
        </w:rPr>
        <w:t>207  Disclosing existence or nature of notice</w:t>
      </w:r>
      <w:r>
        <w:rPr>
          <w:noProof/>
        </w:rPr>
        <w:tab/>
      </w:r>
      <w:r>
        <w:rPr>
          <w:noProof/>
        </w:rPr>
        <w:fldChar w:fldCharType="begin"/>
      </w:r>
      <w:r>
        <w:rPr>
          <w:noProof/>
        </w:rPr>
        <w:instrText xml:space="preserve"> PAGEREF _Toc185416061 \h </w:instrText>
      </w:r>
      <w:r>
        <w:rPr>
          <w:noProof/>
        </w:rPr>
      </w:r>
      <w:r>
        <w:rPr>
          <w:noProof/>
        </w:rPr>
        <w:fldChar w:fldCharType="separate"/>
      </w:r>
      <w:r w:rsidR="00302DB2">
        <w:rPr>
          <w:noProof/>
        </w:rPr>
        <w:t>339</w:t>
      </w:r>
      <w:r>
        <w:rPr>
          <w:noProof/>
        </w:rPr>
        <w:fldChar w:fldCharType="end"/>
      </w:r>
    </w:p>
    <w:p w14:paraId="48484766" w14:textId="59FBB5D1" w:rsidR="007931CC" w:rsidRDefault="007931CC">
      <w:pPr>
        <w:pStyle w:val="TOC2"/>
        <w:rPr>
          <w:rFonts w:asciiTheme="minorHAnsi" w:eastAsiaTheme="minorEastAsia" w:hAnsiTheme="minorHAnsi" w:cstheme="minorBidi"/>
          <w:b w:val="0"/>
          <w:noProof/>
          <w:kern w:val="0"/>
          <w:sz w:val="22"/>
          <w:szCs w:val="22"/>
        </w:rPr>
      </w:pPr>
      <w:r>
        <w:rPr>
          <w:noProof/>
        </w:rPr>
        <w:t>Part 16—Administration</w:t>
      </w:r>
      <w:r>
        <w:rPr>
          <w:noProof/>
        </w:rPr>
        <w:tab/>
      </w:r>
      <w:r>
        <w:rPr>
          <w:noProof/>
        </w:rPr>
        <w:fldChar w:fldCharType="begin"/>
      </w:r>
      <w:r>
        <w:rPr>
          <w:noProof/>
        </w:rPr>
        <w:instrText xml:space="preserve"> PAGEREF _Toc185416062 \h </w:instrText>
      </w:r>
      <w:r>
        <w:rPr>
          <w:noProof/>
        </w:rPr>
      </w:r>
      <w:r>
        <w:rPr>
          <w:noProof/>
        </w:rPr>
        <w:fldChar w:fldCharType="separate"/>
      </w:r>
      <w:r w:rsidR="00302DB2">
        <w:rPr>
          <w:noProof/>
        </w:rPr>
        <w:t>341</w:t>
      </w:r>
      <w:r>
        <w:rPr>
          <w:noProof/>
        </w:rPr>
        <w:fldChar w:fldCharType="end"/>
      </w:r>
    </w:p>
    <w:p w14:paraId="17E7F9E3" w14:textId="103E5CD8" w:rsidR="007931CC" w:rsidRDefault="007931CC">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_Toc185416063 \h </w:instrText>
      </w:r>
      <w:r>
        <w:rPr>
          <w:noProof/>
        </w:rPr>
      </w:r>
      <w:r>
        <w:rPr>
          <w:noProof/>
        </w:rPr>
        <w:fldChar w:fldCharType="separate"/>
      </w:r>
      <w:r w:rsidR="00302DB2">
        <w:rPr>
          <w:noProof/>
        </w:rPr>
        <w:t>341</w:t>
      </w:r>
      <w:r>
        <w:rPr>
          <w:noProof/>
        </w:rPr>
        <w:fldChar w:fldCharType="end"/>
      </w:r>
    </w:p>
    <w:p w14:paraId="396A272C" w14:textId="180FD493" w:rsidR="007931CC" w:rsidRDefault="007931CC">
      <w:pPr>
        <w:pStyle w:val="TOC5"/>
        <w:rPr>
          <w:rFonts w:asciiTheme="minorHAnsi" w:eastAsiaTheme="minorEastAsia" w:hAnsiTheme="minorHAnsi" w:cstheme="minorBidi"/>
          <w:noProof/>
          <w:kern w:val="0"/>
          <w:sz w:val="22"/>
          <w:szCs w:val="22"/>
        </w:rPr>
      </w:pPr>
      <w:r>
        <w:rPr>
          <w:noProof/>
        </w:rPr>
        <w:t>208  Simplified outline</w:t>
      </w:r>
      <w:r>
        <w:rPr>
          <w:noProof/>
        </w:rPr>
        <w:tab/>
      </w:r>
      <w:r>
        <w:rPr>
          <w:noProof/>
        </w:rPr>
        <w:fldChar w:fldCharType="begin"/>
      </w:r>
      <w:r>
        <w:rPr>
          <w:noProof/>
        </w:rPr>
        <w:instrText xml:space="preserve"> PAGEREF _Toc185416064 \h </w:instrText>
      </w:r>
      <w:r>
        <w:rPr>
          <w:noProof/>
        </w:rPr>
      </w:r>
      <w:r>
        <w:rPr>
          <w:noProof/>
        </w:rPr>
        <w:fldChar w:fldCharType="separate"/>
      </w:r>
      <w:r w:rsidR="00302DB2">
        <w:rPr>
          <w:noProof/>
        </w:rPr>
        <w:t>341</w:t>
      </w:r>
      <w:r>
        <w:rPr>
          <w:noProof/>
        </w:rPr>
        <w:fldChar w:fldCharType="end"/>
      </w:r>
    </w:p>
    <w:p w14:paraId="386D952E" w14:textId="5FC97EDB" w:rsidR="007931CC" w:rsidRDefault="007931CC">
      <w:pPr>
        <w:pStyle w:val="TOC3"/>
        <w:rPr>
          <w:rFonts w:asciiTheme="minorHAnsi" w:eastAsiaTheme="minorEastAsia" w:hAnsiTheme="minorHAnsi" w:cstheme="minorBidi"/>
          <w:b w:val="0"/>
          <w:noProof/>
          <w:kern w:val="0"/>
          <w:szCs w:val="22"/>
        </w:rPr>
      </w:pPr>
      <w:r>
        <w:rPr>
          <w:noProof/>
        </w:rPr>
        <w:t>Division 2—Establishment and function of AUSTRAC</w:t>
      </w:r>
      <w:r>
        <w:rPr>
          <w:noProof/>
        </w:rPr>
        <w:tab/>
      </w:r>
      <w:r>
        <w:rPr>
          <w:noProof/>
        </w:rPr>
        <w:fldChar w:fldCharType="begin"/>
      </w:r>
      <w:r>
        <w:rPr>
          <w:noProof/>
        </w:rPr>
        <w:instrText xml:space="preserve"> PAGEREF _Toc185416065 \h </w:instrText>
      </w:r>
      <w:r>
        <w:rPr>
          <w:noProof/>
        </w:rPr>
      </w:r>
      <w:r>
        <w:rPr>
          <w:noProof/>
        </w:rPr>
        <w:fldChar w:fldCharType="separate"/>
      </w:r>
      <w:r w:rsidR="00302DB2">
        <w:rPr>
          <w:noProof/>
        </w:rPr>
        <w:t>342</w:t>
      </w:r>
      <w:r>
        <w:rPr>
          <w:noProof/>
        </w:rPr>
        <w:fldChar w:fldCharType="end"/>
      </w:r>
    </w:p>
    <w:p w14:paraId="5F00E984" w14:textId="3CADD7F3" w:rsidR="007931CC" w:rsidRDefault="007931CC">
      <w:pPr>
        <w:pStyle w:val="TOC5"/>
        <w:rPr>
          <w:rFonts w:asciiTheme="minorHAnsi" w:eastAsiaTheme="minorEastAsia" w:hAnsiTheme="minorHAnsi" w:cstheme="minorBidi"/>
          <w:noProof/>
          <w:kern w:val="0"/>
          <w:sz w:val="22"/>
          <w:szCs w:val="22"/>
        </w:rPr>
      </w:pPr>
      <w:r>
        <w:rPr>
          <w:noProof/>
        </w:rPr>
        <w:t>209  Establishment of AUSTRAC</w:t>
      </w:r>
      <w:r>
        <w:rPr>
          <w:noProof/>
        </w:rPr>
        <w:tab/>
      </w:r>
      <w:r>
        <w:rPr>
          <w:noProof/>
        </w:rPr>
        <w:fldChar w:fldCharType="begin"/>
      </w:r>
      <w:r>
        <w:rPr>
          <w:noProof/>
        </w:rPr>
        <w:instrText xml:space="preserve"> PAGEREF _Toc185416066 \h </w:instrText>
      </w:r>
      <w:r>
        <w:rPr>
          <w:noProof/>
        </w:rPr>
      </w:r>
      <w:r>
        <w:rPr>
          <w:noProof/>
        </w:rPr>
        <w:fldChar w:fldCharType="separate"/>
      </w:r>
      <w:r w:rsidR="00302DB2">
        <w:rPr>
          <w:noProof/>
        </w:rPr>
        <w:t>342</w:t>
      </w:r>
      <w:r>
        <w:rPr>
          <w:noProof/>
        </w:rPr>
        <w:fldChar w:fldCharType="end"/>
      </w:r>
    </w:p>
    <w:p w14:paraId="410B44B2" w14:textId="309B5B55" w:rsidR="007931CC" w:rsidRDefault="007931CC">
      <w:pPr>
        <w:pStyle w:val="TOC5"/>
        <w:rPr>
          <w:rFonts w:asciiTheme="minorHAnsi" w:eastAsiaTheme="minorEastAsia" w:hAnsiTheme="minorHAnsi" w:cstheme="minorBidi"/>
          <w:noProof/>
          <w:kern w:val="0"/>
          <w:sz w:val="22"/>
          <w:szCs w:val="22"/>
        </w:rPr>
      </w:pPr>
      <w:r>
        <w:rPr>
          <w:noProof/>
        </w:rPr>
        <w:t>210  Function of AUSTRAC</w:t>
      </w:r>
      <w:r>
        <w:rPr>
          <w:noProof/>
        </w:rPr>
        <w:tab/>
      </w:r>
      <w:r>
        <w:rPr>
          <w:noProof/>
        </w:rPr>
        <w:fldChar w:fldCharType="begin"/>
      </w:r>
      <w:r>
        <w:rPr>
          <w:noProof/>
        </w:rPr>
        <w:instrText xml:space="preserve"> PAGEREF _Toc185416067 \h </w:instrText>
      </w:r>
      <w:r>
        <w:rPr>
          <w:noProof/>
        </w:rPr>
      </w:r>
      <w:r>
        <w:rPr>
          <w:noProof/>
        </w:rPr>
        <w:fldChar w:fldCharType="separate"/>
      </w:r>
      <w:r w:rsidR="00302DB2">
        <w:rPr>
          <w:noProof/>
        </w:rPr>
        <w:t>343</w:t>
      </w:r>
      <w:r>
        <w:rPr>
          <w:noProof/>
        </w:rPr>
        <w:fldChar w:fldCharType="end"/>
      </w:r>
    </w:p>
    <w:p w14:paraId="68572F09" w14:textId="7DA57AC2" w:rsidR="007931CC" w:rsidRDefault="007931CC">
      <w:pPr>
        <w:pStyle w:val="TOC3"/>
        <w:rPr>
          <w:rFonts w:asciiTheme="minorHAnsi" w:eastAsiaTheme="minorEastAsia" w:hAnsiTheme="minorHAnsi" w:cstheme="minorBidi"/>
          <w:b w:val="0"/>
          <w:noProof/>
          <w:kern w:val="0"/>
          <w:szCs w:val="22"/>
        </w:rPr>
      </w:pPr>
      <w:r>
        <w:rPr>
          <w:noProof/>
        </w:rPr>
        <w:t>Division 3—Chief Executive Officer of AUSTRAC</w:t>
      </w:r>
      <w:r>
        <w:rPr>
          <w:noProof/>
        </w:rPr>
        <w:tab/>
      </w:r>
      <w:r>
        <w:rPr>
          <w:noProof/>
        </w:rPr>
        <w:fldChar w:fldCharType="begin"/>
      </w:r>
      <w:r>
        <w:rPr>
          <w:noProof/>
        </w:rPr>
        <w:instrText xml:space="preserve"> PAGEREF _Toc185416068 \h </w:instrText>
      </w:r>
      <w:r>
        <w:rPr>
          <w:noProof/>
        </w:rPr>
      </w:r>
      <w:r>
        <w:rPr>
          <w:noProof/>
        </w:rPr>
        <w:fldChar w:fldCharType="separate"/>
      </w:r>
      <w:r w:rsidR="00302DB2">
        <w:rPr>
          <w:noProof/>
        </w:rPr>
        <w:t>344</w:t>
      </w:r>
      <w:r>
        <w:rPr>
          <w:noProof/>
        </w:rPr>
        <w:fldChar w:fldCharType="end"/>
      </w:r>
    </w:p>
    <w:p w14:paraId="73B46C52" w14:textId="0FACFDE0" w:rsidR="007931CC" w:rsidRDefault="007931CC">
      <w:pPr>
        <w:pStyle w:val="TOC4"/>
        <w:rPr>
          <w:rFonts w:asciiTheme="minorHAnsi" w:eastAsiaTheme="minorEastAsia" w:hAnsiTheme="minorHAnsi" w:cstheme="minorBidi"/>
          <w:b w:val="0"/>
          <w:noProof/>
          <w:kern w:val="0"/>
          <w:sz w:val="22"/>
          <w:szCs w:val="22"/>
        </w:rPr>
      </w:pPr>
      <w:r>
        <w:rPr>
          <w:noProof/>
        </w:rPr>
        <w:t>Subdivision A—Office and functions of the AUSTRAC CEO</w:t>
      </w:r>
      <w:r>
        <w:rPr>
          <w:noProof/>
        </w:rPr>
        <w:tab/>
      </w:r>
      <w:r>
        <w:rPr>
          <w:noProof/>
        </w:rPr>
        <w:fldChar w:fldCharType="begin"/>
      </w:r>
      <w:r>
        <w:rPr>
          <w:noProof/>
        </w:rPr>
        <w:instrText xml:space="preserve"> PAGEREF _Toc185416069 \h </w:instrText>
      </w:r>
      <w:r>
        <w:rPr>
          <w:noProof/>
        </w:rPr>
      </w:r>
      <w:r>
        <w:rPr>
          <w:noProof/>
        </w:rPr>
        <w:fldChar w:fldCharType="separate"/>
      </w:r>
      <w:r w:rsidR="00302DB2">
        <w:rPr>
          <w:noProof/>
        </w:rPr>
        <w:t>344</w:t>
      </w:r>
      <w:r>
        <w:rPr>
          <w:noProof/>
        </w:rPr>
        <w:fldChar w:fldCharType="end"/>
      </w:r>
    </w:p>
    <w:p w14:paraId="6BAC6FE3" w14:textId="2322A530" w:rsidR="007931CC" w:rsidRDefault="007931CC">
      <w:pPr>
        <w:pStyle w:val="TOC5"/>
        <w:rPr>
          <w:rFonts w:asciiTheme="minorHAnsi" w:eastAsiaTheme="minorEastAsia" w:hAnsiTheme="minorHAnsi" w:cstheme="minorBidi"/>
          <w:noProof/>
          <w:kern w:val="0"/>
          <w:sz w:val="22"/>
          <w:szCs w:val="22"/>
        </w:rPr>
      </w:pPr>
      <w:r>
        <w:rPr>
          <w:noProof/>
        </w:rPr>
        <w:t>211  AUSTRAC CEO</w:t>
      </w:r>
      <w:r>
        <w:rPr>
          <w:noProof/>
        </w:rPr>
        <w:tab/>
      </w:r>
      <w:r>
        <w:rPr>
          <w:noProof/>
        </w:rPr>
        <w:fldChar w:fldCharType="begin"/>
      </w:r>
      <w:r>
        <w:rPr>
          <w:noProof/>
        </w:rPr>
        <w:instrText xml:space="preserve"> PAGEREF _Toc185416070 \h </w:instrText>
      </w:r>
      <w:r>
        <w:rPr>
          <w:noProof/>
        </w:rPr>
      </w:r>
      <w:r>
        <w:rPr>
          <w:noProof/>
        </w:rPr>
        <w:fldChar w:fldCharType="separate"/>
      </w:r>
      <w:r w:rsidR="00302DB2">
        <w:rPr>
          <w:noProof/>
        </w:rPr>
        <w:t>344</w:t>
      </w:r>
      <w:r>
        <w:rPr>
          <w:noProof/>
        </w:rPr>
        <w:fldChar w:fldCharType="end"/>
      </w:r>
    </w:p>
    <w:p w14:paraId="514D3918" w14:textId="2B09BAE3" w:rsidR="007931CC" w:rsidRDefault="007931CC">
      <w:pPr>
        <w:pStyle w:val="TOC5"/>
        <w:rPr>
          <w:rFonts w:asciiTheme="minorHAnsi" w:eastAsiaTheme="minorEastAsia" w:hAnsiTheme="minorHAnsi" w:cstheme="minorBidi"/>
          <w:noProof/>
          <w:kern w:val="0"/>
          <w:sz w:val="22"/>
          <w:szCs w:val="22"/>
        </w:rPr>
      </w:pPr>
      <w:r>
        <w:rPr>
          <w:noProof/>
        </w:rPr>
        <w:t>212  Functions of the AUSTRAC CEO</w:t>
      </w:r>
      <w:r>
        <w:rPr>
          <w:noProof/>
        </w:rPr>
        <w:tab/>
      </w:r>
      <w:r>
        <w:rPr>
          <w:noProof/>
        </w:rPr>
        <w:fldChar w:fldCharType="begin"/>
      </w:r>
      <w:r>
        <w:rPr>
          <w:noProof/>
        </w:rPr>
        <w:instrText xml:space="preserve"> PAGEREF _Toc185416071 \h </w:instrText>
      </w:r>
      <w:r>
        <w:rPr>
          <w:noProof/>
        </w:rPr>
      </w:r>
      <w:r>
        <w:rPr>
          <w:noProof/>
        </w:rPr>
        <w:fldChar w:fldCharType="separate"/>
      </w:r>
      <w:r w:rsidR="00302DB2">
        <w:rPr>
          <w:noProof/>
        </w:rPr>
        <w:t>344</w:t>
      </w:r>
      <w:r>
        <w:rPr>
          <w:noProof/>
        </w:rPr>
        <w:fldChar w:fldCharType="end"/>
      </w:r>
    </w:p>
    <w:p w14:paraId="1A9441A3" w14:textId="2D369DF7" w:rsidR="007931CC" w:rsidRDefault="007931CC">
      <w:pPr>
        <w:pStyle w:val="TOC5"/>
        <w:rPr>
          <w:rFonts w:asciiTheme="minorHAnsi" w:eastAsiaTheme="minorEastAsia" w:hAnsiTheme="minorHAnsi" w:cstheme="minorBidi"/>
          <w:noProof/>
          <w:kern w:val="0"/>
          <w:sz w:val="22"/>
          <w:szCs w:val="22"/>
        </w:rPr>
      </w:pPr>
      <w:r>
        <w:rPr>
          <w:noProof/>
        </w:rPr>
        <w:t>213  Policy principles</w:t>
      </w:r>
      <w:r>
        <w:rPr>
          <w:noProof/>
        </w:rPr>
        <w:tab/>
      </w:r>
      <w:r>
        <w:rPr>
          <w:noProof/>
        </w:rPr>
        <w:fldChar w:fldCharType="begin"/>
      </w:r>
      <w:r>
        <w:rPr>
          <w:noProof/>
        </w:rPr>
        <w:instrText xml:space="preserve"> PAGEREF _Toc185416072 \h </w:instrText>
      </w:r>
      <w:r>
        <w:rPr>
          <w:noProof/>
        </w:rPr>
      </w:r>
      <w:r>
        <w:rPr>
          <w:noProof/>
        </w:rPr>
        <w:fldChar w:fldCharType="separate"/>
      </w:r>
      <w:r w:rsidR="00302DB2">
        <w:rPr>
          <w:noProof/>
        </w:rPr>
        <w:t>347</w:t>
      </w:r>
      <w:r>
        <w:rPr>
          <w:noProof/>
        </w:rPr>
        <w:fldChar w:fldCharType="end"/>
      </w:r>
    </w:p>
    <w:p w14:paraId="44A6BD9E" w14:textId="52FB98B5" w:rsidR="007931CC" w:rsidRDefault="007931CC">
      <w:pPr>
        <w:pStyle w:val="TOC4"/>
        <w:rPr>
          <w:rFonts w:asciiTheme="minorHAnsi" w:eastAsiaTheme="minorEastAsia" w:hAnsiTheme="minorHAnsi" w:cstheme="minorBidi"/>
          <w:b w:val="0"/>
          <w:noProof/>
          <w:kern w:val="0"/>
          <w:sz w:val="22"/>
          <w:szCs w:val="22"/>
        </w:rPr>
      </w:pPr>
      <w:r>
        <w:rPr>
          <w:noProof/>
        </w:rPr>
        <w:t>Subdivision B—Appointment of the AUSTRAC CEO etc.</w:t>
      </w:r>
      <w:r>
        <w:rPr>
          <w:noProof/>
        </w:rPr>
        <w:tab/>
      </w:r>
      <w:r>
        <w:rPr>
          <w:noProof/>
        </w:rPr>
        <w:fldChar w:fldCharType="begin"/>
      </w:r>
      <w:r>
        <w:rPr>
          <w:noProof/>
        </w:rPr>
        <w:instrText xml:space="preserve"> PAGEREF _Toc185416073 \h </w:instrText>
      </w:r>
      <w:r>
        <w:rPr>
          <w:noProof/>
        </w:rPr>
      </w:r>
      <w:r>
        <w:rPr>
          <w:noProof/>
        </w:rPr>
        <w:fldChar w:fldCharType="separate"/>
      </w:r>
      <w:r w:rsidR="00302DB2">
        <w:rPr>
          <w:noProof/>
        </w:rPr>
        <w:t>347</w:t>
      </w:r>
      <w:r>
        <w:rPr>
          <w:noProof/>
        </w:rPr>
        <w:fldChar w:fldCharType="end"/>
      </w:r>
    </w:p>
    <w:p w14:paraId="4BC5211A" w14:textId="394424A8" w:rsidR="007931CC" w:rsidRDefault="007931CC">
      <w:pPr>
        <w:pStyle w:val="TOC5"/>
        <w:rPr>
          <w:rFonts w:asciiTheme="minorHAnsi" w:eastAsiaTheme="minorEastAsia" w:hAnsiTheme="minorHAnsi" w:cstheme="minorBidi"/>
          <w:noProof/>
          <w:kern w:val="0"/>
          <w:sz w:val="22"/>
          <w:szCs w:val="22"/>
        </w:rPr>
      </w:pPr>
      <w:r>
        <w:rPr>
          <w:noProof/>
        </w:rPr>
        <w:t>214  Appointment of the AUSTRAC CEO etc.</w:t>
      </w:r>
      <w:r>
        <w:rPr>
          <w:noProof/>
        </w:rPr>
        <w:tab/>
      </w:r>
      <w:r>
        <w:rPr>
          <w:noProof/>
        </w:rPr>
        <w:fldChar w:fldCharType="begin"/>
      </w:r>
      <w:r>
        <w:rPr>
          <w:noProof/>
        </w:rPr>
        <w:instrText xml:space="preserve"> PAGEREF _Toc185416074 \h </w:instrText>
      </w:r>
      <w:r>
        <w:rPr>
          <w:noProof/>
        </w:rPr>
      </w:r>
      <w:r>
        <w:rPr>
          <w:noProof/>
        </w:rPr>
        <w:fldChar w:fldCharType="separate"/>
      </w:r>
      <w:r w:rsidR="00302DB2">
        <w:rPr>
          <w:noProof/>
        </w:rPr>
        <w:t>347</w:t>
      </w:r>
      <w:r>
        <w:rPr>
          <w:noProof/>
        </w:rPr>
        <w:fldChar w:fldCharType="end"/>
      </w:r>
    </w:p>
    <w:p w14:paraId="6493BFF4" w14:textId="3A6777AE" w:rsidR="007931CC" w:rsidRDefault="007931CC">
      <w:pPr>
        <w:pStyle w:val="TOC5"/>
        <w:rPr>
          <w:rFonts w:asciiTheme="minorHAnsi" w:eastAsiaTheme="minorEastAsia" w:hAnsiTheme="minorHAnsi" w:cstheme="minorBidi"/>
          <w:noProof/>
          <w:kern w:val="0"/>
          <w:sz w:val="22"/>
          <w:szCs w:val="22"/>
        </w:rPr>
      </w:pPr>
      <w:r>
        <w:rPr>
          <w:noProof/>
        </w:rPr>
        <w:t>215  Remuneration and allowances of the AUSTRAC CEO</w:t>
      </w:r>
      <w:r>
        <w:rPr>
          <w:noProof/>
        </w:rPr>
        <w:tab/>
      </w:r>
      <w:r>
        <w:rPr>
          <w:noProof/>
        </w:rPr>
        <w:fldChar w:fldCharType="begin"/>
      </w:r>
      <w:r>
        <w:rPr>
          <w:noProof/>
        </w:rPr>
        <w:instrText xml:space="preserve"> PAGEREF _Toc185416075 \h </w:instrText>
      </w:r>
      <w:r>
        <w:rPr>
          <w:noProof/>
        </w:rPr>
      </w:r>
      <w:r>
        <w:rPr>
          <w:noProof/>
        </w:rPr>
        <w:fldChar w:fldCharType="separate"/>
      </w:r>
      <w:r w:rsidR="00302DB2">
        <w:rPr>
          <w:noProof/>
        </w:rPr>
        <w:t>347</w:t>
      </w:r>
      <w:r>
        <w:rPr>
          <w:noProof/>
        </w:rPr>
        <w:fldChar w:fldCharType="end"/>
      </w:r>
    </w:p>
    <w:p w14:paraId="1337E7DC" w14:textId="46B4A9AE" w:rsidR="007931CC" w:rsidRDefault="007931CC">
      <w:pPr>
        <w:pStyle w:val="TOC5"/>
        <w:rPr>
          <w:rFonts w:asciiTheme="minorHAnsi" w:eastAsiaTheme="minorEastAsia" w:hAnsiTheme="minorHAnsi" w:cstheme="minorBidi"/>
          <w:noProof/>
          <w:kern w:val="0"/>
          <w:sz w:val="22"/>
          <w:szCs w:val="22"/>
        </w:rPr>
      </w:pPr>
      <w:r>
        <w:rPr>
          <w:noProof/>
        </w:rPr>
        <w:t>216  Leave of absence of the AUSTRAC CEO</w:t>
      </w:r>
      <w:r>
        <w:rPr>
          <w:noProof/>
        </w:rPr>
        <w:tab/>
      </w:r>
      <w:r>
        <w:rPr>
          <w:noProof/>
        </w:rPr>
        <w:fldChar w:fldCharType="begin"/>
      </w:r>
      <w:r>
        <w:rPr>
          <w:noProof/>
        </w:rPr>
        <w:instrText xml:space="preserve"> PAGEREF _Toc185416076 \h </w:instrText>
      </w:r>
      <w:r>
        <w:rPr>
          <w:noProof/>
        </w:rPr>
      </w:r>
      <w:r>
        <w:rPr>
          <w:noProof/>
        </w:rPr>
        <w:fldChar w:fldCharType="separate"/>
      </w:r>
      <w:r w:rsidR="00302DB2">
        <w:rPr>
          <w:noProof/>
        </w:rPr>
        <w:t>348</w:t>
      </w:r>
      <w:r>
        <w:rPr>
          <w:noProof/>
        </w:rPr>
        <w:fldChar w:fldCharType="end"/>
      </w:r>
    </w:p>
    <w:p w14:paraId="62C68BD5" w14:textId="3974C01D" w:rsidR="007931CC" w:rsidRDefault="007931CC">
      <w:pPr>
        <w:pStyle w:val="TOC5"/>
        <w:rPr>
          <w:rFonts w:asciiTheme="minorHAnsi" w:eastAsiaTheme="minorEastAsia" w:hAnsiTheme="minorHAnsi" w:cstheme="minorBidi"/>
          <w:noProof/>
          <w:kern w:val="0"/>
          <w:sz w:val="22"/>
          <w:szCs w:val="22"/>
        </w:rPr>
      </w:pPr>
      <w:r>
        <w:rPr>
          <w:noProof/>
        </w:rPr>
        <w:t>217  Resignation of the AUSTRAC CEO</w:t>
      </w:r>
      <w:r>
        <w:rPr>
          <w:noProof/>
        </w:rPr>
        <w:tab/>
      </w:r>
      <w:r>
        <w:rPr>
          <w:noProof/>
        </w:rPr>
        <w:fldChar w:fldCharType="begin"/>
      </w:r>
      <w:r>
        <w:rPr>
          <w:noProof/>
        </w:rPr>
        <w:instrText xml:space="preserve"> PAGEREF _Toc185416077 \h </w:instrText>
      </w:r>
      <w:r>
        <w:rPr>
          <w:noProof/>
        </w:rPr>
      </w:r>
      <w:r>
        <w:rPr>
          <w:noProof/>
        </w:rPr>
        <w:fldChar w:fldCharType="separate"/>
      </w:r>
      <w:r w:rsidR="00302DB2">
        <w:rPr>
          <w:noProof/>
        </w:rPr>
        <w:t>348</w:t>
      </w:r>
      <w:r>
        <w:rPr>
          <w:noProof/>
        </w:rPr>
        <w:fldChar w:fldCharType="end"/>
      </w:r>
    </w:p>
    <w:p w14:paraId="75EF4AF5" w14:textId="0A7F1214" w:rsidR="007931CC" w:rsidRDefault="007931CC">
      <w:pPr>
        <w:pStyle w:val="TOC5"/>
        <w:rPr>
          <w:rFonts w:asciiTheme="minorHAnsi" w:eastAsiaTheme="minorEastAsia" w:hAnsiTheme="minorHAnsi" w:cstheme="minorBidi"/>
          <w:noProof/>
          <w:kern w:val="0"/>
          <w:sz w:val="22"/>
          <w:szCs w:val="22"/>
        </w:rPr>
      </w:pPr>
      <w:r>
        <w:rPr>
          <w:noProof/>
        </w:rPr>
        <w:t>219  Termination of the AUSTRAC CEO’s appointment</w:t>
      </w:r>
      <w:r>
        <w:rPr>
          <w:noProof/>
        </w:rPr>
        <w:tab/>
      </w:r>
      <w:r>
        <w:rPr>
          <w:noProof/>
        </w:rPr>
        <w:fldChar w:fldCharType="begin"/>
      </w:r>
      <w:r>
        <w:rPr>
          <w:noProof/>
        </w:rPr>
        <w:instrText xml:space="preserve"> PAGEREF _Toc185416078 \h </w:instrText>
      </w:r>
      <w:r>
        <w:rPr>
          <w:noProof/>
        </w:rPr>
      </w:r>
      <w:r>
        <w:rPr>
          <w:noProof/>
        </w:rPr>
        <w:fldChar w:fldCharType="separate"/>
      </w:r>
      <w:r w:rsidR="00302DB2">
        <w:rPr>
          <w:noProof/>
        </w:rPr>
        <w:t>348</w:t>
      </w:r>
      <w:r>
        <w:rPr>
          <w:noProof/>
        </w:rPr>
        <w:fldChar w:fldCharType="end"/>
      </w:r>
    </w:p>
    <w:p w14:paraId="781B9E60" w14:textId="418BA8DC" w:rsidR="007931CC" w:rsidRDefault="007931CC">
      <w:pPr>
        <w:pStyle w:val="TOC5"/>
        <w:rPr>
          <w:rFonts w:asciiTheme="minorHAnsi" w:eastAsiaTheme="minorEastAsia" w:hAnsiTheme="minorHAnsi" w:cstheme="minorBidi"/>
          <w:noProof/>
          <w:kern w:val="0"/>
          <w:sz w:val="22"/>
          <w:szCs w:val="22"/>
        </w:rPr>
      </w:pPr>
      <w:r>
        <w:rPr>
          <w:noProof/>
        </w:rPr>
        <w:t>220  Other terms and conditions</w:t>
      </w:r>
      <w:r>
        <w:rPr>
          <w:noProof/>
        </w:rPr>
        <w:tab/>
      </w:r>
      <w:r>
        <w:rPr>
          <w:noProof/>
        </w:rPr>
        <w:fldChar w:fldCharType="begin"/>
      </w:r>
      <w:r>
        <w:rPr>
          <w:noProof/>
        </w:rPr>
        <w:instrText xml:space="preserve"> PAGEREF _Toc185416079 \h </w:instrText>
      </w:r>
      <w:r>
        <w:rPr>
          <w:noProof/>
        </w:rPr>
      </w:r>
      <w:r>
        <w:rPr>
          <w:noProof/>
        </w:rPr>
        <w:fldChar w:fldCharType="separate"/>
      </w:r>
      <w:r w:rsidR="00302DB2">
        <w:rPr>
          <w:noProof/>
        </w:rPr>
        <w:t>350</w:t>
      </w:r>
      <w:r>
        <w:rPr>
          <w:noProof/>
        </w:rPr>
        <w:fldChar w:fldCharType="end"/>
      </w:r>
    </w:p>
    <w:p w14:paraId="5697AF00" w14:textId="2E9B6102" w:rsidR="007931CC" w:rsidRDefault="007931CC">
      <w:pPr>
        <w:pStyle w:val="TOC5"/>
        <w:rPr>
          <w:rFonts w:asciiTheme="minorHAnsi" w:eastAsiaTheme="minorEastAsia" w:hAnsiTheme="minorHAnsi" w:cstheme="minorBidi"/>
          <w:noProof/>
          <w:kern w:val="0"/>
          <w:sz w:val="22"/>
          <w:szCs w:val="22"/>
        </w:rPr>
      </w:pPr>
      <w:r>
        <w:rPr>
          <w:noProof/>
        </w:rPr>
        <w:t>221  Acting appointments</w:t>
      </w:r>
      <w:r>
        <w:rPr>
          <w:noProof/>
        </w:rPr>
        <w:tab/>
      </w:r>
      <w:r>
        <w:rPr>
          <w:noProof/>
        </w:rPr>
        <w:fldChar w:fldCharType="begin"/>
      </w:r>
      <w:r>
        <w:rPr>
          <w:noProof/>
        </w:rPr>
        <w:instrText xml:space="preserve"> PAGEREF _Toc185416080 \h </w:instrText>
      </w:r>
      <w:r>
        <w:rPr>
          <w:noProof/>
        </w:rPr>
      </w:r>
      <w:r>
        <w:rPr>
          <w:noProof/>
        </w:rPr>
        <w:fldChar w:fldCharType="separate"/>
      </w:r>
      <w:r w:rsidR="00302DB2">
        <w:rPr>
          <w:noProof/>
        </w:rPr>
        <w:t>350</w:t>
      </w:r>
      <w:r>
        <w:rPr>
          <w:noProof/>
        </w:rPr>
        <w:fldChar w:fldCharType="end"/>
      </w:r>
    </w:p>
    <w:p w14:paraId="14218305" w14:textId="0F12AFE5" w:rsidR="007931CC" w:rsidRDefault="007931CC">
      <w:pPr>
        <w:pStyle w:val="TOC5"/>
        <w:rPr>
          <w:rFonts w:asciiTheme="minorHAnsi" w:eastAsiaTheme="minorEastAsia" w:hAnsiTheme="minorHAnsi" w:cstheme="minorBidi"/>
          <w:noProof/>
          <w:kern w:val="0"/>
          <w:sz w:val="22"/>
          <w:szCs w:val="22"/>
        </w:rPr>
      </w:pPr>
      <w:r>
        <w:rPr>
          <w:noProof/>
        </w:rPr>
        <w:t>222  Delegation by the AUSTRAC CEO</w:t>
      </w:r>
      <w:r>
        <w:rPr>
          <w:noProof/>
        </w:rPr>
        <w:tab/>
      </w:r>
      <w:r>
        <w:rPr>
          <w:noProof/>
        </w:rPr>
        <w:fldChar w:fldCharType="begin"/>
      </w:r>
      <w:r>
        <w:rPr>
          <w:noProof/>
        </w:rPr>
        <w:instrText xml:space="preserve"> PAGEREF _Toc185416081 \h </w:instrText>
      </w:r>
      <w:r>
        <w:rPr>
          <w:noProof/>
        </w:rPr>
      </w:r>
      <w:r>
        <w:rPr>
          <w:noProof/>
        </w:rPr>
        <w:fldChar w:fldCharType="separate"/>
      </w:r>
      <w:r w:rsidR="00302DB2">
        <w:rPr>
          <w:noProof/>
        </w:rPr>
        <w:t>350</w:t>
      </w:r>
      <w:r>
        <w:rPr>
          <w:noProof/>
        </w:rPr>
        <w:fldChar w:fldCharType="end"/>
      </w:r>
    </w:p>
    <w:p w14:paraId="64AC1F7F" w14:textId="2A0A11C4" w:rsidR="007931CC" w:rsidRDefault="007931CC">
      <w:pPr>
        <w:pStyle w:val="TOC5"/>
        <w:rPr>
          <w:rFonts w:asciiTheme="minorHAnsi" w:eastAsiaTheme="minorEastAsia" w:hAnsiTheme="minorHAnsi" w:cstheme="minorBidi"/>
          <w:noProof/>
          <w:kern w:val="0"/>
          <w:sz w:val="22"/>
          <w:szCs w:val="22"/>
        </w:rPr>
      </w:pPr>
      <w:r>
        <w:rPr>
          <w:noProof/>
        </w:rPr>
        <w:t>223  Secretary may require the AUSTRAC CEO to give information</w:t>
      </w:r>
      <w:r>
        <w:rPr>
          <w:noProof/>
        </w:rPr>
        <w:tab/>
      </w:r>
      <w:r>
        <w:rPr>
          <w:noProof/>
        </w:rPr>
        <w:fldChar w:fldCharType="begin"/>
      </w:r>
      <w:r>
        <w:rPr>
          <w:noProof/>
        </w:rPr>
        <w:instrText xml:space="preserve"> PAGEREF _Toc185416082 \h </w:instrText>
      </w:r>
      <w:r>
        <w:rPr>
          <w:noProof/>
        </w:rPr>
      </w:r>
      <w:r>
        <w:rPr>
          <w:noProof/>
        </w:rPr>
        <w:fldChar w:fldCharType="separate"/>
      </w:r>
      <w:r w:rsidR="00302DB2">
        <w:rPr>
          <w:noProof/>
        </w:rPr>
        <w:t>350</w:t>
      </w:r>
      <w:r>
        <w:rPr>
          <w:noProof/>
        </w:rPr>
        <w:fldChar w:fldCharType="end"/>
      </w:r>
    </w:p>
    <w:p w14:paraId="3A412C52" w14:textId="5AA64451" w:rsidR="007931CC" w:rsidRDefault="007931CC">
      <w:pPr>
        <w:pStyle w:val="TOC3"/>
        <w:rPr>
          <w:rFonts w:asciiTheme="minorHAnsi" w:eastAsiaTheme="minorEastAsia" w:hAnsiTheme="minorHAnsi" w:cstheme="minorBidi"/>
          <w:b w:val="0"/>
          <w:noProof/>
          <w:kern w:val="0"/>
          <w:szCs w:val="22"/>
        </w:rPr>
      </w:pPr>
      <w:r>
        <w:rPr>
          <w:noProof/>
        </w:rPr>
        <w:t>Division 4—Staff of AUSTRAC etc.</w:t>
      </w:r>
      <w:r>
        <w:rPr>
          <w:noProof/>
        </w:rPr>
        <w:tab/>
      </w:r>
      <w:r>
        <w:rPr>
          <w:noProof/>
        </w:rPr>
        <w:fldChar w:fldCharType="begin"/>
      </w:r>
      <w:r>
        <w:rPr>
          <w:noProof/>
        </w:rPr>
        <w:instrText xml:space="preserve"> PAGEREF _Toc185416083 \h </w:instrText>
      </w:r>
      <w:r>
        <w:rPr>
          <w:noProof/>
        </w:rPr>
      </w:r>
      <w:r>
        <w:rPr>
          <w:noProof/>
        </w:rPr>
        <w:fldChar w:fldCharType="separate"/>
      </w:r>
      <w:r w:rsidR="00302DB2">
        <w:rPr>
          <w:noProof/>
        </w:rPr>
        <w:t>352</w:t>
      </w:r>
      <w:r>
        <w:rPr>
          <w:noProof/>
        </w:rPr>
        <w:fldChar w:fldCharType="end"/>
      </w:r>
    </w:p>
    <w:p w14:paraId="714E0FD1" w14:textId="540A91C2" w:rsidR="007931CC" w:rsidRDefault="007931CC">
      <w:pPr>
        <w:pStyle w:val="TOC5"/>
        <w:rPr>
          <w:rFonts w:asciiTheme="minorHAnsi" w:eastAsiaTheme="minorEastAsia" w:hAnsiTheme="minorHAnsi" w:cstheme="minorBidi"/>
          <w:noProof/>
          <w:kern w:val="0"/>
          <w:sz w:val="22"/>
          <w:szCs w:val="22"/>
        </w:rPr>
      </w:pPr>
      <w:r>
        <w:rPr>
          <w:noProof/>
        </w:rPr>
        <w:t>224  Staff of AUSTRAC</w:t>
      </w:r>
      <w:r>
        <w:rPr>
          <w:noProof/>
        </w:rPr>
        <w:tab/>
      </w:r>
      <w:r>
        <w:rPr>
          <w:noProof/>
        </w:rPr>
        <w:fldChar w:fldCharType="begin"/>
      </w:r>
      <w:r>
        <w:rPr>
          <w:noProof/>
        </w:rPr>
        <w:instrText xml:space="preserve"> PAGEREF _Toc185416084 \h </w:instrText>
      </w:r>
      <w:r>
        <w:rPr>
          <w:noProof/>
        </w:rPr>
      </w:r>
      <w:r>
        <w:rPr>
          <w:noProof/>
        </w:rPr>
        <w:fldChar w:fldCharType="separate"/>
      </w:r>
      <w:r w:rsidR="00302DB2">
        <w:rPr>
          <w:noProof/>
        </w:rPr>
        <w:t>352</w:t>
      </w:r>
      <w:r>
        <w:rPr>
          <w:noProof/>
        </w:rPr>
        <w:fldChar w:fldCharType="end"/>
      </w:r>
    </w:p>
    <w:p w14:paraId="5AC1B072" w14:textId="2CF0905D" w:rsidR="007931CC" w:rsidRDefault="007931CC">
      <w:pPr>
        <w:pStyle w:val="TOC5"/>
        <w:rPr>
          <w:rFonts w:asciiTheme="minorHAnsi" w:eastAsiaTheme="minorEastAsia" w:hAnsiTheme="minorHAnsi" w:cstheme="minorBidi"/>
          <w:noProof/>
          <w:kern w:val="0"/>
          <w:sz w:val="22"/>
          <w:szCs w:val="22"/>
        </w:rPr>
      </w:pPr>
      <w:r>
        <w:rPr>
          <w:noProof/>
        </w:rPr>
        <w:t>225  Consultants and persons seconded to AUSTRAC</w:t>
      </w:r>
      <w:r>
        <w:rPr>
          <w:noProof/>
        </w:rPr>
        <w:tab/>
      </w:r>
      <w:r>
        <w:rPr>
          <w:noProof/>
        </w:rPr>
        <w:fldChar w:fldCharType="begin"/>
      </w:r>
      <w:r>
        <w:rPr>
          <w:noProof/>
        </w:rPr>
        <w:instrText xml:space="preserve"> PAGEREF _Toc185416085 \h </w:instrText>
      </w:r>
      <w:r>
        <w:rPr>
          <w:noProof/>
        </w:rPr>
      </w:r>
      <w:r>
        <w:rPr>
          <w:noProof/>
        </w:rPr>
        <w:fldChar w:fldCharType="separate"/>
      </w:r>
      <w:r w:rsidR="00302DB2">
        <w:rPr>
          <w:noProof/>
        </w:rPr>
        <w:t>352</w:t>
      </w:r>
      <w:r>
        <w:rPr>
          <w:noProof/>
        </w:rPr>
        <w:fldChar w:fldCharType="end"/>
      </w:r>
    </w:p>
    <w:p w14:paraId="539AF86E" w14:textId="3EAADA88" w:rsidR="007931CC" w:rsidRDefault="007931CC">
      <w:pPr>
        <w:pStyle w:val="TOC3"/>
        <w:rPr>
          <w:rFonts w:asciiTheme="minorHAnsi" w:eastAsiaTheme="minorEastAsia" w:hAnsiTheme="minorHAnsi" w:cstheme="minorBidi"/>
          <w:b w:val="0"/>
          <w:noProof/>
          <w:kern w:val="0"/>
          <w:szCs w:val="22"/>
        </w:rPr>
      </w:pPr>
      <w:r>
        <w:rPr>
          <w:noProof/>
        </w:rPr>
        <w:t>Division 6—Directions by Minister</w:t>
      </w:r>
      <w:r>
        <w:rPr>
          <w:noProof/>
        </w:rPr>
        <w:tab/>
      </w:r>
      <w:r>
        <w:rPr>
          <w:noProof/>
        </w:rPr>
        <w:fldChar w:fldCharType="begin"/>
      </w:r>
      <w:r>
        <w:rPr>
          <w:noProof/>
        </w:rPr>
        <w:instrText xml:space="preserve"> PAGEREF _Toc185416086 \h </w:instrText>
      </w:r>
      <w:r>
        <w:rPr>
          <w:noProof/>
        </w:rPr>
      </w:r>
      <w:r>
        <w:rPr>
          <w:noProof/>
        </w:rPr>
        <w:fldChar w:fldCharType="separate"/>
      </w:r>
      <w:r w:rsidR="00302DB2">
        <w:rPr>
          <w:noProof/>
        </w:rPr>
        <w:t>354</w:t>
      </w:r>
      <w:r>
        <w:rPr>
          <w:noProof/>
        </w:rPr>
        <w:fldChar w:fldCharType="end"/>
      </w:r>
    </w:p>
    <w:p w14:paraId="7B3966D4" w14:textId="641B635F" w:rsidR="007931CC" w:rsidRDefault="007931CC">
      <w:pPr>
        <w:pStyle w:val="TOC5"/>
        <w:rPr>
          <w:rFonts w:asciiTheme="minorHAnsi" w:eastAsiaTheme="minorEastAsia" w:hAnsiTheme="minorHAnsi" w:cstheme="minorBidi"/>
          <w:noProof/>
          <w:kern w:val="0"/>
          <w:sz w:val="22"/>
          <w:szCs w:val="22"/>
        </w:rPr>
      </w:pPr>
      <w:r>
        <w:rPr>
          <w:noProof/>
        </w:rPr>
        <w:t>228  Directions by Minister</w:t>
      </w:r>
      <w:r>
        <w:rPr>
          <w:noProof/>
        </w:rPr>
        <w:tab/>
      </w:r>
      <w:r>
        <w:rPr>
          <w:noProof/>
        </w:rPr>
        <w:fldChar w:fldCharType="begin"/>
      </w:r>
      <w:r>
        <w:rPr>
          <w:noProof/>
        </w:rPr>
        <w:instrText xml:space="preserve"> PAGEREF _Toc185416087 \h </w:instrText>
      </w:r>
      <w:r>
        <w:rPr>
          <w:noProof/>
        </w:rPr>
      </w:r>
      <w:r>
        <w:rPr>
          <w:noProof/>
        </w:rPr>
        <w:fldChar w:fldCharType="separate"/>
      </w:r>
      <w:r w:rsidR="00302DB2">
        <w:rPr>
          <w:noProof/>
        </w:rPr>
        <w:t>354</w:t>
      </w:r>
      <w:r>
        <w:rPr>
          <w:noProof/>
        </w:rPr>
        <w:fldChar w:fldCharType="end"/>
      </w:r>
    </w:p>
    <w:p w14:paraId="642ACF2C" w14:textId="2CFA2BC0" w:rsidR="007931CC" w:rsidRDefault="007931CC">
      <w:pPr>
        <w:pStyle w:val="TOC3"/>
        <w:rPr>
          <w:rFonts w:asciiTheme="minorHAnsi" w:eastAsiaTheme="minorEastAsia" w:hAnsiTheme="minorHAnsi" w:cstheme="minorBidi"/>
          <w:b w:val="0"/>
          <w:noProof/>
          <w:kern w:val="0"/>
          <w:szCs w:val="22"/>
        </w:rPr>
      </w:pPr>
      <w:r>
        <w:rPr>
          <w:noProof/>
        </w:rPr>
        <w:t>Division 6A—AUSTRAC CEO may use computers to take administrative action</w:t>
      </w:r>
      <w:r>
        <w:rPr>
          <w:noProof/>
        </w:rPr>
        <w:tab/>
      </w:r>
      <w:r>
        <w:rPr>
          <w:noProof/>
        </w:rPr>
        <w:fldChar w:fldCharType="begin"/>
      </w:r>
      <w:r>
        <w:rPr>
          <w:noProof/>
        </w:rPr>
        <w:instrText xml:space="preserve"> PAGEREF _Toc185416088 \h </w:instrText>
      </w:r>
      <w:r>
        <w:rPr>
          <w:noProof/>
        </w:rPr>
      </w:r>
      <w:r>
        <w:rPr>
          <w:noProof/>
        </w:rPr>
        <w:fldChar w:fldCharType="separate"/>
      </w:r>
      <w:r w:rsidR="00302DB2">
        <w:rPr>
          <w:noProof/>
        </w:rPr>
        <w:t>355</w:t>
      </w:r>
      <w:r>
        <w:rPr>
          <w:noProof/>
        </w:rPr>
        <w:fldChar w:fldCharType="end"/>
      </w:r>
    </w:p>
    <w:p w14:paraId="595AA413" w14:textId="3AF63BD5" w:rsidR="007931CC" w:rsidRDefault="007931CC">
      <w:pPr>
        <w:pStyle w:val="TOC5"/>
        <w:rPr>
          <w:rFonts w:asciiTheme="minorHAnsi" w:eastAsiaTheme="minorEastAsia" w:hAnsiTheme="minorHAnsi" w:cstheme="minorBidi"/>
          <w:noProof/>
          <w:kern w:val="0"/>
          <w:sz w:val="22"/>
          <w:szCs w:val="22"/>
        </w:rPr>
      </w:pPr>
      <w:r>
        <w:rPr>
          <w:noProof/>
        </w:rPr>
        <w:t>228A  AUSTRAC CEO may use computers to take administrative action</w:t>
      </w:r>
      <w:r>
        <w:rPr>
          <w:noProof/>
        </w:rPr>
        <w:tab/>
      </w:r>
      <w:r>
        <w:rPr>
          <w:noProof/>
        </w:rPr>
        <w:fldChar w:fldCharType="begin"/>
      </w:r>
      <w:r>
        <w:rPr>
          <w:noProof/>
        </w:rPr>
        <w:instrText xml:space="preserve"> PAGEREF _Toc185416089 \h </w:instrText>
      </w:r>
      <w:r>
        <w:rPr>
          <w:noProof/>
        </w:rPr>
      </w:r>
      <w:r>
        <w:rPr>
          <w:noProof/>
        </w:rPr>
        <w:fldChar w:fldCharType="separate"/>
      </w:r>
      <w:r w:rsidR="00302DB2">
        <w:rPr>
          <w:noProof/>
        </w:rPr>
        <w:t>355</w:t>
      </w:r>
      <w:r>
        <w:rPr>
          <w:noProof/>
        </w:rPr>
        <w:fldChar w:fldCharType="end"/>
      </w:r>
    </w:p>
    <w:p w14:paraId="0555459F" w14:textId="3B48E532" w:rsidR="007931CC" w:rsidRDefault="007931CC">
      <w:pPr>
        <w:pStyle w:val="TOC3"/>
        <w:rPr>
          <w:rFonts w:asciiTheme="minorHAnsi" w:eastAsiaTheme="minorEastAsia" w:hAnsiTheme="minorHAnsi" w:cstheme="minorBidi"/>
          <w:b w:val="0"/>
          <w:noProof/>
          <w:kern w:val="0"/>
          <w:szCs w:val="22"/>
        </w:rPr>
      </w:pPr>
      <w:r>
        <w:rPr>
          <w:noProof/>
        </w:rPr>
        <w:t>Division 7—AML/CTF Rules</w:t>
      </w:r>
      <w:r>
        <w:rPr>
          <w:noProof/>
        </w:rPr>
        <w:tab/>
      </w:r>
      <w:r>
        <w:rPr>
          <w:noProof/>
        </w:rPr>
        <w:fldChar w:fldCharType="begin"/>
      </w:r>
      <w:r>
        <w:rPr>
          <w:noProof/>
        </w:rPr>
        <w:instrText xml:space="preserve"> PAGEREF _Toc185416090 \h </w:instrText>
      </w:r>
      <w:r>
        <w:rPr>
          <w:noProof/>
        </w:rPr>
      </w:r>
      <w:r>
        <w:rPr>
          <w:noProof/>
        </w:rPr>
        <w:fldChar w:fldCharType="separate"/>
      </w:r>
      <w:r w:rsidR="00302DB2">
        <w:rPr>
          <w:noProof/>
        </w:rPr>
        <w:t>357</w:t>
      </w:r>
      <w:r>
        <w:rPr>
          <w:noProof/>
        </w:rPr>
        <w:fldChar w:fldCharType="end"/>
      </w:r>
    </w:p>
    <w:p w14:paraId="335C9AA3" w14:textId="2D0A7157" w:rsidR="007931CC" w:rsidRDefault="007931CC">
      <w:pPr>
        <w:pStyle w:val="TOC5"/>
        <w:rPr>
          <w:rFonts w:asciiTheme="minorHAnsi" w:eastAsiaTheme="minorEastAsia" w:hAnsiTheme="minorHAnsi" w:cstheme="minorBidi"/>
          <w:noProof/>
          <w:kern w:val="0"/>
          <w:sz w:val="22"/>
          <w:szCs w:val="22"/>
        </w:rPr>
      </w:pPr>
      <w:r>
        <w:rPr>
          <w:noProof/>
        </w:rPr>
        <w:t>229  AML/CTF Rules</w:t>
      </w:r>
      <w:r>
        <w:rPr>
          <w:noProof/>
        </w:rPr>
        <w:tab/>
      </w:r>
      <w:r>
        <w:rPr>
          <w:noProof/>
        </w:rPr>
        <w:fldChar w:fldCharType="begin"/>
      </w:r>
      <w:r>
        <w:rPr>
          <w:noProof/>
        </w:rPr>
        <w:instrText xml:space="preserve"> PAGEREF _Toc185416091 \h </w:instrText>
      </w:r>
      <w:r>
        <w:rPr>
          <w:noProof/>
        </w:rPr>
      </w:r>
      <w:r>
        <w:rPr>
          <w:noProof/>
        </w:rPr>
        <w:fldChar w:fldCharType="separate"/>
      </w:r>
      <w:r w:rsidR="00302DB2">
        <w:rPr>
          <w:noProof/>
        </w:rPr>
        <w:t>357</w:t>
      </w:r>
      <w:r>
        <w:rPr>
          <w:noProof/>
        </w:rPr>
        <w:fldChar w:fldCharType="end"/>
      </w:r>
    </w:p>
    <w:p w14:paraId="02A529B3" w14:textId="2C0260A8" w:rsidR="007931CC" w:rsidRDefault="007931CC">
      <w:pPr>
        <w:pStyle w:val="TOC2"/>
        <w:rPr>
          <w:rFonts w:asciiTheme="minorHAnsi" w:eastAsiaTheme="minorEastAsia" w:hAnsiTheme="minorHAnsi" w:cstheme="minorBidi"/>
          <w:b w:val="0"/>
          <w:noProof/>
          <w:kern w:val="0"/>
          <w:sz w:val="22"/>
          <w:szCs w:val="22"/>
        </w:rPr>
      </w:pPr>
      <w:r>
        <w:rPr>
          <w:noProof/>
        </w:rPr>
        <w:t>Part 17—Vicarious liability</w:t>
      </w:r>
      <w:r>
        <w:rPr>
          <w:noProof/>
        </w:rPr>
        <w:tab/>
      </w:r>
      <w:r>
        <w:rPr>
          <w:noProof/>
        </w:rPr>
        <w:fldChar w:fldCharType="begin"/>
      </w:r>
      <w:r>
        <w:rPr>
          <w:noProof/>
        </w:rPr>
        <w:instrText xml:space="preserve"> PAGEREF _Toc185416092 \h </w:instrText>
      </w:r>
      <w:r>
        <w:rPr>
          <w:noProof/>
        </w:rPr>
      </w:r>
      <w:r>
        <w:rPr>
          <w:noProof/>
        </w:rPr>
        <w:fldChar w:fldCharType="separate"/>
      </w:r>
      <w:r w:rsidR="00302DB2">
        <w:rPr>
          <w:noProof/>
        </w:rPr>
        <w:t>358</w:t>
      </w:r>
      <w:r>
        <w:rPr>
          <w:noProof/>
        </w:rPr>
        <w:fldChar w:fldCharType="end"/>
      </w:r>
    </w:p>
    <w:p w14:paraId="153D5A46" w14:textId="0B43CED3" w:rsidR="007931CC" w:rsidRDefault="007931CC">
      <w:pPr>
        <w:pStyle w:val="TOC5"/>
        <w:rPr>
          <w:rFonts w:asciiTheme="minorHAnsi" w:eastAsiaTheme="minorEastAsia" w:hAnsiTheme="minorHAnsi" w:cstheme="minorBidi"/>
          <w:noProof/>
          <w:kern w:val="0"/>
          <w:sz w:val="22"/>
          <w:szCs w:val="22"/>
        </w:rPr>
      </w:pPr>
      <w:r>
        <w:rPr>
          <w:noProof/>
        </w:rPr>
        <w:t>230  Simplified outline</w:t>
      </w:r>
      <w:r>
        <w:rPr>
          <w:noProof/>
        </w:rPr>
        <w:tab/>
      </w:r>
      <w:r>
        <w:rPr>
          <w:noProof/>
        </w:rPr>
        <w:fldChar w:fldCharType="begin"/>
      </w:r>
      <w:r>
        <w:rPr>
          <w:noProof/>
        </w:rPr>
        <w:instrText xml:space="preserve"> PAGEREF _Toc185416093 \h </w:instrText>
      </w:r>
      <w:r>
        <w:rPr>
          <w:noProof/>
        </w:rPr>
      </w:r>
      <w:r>
        <w:rPr>
          <w:noProof/>
        </w:rPr>
        <w:fldChar w:fldCharType="separate"/>
      </w:r>
      <w:r w:rsidR="00302DB2">
        <w:rPr>
          <w:noProof/>
        </w:rPr>
        <w:t>358</w:t>
      </w:r>
      <w:r>
        <w:rPr>
          <w:noProof/>
        </w:rPr>
        <w:fldChar w:fldCharType="end"/>
      </w:r>
    </w:p>
    <w:p w14:paraId="6DBCE348" w14:textId="2A22AF36" w:rsidR="007931CC" w:rsidRDefault="007931CC">
      <w:pPr>
        <w:pStyle w:val="TOC5"/>
        <w:rPr>
          <w:rFonts w:asciiTheme="minorHAnsi" w:eastAsiaTheme="minorEastAsia" w:hAnsiTheme="minorHAnsi" w:cstheme="minorBidi"/>
          <w:noProof/>
          <w:kern w:val="0"/>
          <w:sz w:val="22"/>
          <w:szCs w:val="22"/>
        </w:rPr>
      </w:pPr>
      <w:r>
        <w:rPr>
          <w:noProof/>
        </w:rPr>
        <w:t>231  Criminal liability of corporations</w:t>
      </w:r>
      <w:r>
        <w:rPr>
          <w:noProof/>
        </w:rPr>
        <w:tab/>
      </w:r>
      <w:r>
        <w:rPr>
          <w:noProof/>
        </w:rPr>
        <w:fldChar w:fldCharType="begin"/>
      </w:r>
      <w:r>
        <w:rPr>
          <w:noProof/>
        </w:rPr>
        <w:instrText xml:space="preserve"> PAGEREF _Toc185416094 \h </w:instrText>
      </w:r>
      <w:r>
        <w:rPr>
          <w:noProof/>
        </w:rPr>
      </w:r>
      <w:r>
        <w:rPr>
          <w:noProof/>
        </w:rPr>
        <w:fldChar w:fldCharType="separate"/>
      </w:r>
      <w:r w:rsidR="00302DB2">
        <w:rPr>
          <w:noProof/>
        </w:rPr>
        <w:t>358</w:t>
      </w:r>
      <w:r>
        <w:rPr>
          <w:noProof/>
        </w:rPr>
        <w:fldChar w:fldCharType="end"/>
      </w:r>
    </w:p>
    <w:p w14:paraId="02682650" w14:textId="4B39B8DA" w:rsidR="007931CC" w:rsidRDefault="007931CC">
      <w:pPr>
        <w:pStyle w:val="TOC5"/>
        <w:rPr>
          <w:rFonts w:asciiTheme="minorHAnsi" w:eastAsiaTheme="minorEastAsia" w:hAnsiTheme="minorHAnsi" w:cstheme="minorBidi"/>
          <w:noProof/>
          <w:kern w:val="0"/>
          <w:sz w:val="22"/>
          <w:szCs w:val="22"/>
        </w:rPr>
      </w:pPr>
      <w:r>
        <w:rPr>
          <w:noProof/>
        </w:rPr>
        <w:t>232  Civil liability of corporations</w:t>
      </w:r>
      <w:r>
        <w:rPr>
          <w:noProof/>
        </w:rPr>
        <w:tab/>
      </w:r>
      <w:r>
        <w:rPr>
          <w:noProof/>
        </w:rPr>
        <w:fldChar w:fldCharType="begin"/>
      </w:r>
      <w:r>
        <w:rPr>
          <w:noProof/>
        </w:rPr>
        <w:instrText xml:space="preserve"> PAGEREF _Toc185416095 \h </w:instrText>
      </w:r>
      <w:r>
        <w:rPr>
          <w:noProof/>
        </w:rPr>
      </w:r>
      <w:r>
        <w:rPr>
          <w:noProof/>
        </w:rPr>
        <w:fldChar w:fldCharType="separate"/>
      </w:r>
      <w:r w:rsidR="00302DB2">
        <w:rPr>
          <w:noProof/>
        </w:rPr>
        <w:t>358</w:t>
      </w:r>
      <w:r>
        <w:rPr>
          <w:noProof/>
        </w:rPr>
        <w:fldChar w:fldCharType="end"/>
      </w:r>
    </w:p>
    <w:p w14:paraId="709286ED" w14:textId="3402D6F9" w:rsidR="007931CC" w:rsidRDefault="007931CC">
      <w:pPr>
        <w:pStyle w:val="TOC5"/>
        <w:rPr>
          <w:rFonts w:asciiTheme="minorHAnsi" w:eastAsiaTheme="minorEastAsia" w:hAnsiTheme="minorHAnsi" w:cstheme="minorBidi"/>
          <w:noProof/>
          <w:kern w:val="0"/>
          <w:sz w:val="22"/>
          <w:szCs w:val="22"/>
        </w:rPr>
      </w:pPr>
      <w:r>
        <w:rPr>
          <w:noProof/>
        </w:rPr>
        <w:t>233  Liability of persons other than corporations</w:t>
      </w:r>
      <w:r>
        <w:rPr>
          <w:noProof/>
        </w:rPr>
        <w:tab/>
      </w:r>
      <w:r>
        <w:rPr>
          <w:noProof/>
        </w:rPr>
        <w:fldChar w:fldCharType="begin"/>
      </w:r>
      <w:r>
        <w:rPr>
          <w:noProof/>
        </w:rPr>
        <w:instrText xml:space="preserve"> PAGEREF _Toc185416096 \h </w:instrText>
      </w:r>
      <w:r>
        <w:rPr>
          <w:noProof/>
        </w:rPr>
      </w:r>
      <w:r>
        <w:rPr>
          <w:noProof/>
        </w:rPr>
        <w:fldChar w:fldCharType="separate"/>
      </w:r>
      <w:r w:rsidR="00302DB2">
        <w:rPr>
          <w:noProof/>
        </w:rPr>
        <w:t>359</w:t>
      </w:r>
      <w:r>
        <w:rPr>
          <w:noProof/>
        </w:rPr>
        <w:fldChar w:fldCharType="end"/>
      </w:r>
    </w:p>
    <w:p w14:paraId="404F3753" w14:textId="06584DB3" w:rsidR="007931CC" w:rsidRDefault="007931CC">
      <w:pPr>
        <w:pStyle w:val="TOC2"/>
        <w:rPr>
          <w:rFonts w:asciiTheme="minorHAnsi" w:eastAsiaTheme="minorEastAsia" w:hAnsiTheme="minorHAnsi" w:cstheme="minorBidi"/>
          <w:b w:val="0"/>
          <w:noProof/>
          <w:kern w:val="0"/>
          <w:sz w:val="22"/>
          <w:szCs w:val="22"/>
        </w:rPr>
      </w:pPr>
      <w:r>
        <w:rPr>
          <w:noProof/>
        </w:rPr>
        <w:t>Part 17A—Review of decisions</w:t>
      </w:r>
      <w:r>
        <w:rPr>
          <w:noProof/>
        </w:rPr>
        <w:tab/>
      </w:r>
      <w:r>
        <w:rPr>
          <w:noProof/>
        </w:rPr>
        <w:fldChar w:fldCharType="begin"/>
      </w:r>
      <w:r>
        <w:rPr>
          <w:noProof/>
        </w:rPr>
        <w:instrText xml:space="preserve"> PAGEREF _Toc185416097 \h </w:instrText>
      </w:r>
      <w:r>
        <w:rPr>
          <w:noProof/>
        </w:rPr>
      </w:r>
      <w:r>
        <w:rPr>
          <w:noProof/>
        </w:rPr>
        <w:fldChar w:fldCharType="separate"/>
      </w:r>
      <w:r w:rsidR="00302DB2">
        <w:rPr>
          <w:noProof/>
        </w:rPr>
        <w:t>361</w:t>
      </w:r>
      <w:r>
        <w:rPr>
          <w:noProof/>
        </w:rPr>
        <w:fldChar w:fldCharType="end"/>
      </w:r>
    </w:p>
    <w:p w14:paraId="3A0A340F" w14:textId="78282B87" w:rsidR="007931CC" w:rsidRDefault="007931CC">
      <w:pPr>
        <w:pStyle w:val="TOC5"/>
        <w:rPr>
          <w:rFonts w:asciiTheme="minorHAnsi" w:eastAsiaTheme="minorEastAsia" w:hAnsiTheme="minorHAnsi" w:cstheme="minorBidi"/>
          <w:noProof/>
          <w:kern w:val="0"/>
          <w:sz w:val="22"/>
          <w:szCs w:val="22"/>
        </w:rPr>
      </w:pPr>
      <w:r>
        <w:rPr>
          <w:noProof/>
        </w:rPr>
        <w:t>233A  Simplified outline</w:t>
      </w:r>
      <w:r>
        <w:rPr>
          <w:noProof/>
        </w:rPr>
        <w:tab/>
      </w:r>
      <w:r>
        <w:rPr>
          <w:noProof/>
        </w:rPr>
        <w:fldChar w:fldCharType="begin"/>
      </w:r>
      <w:r>
        <w:rPr>
          <w:noProof/>
        </w:rPr>
        <w:instrText xml:space="preserve"> PAGEREF _Toc185416098 \h </w:instrText>
      </w:r>
      <w:r>
        <w:rPr>
          <w:noProof/>
        </w:rPr>
      </w:r>
      <w:r>
        <w:rPr>
          <w:noProof/>
        </w:rPr>
        <w:fldChar w:fldCharType="separate"/>
      </w:r>
      <w:r w:rsidR="00302DB2">
        <w:rPr>
          <w:noProof/>
        </w:rPr>
        <w:t>361</w:t>
      </w:r>
      <w:r>
        <w:rPr>
          <w:noProof/>
        </w:rPr>
        <w:fldChar w:fldCharType="end"/>
      </w:r>
    </w:p>
    <w:p w14:paraId="347BF32D" w14:textId="7995303C" w:rsidR="007931CC" w:rsidRDefault="007931CC">
      <w:pPr>
        <w:pStyle w:val="TOC5"/>
        <w:rPr>
          <w:rFonts w:asciiTheme="minorHAnsi" w:eastAsiaTheme="minorEastAsia" w:hAnsiTheme="minorHAnsi" w:cstheme="minorBidi"/>
          <w:noProof/>
          <w:kern w:val="0"/>
          <w:sz w:val="22"/>
          <w:szCs w:val="22"/>
        </w:rPr>
      </w:pPr>
      <w:r>
        <w:rPr>
          <w:noProof/>
        </w:rPr>
        <w:t>233B  Reviewable decisions</w:t>
      </w:r>
      <w:r>
        <w:rPr>
          <w:noProof/>
        </w:rPr>
        <w:tab/>
      </w:r>
      <w:r>
        <w:rPr>
          <w:noProof/>
        </w:rPr>
        <w:fldChar w:fldCharType="begin"/>
      </w:r>
      <w:r>
        <w:rPr>
          <w:noProof/>
        </w:rPr>
        <w:instrText xml:space="preserve"> PAGEREF _Toc185416099 \h </w:instrText>
      </w:r>
      <w:r>
        <w:rPr>
          <w:noProof/>
        </w:rPr>
      </w:r>
      <w:r>
        <w:rPr>
          <w:noProof/>
        </w:rPr>
        <w:fldChar w:fldCharType="separate"/>
      </w:r>
      <w:r w:rsidR="00302DB2">
        <w:rPr>
          <w:noProof/>
        </w:rPr>
        <w:t>361</w:t>
      </w:r>
      <w:r>
        <w:rPr>
          <w:noProof/>
        </w:rPr>
        <w:fldChar w:fldCharType="end"/>
      </w:r>
    </w:p>
    <w:p w14:paraId="122CC304" w14:textId="1D8AC79E" w:rsidR="007931CC" w:rsidRDefault="007931CC">
      <w:pPr>
        <w:pStyle w:val="TOC5"/>
        <w:rPr>
          <w:rFonts w:asciiTheme="minorHAnsi" w:eastAsiaTheme="minorEastAsia" w:hAnsiTheme="minorHAnsi" w:cstheme="minorBidi"/>
          <w:noProof/>
          <w:kern w:val="0"/>
          <w:sz w:val="22"/>
          <w:szCs w:val="22"/>
        </w:rPr>
      </w:pPr>
      <w:r>
        <w:rPr>
          <w:noProof/>
        </w:rPr>
        <w:t>233C  Giving notice of reviewable decisions</w:t>
      </w:r>
      <w:r>
        <w:rPr>
          <w:noProof/>
        </w:rPr>
        <w:tab/>
      </w:r>
      <w:r>
        <w:rPr>
          <w:noProof/>
        </w:rPr>
        <w:fldChar w:fldCharType="begin"/>
      </w:r>
      <w:r>
        <w:rPr>
          <w:noProof/>
        </w:rPr>
        <w:instrText xml:space="preserve"> PAGEREF _Toc185416100 \h </w:instrText>
      </w:r>
      <w:r>
        <w:rPr>
          <w:noProof/>
        </w:rPr>
      </w:r>
      <w:r>
        <w:rPr>
          <w:noProof/>
        </w:rPr>
        <w:fldChar w:fldCharType="separate"/>
      </w:r>
      <w:r w:rsidR="00302DB2">
        <w:rPr>
          <w:noProof/>
        </w:rPr>
        <w:t>362</w:t>
      </w:r>
      <w:r>
        <w:rPr>
          <w:noProof/>
        </w:rPr>
        <w:fldChar w:fldCharType="end"/>
      </w:r>
    </w:p>
    <w:p w14:paraId="5A4236BC" w14:textId="0088DF64" w:rsidR="007931CC" w:rsidRDefault="007931CC">
      <w:pPr>
        <w:pStyle w:val="TOC5"/>
        <w:rPr>
          <w:rFonts w:asciiTheme="minorHAnsi" w:eastAsiaTheme="minorEastAsia" w:hAnsiTheme="minorHAnsi" w:cstheme="minorBidi"/>
          <w:noProof/>
          <w:kern w:val="0"/>
          <w:sz w:val="22"/>
          <w:szCs w:val="22"/>
        </w:rPr>
      </w:pPr>
      <w:r>
        <w:rPr>
          <w:noProof/>
        </w:rPr>
        <w:t>233D  Applications for reconsideration of decisions made by delegates of the AUSTRAC CEO</w:t>
      </w:r>
      <w:r>
        <w:rPr>
          <w:noProof/>
        </w:rPr>
        <w:tab/>
      </w:r>
      <w:r>
        <w:rPr>
          <w:noProof/>
        </w:rPr>
        <w:fldChar w:fldCharType="begin"/>
      </w:r>
      <w:r>
        <w:rPr>
          <w:noProof/>
        </w:rPr>
        <w:instrText xml:space="preserve"> PAGEREF _Toc185416101 \h </w:instrText>
      </w:r>
      <w:r>
        <w:rPr>
          <w:noProof/>
        </w:rPr>
      </w:r>
      <w:r>
        <w:rPr>
          <w:noProof/>
        </w:rPr>
        <w:fldChar w:fldCharType="separate"/>
      </w:r>
      <w:r w:rsidR="00302DB2">
        <w:rPr>
          <w:noProof/>
        </w:rPr>
        <w:t>362</w:t>
      </w:r>
      <w:r>
        <w:rPr>
          <w:noProof/>
        </w:rPr>
        <w:fldChar w:fldCharType="end"/>
      </w:r>
    </w:p>
    <w:p w14:paraId="393AB2AC" w14:textId="6A794D0F" w:rsidR="007931CC" w:rsidRDefault="007931CC">
      <w:pPr>
        <w:pStyle w:val="TOC5"/>
        <w:rPr>
          <w:rFonts w:asciiTheme="minorHAnsi" w:eastAsiaTheme="minorEastAsia" w:hAnsiTheme="minorHAnsi" w:cstheme="minorBidi"/>
          <w:noProof/>
          <w:kern w:val="0"/>
          <w:sz w:val="22"/>
          <w:szCs w:val="22"/>
        </w:rPr>
      </w:pPr>
      <w:r>
        <w:rPr>
          <w:noProof/>
        </w:rPr>
        <w:t>233E  Reconsideration of reviewable decisions</w:t>
      </w:r>
      <w:r>
        <w:rPr>
          <w:noProof/>
        </w:rPr>
        <w:tab/>
      </w:r>
      <w:r>
        <w:rPr>
          <w:noProof/>
        </w:rPr>
        <w:fldChar w:fldCharType="begin"/>
      </w:r>
      <w:r>
        <w:rPr>
          <w:noProof/>
        </w:rPr>
        <w:instrText xml:space="preserve"> PAGEREF _Toc185416102 \h </w:instrText>
      </w:r>
      <w:r>
        <w:rPr>
          <w:noProof/>
        </w:rPr>
      </w:r>
      <w:r>
        <w:rPr>
          <w:noProof/>
        </w:rPr>
        <w:fldChar w:fldCharType="separate"/>
      </w:r>
      <w:r w:rsidR="00302DB2">
        <w:rPr>
          <w:noProof/>
        </w:rPr>
        <w:t>363</w:t>
      </w:r>
      <w:r>
        <w:rPr>
          <w:noProof/>
        </w:rPr>
        <w:fldChar w:fldCharType="end"/>
      </w:r>
    </w:p>
    <w:p w14:paraId="1BE54B4D" w14:textId="480B7AE6" w:rsidR="007931CC" w:rsidRDefault="007931CC">
      <w:pPr>
        <w:pStyle w:val="TOC5"/>
        <w:rPr>
          <w:rFonts w:asciiTheme="minorHAnsi" w:eastAsiaTheme="minorEastAsia" w:hAnsiTheme="minorHAnsi" w:cstheme="minorBidi"/>
          <w:noProof/>
          <w:kern w:val="0"/>
          <w:sz w:val="22"/>
          <w:szCs w:val="22"/>
        </w:rPr>
      </w:pPr>
      <w:r>
        <w:rPr>
          <w:noProof/>
        </w:rPr>
        <w:t>233F  Review by the Administrative Review Tribunal</w:t>
      </w:r>
      <w:r>
        <w:rPr>
          <w:noProof/>
        </w:rPr>
        <w:tab/>
      </w:r>
      <w:r>
        <w:rPr>
          <w:noProof/>
        </w:rPr>
        <w:fldChar w:fldCharType="begin"/>
      </w:r>
      <w:r>
        <w:rPr>
          <w:noProof/>
        </w:rPr>
        <w:instrText xml:space="preserve"> PAGEREF _Toc185416103 \h </w:instrText>
      </w:r>
      <w:r>
        <w:rPr>
          <w:noProof/>
        </w:rPr>
      </w:r>
      <w:r>
        <w:rPr>
          <w:noProof/>
        </w:rPr>
        <w:fldChar w:fldCharType="separate"/>
      </w:r>
      <w:r w:rsidR="00302DB2">
        <w:rPr>
          <w:noProof/>
        </w:rPr>
        <w:t>364</w:t>
      </w:r>
      <w:r>
        <w:rPr>
          <w:noProof/>
        </w:rPr>
        <w:fldChar w:fldCharType="end"/>
      </w:r>
    </w:p>
    <w:p w14:paraId="46868225" w14:textId="0F9B400F" w:rsidR="007931CC" w:rsidRDefault="007931CC">
      <w:pPr>
        <w:pStyle w:val="TOC5"/>
        <w:rPr>
          <w:rFonts w:asciiTheme="minorHAnsi" w:eastAsiaTheme="minorEastAsia" w:hAnsiTheme="minorHAnsi" w:cstheme="minorBidi"/>
          <w:noProof/>
          <w:kern w:val="0"/>
          <w:sz w:val="22"/>
          <w:szCs w:val="22"/>
        </w:rPr>
      </w:pPr>
      <w:r>
        <w:rPr>
          <w:noProof/>
        </w:rPr>
        <w:t>233G  Failure to comply does not affect validity</w:t>
      </w:r>
      <w:r>
        <w:rPr>
          <w:noProof/>
        </w:rPr>
        <w:tab/>
      </w:r>
      <w:r>
        <w:rPr>
          <w:noProof/>
        </w:rPr>
        <w:fldChar w:fldCharType="begin"/>
      </w:r>
      <w:r>
        <w:rPr>
          <w:noProof/>
        </w:rPr>
        <w:instrText xml:space="preserve"> PAGEREF _Toc185416104 \h </w:instrText>
      </w:r>
      <w:r>
        <w:rPr>
          <w:noProof/>
        </w:rPr>
      </w:r>
      <w:r>
        <w:rPr>
          <w:noProof/>
        </w:rPr>
        <w:fldChar w:fldCharType="separate"/>
      </w:r>
      <w:r w:rsidR="00302DB2">
        <w:rPr>
          <w:noProof/>
        </w:rPr>
        <w:t>364</w:t>
      </w:r>
      <w:r>
        <w:rPr>
          <w:noProof/>
        </w:rPr>
        <w:fldChar w:fldCharType="end"/>
      </w:r>
    </w:p>
    <w:p w14:paraId="313B8F9F" w14:textId="47B7F3DF" w:rsidR="007931CC" w:rsidRDefault="007931CC">
      <w:pPr>
        <w:pStyle w:val="TOC2"/>
        <w:rPr>
          <w:rFonts w:asciiTheme="minorHAnsi" w:eastAsiaTheme="minorEastAsia" w:hAnsiTheme="minorHAnsi" w:cstheme="minorBidi"/>
          <w:b w:val="0"/>
          <w:noProof/>
          <w:kern w:val="0"/>
          <w:sz w:val="22"/>
          <w:szCs w:val="22"/>
        </w:rPr>
      </w:pPr>
      <w:r>
        <w:rPr>
          <w:noProof/>
        </w:rPr>
        <w:t>Part 17B—Exemptions</w:t>
      </w:r>
      <w:r>
        <w:rPr>
          <w:noProof/>
        </w:rPr>
        <w:tab/>
      </w:r>
      <w:r>
        <w:rPr>
          <w:noProof/>
        </w:rPr>
        <w:fldChar w:fldCharType="begin"/>
      </w:r>
      <w:r>
        <w:rPr>
          <w:noProof/>
        </w:rPr>
        <w:instrText xml:space="preserve"> PAGEREF _Toc185416105 \h </w:instrText>
      </w:r>
      <w:r>
        <w:rPr>
          <w:noProof/>
        </w:rPr>
      </w:r>
      <w:r>
        <w:rPr>
          <w:noProof/>
        </w:rPr>
        <w:fldChar w:fldCharType="separate"/>
      </w:r>
      <w:r w:rsidR="00302DB2">
        <w:rPr>
          <w:noProof/>
        </w:rPr>
        <w:t>365</w:t>
      </w:r>
      <w:r>
        <w:rPr>
          <w:noProof/>
        </w:rPr>
        <w:fldChar w:fldCharType="end"/>
      </w:r>
    </w:p>
    <w:p w14:paraId="550199DB" w14:textId="448434E2" w:rsidR="007931CC" w:rsidRDefault="007931CC">
      <w:pPr>
        <w:pStyle w:val="TOC5"/>
        <w:rPr>
          <w:rFonts w:asciiTheme="minorHAnsi" w:eastAsiaTheme="minorEastAsia" w:hAnsiTheme="minorHAnsi" w:cstheme="minorBidi"/>
          <w:noProof/>
          <w:kern w:val="0"/>
          <w:sz w:val="22"/>
          <w:szCs w:val="22"/>
        </w:rPr>
      </w:pPr>
      <w:r>
        <w:rPr>
          <w:noProof/>
        </w:rPr>
        <w:t>233H  Simplified outline</w:t>
      </w:r>
      <w:r>
        <w:rPr>
          <w:noProof/>
        </w:rPr>
        <w:tab/>
      </w:r>
      <w:r>
        <w:rPr>
          <w:noProof/>
        </w:rPr>
        <w:fldChar w:fldCharType="begin"/>
      </w:r>
      <w:r>
        <w:rPr>
          <w:noProof/>
        </w:rPr>
        <w:instrText xml:space="preserve"> PAGEREF _Toc185416106 \h </w:instrText>
      </w:r>
      <w:r>
        <w:rPr>
          <w:noProof/>
        </w:rPr>
      </w:r>
      <w:r>
        <w:rPr>
          <w:noProof/>
        </w:rPr>
        <w:fldChar w:fldCharType="separate"/>
      </w:r>
      <w:r w:rsidR="00302DB2">
        <w:rPr>
          <w:noProof/>
        </w:rPr>
        <w:t>365</w:t>
      </w:r>
      <w:r>
        <w:rPr>
          <w:noProof/>
        </w:rPr>
        <w:fldChar w:fldCharType="end"/>
      </w:r>
    </w:p>
    <w:p w14:paraId="39785142" w14:textId="1D9831CF" w:rsidR="007931CC" w:rsidRDefault="007931CC">
      <w:pPr>
        <w:pStyle w:val="TOC5"/>
        <w:rPr>
          <w:rFonts w:asciiTheme="minorHAnsi" w:eastAsiaTheme="minorEastAsia" w:hAnsiTheme="minorHAnsi" w:cstheme="minorBidi"/>
          <w:noProof/>
          <w:kern w:val="0"/>
          <w:sz w:val="22"/>
          <w:szCs w:val="22"/>
        </w:rPr>
      </w:pPr>
      <w:r>
        <w:rPr>
          <w:noProof/>
        </w:rPr>
        <w:t>233J  Exemption—Reserve Bank of Australia</w:t>
      </w:r>
      <w:r>
        <w:rPr>
          <w:noProof/>
        </w:rPr>
        <w:tab/>
      </w:r>
      <w:r>
        <w:rPr>
          <w:noProof/>
        </w:rPr>
        <w:fldChar w:fldCharType="begin"/>
      </w:r>
      <w:r>
        <w:rPr>
          <w:noProof/>
        </w:rPr>
        <w:instrText xml:space="preserve"> PAGEREF _Toc185416107 \h </w:instrText>
      </w:r>
      <w:r>
        <w:rPr>
          <w:noProof/>
        </w:rPr>
      </w:r>
      <w:r>
        <w:rPr>
          <w:noProof/>
        </w:rPr>
        <w:fldChar w:fldCharType="separate"/>
      </w:r>
      <w:r w:rsidR="00302DB2">
        <w:rPr>
          <w:noProof/>
        </w:rPr>
        <w:t>365</w:t>
      </w:r>
      <w:r>
        <w:rPr>
          <w:noProof/>
        </w:rPr>
        <w:fldChar w:fldCharType="end"/>
      </w:r>
    </w:p>
    <w:p w14:paraId="57D21DA1" w14:textId="22E6A2C6" w:rsidR="007931CC" w:rsidRDefault="007931CC">
      <w:pPr>
        <w:pStyle w:val="TOC5"/>
        <w:rPr>
          <w:rFonts w:asciiTheme="minorHAnsi" w:eastAsiaTheme="minorEastAsia" w:hAnsiTheme="minorHAnsi" w:cstheme="minorBidi"/>
          <w:noProof/>
          <w:kern w:val="0"/>
          <w:sz w:val="22"/>
          <w:szCs w:val="22"/>
        </w:rPr>
      </w:pPr>
      <w:r>
        <w:rPr>
          <w:noProof/>
        </w:rPr>
        <w:t>233K  Exemption—operating no more than 15 gaming machines</w:t>
      </w:r>
      <w:r>
        <w:rPr>
          <w:noProof/>
        </w:rPr>
        <w:tab/>
      </w:r>
      <w:r>
        <w:rPr>
          <w:noProof/>
        </w:rPr>
        <w:fldChar w:fldCharType="begin"/>
      </w:r>
      <w:r>
        <w:rPr>
          <w:noProof/>
        </w:rPr>
        <w:instrText xml:space="preserve"> PAGEREF _Toc185416108 \h </w:instrText>
      </w:r>
      <w:r>
        <w:rPr>
          <w:noProof/>
        </w:rPr>
      </w:r>
      <w:r>
        <w:rPr>
          <w:noProof/>
        </w:rPr>
        <w:fldChar w:fldCharType="separate"/>
      </w:r>
      <w:r w:rsidR="00302DB2">
        <w:rPr>
          <w:noProof/>
        </w:rPr>
        <w:t>365</w:t>
      </w:r>
      <w:r>
        <w:rPr>
          <w:noProof/>
        </w:rPr>
        <w:fldChar w:fldCharType="end"/>
      </w:r>
    </w:p>
    <w:p w14:paraId="32C77C5C" w14:textId="53016623" w:rsidR="007931CC" w:rsidRDefault="007931CC">
      <w:pPr>
        <w:pStyle w:val="TOC2"/>
        <w:rPr>
          <w:rFonts w:asciiTheme="minorHAnsi" w:eastAsiaTheme="minorEastAsia" w:hAnsiTheme="minorHAnsi" w:cstheme="minorBidi"/>
          <w:b w:val="0"/>
          <w:noProof/>
          <w:kern w:val="0"/>
          <w:sz w:val="22"/>
          <w:szCs w:val="22"/>
        </w:rPr>
      </w:pPr>
      <w:r>
        <w:rPr>
          <w:noProof/>
        </w:rPr>
        <w:t>Part 18—Miscellaneous</w:t>
      </w:r>
      <w:r>
        <w:rPr>
          <w:noProof/>
        </w:rPr>
        <w:tab/>
      </w:r>
      <w:r>
        <w:rPr>
          <w:noProof/>
        </w:rPr>
        <w:fldChar w:fldCharType="begin"/>
      </w:r>
      <w:r>
        <w:rPr>
          <w:noProof/>
        </w:rPr>
        <w:instrText xml:space="preserve"> PAGEREF _Toc185416109 \h </w:instrText>
      </w:r>
      <w:r>
        <w:rPr>
          <w:noProof/>
        </w:rPr>
      </w:r>
      <w:r>
        <w:rPr>
          <w:noProof/>
        </w:rPr>
        <w:fldChar w:fldCharType="separate"/>
      </w:r>
      <w:r w:rsidR="00302DB2">
        <w:rPr>
          <w:noProof/>
        </w:rPr>
        <w:t>367</w:t>
      </w:r>
      <w:r>
        <w:rPr>
          <w:noProof/>
        </w:rPr>
        <w:fldChar w:fldCharType="end"/>
      </w:r>
    </w:p>
    <w:p w14:paraId="29FAAB37" w14:textId="6DEE2FCA" w:rsidR="007931CC" w:rsidRDefault="007931CC">
      <w:pPr>
        <w:pStyle w:val="TOC5"/>
        <w:rPr>
          <w:rFonts w:asciiTheme="minorHAnsi" w:eastAsiaTheme="minorEastAsia" w:hAnsiTheme="minorHAnsi" w:cstheme="minorBidi"/>
          <w:noProof/>
          <w:kern w:val="0"/>
          <w:sz w:val="22"/>
          <w:szCs w:val="22"/>
        </w:rPr>
      </w:pPr>
      <w:r>
        <w:rPr>
          <w:noProof/>
        </w:rPr>
        <w:t>234  Simplified outline</w:t>
      </w:r>
      <w:r>
        <w:rPr>
          <w:noProof/>
        </w:rPr>
        <w:tab/>
      </w:r>
      <w:r>
        <w:rPr>
          <w:noProof/>
        </w:rPr>
        <w:fldChar w:fldCharType="begin"/>
      </w:r>
      <w:r>
        <w:rPr>
          <w:noProof/>
        </w:rPr>
        <w:instrText xml:space="preserve"> PAGEREF _Toc185416110 \h </w:instrText>
      </w:r>
      <w:r>
        <w:rPr>
          <w:noProof/>
        </w:rPr>
      </w:r>
      <w:r>
        <w:rPr>
          <w:noProof/>
        </w:rPr>
        <w:fldChar w:fldCharType="separate"/>
      </w:r>
      <w:r w:rsidR="00302DB2">
        <w:rPr>
          <w:noProof/>
        </w:rPr>
        <w:t>367</w:t>
      </w:r>
      <w:r>
        <w:rPr>
          <w:noProof/>
        </w:rPr>
        <w:fldChar w:fldCharType="end"/>
      </w:r>
    </w:p>
    <w:p w14:paraId="10873600" w14:textId="20423F11" w:rsidR="007931CC" w:rsidRDefault="007931CC">
      <w:pPr>
        <w:pStyle w:val="TOC5"/>
        <w:rPr>
          <w:rFonts w:asciiTheme="minorHAnsi" w:eastAsiaTheme="minorEastAsia" w:hAnsiTheme="minorHAnsi" w:cstheme="minorBidi"/>
          <w:noProof/>
          <w:kern w:val="0"/>
          <w:sz w:val="22"/>
          <w:szCs w:val="22"/>
        </w:rPr>
      </w:pPr>
      <w:r>
        <w:rPr>
          <w:noProof/>
        </w:rPr>
        <w:t>235  Protection from liability</w:t>
      </w:r>
      <w:r>
        <w:rPr>
          <w:noProof/>
        </w:rPr>
        <w:tab/>
      </w:r>
      <w:r>
        <w:rPr>
          <w:noProof/>
        </w:rPr>
        <w:fldChar w:fldCharType="begin"/>
      </w:r>
      <w:r>
        <w:rPr>
          <w:noProof/>
        </w:rPr>
        <w:instrText xml:space="preserve"> PAGEREF _Toc185416111 \h </w:instrText>
      </w:r>
      <w:r>
        <w:rPr>
          <w:noProof/>
        </w:rPr>
      </w:r>
      <w:r>
        <w:rPr>
          <w:noProof/>
        </w:rPr>
        <w:fldChar w:fldCharType="separate"/>
      </w:r>
      <w:r w:rsidR="00302DB2">
        <w:rPr>
          <w:noProof/>
        </w:rPr>
        <w:t>368</w:t>
      </w:r>
      <w:r>
        <w:rPr>
          <w:noProof/>
        </w:rPr>
        <w:fldChar w:fldCharType="end"/>
      </w:r>
    </w:p>
    <w:p w14:paraId="2E2F4963" w14:textId="75951887" w:rsidR="007931CC" w:rsidRDefault="007931CC">
      <w:pPr>
        <w:pStyle w:val="TOC5"/>
        <w:rPr>
          <w:rFonts w:asciiTheme="minorHAnsi" w:eastAsiaTheme="minorEastAsia" w:hAnsiTheme="minorHAnsi" w:cstheme="minorBidi"/>
          <w:noProof/>
          <w:kern w:val="0"/>
          <w:sz w:val="22"/>
          <w:szCs w:val="22"/>
        </w:rPr>
      </w:pPr>
      <w:r>
        <w:rPr>
          <w:noProof/>
        </w:rPr>
        <w:t>236  Defence of taking reasonable precautions, and exercising due diligence, to avoid a contravention</w:t>
      </w:r>
      <w:r>
        <w:rPr>
          <w:noProof/>
        </w:rPr>
        <w:tab/>
      </w:r>
      <w:r>
        <w:rPr>
          <w:noProof/>
        </w:rPr>
        <w:fldChar w:fldCharType="begin"/>
      </w:r>
      <w:r>
        <w:rPr>
          <w:noProof/>
        </w:rPr>
        <w:instrText xml:space="preserve"> PAGEREF _Toc185416112 \h </w:instrText>
      </w:r>
      <w:r>
        <w:rPr>
          <w:noProof/>
        </w:rPr>
      </w:r>
      <w:r>
        <w:rPr>
          <w:noProof/>
        </w:rPr>
        <w:fldChar w:fldCharType="separate"/>
      </w:r>
      <w:r w:rsidR="00302DB2">
        <w:rPr>
          <w:noProof/>
        </w:rPr>
        <w:t>369</w:t>
      </w:r>
      <w:r>
        <w:rPr>
          <w:noProof/>
        </w:rPr>
        <w:fldChar w:fldCharType="end"/>
      </w:r>
    </w:p>
    <w:p w14:paraId="671F14F5" w14:textId="31876B80" w:rsidR="007931CC" w:rsidRDefault="007931CC">
      <w:pPr>
        <w:pStyle w:val="TOC5"/>
        <w:rPr>
          <w:rFonts w:asciiTheme="minorHAnsi" w:eastAsiaTheme="minorEastAsia" w:hAnsiTheme="minorHAnsi" w:cstheme="minorBidi"/>
          <w:noProof/>
          <w:kern w:val="0"/>
          <w:sz w:val="22"/>
          <w:szCs w:val="22"/>
        </w:rPr>
      </w:pPr>
      <w:r>
        <w:rPr>
          <w:noProof/>
        </w:rPr>
        <w:t>236A  Defence of law of foreign country preventing compliance</w:t>
      </w:r>
      <w:r>
        <w:rPr>
          <w:noProof/>
        </w:rPr>
        <w:tab/>
      </w:r>
      <w:r>
        <w:rPr>
          <w:noProof/>
        </w:rPr>
        <w:fldChar w:fldCharType="begin"/>
      </w:r>
      <w:r>
        <w:rPr>
          <w:noProof/>
        </w:rPr>
        <w:instrText xml:space="preserve"> PAGEREF _Toc185416113 \h </w:instrText>
      </w:r>
      <w:r>
        <w:rPr>
          <w:noProof/>
        </w:rPr>
      </w:r>
      <w:r>
        <w:rPr>
          <w:noProof/>
        </w:rPr>
        <w:fldChar w:fldCharType="separate"/>
      </w:r>
      <w:r w:rsidR="00302DB2">
        <w:rPr>
          <w:noProof/>
        </w:rPr>
        <w:t>369</w:t>
      </w:r>
      <w:r>
        <w:rPr>
          <w:noProof/>
        </w:rPr>
        <w:fldChar w:fldCharType="end"/>
      </w:r>
    </w:p>
    <w:p w14:paraId="2E73EB79" w14:textId="66F460A8" w:rsidR="007931CC" w:rsidRDefault="007931CC">
      <w:pPr>
        <w:pStyle w:val="TOC5"/>
        <w:rPr>
          <w:rFonts w:asciiTheme="minorHAnsi" w:eastAsiaTheme="minorEastAsia" w:hAnsiTheme="minorHAnsi" w:cstheme="minorBidi"/>
          <w:noProof/>
          <w:kern w:val="0"/>
          <w:sz w:val="22"/>
          <w:szCs w:val="22"/>
        </w:rPr>
      </w:pPr>
      <w:r>
        <w:rPr>
          <w:noProof/>
        </w:rPr>
        <w:t>236B  Application of this Act in relation to reporting groups</w:t>
      </w:r>
      <w:r>
        <w:rPr>
          <w:noProof/>
        </w:rPr>
        <w:tab/>
      </w:r>
      <w:r>
        <w:rPr>
          <w:noProof/>
        </w:rPr>
        <w:fldChar w:fldCharType="begin"/>
      </w:r>
      <w:r>
        <w:rPr>
          <w:noProof/>
        </w:rPr>
        <w:instrText xml:space="preserve"> PAGEREF _Toc185416114 \h </w:instrText>
      </w:r>
      <w:r>
        <w:rPr>
          <w:noProof/>
        </w:rPr>
      </w:r>
      <w:r>
        <w:rPr>
          <w:noProof/>
        </w:rPr>
        <w:fldChar w:fldCharType="separate"/>
      </w:r>
      <w:r w:rsidR="00302DB2">
        <w:rPr>
          <w:noProof/>
        </w:rPr>
        <w:t>370</w:t>
      </w:r>
      <w:r>
        <w:rPr>
          <w:noProof/>
        </w:rPr>
        <w:fldChar w:fldCharType="end"/>
      </w:r>
    </w:p>
    <w:p w14:paraId="301D4D16" w14:textId="02D1CEF0" w:rsidR="007931CC" w:rsidRDefault="007931CC">
      <w:pPr>
        <w:pStyle w:val="TOC5"/>
        <w:rPr>
          <w:rFonts w:asciiTheme="minorHAnsi" w:eastAsiaTheme="minorEastAsia" w:hAnsiTheme="minorHAnsi" w:cstheme="minorBidi"/>
          <w:noProof/>
          <w:kern w:val="0"/>
          <w:sz w:val="22"/>
          <w:szCs w:val="22"/>
        </w:rPr>
      </w:pPr>
      <w:r>
        <w:rPr>
          <w:noProof/>
        </w:rPr>
        <w:t>237  Treatment of partnerships</w:t>
      </w:r>
      <w:r>
        <w:rPr>
          <w:noProof/>
        </w:rPr>
        <w:tab/>
      </w:r>
      <w:r>
        <w:rPr>
          <w:noProof/>
        </w:rPr>
        <w:fldChar w:fldCharType="begin"/>
      </w:r>
      <w:r>
        <w:rPr>
          <w:noProof/>
        </w:rPr>
        <w:instrText xml:space="preserve"> PAGEREF _Toc185416115 \h </w:instrText>
      </w:r>
      <w:r>
        <w:rPr>
          <w:noProof/>
        </w:rPr>
      </w:r>
      <w:r>
        <w:rPr>
          <w:noProof/>
        </w:rPr>
        <w:fldChar w:fldCharType="separate"/>
      </w:r>
      <w:r w:rsidR="00302DB2">
        <w:rPr>
          <w:noProof/>
        </w:rPr>
        <w:t>372</w:t>
      </w:r>
      <w:r>
        <w:rPr>
          <w:noProof/>
        </w:rPr>
        <w:fldChar w:fldCharType="end"/>
      </w:r>
    </w:p>
    <w:p w14:paraId="6F230D72" w14:textId="04F1B3A4" w:rsidR="007931CC" w:rsidRDefault="007931CC">
      <w:pPr>
        <w:pStyle w:val="TOC5"/>
        <w:rPr>
          <w:rFonts w:asciiTheme="minorHAnsi" w:eastAsiaTheme="minorEastAsia" w:hAnsiTheme="minorHAnsi" w:cstheme="minorBidi"/>
          <w:noProof/>
          <w:kern w:val="0"/>
          <w:sz w:val="22"/>
          <w:szCs w:val="22"/>
        </w:rPr>
      </w:pPr>
      <w:r>
        <w:rPr>
          <w:noProof/>
        </w:rPr>
        <w:t>238  Treatment of unincorporated associations</w:t>
      </w:r>
      <w:r>
        <w:rPr>
          <w:noProof/>
        </w:rPr>
        <w:tab/>
      </w:r>
      <w:r>
        <w:rPr>
          <w:noProof/>
        </w:rPr>
        <w:fldChar w:fldCharType="begin"/>
      </w:r>
      <w:r>
        <w:rPr>
          <w:noProof/>
        </w:rPr>
        <w:instrText xml:space="preserve"> PAGEREF _Toc185416116 \h </w:instrText>
      </w:r>
      <w:r>
        <w:rPr>
          <w:noProof/>
        </w:rPr>
      </w:r>
      <w:r>
        <w:rPr>
          <w:noProof/>
        </w:rPr>
        <w:fldChar w:fldCharType="separate"/>
      </w:r>
      <w:r w:rsidR="00302DB2">
        <w:rPr>
          <w:noProof/>
        </w:rPr>
        <w:t>372</w:t>
      </w:r>
      <w:r>
        <w:rPr>
          <w:noProof/>
        </w:rPr>
        <w:fldChar w:fldCharType="end"/>
      </w:r>
    </w:p>
    <w:p w14:paraId="2EC7C10E" w14:textId="5F0AAC86" w:rsidR="007931CC" w:rsidRDefault="007931CC">
      <w:pPr>
        <w:pStyle w:val="TOC5"/>
        <w:rPr>
          <w:rFonts w:asciiTheme="minorHAnsi" w:eastAsiaTheme="minorEastAsia" w:hAnsiTheme="minorHAnsi" w:cstheme="minorBidi"/>
          <w:noProof/>
          <w:kern w:val="0"/>
          <w:sz w:val="22"/>
          <w:szCs w:val="22"/>
        </w:rPr>
      </w:pPr>
      <w:r>
        <w:rPr>
          <w:noProof/>
        </w:rPr>
        <w:t>239  Treatment of trusts with multiple trustees</w:t>
      </w:r>
      <w:r>
        <w:rPr>
          <w:noProof/>
        </w:rPr>
        <w:tab/>
      </w:r>
      <w:r>
        <w:rPr>
          <w:noProof/>
        </w:rPr>
        <w:fldChar w:fldCharType="begin"/>
      </w:r>
      <w:r>
        <w:rPr>
          <w:noProof/>
        </w:rPr>
        <w:instrText xml:space="preserve"> PAGEREF _Toc185416117 \h </w:instrText>
      </w:r>
      <w:r>
        <w:rPr>
          <w:noProof/>
        </w:rPr>
      </w:r>
      <w:r>
        <w:rPr>
          <w:noProof/>
        </w:rPr>
        <w:fldChar w:fldCharType="separate"/>
      </w:r>
      <w:r w:rsidR="00302DB2">
        <w:rPr>
          <w:noProof/>
        </w:rPr>
        <w:t>373</w:t>
      </w:r>
      <w:r>
        <w:rPr>
          <w:noProof/>
        </w:rPr>
        <w:fldChar w:fldCharType="end"/>
      </w:r>
    </w:p>
    <w:p w14:paraId="40460CA1" w14:textId="322C2F6C" w:rsidR="007931CC" w:rsidRDefault="007931CC">
      <w:pPr>
        <w:pStyle w:val="TOC5"/>
        <w:rPr>
          <w:rFonts w:asciiTheme="minorHAnsi" w:eastAsiaTheme="minorEastAsia" w:hAnsiTheme="minorHAnsi" w:cstheme="minorBidi"/>
          <w:noProof/>
          <w:kern w:val="0"/>
          <w:sz w:val="22"/>
          <w:szCs w:val="22"/>
        </w:rPr>
      </w:pPr>
      <w:r>
        <w:rPr>
          <w:noProof/>
        </w:rPr>
        <w:t>240  Concurrent operation of State and Territory laws</w:t>
      </w:r>
      <w:r>
        <w:rPr>
          <w:noProof/>
        </w:rPr>
        <w:tab/>
      </w:r>
      <w:r>
        <w:rPr>
          <w:noProof/>
        </w:rPr>
        <w:fldChar w:fldCharType="begin"/>
      </w:r>
      <w:r>
        <w:rPr>
          <w:noProof/>
        </w:rPr>
        <w:instrText xml:space="preserve"> PAGEREF _Toc185416118 \h </w:instrText>
      </w:r>
      <w:r>
        <w:rPr>
          <w:noProof/>
        </w:rPr>
      </w:r>
      <w:r>
        <w:rPr>
          <w:noProof/>
        </w:rPr>
        <w:fldChar w:fldCharType="separate"/>
      </w:r>
      <w:r w:rsidR="00302DB2">
        <w:rPr>
          <w:noProof/>
        </w:rPr>
        <w:t>374</w:t>
      </w:r>
      <w:r>
        <w:rPr>
          <w:noProof/>
        </w:rPr>
        <w:fldChar w:fldCharType="end"/>
      </w:r>
    </w:p>
    <w:p w14:paraId="5A5F4E75" w14:textId="5841B77A" w:rsidR="007931CC" w:rsidRDefault="007931CC">
      <w:pPr>
        <w:pStyle w:val="TOC5"/>
        <w:rPr>
          <w:rFonts w:asciiTheme="minorHAnsi" w:eastAsiaTheme="minorEastAsia" w:hAnsiTheme="minorHAnsi" w:cstheme="minorBidi"/>
          <w:noProof/>
          <w:kern w:val="0"/>
          <w:sz w:val="22"/>
          <w:szCs w:val="22"/>
        </w:rPr>
      </w:pPr>
      <w:r>
        <w:rPr>
          <w:noProof/>
        </w:rPr>
        <w:t>241  Act not to limit other powers</w:t>
      </w:r>
      <w:r>
        <w:rPr>
          <w:noProof/>
        </w:rPr>
        <w:tab/>
      </w:r>
      <w:r>
        <w:rPr>
          <w:noProof/>
        </w:rPr>
        <w:fldChar w:fldCharType="begin"/>
      </w:r>
      <w:r>
        <w:rPr>
          <w:noProof/>
        </w:rPr>
        <w:instrText xml:space="preserve"> PAGEREF _Toc185416119 \h </w:instrText>
      </w:r>
      <w:r>
        <w:rPr>
          <w:noProof/>
        </w:rPr>
      </w:r>
      <w:r>
        <w:rPr>
          <w:noProof/>
        </w:rPr>
        <w:fldChar w:fldCharType="separate"/>
      </w:r>
      <w:r w:rsidR="00302DB2">
        <w:rPr>
          <w:noProof/>
        </w:rPr>
        <w:t>374</w:t>
      </w:r>
      <w:r>
        <w:rPr>
          <w:noProof/>
        </w:rPr>
        <w:fldChar w:fldCharType="end"/>
      </w:r>
    </w:p>
    <w:p w14:paraId="1551D3C5" w14:textId="71636E8D" w:rsidR="007931CC" w:rsidRDefault="007931CC">
      <w:pPr>
        <w:pStyle w:val="TOC5"/>
        <w:rPr>
          <w:rFonts w:asciiTheme="minorHAnsi" w:eastAsiaTheme="minorEastAsia" w:hAnsiTheme="minorHAnsi" w:cstheme="minorBidi"/>
          <w:noProof/>
          <w:kern w:val="0"/>
          <w:sz w:val="22"/>
          <w:szCs w:val="22"/>
        </w:rPr>
      </w:pPr>
      <w:r>
        <w:rPr>
          <w:noProof/>
        </w:rPr>
        <w:t>242  Legal professional privilege</w:t>
      </w:r>
      <w:r>
        <w:rPr>
          <w:noProof/>
        </w:rPr>
        <w:tab/>
      </w:r>
      <w:r>
        <w:rPr>
          <w:noProof/>
        </w:rPr>
        <w:fldChar w:fldCharType="begin"/>
      </w:r>
      <w:r>
        <w:rPr>
          <w:noProof/>
        </w:rPr>
        <w:instrText xml:space="preserve"> PAGEREF _Toc185416120 \h </w:instrText>
      </w:r>
      <w:r>
        <w:rPr>
          <w:noProof/>
        </w:rPr>
      </w:r>
      <w:r>
        <w:rPr>
          <w:noProof/>
        </w:rPr>
        <w:fldChar w:fldCharType="separate"/>
      </w:r>
      <w:r w:rsidR="00302DB2">
        <w:rPr>
          <w:noProof/>
        </w:rPr>
        <w:t>374</w:t>
      </w:r>
      <w:r>
        <w:rPr>
          <w:noProof/>
        </w:rPr>
        <w:fldChar w:fldCharType="end"/>
      </w:r>
    </w:p>
    <w:p w14:paraId="7F35EA4E" w14:textId="0488F233" w:rsidR="007931CC" w:rsidRDefault="007931CC">
      <w:pPr>
        <w:pStyle w:val="TOC5"/>
        <w:rPr>
          <w:rFonts w:asciiTheme="minorHAnsi" w:eastAsiaTheme="minorEastAsia" w:hAnsiTheme="minorHAnsi" w:cstheme="minorBidi"/>
          <w:noProof/>
          <w:kern w:val="0"/>
          <w:sz w:val="22"/>
          <w:szCs w:val="22"/>
        </w:rPr>
      </w:pPr>
      <w:r>
        <w:rPr>
          <w:noProof/>
        </w:rPr>
        <w:t>242A  Guidelines in relation to legal professional privilege</w:t>
      </w:r>
      <w:r>
        <w:rPr>
          <w:noProof/>
        </w:rPr>
        <w:tab/>
      </w:r>
      <w:r>
        <w:rPr>
          <w:noProof/>
        </w:rPr>
        <w:fldChar w:fldCharType="begin"/>
      </w:r>
      <w:r>
        <w:rPr>
          <w:noProof/>
        </w:rPr>
        <w:instrText xml:space="preserve"> PAGEREF _Toc185416121 \h </w:instrText>
      </w:r>
      <w:r>
        <w:rPr>
          <w:noProof/>
        </w:rPr>
      </w:r>
      <w:r>
        <w:rPr>
          <w:noProof/>
        </w:rPr>
        <w:fldChar w:fldCharType="separate"/>
      </w:r>
      <w:r w:rsidR="00302DB2">
        <w:rPr>
          <w:noProof/>
        </w:rPr>
        <w:t>374</w:t>
      </w:r>
      <w:r>
        <w:rPr>
          <w:noProof/>
        </w:rPr>
        <w:fldChar w:fldCharType="end"/>
      </w:r>
    </w:p>
    <w:p w14:paraId="526AA5F3" w14:textId="2E355799" w:rsidR="007931CC" w:rsidRDefault="007931CC">
      <w:pPr>
        <w:pStyle w:val="TOC5"/>
        <w:rPr>
          <w:rFonts w:asciiTheme="minorHAnsi" w:eastAsiaTheme="minorEastAsia" w:hAnsiTheme="minorHAnsi" w:cstheme="minorBidi"/>
          <w:noProof/>
          <w:kern w:val="0"/>
          <w:sz w:val="22"/>
          <w:szCs w:val="22"/>
        </w:rPr>
      </w:pPr>
      <w:r>
        <w:rPr>
          <w:noProof/>
        </w:rPr>
        <w:t>243  Validity of transactions</w:t>
      </w:r>
      <w:r>
        <w:rPr>
          <w:noProof/>
        </w:rPr>
        <w:tab/>
      </w:r>
      <w:r>
        <w:rPr>
          <w:noProof/>
        </w:rPr>
        <w:fldChar w:fldCharType="begin"/>
      </w:r>
      <w:r>
        <w:rPr>
          <w:noProof/>
        </w:rPr>
        <w:instrText xml:space="preserve"> PAGEREF _Toc185416122 \h </w:instrText>
      </w:r>
      <w:r>
        <w:rPr>
          <w:noProof/>
        </w:rPr>
      </w:r>
      <w:r>
        <w:rPr>
          <w:noProof/>
        </w:rPr>
        <w:fldChar w:fldCharType="separate"/>
      </w:r>
      <w:r w:rsidR="00302DB2">
        <w:rPr>
          <w:noProof/>
        </w:rPr>
        <w:t>375</w:t>
      </w:r>
      <w:r>
        <w:rPr>
          <w:noProof/>
        </w:rPr>
        <w:fldChar w:fldCharType="end"/>
      </w:r>
    </w:p>
    <w:p w14:paraId="606D3F9B" w14:textId="5680D4E6" w:rsidR="007931CC" w:rsidRDefault="007931CC">
      <w:pPr>
        <w:pStyle w:val="TOC5"/>
        <w:rPr>
          <w:rFonts w:asciiTheme="minorHAnsi" w:eastAsiaTheme="minorEastAsia" w:hAnsiTheme="minorHAnsi" w:cstheme="minorBidi"/>
          <w:noProof/>
          <w:kern w:val="0"/>
          <w:sz w:val="22"/>
          <w:szCs w:val="22"/>
        </w:rPr>
      </w:pPr>
      <w:r>
        <w:rPr>
          <w:noProof/>
        </w:rPr>
        <w:t>244  Reports to the AUSTRAC CEO etc.</w:t>
      </w:r>
      <w:r>
        <w:rPr>
          <w:noProof/>
        </w:rPr>
        <w:tab/>
      </w:r>
      <w:r>
        <w:rPr>
          <w:noProof/>
        </w:rPr>
        <w:fldChar w:fldCharType="begin"/>
      </w:r>
      <w:r>
        <w:rPr>
          <w:noProof/>
        </w:rPr>
        <w:instrText xml:space="preserve"> PAGEREF _Toc185416123 \h </w:instrText>
      </w:r>
      <w:r>
        <w:rPr>
          <w:noProof/>
        </w:rPr>
      </w:r>
      <w:r>
        <w:rPr>
          <w:noProof/>
        </w:rPr>
        <w:fldChar w:fldCharType="separate"/>
      </w:r>
      <w:r w:rsidR="00302DB2">
        <w:rPr>
          <w:noProof/>
        </w:rPr>
        <w:t>375</w:t>
      </w:r>
      <w:r>
        <w:rPr>
          <w:noProof/>
        </w:rPr>
        <w:fldChar w:fldCharType="end"/>
      </w:r>
    </w:p>
    <w:p w14:paraId="5A2DFF77" w14:textId="38528EF4" w:rsidR="007931CC" w:rsidRDefault="007931CC">
      <w:pPr>
        <w:pStyle w:val="TOC5"/>
        <w:rPr>
          <w:rFonts w:asciiTheme="minorHAnsi" w:eastAsiaTheme="minorEastAsia" w:hAnsiTheme="minorHAnsi" w:cstheme="minorBidi"/>
          <w:noProof/>
          <w:kern w:val="0"/>
          <w:sz w:val="22"/>
          <w:szCs w:val="22"/>
        </w:rPr>
      </w:pPr>
      <w:r>
        <w:rPr>
          <w:noProof/>
        </w:rPr>
        <w:t>245  Arrangements with Governors of States etc.</w:t>
      </w:r>
      <w:r>
        <w:rPr>
          <w:noProof/>
        </w:rPr>
        <w:tab/>
      </w:r>
      <w:r>
        <w:rPr>
          <w:noProof/>
        </w:rPr>
        <w:fldChar w:fldCharType="begin"/>
      </w:r>
      <w:r>
        <w:rPr>
          <w:noProof/>
        </w:rPr>
        <w:instrText xml:space="preserve"> PAGEREF _Toc185416124 \h </w:instrText>
      </w:r>
      <w:r>
        <w:rPr>
          <w:noProof/>
        </w:rPr>
      </w:r>
      <w:r>
        <w:rPr>
          <w:noProof/>
        </w:rPr>
        <w:fldChar w:fldCharType="separate"/>
      </w:r>
      <w:r w:rsidR="00302DB2">
        <w:rPr>
          <w:noProof/>
        </w:rPr>
        <w:t>376</w:t>
      </w:r>
      <w:r>
        <w:rPr>
          <w:noProof/>
        </w:rPr>
        <w:fldChar w:fldCharType="end"/>
      </w:r>
    </w:p>
    <w:p w14:paraId="31AE501F" w14:textId="6FF1DACB" w:rsidR="007931CC" w:rsidRDefault="007931CC">
      <w:pPr>
        <w:pStyle w:val="TOC5"/>
        <w:rPr>
          <w:rFonts w:asciiTheme="minorHAnsi" w:eastAsiaTheme="minorEastAsia" w:hAnsiTheme="minorHAnsi" w:cstheme="minorBidi"/>
          <w:noProof/>
          <w:kern w:val="0"/>
          <w:sz w:val="22"/>
          <w:szCs w:val="22"/>
        </w:rPr>
      </w:pPr>
      <w:r>
        <w:rPr>
          <w:noProof/>
        </w:rPr>
        <w:t>246  This Act does not limit other information</w:t>
      </w:r>
      <w:r>
        <w:rPr>
          <w:noProof/>
        </w:rPr>
        <w:noBreakHyphen/>
        <w:t>gathering powers</w:t>
      </w:r>
      <w:r>
        <w:rPr>
          <w:noProof/>
        </w:rPr>
        <w:tab/>
      </w:r>
      <w:r>
        <w:rPr>
          <w:noProof/>
        </w:rPr>
        <w:fldChar w:fldCharType="begin"/>
      </w:r>
      <w:r>
        <w:rPr>
          <w:noProof/>
        </w:rPr>
        <w:instrText xml:space="preserve"> PAGEREF _Toc185416125 \h </w:instrText>
      </w:r>
      <w:r>
        <w:rPr>
          <w:noProof/>
        </w:rPr>
      </w:r>
      <w:r>
        <w:rPr>
          <w:noProof/>
        </w:rPr>
        <w:fldChar w:fldCharType="separate"/>
      </w:r>
      <w:r w:rsidR="00302DB2">
        <w:rPr>
          <w:noProof/>
        </w:rPr>
        <w:t>377</w:t>
      </w:r>
      <w:r>
        <w:rPr>
          <w:noProof/>
        </w:rPr>
        <w:fldChar w:fldCharType="end"/>
      </w:r>
    </w:p>
    <w:p w14:paraId="07449194" w14:textId="010ECEBA" w:rsidR="007931CC" w:rsidRDefault="007931CC">
      <w:pPr>
        <w:pStyle w:val="TOC5"/>
        <w:rPr>
          <w:rFonts w:asciiTheme="minorHAnsi" w:eastAsiaTheme="minorEastAsia" w:hAnsiTheme="minorHAnsi" w:cstheme="minorBidi"/>
          <w:noProof/>
          <w:kern w:val="0"/>
          <w:sz w:val="22"/>
          <w:szCs w:val="22"/>
        </w:rPr>
      </w:pPr>
      <w:r>
        <w:rPr>
          <w:noProof/>
        </w:rPr>
        <w:t>247  General exemptions</w:t>
      </w:r>
      <w:r>
        <w:rPr>
          <w:noProof/>
        </w:rPr>
        <w:tab/>
      </w:r>
      <w:r>
        <w:rPr>
          <w:noProof/>
        </w:rPr>
        <w:fldChar w:fldCharType="begin"/>
      </w:r>
      <w:r>
        <w:rPr>
          <w:noProof/>
        </w:rPr>
        <w:instrText xml:space="preserve"> PAGEREF _Toc185416126 \h </w:instrText>
      </w:r>
      <w:r>
        <w:rPr>
          <w:noProof/>
        </w:rPr>
      </w:r>
      <w:r>
        <w:rPr>
          <w:noProof/>
        </w:rPr>
        <w:fldChar w:fldCharType="separate"/>
      </w:r>
      <w:r w:rsidR="00302DB2">
        <w:rPr>
          <w:noProof/>
        </w:rPr>
        <w:t>377</w:t>
      </w:r>
      <w:r>
        <w:rPr>
          <w:noProof/>
        </w:rPr>
        <w:fldChar w:fldCharType="end"/>
      </w:r>
    </w:p>
    <w:p w14:paraId="6C9185D9" w14:textId="7184F7DA" w:rsidR="007931CC" w:rsidRDefault="007931CC">
      <w:pPr>
        <w:pStyle w:val="TOC5"/>
        <w:rPr>
          <w:rFonts w:asciiTheme="minorHAnsi" w:eastAsiaTheme="minorEastAsia" w:hAnsiTheme="minorHAnsi" w:cstheme="minorBidi"/>
          <w:noProof/>
          <w:kern w:val="0"/>
          <w:sz w:val="22"/>
          <w:szCs w:val="22"/>
        </w:rPr>
      </w:pPr>
      <w:r>
        <w:rPr>
          <w:noProof/>
        </w:rPr>
        <w:t>248  Exemptions and modifications by the AUSTRAC CEO</w:t>
      </w:r>
      <w:r>
        <w:rPr>
          <w:noProof/>
        </w:rPr>
        <w:tab/>
      </w:r>
      <w:r>
        <w:rPr>
          <w:noProof/>
        </w:rPr>
        <w:fldChar w:fldCharType="begin"/>
      </w:r>
      <w:r>
        <w:rPr>
          <w:noProof/>
        </w:rPr>
        <w:instrText xml:space="preserve"> PAGEREF _Toc185416127 \h </w:instrText>
      </w:r>
      <w:r>
        <w:rPr>
          <w:noProof/>
        </w:rPr>
      </w:r>
      <w:r>
        <w:rPr>
          <w:noProof/>
        </w:rPr>
        <w:fldChar w:fldCharType="separate"/>
      </w:r>
      <w:r w:rsidR="00302DB2">
        <w:rPr>
          <w:noProof/>
        </w:rPr>
        <w:t>377</w:t>
      </w:r>
      <w:r>
        <w:rPr>
          <w:noProof/>
        </w:rPr>
        <w:fldChar w:fldCharType="end"/>
      </w:r>
    </w:p>
    <w:p w14:paraId="25C8C0AF" w14:textId="54707460" w:rsidR="007931CC" w:rsidRDefault="007931CC">
      <w:pPr>
        <w:pStyle w:val="TOC5"/>
        <w:rPr>
          <w:rFonts w:asciiTheme="minorHAnsi" w:eastAsiaTheme="minorEastAsia" w:hAnsiTheme="minorHAnsi" w:cstheme="minorBidi"/>
          <w:noProof/>
          <w:kern w:val="0"/>
          <w:sz w:val="22"/>
          <w:szCs w:val="22"/>
        </w:rPr>
      </w:pPr>
      <w:r>
        <w:rPr>
          <w:noProof/>
        </w:rPr>
        <w:t>249  Specification by class</w:t>
      </w:r>
      <w:r>
        <w:rPr>
          <w:noProof/>
        </w:rPr>
        <w:tab/>
      </w:r>
      <w:r>
        <w:rPr>
          <w:noProof/>
        </w:rPr>
        <w:fldChar w:fldCharType="begin"/>
      </w:r>
      <w:r>
        <w:rPr>
          <w:noProof/>
        </w:rPr>
        <w:instrText xml:space="preserve"> PAGEREF _Toc185416128 \h </w:instrText>
      </w:r>
      <w:r>
        <w:rPr>
          <w:noProof/>
        </w:rPr>
      </w:r>
      <w:r>
        <w:rPr>
          <w:noProof/>
        </w:rPr>
        <w:fldChar w:fldCharType="separate"/>
      </w:r>
      <w:r w:rsidR="00302DB2">
        <w:rPr>
          <w:noProof/>
        </w:rPr>
        <w:t>378</w:t>
      </w:r>
      <w:r>
        <w:rPr>
          <w:noProof/>
        </w:rPr>
        <w:fldChar w:fldCharType="end"/>
      </w:r>
    </w:p>
    <w:p w14:paraId="2194ADF4" w14:textId="5CF83D3F" w:rsidR="007931CC" w:rsidRDefault="007931CC">
      <w:pPr>
        <w:pStyle w:val="TOC5"/>
        <w:rPr>
          <w:rFonts w:asciiTheme="minorHAnsi" w:eastAsiaTheme="minorEastAsia" w:hAnsiTheme="minorHAnsi" w:cstheme="minorBidi"/>
          <w:noProof/>
          <w:kern w:val="0"/>
          <w:sz w:val="22"/>
          <w:szCs w:val="22"/>
        </w:rPr>
      </w:pPr>
      <w:r>
        <w:rPr>
          <w:noProof/>
        </w:rPr>
        <w:t>250  Schedule 1 (alternative constitutional basis)</w:t>
      </w:r>
      <w:r>
        <w:rPr>
          <w:noProof/>
        </w:rPr>
        <w:tab/>
      </w:r>
      <w:r>
        <w:rPr>
          <w:noProof/>
        </w:rPr>
        <w:fldChar w:fldCharType="begin"/>
      </w:r>
      <w:r>
        <w:rPr>
          <w:noProof/>
        </w:rPr>
        <w:instrText xml:space="preserve"> PAGEREF _Toc185416129 \h </w:instrText>
      </w:r>
      <w:r>
        <w:rPr>
          <w:noProof/>
        </w:rPr>
      </w:r>
      <w:r>
        <w:rPr>
          <w:noProof/>
        </w:rPr>
        <w:fldChar w:fldCharType="separate"/>
      </w:r>
      <w:r w:rsidR="00302DB2">
        <w:rPr>
          <w:noProof/>
        </w:rPr>
        <w:t>378</w:t>
      </w:r>
      <w:r>
        <w:rPr>
          <w:noProof/>
        </w:rPr>
        <w:fldChar w:fldCharType="end"/>
      </w:r>
    </w:p>
    <w:p w14:paraId="5FE21BD7" w14:textId="098D2878" w:rsidR="007931CC" w:rsidRDefault="007931CC">
      <w:pPr>
        <w:pStyle w:val="TOC5"/>
        <w:rPr>
          <w:rFonts w:asciiTheme="minorHAnsi" w:eastAsiaTheme="minorEastAsia" w:hAnsiTheme="minorHAnsi" w:cstheme="minorBidi"/>
          <w:noProof/>
          <w:kern w:val="0"/>
          <w:sz w:val="22"/>
          <w:szCs w:val="22"/>
        </w:rPr>
      </w:pPr>
      <w:r>
        <w:rPr>
          <w:noProof/>
        </w:rPr>
        <w:t>251  Review of operation of Act</w:t>
      </w:r>
      <w:r>
        <w:rPr>
          <w:noProof/>
        </w:rPr>
        <w:tab/>
      </w:r>
      <w:r>
        <w:rPr>
          <w:noProof/>
        </w:rPr>
        <w:fldChar w:fldCharType="begin"/>
      </w:r>
      <w:r>
        <w:rPr>
          <w:noProof/>
        </w:rPr>
        <w:instrText xml:space="preserve"> PAGEREF _Toc185416130 \h </w:instrText>
      </w:r>
      <w:r>
        <w:rPr>
          <w:noProof/>
        </w:rPr>
      </w:r>
      <w:r>
        <w:rPr>
          <w:noProof/>
        </w:rPr>
        <w:fldChar w:fldCharType="separate"/>
      </w:r>
      <w:r w:rsidR="00302DB2">
        <w:rPr>
          <w:noProof/>
        </w:rPr>
        <w:t>379</w:t>
      </w:r>
      <w:r>
        <w:rPr>
          <w:noProof/>
        </w:rPr>
        <w:fldChar w:fldCharType="end"/>
      </w:r>
    </w:p>
    <w:p w14:paraId="0052FBC6" w14:textId="10DF06F9" w:rsidR="007931CC" w:rsidRDefault="007931CC">
      <w:pPr>
        <w:pStyle w:val="TOC5"/>
        <w:rPr>
          <w:rFonts w:asciiTheme="minorHAnsi" w:eastAsiaTheme="minorEastAsia" w:hAnsiTheme="minorHAnsi" w:cstheme="minorBidi"/>
          <w:noProof/>
          <w:kern w:val="0"/>
          <w:sz w:val="22"/>
          <w:szCs w:val="22"/>
        </w:rPr>
      </w:pPr>
      <w:r>
        <w:rPr>
          <w:noProof/>
        </w:rPr>
        <w:t>252  Regulations</w:t>
      </w:r>
      <w:r>
        <w:rPr>
          <w:noProof/>
        </w:rPr>
        <w:tab/>
      </w:r>
      <w:r>
        <w:rPr>
          <w:noProof/>
        </w:rPr>
        <w:fldChar w:fldCharType="begin"/>
      </w:r>
      <w:r>
        <w:rPr>
          <w:noProof/>
        </w:rPr>
        <w:instrText xml:space="preserve"> PAGEREF _Toc185416131 \h </w:instrText>
      </w:r>
      <w:r>
        <w:rPr>
          <w:noProof/>
        </w:rPr>
      </w:r>
      <w:r>
        <w:rPr>
          <w:noProof/>
        </w:rPr>
        <w:fldChar w:fldCharType="separate"/>
      </w:r>
      <w:r w:rsidR="00302DB2">
        <w:rPr>
          <w:noProof/>
        </w:rPr>
        <w:t>379</w:t>
      </w:r>
      <w:r>
        <w:rPr>
          <w:noProof/>
        </w:rPr>
        <w:fldChar w:fldCharType="end"/>
      </w:r>
    </w:p>
    <w:p w14:paraId="0A91874A" w14:textId="4BD592C9" w:rsidR="007931CC" w:rsidRDefault="007931CC">
      <w:pPr>
        <w:pStyle w:val="TOC1"/>
        <w:rPr>
          <w:rFonts w:asciiTheme="minorHAnsi" w:eastAsiaTheme="minorEastAsia" w:hAnsiTheme="minorHAnsi" w:cstheme="minorBidi"/>
          <w:b w:val="0"/>
          <w:noProof/>
          <w:kern w:val="0"/>
          <w:sz w:val="22"/>
          <w:szCs w:val="22"/>
        </w:rPr>
      </w:pPr>
      <w:r>
        <w:rPr>
          <w:noProof/>
        </w:rPr>
        <w:t>Schedule 1—Alternative constitutional basis</w:t>
      </w:r>
      <w:r>
        <w:rPr>
          <w:noProof/>
        </w:rPr>
        <w:tab/>
      </w:r>
      <w:r>
        <w:rPr>
          <w:noProof/>
        </w:rPr>
        <w:fldChar w:fldCharType="begin"/>
      </w:r>
      <w:r>
        <w:rPr>
          <w:noProof/>
        </w:rPr>
        <w:instrText xml:space="preserve"> PAGEREF _Toc185416132 \h </w:instrText>
      </w:r>
      <w:r>
        <w:rPr>
          <w:noProof/>
        </w:rPr>
      </w:r>
      <w:r>
        <w:rPr>
          <w:noProof/>
        </w:rPr>
        <w:fldChar w:fldCharType="separate"/>
      </w:r>
      <w:r w:rsidR="00302DB2">
        <w:rPr>
          <w:noProof/>
        </w:rPr>
        <w:t>380</w:t>
      </w:r>
      <w:r>
        <w:rPr>
          <w:noProof/>
        </w:rPr>
        <w:fldChar w:fldCharType="end"/>
      </w:r>
    </w:p>
    <w:p w14:paraId="0BFFE9BE" w14:textId="00E27A49" w:rsidR="007931CC" w:rsidRDefault="007931CC">
      <w:pPr>
        <w:pStyle w:val="TOC5"/>
        <w:rPr>
          <w:rFonts w:asciiTheme="minorHAnsi" w:eastAsiaTheme="minorEastAsia" w:hAnsiTheme="minorHAnsi" w:cstheme="minorBidi"/>
          <w:noProof/>
          <w:kern w:val="0"/>
          <w:sz w:val="22"/>
          <w:szCs w:val="22"/>
        </w:rPr>
      </w:pPr>
      <w:r>
        <w:rPr>
          <w:noProof/>
        </w:rPr>
        <w:t>1  Alternative constitutional basis</w:t>
      </w:r>
      <w:r>
        <w:rPr>
          <w:noProof/>
        </w:rPr>
        <w:tab/>
      </w:r>
      <w:r>
        <w:rPr>
          <w:noProof/>
        </w:rPr>
        <w:fldChar w:fldCharType="begin"/>
      </w:r>
      <w:r>
        <w:rPr>
          <w:noProof/>
        </w:rPr>
        <w:instrText xml:space="preserve"> PAGEREF _Toc185416133 \h </w:instrText>
      </w:r>
      <w:r>
        <w:rPr>
          <w:noProof/>
        </w:rPr>
      </w:r>
      <w:r>
        <w:rPr>
          <w:noProof/>
        </w:rPr>
        <w:fldChar w:fldCharType="separate"/>
      </w:r>
      <w:r w:rsidR="00302DB2">
        <w:rPr>
          <w:noProof/>
        </w:rPr>
        <w:t>380</w:t>
      </w:r>
      <w:r>
        <w:rPr>
          <w:noProof/>
        </w:rPr>
        <w:fldChar w:fldCharType="end"/>
      </w:r>
    </w:p>
    <w:p w14:paraId="73B6E74B" w14:textId="6254B87F" w:rsidR="007931CC" w:rsidRDefault="007931CC">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_Toc185416134 \h </w:instrText>
      </w:r>
      <w:r>
        <w:rPr>
          <w:noProof/>
        </w:rPr>
      </w:r>
      <w:r>
        <w:rPr>
          <w:noProof/>
        </w:rPr>
        <w:fldChar w:fldCharType="separate"/>
      </w:r>
      <w:r w:rsidR="00302DB2">
        <w:rPr>
          <w:noProof/>
        </w:rPr>
        <w:t>383</w:t>
      </w:r>
      <w:r>
        <w:rPr>
          <w:noProof/>
        </w:rPr>
        <w:fldChar w:fldCharType="end"/>
      </w:r>
    </w:p>
    <w:p w14:paraId="4AD40B8E" w14:textId="3B653820" w:rsidR="007931CC" w:rsidRDefault="007931CC">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_Toc185416135 \h </w:instrText>
      </w:r>
      <w:r>
        <w:rPr>
          <w:noProof/>
        </w:rPr>
      </w:r>
      <w:r>
        <w:rPr>
          <w:noProof/>
        </w:rPr>
        <w:fldChar w:fldCharType="separate"/>
      </w:r>
      <w:r w:rsidR="00302DB2">
        <w:rPr>
          <w:noProof/>
        </w:rPr>
        <w:t>383</w:t>
      </w:r>
      <w:r>
        <w:rPr>
          <w:noProof/>
        </w:rPr>
        <w:fldChar w:fldCharType="end"/>
      </w:r>
    </w:p>
    <w:p w14:paraId="43CC1B54" w14:textId="35913BFD" w:rsidR="007931CC" w:rsidRDefault="007931CC">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_Toc185416136 \h </w:instrText>
      </w:r>
      <w:r>
        <w:rPr>
          <w:noProof/>
        </w:rPr>
      </w:r>
      <w:r>
        <w:rPr>
          <w:noProof/>
        </w:rPr>
        <w:fldChar w:fldCharType="separate"/>
      </w:r>
      <w:r w:rsidR="00302DB2">
        <w:rPr>
          <w:noProof/>
        </w:rPr>
        <w:t>385</w:t>
      </w:r>
      <w:r>
        <w:rPr>
          <w:noProof/>
        </w:rPr>
        <w:fldChar w:fldCharType="end"/>
      </w:r>
    </w:p>
    <w:p w14:paraId="08415011" w14:textId="4EF26626" w:rsidR="007931CC" w:rsidRDefault="007931CC">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_Toc185416137 \h </w:instrText>
      </w:r>
      <w:r>
        <w:rPr>
          <w:noProof/>
        </w:rPr>
      </w:r>
      <w:r>
        <w:rPr>
          <w:noProof/>
        </w:rPr>
        <w:fldChar w:fldCharType="separate"/>
      </w:r>
      <w:r w:rsidR="00302DB2">
        <w:rPr>
          <w:noProof/>
        </w:rPr>
        <w:t>386</w:t>
      </w:r>
      <w:r>
        <w:rPr>
          <w:noProof/>
        </w:rPr>
        <w:fldChar w:fldCharType="end"/>
      </w:r>
    </w:p>
    <w:p w14:paraId="4CA95AE4" w14:textId="3FFE3FC4" w:rsidR="007931CC" w:rsidRDefault="007931CC">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_Toc185416138 \h </w:instrText>
      </w:r>
      <w:r>
        <w:rPr>
          <w:noProof/>
        </w:rPr>
      </w:r>
      <w:r>
        <w:rPr>
          <w:noProof/>
        </w:rPr>
        <w:fldChar w:fldCharType="separate"/>
      </w:r>
      <w:r w:rsidR="00302DB2">
        <w:rPr>
          <w:noProof/>
        </w:rPr>
        <w:t>394</w:t>
      </w:r>
      <w:r>
        <w:rPr>
          <w:noProof/>
        </w:rPr>
        <w:fldChar w:fldCharType="end"/>
      </w:r>
    </w:p>
    <w:p w14:paraId="0DD79215" w14:textId="4219F939" w:rsidR="00D74A7B" w:rsidRPr="0081146C" w:rsidRDefault="00AB60A4" w:rsidP="00D74A7B">
      <w:pPr>
        <w:sectPr w:rsidR="00D74A7B" w:rsidRPr="0081146C" w:rsidSect="00562BD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1146C">
        <w:fldChar w:fldCharType="end"/>
      </w:r>
    </w:p>
    <w:p w14:paraId="220BDBC4" w14:textId="77777777" w:rsidR="00BE7106" w:rsidRPr="0081146C" w:rsidRDefault="00BE7106" w:rsidP="00BE7106">
      <w:pPr>
        <w:pStyle w:val="LongT"/>
      </w:pPr>
      <w:r w:rsidRPr="0081146C">
        <w:t xml:space="preserve">An Act to </w:t>
      </w:r>
      <w:r w:rsidR="00035544" w:rsidRPr="0081146C">
        <w:t>combat money laundering and the financing of terrorism, and for other purposes</w:t>
      </w:r>
    </w:p>
    <w:p w14:paraId="3BFAA128" w14:textId="77777777" w:rsidR="00035544" w:rsidRPr="0081146C" w:rsidRDefault="00CA78AA" w:rsidP="00035544">
      <w:pPr>
        <w:pStyle w:val="ActHead2"/>
      </w:pPr>
      <w:bookmarkStart w:id="3" w:name="_Toc185415699"/>
      <w:r w:rsidRPr="0081146C">
        <w:rPr>
          <w:rStyle w:val="CharPartNo"/>
        </w:rPr>
        <w:t>Part 1</w:t>
      </w:r>
      <w:r w:rsidR="00035544" w:rsidRPr="0081146C">
        <w:t>—</w:t>
      </w:r>
      <w:r w:rsidR="00035544" w:rsidRPr="0081146C">
        <w:rPr>
          <w:rStyle w:val="CharPartText"/>
        </w:rPr>
        <w:t>Introduction</w:t>
      </w:r>
      <w:bookmarkEnd w:id="3"/>
    </w:p>
    <w:p w14:paraId="190542CA" w14:textId="77777777" w:rsidR="00035544" w:rsidRPr="0081146C" w:rsidRDefault="00C72BA2" w:rsidP="00035544">
      <w:pPr>
        <w:pStyle w:val="Header"/>
      </w:pPr>
      <w:r w:rsidRPr="0081146C">
        <w:rPr>
          <w:rStyle w:val="CharDivNo"/>
        </w:rPr>
        <w:t xml:space="preserve"> </w:t>
      </w:r>
      <w:r w:rsidRPr="0081146C">
        <w:rPr>
          <w:rStyle w:val="CharDivText"/>
        </w:rPr>
        <w:t xml:space="preserve"> </w:t>
      </w:r>
    </w:p>
    <w:p w14:paraId="79E00F41" w14:textId="77777777" w:rsidR="00035544" w:rsidRPr="0081146C" w:rsidRDefault="00035544" w:rsidP="00035544">
      <w:pPr>
        <w:pStyle w:val="ActHead5"/>
      </w:pPr>
      <w:bookmarkStart w:id="4" w:name="_Toc185415700"/>
      <w:r w:rsidRPr="0081146C">
        <w:rPr>
          <w:rStyle w:val="CharSectno"/>
        </w:rPr>
        <w:t>1</w:t>
      </w:r>
      <w:r w:rsidRPr="0081146C">
        <w:t xml:space="preserve">  Short title</w:t>
      </w:r>
      <w:bookmarkEnd w:id="4"/>
    </w:p>
    <w:p w14:paraId="23B62295" w14:textId="77777777" w:rsidR="00035544" w:rsidRPr="0081146C" w:rsidRDefault="00035544" w:rsidP="00035544">
      <w:pPr>
        <w:pStyle w:val="subsection"/>
      </w:pPr>
      <w:r w:rsidRPr="0081146C">
        <w:tab/>
      </w:r>
      <w:r w:rsidRPr="0081146C">
        <w:tab/>
        <w:t xml:space="preserve">This Act may be cited as the </w:t>
      </w:r>
      <w:r w:rsidRPr="0081146C">
        <w:rPr>
          <w:i/>
        </w:rPr>
        <w:t>Anti</w:t>
      </w:r>
      <w:r w:rsidR="003B7E15" w:rsidRPr="0081146C">
        <w:rPr>
          <w:i/>
        </w:rPr>
        <w:noBreakHyphen/>
      </w:r>
      <w:r w:rsidRPr="0081146C">
        <w:rPr>
          <w:i/>
        </w:rPr>
        <w:t>Money Laundering and Counter</w:t>
      </w:r>
      <w:r w:rsidR="003B7E15" w:rsidRPr="0081146C">
        <w:rPr>
          <w:i/>
        </w:rPr>
        <w:noBreakHyphen/>
      </w:r>
      <w:r w:rsidRPr="0081146C">
        <w:rPr>
          <w:i/>
        </w:rPr>
        <w:t>Terrorism Financing Act 2006</w:t>
      </w:r>
      <w:r w:rsidRPr="0081146C">
        <w:t>.</w:t>
      </w:r>
    </w:p>
    <w:p w14:paraId="1D596C3F" w14:textId="77777777" w:rsidR="00035544" w:rsidRPr="0081146C" w:rsidRDefault="00035544" w:rsidP="00035544">
      <w:pPr>
        <w:pStyle w:val="ActHead5"/>
      </w:pPr>
      <w:bookmarkStart w:id="5" w:name="_Toc185415701"/>
      <w:r w:rsidRPr="0081146C">
        <w:rPr>
          <w:rStyle w:val="CharSectno"/>
        </w:rPr>
        <w:t>2</w:t>
      </w:r>
      <w:r w:rsidRPr="0081146C">
        <w:t xml:space="preserve">  Commencement</w:t>
      </w:r>
      <w:bookmarkEnd w:id="5"/>
    </w:p>
    <w:p w14:paraId="0A9A769F" w14:textId="77777777" w:rsidR="00035544" w:rsidRPr="0081146C" w:rsidRDefault="00035544" w:rsidP="00035544">
      <w:pPr>
        <w:pStyle w:val="subsection"/>
      </w:pPr>
      <w:r w:rsidRPr="0081146C">
        <w:tab/>
        <w:t>(1)</w:t>
      </w:r>
      <w:r w:rsidRPr="0081146C">
        <w:tab/>
        <w:t>Each provision of this Act specified in column 1 of the table commences, or is taken to have commenced, in accordance with column 2 of the table. Any other statement in column 2 has effect according to its terms.</w:t>
      </w:r>
    </w:p>
    <w:p w14:paraId="62C55B0C" w14:textId="77777777" w:rsidR="00035544" w:rsidRPr="0081146C" w:rsidRDefault="00035544" w:rsidP="00C72BA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35544" w:rsidRPr="0081146C" w14:paraId="42A9D1A3" w14:textId="77777777" w:rsidTr="00C72BA2">
        <w:trPr>
          <w:tblHeader/>
        </w:trPr>
        <w:tc>
          <w:tcPr>
            <w:tcW w:w="7111" w:type="dxa"/>
            <w:gridSpan w:val="3"/>
            <w:tcBorders>
              <w:top w:val="single" w:sz="12" w:space="0" w:color="auto"/>
              <w:bottom w:val="single" w:sz="6" w:space="0" w:color="auto"/>
            </w:tcBorders>
            <w:shd w:val="clear" w:color="auto" w:fill="auto"/>
          </w:tcPr>
          <w:p w14:paraId="4842B86C" w14:textId="77777777" w:rsidR="00035544" w:rsidRPr="0081146C" w:rsidRDefault="00035544" w:rsidP="00C72BA2">
            <w:pPr>
              <w:pStyle w:val="TableHeading"/>
            </w:pPr>
            <w:r w:rsidRPr="0081146C">
              <w:t>Commencement information</w:t>
            </w:r>
          </w:p>
        </w:tc>
      </w:tr>
      <w:tr w:rsidR="00035544" w:rsidRPr="0081146C" w14:paraId="05066633" w14:textId="77777777" w:rsidTr="00C72BA2">
        <w:trPr>
          <w:tblHeader/>
        </w:trPr>
        <w:tc>
          <w:tcPr>
            <w:tcW w:w="1701" w:type="dxa"/>
            <w:tcBorders>
              <w:top w:val="single" w:sz="6" w:space="0" w:color="auto"/>
              <w:bottom w:val="single" w:sz="6" w:space="0" w:color="auto"/>
            </w:tcBorders>
            <w:shd w:val="clear" w:color="auto" w:fill="auto"/>
          </w:tcPr>
          <w:p w14:paraId="07DC4238" w14:textId="77777777" w:rsidR="00035544" w:rsidRPr="0081146C" w:rsidRDefault="00035544" w:rsidP="00035544">
            <w:pPr>
              <w:pStyle w:val="Tabletext"/>
              <w:keepNext/>
              <w:rPr>
                <w:b/>
              </w:rPr>
            </w:pPr>
            <w:r w:rsidRPr="0081146C">
              <w:rPr>
                <w:b/>
              </w:rPr>
              <w:t>Column 1</w:t>
            </w:r>
          </w:p>
        </w:tc>
        <w:tc>
          <w:tcPr>
            <w:tcW w:w="3828" w:type="dxa"/>
            <w:tcBorders>
              <w:top w:val="single" w:sz="6" w:space="0" w:color="auto"/>
              <w:bottom w:val="single" w:sz="6" w:space="0" w:color="auto"/>
            </w:tcBorders>
            <w:shd w:val="clear" w:color="auto" w:fill="auto"/>
          </w:tcPr>
          <w:p w14:paraId="27E51651" w14:textId="77777777" w:rsidR="00035544" w:rsidRPr="0081146C" w:rsidRDefault="00035544" w:rsidP="00035544">
            <w:pPr>
              <w:pStyle w:val="Tabletext"/>
              <w:keepNext/>
              <w:rPr>
                <w:b/>
              </w:rPr>
            </w:pPr>
            <w:r w:rsidRPr="0081146C">
              <w:rPr>
                <w:b/>
              </w:rPr>
              <w:t>Column 2</w:t>
            </w:r>
          </w:p>
        </w:tc>
        <w:tc>
          <w:tcPr>
            <w:tcW w:w="1582" w:type="dxa"/>
            <w:tcBorders>
              <w:top w:val="single" w:sz="6" w:space="0" w:color="auto"/>
              <w:bottom w:val="single" w:sz="6" w:space="0" w:color="auto"/>
            </w:tcBorders>
            <w:shd w:val="clear" w:color="auto" w:fill="auto"/>
          </w:tcPr>
          <w:p w14:paraId="1A95EF34" w14:textId="77777777" w:rsidR="00035544" w:rsidRPr="0081146C" w:rsidRDefault="00035544" w:rsidP="00035544">
            <w:pPr>
              <w:pStyle w:val="Tabletext"/>
              <w:keepNext/>
              <w:rPr>
                <w:b/>
              </w:rPr>
            </w:pPr>
            <w:r w:rsidRPr="0081146C">
              <w:rPr>
                <w:b/>
              </w:rPr>
              <w:t>Column 3</w:t>
            </w:r>
          </w:p>
        </w:tc>
      </w:tr>
      <w:tr w:rsidR="00035544" w:rsidRPr="0081146C" w14:paraId="22A36F06" w14:textId="77777777" w:rsidTr="00C72BA2">
        <w:trPr>
          <w:tblHeader/>
        </w:trPr>
        <w:tc>
          <w:tcPr>
            <w:tcW w:w="1701" w:type="dxa"/>
            <w:tcBorders>
              <w:top w:val="single" w:sz="6" w:space="0" w:color="auto"/>
              <w:bottom w:val="single" w:sz="12" w:space="0" w:color="auto"/>
            </w:tcBorders>
            <w:shd w:val="clear" w:color="auto" w:fill="auto"/>
          </w:tcPr>
          <w:p w14:paraId="618B70DE" w14:textId="77777777" w:rsidR="00035544" w:rsidRPr="0081146C" w:rsidRDefault="00035544" w:rsidP="00035544">
            <w:pPr>
              <w:pStyle w:val="Tabletext"/>
              <w:keepNext/>
              <w:rPr>
                <w:b/>
              </w:rPr>
            </w:pPr>
            <w:r w:rsidRPr="0081146C">
              <w:rPr>
                <w:b/>
              </w:rPr>
              <w:t>Provision(s)</w:t>
            </w:r>
          </w:p>
        </w:tc>
        <w:tc>
          <w:tcPr>
            <w:tcW w:w="3828" w:type="dxa"/>
            <w:tcBorders>
              <w:top w:val="single" w:sz="6" w:space="0" w:color="auto"/>
              <w:bottom w:val="single" w:sz="12" w:space="0" w:color="auto"/>
            </w:tcBorders>
            <w:shd w:val="clear" w:color="auto" w:fill="auto"/>
          </w:tcPr>
          <w:p w14:paraId="3D75D349" w14:textId="77777777" w:rsidR="00035544" w:rsidRPr="0081146C" w:rsidRDefault="00035544" w:rsidP="00035544">
            <w:pPr>
              <w:pStyle w:val="Tabletext"/>
              <w:keepNext/>
              <w:rPr>
                <w:b/>
              </w:rPr>
            </w:pPr>
            <w:r w:rsidRPr="0081146C">
              <w:rPr>
                <w:b/>
              </w:rPr>
              <w:t>Commencement</w:t>
            </w:r>
          </w:p>
        </w:tc>
        <w:tc>
          <w:tcPr>
            <w:tcW w:w="1582" w:type="dxa"/>
            <w:tcBorders>
              <w:top w:val="single" w:sz="6" w:space="0" w:color="auto"/>
              <w:bottom w:val="single" w:sz="12" w:space="0" w:color="auto"/>
            </w:tcBorders>
            <w:shd w:val="clear" w:color="auto" w:fill="auto"/>
          </w:tcPr>
          <w:p w14:paraId="6C375ACE" w14:textId="77777777" w:rsidR="00035544" w:rsidRPr="0081146C" w:rsidRDefault="00035544" w:rsidP="00035544">
            <w:pPr>
              <w:pStyle w:val="Tabletext"/>
              <w:keepNext/>
              <w:rPr>
                <w:b/>
              </w:rPr>
            </w:pPr>
            <w:r w:rsidRPr="0081146C">
              <w:rPr>
                <w:b/>
              </w:rPr>
              <w:t>Date/Details</w:t>
            </w:r>
          </w:p>
        </w:tc>
      </w:tr>
      <w:tr w:rsidR="00035544" w:rsidRPr="0081146C" w14:paraId="0F871C8B" w14:textId="77777777" w:rsidTr="00C72BA2">
        <w:tc>
          <w:tcPr>
            <w:tcW w:w="1701" w:type="dxa"/>
            <w:tcBorders>
              <w:top w:val="single" w:sz="12" w:space="0" w:color="auto"/>
            </w:tcBorders>
            <w:shd w:val="clear" w:color="auto" w:fill="auto"/>
          </w:tcPr>
          <w:p w14:paraId="72E6F917" w14:textId="77777777" w:rsidR="00035544" w:rsidRPr="0081146C" w:rsidRDefault="00035544" w:rsidP="00035544">
            <w:pPr>
              <w:pStyle w:val="Tabletext"/>
            </w:pPr>
            <w:r w:rsidRPr="0081146C">
              <w:t>1.  Sections</w:t>
            </w:r>
            <w:r w:rsidR="004F64A4" w:rsidRPr="0081146C">
              <w:t> </w:t>
            </w:r>
            <w:r w:rsidRPr="0081146C">
              <w:t>1 and 2 and anything in this Act not elsewhere covered by this table</w:t>
            </w:r>
          </w:p>
        </w:tc>
        <w:tc>
          <w:tcPr>
            <w:tcW w:w="3828" w:type="dxa"/>
            <w:tcBorders>
              <w:top w:val="single" w:sz="12" w:space="0" w:color="auto"/>
            </w:tcBorders>
            <w:shd w:val="clear" w:color="auto" w:fill="auto"/>
          </w:tcPr>
          <w:p w14:paraId="21EEE53D" w14:textId="77777777" w:rsidR="00035544" w:rsidRPr="0081146C" w:rsidRDefault="00035544" w:rsidP="00035544">
            <w:pPr>
              <w:pStyle w:val="Tabletext"/>
            </w:pPr>
            <w:r w:rsidRPr="0081146C">
              <w:t>The day on which this Act receives the Royal Assent.</w:t>
            </w:r>
          </w:p>
        </w:tc>
        <w:tc>
          <w:tcPr>
            <w:tcW w:w="1582" w:type="dxa"/>
            <w:tcBorders>
              <w:top w:val="single" w:sz="12" w:space="0" w:color="auto"/>
            </w:tcBorders>
            <w:shd w:val="clear" w:color="auto" w:fill="auto"/>
          </w:tcPr>
          <w:p w14:paraId="64DD0EA1" w14:textId="77777777" w:rsidR="00035544" w:rsidRPr="0081146C" w:rsidRDefault="00035544" w:rsidP="00035544">
            <w:pPr>
              <w:pStyle w:val="Tabletext"/>
            </w:pPr>
            <w:r w:rsidRPr="0081146C">
              <w:t>12</w:t>
            </w:r>
            <w:r w:rsidR="004F64A4" w:rsidRPr="0081146C">
              <w:t> </w:t>
            </w:r>
            <w:r w:rsidRPr="0081146C">
              <w:t>December 2006</w:t>
            </w:r>
          </w:p>
        </w:tc>
      </w:tr>
      <w:tr w:rsidR="00035544" w:rsidRPr="0081146C" w14:paraId="7213906B" w14:textId="77777777" w:rsidTr="00C72BA2">
        <w:tc>
          <w:tcPr>
            <w:tcW w:w="1701" w:type="dxa"/>
            <w:shd w:val="clear" w:color="auto" w:fill="auto"/>
          </w:tcPr>
          <w:p w14:paraId="4D5EC31B" w14:textId="77777777" w:rsidR="00035544" w:rsidRPr="0081146C" w:rsidRDefault="00035544" w:rsidP="00035544">
            <w:pPr>
              <w:pStyle w:val="Tabletext"/>
            </w:pPr>
            <w:r w:rsidRPr="0081146C">
              <w:t>2.  Sections</w:t>
            </w:r>
            <w:r w:rsidR="004F64A4" w:rsidRPr="0081146C">
              <w:t> </w:t>
            </w:r>
            <w:r w:rsidRPr="0081146C">
              <w:t>3 to 26</w:t>
            </w:r>
          </w:p>
        </w:tc>
        <w:tc>
          <w:tcPr>
            <w:tcW w:w="3828" w:type="dxa"/>
            <w:shd w:val="clear" w:color="auto" w:fill="auto"/>
          </w:tcPr>
          <w:p w14:paraId="476FCF01" w14:textId="77777777" w:rsidR="00035544" w:rsidRPr="0081146C" w:rsidRDefault="00035544" w:rsidP="00035544">
            <w:pPr>
              <w:pStyle w:val="Tabletext"/>
            </w:pPr>
            <w:r w:rsidRPr="0081146C">
              <w:t>The day after this Act receives the Royal Assent.</w:t>
            </w:r>
          </w:p>
        </w:tc>
        <w:tc>
          <w:tcPr>
            <w:tcW w:w="1582" w:type="dxa"/>
            <w:shd w:val="clear" w:color="auto" w:fill="auto"/>
          </w:tcPr>
          <w:p w14:paraId="27653E4B" w14:textId="77777777" w:rsidR="00035544" w:rsidRPr="0081146C" w:rsidRDefault="00035544" w:rsidP="00035544">
            <w:pPr>
              <w:pStyle w:val="Tabletext"/>
            </w:pPr>
            <w:r w:rsidRPr="0081146C">
              <w:t>13</w:t>
            </w:r>
            <w:r w:rsidR="004F64A4" w:rsidRPr="0081146C">
              <w:t> </w:t>
            </w:r>
            <w:r w:rsidRPr="0081146C">
              <w:t>December 2006</w:t>
            </w:r>
          </w:p>
        </w:tc>
      </w:tr>
      <w:tr w:rsidR="00035544" w:rsidRPr="0081146C" w14:paraId="7266840F" w14:textId="77777777" w:rsidTr="00C72BA2">
        <w:tc>
          <w:tcPr>
            <w:tcW w:w="1701" w:type="dxa"/>
            <w:shd w:val="clear" w:color="auto" w:fill="auto"/>
          </w:tcPr>
          <w:p w14:paraId="73985C84" w14:textId="77777777" w:rsidR="00035544" w:rsidRPr="0081146C" w:rsidRDefault="00035544" w:rsidP="00035544">
            <w:pPr>
              <w:pStyle w:val="Tabletext"/>
            </w:pPr>
            <w:r w:rsidRPr="0081146C">
              <w:t>3.  Part</w:t>
            </w:r>
            <w:r w:rsidR="004F64A4" w:rsidRPr="0081146C">
              <w:t> </w:t>
            </w:r>
            <w:r w:rsidRPr="0081146C">
              <w:t>2, Divisions</w:t>
            </w:r>
            <w:r w:rsidR="004F64A4" w:rsidRPr="0081146C">
              <w:t> </w:t>
            </w:r>
            <w:r w:rsidRPr="0081146C">
              <w:t>1 to 5</w:t>
            </w:r>
          </w:p>
        </w:tc>
        <w:tc>
          <w:tcPr>
            <w:tcW w:w="3828" w:type="dxa"/>
            <w:shd w:val="clear" w:color="auto" w:fill="auto"/>
          </w:tcPr>
          <w:p w14:paraId="372239B3" w14:textId="77777777" w:rsidR="00035544" w:rsidRPr="0081146C" w:rsidRDefault="00035544" w:rsidP="00035544">
            <w:pPr>
              <w:pStyle w:val="Tabletext"/>
            </w:pPr>
            <w:r w:rsidRPr="0081146C">
              <w:t>The first day after the end of the period of 12 months beginning on the day on which this Act receives the Royal Assent.</w:t>
            </w:r>
          </w:p>
        </w:tc>
        <w:tc>
          <w:tcPr>
            <w:tcW w:w="1582" w:type="dxa"/>
            <w:shd w:val="clear" w:color="auto" w:fill="auto"/>
          </w:tcPr>
          <w:p w14:paraId="370C6AB5" w14:textId="77777777" w:rsidR="00035544" w:rsidRPr="0081146C" w:rsidRDefault="00035544" w:rsidP="00035544">
            <w:pPr>
              <w:pStyle w:val="Tabletext"/>
            </w:pPr>
            <w:r w:rsidRPr="0081146C">
              <w:t>12</w:t>
            </w:r>
            <w:r w:rsidR="004F64A4" w:rsidRPr="0081146C">
              <w:t> </w:t>
            </w:r>
            <w:r w:rsidRPr="0081146C">
              <w:t>December 2007</w:t>
            </w:r>
          </w:p>
        </w:tc>
      </w:tr>
      <w:tr w:rsidR="00035544" w:rsidRPr="0081146C" w14:paraId="1BFED862" w14:textId="77777777" w:rsidTr="009254D4">
        <w:tc>
          <w:tcPr>
            <w:tcW w:w="1701" w:type="dxa"/>
            <w:tcBorders>
              <w:bottom w:val="single" w:sz="4" w:space="0" w:color="auto"/>
            </w:tcBorders>
            <w:shd w:val="clear" w:color="auto" w:fill="auto"/>
          </w:tcPr>
          <w:p w14:paraId="61E51946" w14:textId="77777777" w:rsidR="00035544" w:rsidRPr="0081146C" w:rsidRDefault="00035544" w:rsidP="00035544">
            <w:pPr>
              <w:pStyle w:val="Tabletext"/>
            </w:pPr>
            <w:r w:rsidRPr="0081146C">
              <w:t>4.  Part</w:t>
            </w:r>
            <w:r w:rsidR="004F64A4" w:rsidRPr="0081146C">
              <w:t> </w:t>
            </w:r>
            <w:r w:rsidRPr="0081146C">
              <w:t xml:space="preserve">2, </w:t>
            </w:r>
            <w:r w:rsidR="003A364D" w:rsidRPr="0081146C">
              <w:t>Division 6</w:t>
            </w:r>
          </w:p>
        </w:tc>
        <w:tc>
          <w:tcPr>
            <w:tcW w:w="3828" w:type="dxa"/>
            <w:tcBorders>
              <w:bottom w:val="single" w:sz="4" w:space="0" w:color="auto"/>
            </w:tcBorders>
            <w:shd w:val="clear" w:color="auto" w:fill="auto"/>
          </w:tcPr>
          <w:p w14:paraId="2D078CF0" w14:textId="77777777" w:rsidR="00035544" w:rsidRPr="0081146C" w:rsidRDefault="00035544" w:rsidP="00035544">
            <w:pPr>
              <w:pStyle w:val="Tabletext"/>
            </w:pPr>
            <w:r w:rsidRPr="0081146C">
              <w:t>The first day after the end of the period of 24 months beginning on the day on which this Act receives the Royal Assent.</w:t>
            </w:r>
          </w:p>
        </w:tc>
        <w:tc>
          <w:tcPr>
            <w:tcW w:w="1582" w:type="dxa"/>
            <w:tcBorders>
              <w:bottom w:val="single" w:sz="4" w:space="0" w:color="auto"/>
            </w:tcBorders>
            <w:shd w:val="clear" w:color="auto" w:fill="auto"/>
          </w:tcPr>
          <w:p w14:paraId="15B6AC5B" w14:textId="77777777" w:rsidR="00035544" w:rsidRPr="0081146C" w:rsidRDefault="00035544" w:rsidP="00035544">
            <w:pPr>
              <w:pStyle w:val="Tabletext"/>
            </w:pPr>
            <w:r w:rsidRPr="0081146C">
              <w:t>12</w:t>
            </w:r>
            <w:r w:rsidR="004F64A4" w:rsidRPr="0081146C">
              <w:t> </w:t>
            </w:r>
            <w:r w:rsidRPr="0081146C">
              <w:t>December 2008</w:t>
            </w:r>
          </w:p>
        </w:tc>
      </w:tr>
      <w:tr w:rsidR="00035544" w:rsidRPr="0081146C" w14:paraId="74B4EE53" w14:textId="77777777" w:rsidTr="00621DEF">
        <w:tc>
          <w:tcPr>
            <w:tcW w:w="1701" w:type="dxa"/>
            <w:tcBorders>
              <w:bottom w:val="single" w:sz="4" w:space="0" w:color="auto"/>
            </w:tcBorders>
            <w:shd w:val="clear" w:color="auto" w:fill="auto"/>
          </w:tcPr>
          <w:p w14:paraId="1ABFD95B" w14:textId="77777777" w:rsidR="00035544" w:rsidRPr="0081146C" w:rsidRDefault="00035544" w:rsidP="008F3A33">
            <w:pPr>
              <w:pStyle w:val="Tabletext"/>
              <w:keepNext/>
            </w:pPr>
            <w:r w:rsidRPr="0081146C">
              <w:t>5.  Part</w:t>
            </w:r>
            <w:r w:rsidR="004F64A4" w:rsidRPr="0081146C">
              <w:t> </w:t>
            </w:r>
            <w:r w:rsidRPr="0081146C">
              <w:t xml:space="preserve">2, </w:t>
            </w:r>
            <w:r w:rsidR="00CA78AA" w:rsidRPr="0081146C">
              <w:t>Division 7</w:t>
            </w:r>
          </w:p>
        </w:tc>
        <w:tc>
          <w:tcPr>
            <w:tcW w:w="3828" w:type="dxa"/>
            <w:tcBorders>
              <w:bottom w:val="single" w:sz="4" w:space="0" w:color="auto"/>
            </w:tcBorders>
            <w:shd w:val="clear" w:color="auto" w:fill="auto"/>
          </w:tcPr>
          <w:p w14:paraId="4D0242E9" w14:textId="77777777" w:rsidR="00035544" w:rsidRPr="0081146C" w:rsidRDefault="00035544" w:rsidP="00035544">
            <w:pPr>
              <w:pStyle w:val="Tabletext"/>
            </w:pPr>
            <w:r w:rsidRPr="0081146C">
              <w:t>The first day after the end of the period of 12 months beginning on the day on which this Act receives the Royal Assent.</w:t>
            </w:r>
          </w:p>
        </w:tc>
        <w:tc>
          <w:tcPr>
            <w:tcW w:w="1582" w:type="dxa"/>
            <w:tcBorders>
              <w:bottom w:val="single" w:sz="4" w:space="0" w:color="auto"/>
            </w:tcBorders>
            <w:shd w:val="clear" w:color="auto" w:fill="auto"/>
          </w:tcPr>
          <w:p w14:paraId="6ACDD017" w14:textId="77777777" w:rsidR="00035544" w:rsidRPr="0081146C" w:rsidRDefault="00035544" w:rsidP="00035544">
            <w:pPr>
              <w:pStyle w:val="Tabletext"/>
            </w:pPr>
            <w:r w:rsidRPr="0081146C">
              <w:t>12</w:t>
            </w:r>
            <w:r w:rsidR="004F64A4" w:rsidRPr="0081146C">
              <w:t> </w:t>
            </w:r>
            <w:r w:rsidRPr="0081146C">
              <w:t>December 2007</w:t>
            </w:r>
          </w:p>
        </w:tc>
      </w:tr>
      <w:tr w:rsidR="00035544" w:rsidRPr="0081146C" w14:paraId="317282E9" w14:textId="77777777" w:rsidTr="00621DEF">
        <w:tc>
          <w:tcPr>
            <w:tcW w:w="1701" w:type="dxa"/>
            <w:tcBorders>
              <w:top w:val="single" w:sz="4" w:space="0" w:color="auto"/>
            </w:tcBorders>
            <w:shd w:val="clear" w:color="auto" w:fill="auto"/>
          </w:tcPr>
          <w:p w14:paraId="5C27DC9D" w14:textId="77777777" w:rsidR="00035544" w:rsidRPr="0081146C" w:rsidRDefault="00035544" w:rsidP="00B4450C">
            <w:pPr>
              <w:pStyle w:val="Tabletext"/>
              <w:keepNext/>
            </w:pPr>
            <w:r w:rsidRPr="0081146C">
              <w:t>6.  Part</w:t>
            </w:r>
            <w:r w:rsidR="004F64A4" w:rsidRPr="0081146C">
              <w:t> </w:t>
            </w:r>
            <w:r w:rsidRPr="0081146C">
              <w:t>3, Divisions</w:t>
            </w:r>
            <w:r w:rsidR="004F64A4" w:rsidRPr="0081146C">
              <w:t> </w:t>
            </w:r>
            <w:r w:rsidRPr="0081146C">
              <w:t>1 to 4</w:t>
            </w:r>
          </w:p>
        </w:tc>
        <w:tc>
          <w:tcPr>
            <w:tcW w:w="3828" w:type="dxa"/>
            <w:tcBorders>
              <w:top w:val="single" w:sz="4" w:space="0" w:color="auto"/>
            </w:tcBorders>
            <w:shd w:val="clear" w:color="auto" w:fill="auto"/>
          </w:tcPr>
          <w:p w14:paraId="0047539F" w14:textId="77777777" w:rsidR="00035544" w:rsidRPr="0081146C" w:rsidRDefault="00035544" w:rsidP="00035544">
            <w:pPr>
              <w:pStyle w:val="Tabletext"/>
            </w:pPr>
            <w:r w:rsidRPr="0081146C">
              <w:t>The first day after the end of the period of 24 months beginning on the day on which this Act receives the Royal Assent.</w:t>
            </w:r>
          </w:p>
        </w:tc>
        <w:tc>
          <w:tcPr>
            <w:tcW w:w="1582" w:type="dxa"/>
            <w:tcBorders>
              <w:top w:val="single" w:sz="4" w:space="0" w:color="auto"/>
            </w:tcBorders>
            <w:shd w:val="clear" w:color="auto" w:fill="auto"/>
          </w:tcPr>
          <w:p w14:paraId="4B5FB368" w14:textId="77777777" w:rsidR="00035544" w:rsidRPr="0081146C" w:rsidRDefault="00035544" w:rsidP="00035544">
            <w:pPr>
              <w:pStyle w:val="Tabletext"/>
            </w:pPr>
            <w:r w:rsidRPr="0081146C">
              <w:t>12</w:t>
            </w:r>
            <w:r w:rsidR="004F64A4" w:rsidRPr="0081146C">
              <w:t> </w:t>
            </w:r>
            <w:r w:rsidRPr="0081146C">
              <w:t>December 2008</w:t>
            </w:r>
          </w:p>
        </w:tc>
      </w:tr>
      <w:tr w:rsidR="00035544" w:rsidRPr="0081146C" w14:paraId="50273EF4" w14:textId="77777777" w:rsidTr="00C72BA2">
        <w:tc>
          <w:tcPr>
            <w:tcW w:w="1701" w:type="dxa"/>
            <w:shd w:val="clear" w:color="auto" w:fill="auto"/>
          </w:tcPr>
          <w:p w14:paraId="1114FC9D" w14:textId="77777777" w:rsidR="00035544" w:rsidRPr="0081146C" w:rsidRDefault="00035544" w:rsidP="00035544">
            <w:pPr>
              <w:pStyle w:val="Tabletext"/>
            </w:pPr>
            <w:r w:rsidRPr="0081146C">
              <w:t>7.  Part</w:t>
            </w:r>
            <w:r w:rsidR="004F64A4" w:rsidRPr="0081146C">
              <w:t> </w:t>
            </w:r>
            <w:r w:rsidRPr="0081146C">
              <w:t xml:space="preserve">3, </w:t>
            </w:r>
            <w:r w:rsidR="00CA78AA" w:rsidRPr="0081146C">
              <w:t>Division 5</w:t>
            </w:r>
          </w:p>
        </w:tc>
        <w:tc>
          <w:tcPr>
            <w:tcW w:w="3828" w:type="dxa"/>
            <w:shd w:val="clear" w:color="auto" w:fill="auto"/>
          </w:tcPr>
          <w:p w14:paraId="6D2BCFF3" w14:textId="77777777" w:rsidR="00035544" w:rsidRPr="0081146C" w:rsidRDefault="00035544" w:rsidP="00035544">
            <w:pPr>
              <w:pStyle w:val="Tabletext"/>
            </w:pPr>
            <w:r w:rsidRPr="0081146C">
              <w:t>The first day after the end of the period of 6 months beginning on the day on which this Act receives the Royal Assent.</w:t>
            </w:r>
          </w:p>
        </w:tc>
        <w:tc>
          <w:tcPr>
            <w:tcW w:w="1582" w:type="dxa"/>
            <w:shd w:val="clear" w:color="auto" w:fill="auto"/>
          </w:tcPr>
          <w:p w14:paraId="44D590F7" w14:textId="77777777" w:rsidR="00035544" w:rsidRPr="0081146C" w:rsidRDefault="00035544" w:rsidP="00035544">
            <w:pPr>
              <w:pStyle w:val="Tabletext"/>
            </w:pPr>
            <w:r w:rsidRPr="0081146C">
              <w:t>12</w:t>
            </w:r>
            <w:r w:rsidR="004F64A4" w:rsidRPr="0081146C">
              <w:t> </w:t>
            </w:r>
            <w:r w:rsidRPr="0081146C">
              <w:t>June 2007</w:t>
            </w:r>
          </w:p>
        </w:tc>
      </w:tr>
      <w:tr w:rsidR="00035544" w:rsidRPr="0081146C" w14:paraId="00A96E81" w14:textId="77777777" w:rsidTr="00C72BA2">
        <w:tc>
          <w:tcPr>
            <w:tcW w:w="1701" w:type="dxa"/>
            <w:shd w:val="clear" w:color="auto" w:fill="auto"/>
          </w:tcPr>
          <w:p w14:paraId="0CA6EDB6" w14:textId="77777777" w:rsidR="00035544" w:rsidRPr="0081146C" w:rsidRDefault="00035544" w:rsidP="00035544">
            <w:pPr>
              <w:pStyle w:val="Tabletext"/>
            </w:pPr>
            <w:r w:rsidRPr="0081146C">
              <w:t>8.  Part</w:t>
            </w:r>
            <w:r w:rsidR="004F64A4" w:rsidRPr="0081146C">
              <w:t> </w:t>
            </w:r>
            <w:r w:rsidRPr="0081146C">
              <w:t xml:space="preserve">3, </w:t>
            </w:r>
            <w:r w:rsidR="003A364D" w:rsidRPr="0081146C">
              <w:t>Division 6</w:t>
            </w:r>
          </w:p>
        </w:tc>
        <w:tc>
          <w:tcPr>
            <w:tcW w:w="3828" w:type="dxa"/>
            <w:shd w:val="clear" w:color="auto" w:fill="auto"/>
          </w:tcPr>
          <w:p w14:paraId="7AFA1523" w14:textId="77777777" w:rsidR="00035544" w:rsidRPr="0081146C" w:rsidRDefault="00035544" w:rsidP="00035544">
            <w:pPr>
              <w:pStyle w:val="Tabletext"/>
            </w:pPr>
            <w:r w:rsidRPr="0081146C">
              <w:t>The first day after the end of the period of 24 months beginning on the day on which this Act receives the Royal Assent.</w:t>
            </w:r>
          </w:p>
        </w:tc>
        <w:tc>
          <w:tcPr>
            <w:tcW w:w="1582" w:type="dxa"/>
            <w:shd w:val="clear" w:color="auto" w:fill="auto"/>
          </w:tcPr>
          <w:p w14:paraId="6709DE7E" w14:textId="77777777" w:rsidR="00035544" w:rsidRPr="0081146C" w:rsidRDefault="00035544" w:rsidP="00035544">
            <w:pPr>
              <w:pStyle w:val="Tabletext"/>
            </w:pPr>
            <w:r w:rsidRPr="0081146C">
              <w:t>12</w:t>
            </w:r>
            <w:r w:rsidR="004F64A4" w:rsidRPr="0081146C">
              <w:t> </w:t>
            </w:r>
            <w:r w:rsidRPr="0081146C">
              <w:t>December 2008</w:t>
            </w:r>
          </w:p>
        </w:tc>
      </w:tr>
      <w:tr w:rsidR="00035544" w:rsidRPr="0081146C" w14:paraId="00D16A4D" w14:textId="77777777" w:rsidTr="00C72BA2">
        <w:tc>
          <w:tcPr>
            <w:tcW w:w="1701" w:type="dxa"/>
            <w:shd w:val="clear" w:color="auto" w:fill="auto"/>
          </w:tcPr>
          <w:p w14:paraId="7F00FF76" w14:textId="77777777" w:rsidR="00035544" w:rsidRPr="0081146C" w:rsidRDefault="00035544" w:rsidP="00035544">
            <w:pPr>
              <w:pStyle w:val="Tabletext"/>
            </w:pPr>
            <w:r w:rsidRPr="0081146C">
              <w:t>9.  Parts</w:t>
            </w:r>
            <w:r w:rsidR="004F64A4" w:rsidRPr="0081146C">
              <w:t> </w:t>
            </w:r>
            <w:r w:rsidRPr="0081146C">
              <w:t>4, 5 and 6</w:t>
            </w:r>
          </w:p>
        </w:tc>
        <w:tc>
          <w:tcPr>
            <w:tcW w:w="3828" w:type="dxa"/>
            <w:shd w:val="clear" w:color="auto" w:fill="auto"/>
          </w:tcPr>
          <w:p w14:paraId="64553F56" w14:textId="77777777" w:rsidR="00035544" w:rsidRPr="0081146C" w:rsidRDefault="00035544" w:rsidP="00035544">
            <w:pPr>
              <w:pStyle w:val="Tabletext"/>
            </w:pPr>
            <w:r w:rsidRPr="0081146C">
              <w:t>The day after this Act receives the Royal Assent.</w:t>
            </w:r>
          </w:p>
        </w:tc>
        <w:tc>
          <w:tcPr>
            <w:tcW w:w="1582" w:type="dxa"/>
            <w:shd w:val="clear" w:color="auto" w:fill="auto"/>
          </w:tcPr>
          <w:p w14:paraId="356BBA28" w14:textId="77777777" w:rsidR="00035544" w:rsidRPr="0081146C" w:rsidRDefault="00035544" w:rsidP="00035544">
            <w:pPr>
              <w:pStyle w:val="Tabletext"/>
            </w:pPr>
            <w:r w:rsidRPr="0081146C">
              <w:t>13</w:t>
            </w:r>
            <w:r w:rsidR="004F64A4" w:rsidRPr="0081146C">
              <w:t> </w:t>
            </w:r>
            <w:r w:rsidRPr="0081146C">
              <w:t>December 2006</w:t>
            </w:r>
          </w:p>
        </w:tc>
      </w:tr>
      <w:tr w:rsidR="00035544" w:rsidRPr="0081146C" w14:paraId="6B9233F8" w14:textId="77777777" w:rsidTr="00C72BA2">
        <w:tc>
          <w:tcPr>
            <w:tcW w:w="1701" w:type="dxa"/>
            <w:shd w:val="clear" w:color="auto" w:fill="auto"/>
          </w:tcPr>
          <w:p w14:paraId="7CE7B04F" w14:textId="77777777" w:rsidR="00035544" w:rsidRPr="0081146C" w:rsidRDefault="00035544" w:rsidP="00035544">
            <w:pPr>
              <w:pStyle w:val="Tabletext"/>
            </w:pPr>
            <w:r w:rsidRPr="0081146C">
              <w:t>10.  Part</w:t>
            </w:r>
            <w:r w:rsidR="004F64A4" w:rsidRPr="0081146C">
              <w:t> </w:t>
            </w:r>
            <w:r w:rsidRPr="0081146C">
              <w:t>7</w:t>
            </w:r>
          </w:p>
        </w:tc>
        <w:tc>
          <w:tcPr>
            <w:tcW w:w="3828" w:type="dxa"/>
            <w:shd w:val="clear" w:color="auto" w:fill="auto"/>
          </w:tcPr>
          <w:p w14:paraId="5F63CA93" w14:textId="77777777" w:rsidR="00035544" w:rsidRPr="0081146C" w:rsidRDefault="00035544" w:rsidP="00035544">
            <w:pPr>
              <w:pStyle w:val="Tabletext"/>
            </w:pPr>
            <w:r w:rsidRPr="0081146C">
              <w:t>The first day after the end of the period of 12 months beginning on the day on which this Act receives the Royal Assent.</w:t>
            </w:r>
          </w:p>
        </w:tc>
        <w:tc>
          <w:tcPr>
            <w:tcW w:w="1582" w:type="dxa"/>
            <w:shd w:val="clear" w:color="auto" w:fill="auto"/>
          </w:tcPr>
          <w:p w14:paraId="125F42CB" w14:textId="77777777" w:rsidR="00035544" w:rsidRPr="0081146C" w:rsidRDefault="00035544" w:rsidP="00035544">
            <w:pPr>
              <w:pStyle w:val="Tabletext"/>
            </w:pPr>
            <w:r w:rsidRPr="0081146C">
              <w:t>12</w:t>
            </w:r>
            <w:r w:rsidR="004F64A4" w:rsidRPr="0081146C">
              <w:t> </w:t>
            </w:r>
            <w:r w:rsidRPr="0081146C">
              <w:t>December 2007</w:t>
            </w:r>
          </w:p>
        </w:tc>
      </w:tr>
      <w:tr w:rsidR="00035544" w:rsidRPr="0081146C" w14:paraId="02F395DC" w14:textId="77777777" w:rsidTr="00C72BA2">
        <w:tc>
          <w:tcPr>
            <w:tcW w:w="1701" w:type="dxa"/>
            <w:shd w:val="clear" w:color="auto" w:fill="auto"/>
          </w:tcPr>
          <w:p w14:paraId="62E0A335" w14:textId="77777777" w:rsidR="00035544" w:rsidRPr="0081146C" w:rsidRDefault="00035544" w:rsidP="00035544">
            <w:pPr>
              <w:pStyle w:val="Tabletext"/>
            </w:pPr>
            <w:r w:rsidRPr="0081146C">
              <w:t>11.  Part</w:t>
            </w:r>
            <w:r w:rsidR="004F64A4" w:rsidRPr="0081146C">
              <w:t> </w:t>
            </w:r>
            <w:r w:rsidRPr="0081146C">
              <w:t>8</w:t>
            </w:r>
          </w:p>
        </w:tc>
        <w:tc>
          <w:tcPr>
            <w:tcW w:w="3828" w:type="dxa"/>
            <w:shd w:val="clear" w:color="auto" w:fill="auto"/>
          </w:tcPr>
          <w:p w14:paraId="5EE21AAB" w14:textId="77777777" w:rsidR="00035544" w:rsidRPr="0081146C" w:rsidRDefault="00035544" w:rsidP="00035544">
            <w:pPr>
              <w:pStyle w:val="Tabletext"/>
            </w:pPr>
            <w:r w:rsidRPr="0081146C">
              <w:t>The first day after the end of the period of 6 months beginning on the day on which this Act receives the Royal Assent.</w:t>
            </w:r>
          </w:p>
        </w:tc>
        <w:tc>
          <w:tcPr>
            <w:tcW w:w="1582" w:type="dxa"/>
            <w:shd w:val="clear" w:color="auto" w:fill="auto"/>
          </w:tcPr>
          <w:p w14:paraId="2325F9F9" w14:textId="77777777" w:rsidR="00035544" w:rsidRPr="0081146C" w:rsidRDefault="00035544" w:rsidP="00035544">
            <w:pPr>
              <w:pStyle w:val="Tabletext"/>
            </w:pPr>
            <w:r w:rsidRPr="0081146C">
              <w:t>12</w:t>
            </w:r>
            <w:r w:rsidR="004F64A4" w:rsidRPr="0081146C">
              <w:t> </w:t>
            </w:r>
            <w:r w:rsidRPr="0081146C">
              <w:t>June 2007</w:t>
            </w:r>
          </w:p>
        </w:tc>
      </w:tr>
      <w:tr w:rsidR="00035544" w:rsidRPr="0081146C" w14:paraId="7E19678B" w14:textId="77777777" w:rsidTr="00C72BA2">
        <w:tc>
          <w:tcPr>
            <w:tcW w:w="1701" w:type="dxa"/>
            <w:shd w:val="clear" w:color="auto" w:fill="auto"/>
          </w:tcPr>
          <w:p w14:paraId="55C8C893" w14:textId="77777777" w:rsidR="00035544" w:rsidRPr="0081146C" w:rsidRDefault="00035544" w:rsidP="00035544">
            <w:pPr>
              <w:pStyle w:val="Tabletext"/>
            </w:pPr>
            <w:r w:rsidRPr="0081146C">
              <w:t>12.  Part</w:t>
            </w:r>
            <w:r w:rsidR="004F64A4" w:rsidRPr="0081146C">
              <w:t> </w:t>
            </w:r>
            <w:r w:rsidRPr="0081146C">
              <w:t>9</w:t>
            </w:r>
          </w:p>
        </w:tc>
        <w:tc>
          <w:tcPr>
            <w:tcW w:w="3828" w:type="dxa"/>
            <w:shd w:val="clear" w:color="auto" w:fill="auto"/>
          </w:tcPr>
          <w:p w14:paraId="12C39D54" w14:textId="77777777" w:rsidR="00035544" w:rsidRPr="0081146C" w:rsidRDefault="00035544" w:rsidP="00035544">
            <w:pPr>
              <w:pStyle w:val="Tabletext"/>
            </w:pPr>
            <w:r w:rsidRPr="0081146C">
              <w:t>The day after this Act receives the Royal Assent.</w:t>
            </w:r>
          </w:p>
        </w:tc>
        <w:tc>
          <w:tcPr>
            <w:tcW w:w="1582" w:type="dxa"/>
            <w:shd w:val="clear" w:color="auto" w:fill="auto"/>
          </w:tcPr>
          <w:p w14:paraId="75775589" w14:textId="77777777" w:rsidR="00035544" w:rsidRPr="0081146C" w:rsidRDefault="00035544" w:rsidP="00035544">
            <w:pPr>
              <w:pStyle w:val="Tabletext"/>
            </w:pPr>
            <w:r w:rsidRPr="0081146C">
              <w:t>13</w:t>
            </w:r>
            <w:r w:rsidR="004F64A4" w:rsidRPr="0081146C">
              <w:t> </w:t>
            </w:r>
            <w:r w:rsidRPr="0081146C">
              <w:t>December 2006</w:t>
            </w:r>
          </w:p>
        </w:tc>
      </w:tr>
      <w:tr w:rsidR="00035544" w:rsidRPr="0081146C" w14:paraId="30459EDD" w14:textId="77777777" w:rsidTr="00C72BA2">
        <w:tc>
          <w:tcPr>
            <w:tcW w:w="1701" w:type="dxa"/>
            <w:shd w:val="clear" w:color="auto" w:fill="auto"/>
          </w:tcPr>
          <w:p w14:paraId="2FA64C96" w14:textId="77777777" w:rsidR="00035544" w:rsidRPr="0081146C" w:rsidRDefault="00035544" w:rsidP="00035544">
            <w:pPr>
              <w:pStyle w:val="Tabletext"/>
            </w:pPr>
            <w:r w:rsidRPr="0081146C">
              <w:t xml:space="preserve">13.  </w:t>
            </w:r>
            <w:r w:rsidR="00CA78AA" w:rsidRPr="0081146C">
              <w:t>Part 1</w:t>
            </w:r>
            <w:r w:rsidRPr="0081146C">
              <w:t>0, Divisions</w:t>
            </w:r>
            <w:r w:rsidR="004F64A4" w:rsidRPr="0081146C">
              <w:t> </w:t>
            </w:r>
            <w:r w:rsidRPr="0081146C">
              <w:t>1 and 2</w:t>
            </w:r>
          </w:p>
        </w:tc>
        <w:tc>
          <w:tcPr>
            <w:tcW w:w="3828" w:type="dxa"/>
            <w:shd w:val="clear" w:color="auto" w:fill="auto"/>
          </w:tcPr>
          <w:p w14:paraId="19D4F188" w14:textId="77777777" w:rsidR="00035544" w:rsidRPr="0081146C" w:rsidRDefault="00035544" w:rsidP="00035544">
            <w:pPr>
              <w:pStyle w:val="Tabletext"/>
            </w:pPr>
            <w:r w:rsidRPr="0081146C">
              <w:t>The day after this Act receives the Royal Assent.</w:t>
            </w:r>
          </w:p>
        </w:tc>
        <w:tc>
          <w:tcPr>
            <w:tcW w:w="1582" w:type="dxa"/>
            <w:shd w:val="clear" w:color="auto" w:fill="auto"/>
          </w:tcPr>
          <w:p w14:paraId="1942BC7C" w14:textId="77777777" w:rsidR="00035544" w:rsidRPr="0081146C" w:rsidRDefault="00035544" w:rsidP="00035544">
            <w:pPr>
              <w:pStyle w:val="Tabletext"/>
            </w:pPr>
            <w:r w:rsidRPr="0081146C">
              <w:t>13</w:t>
            </w:r>
            <w:r w:rsidR="004F64A4" w:rsidRPr="0081146C">
              <w:t> </w:t>
            </w:r>
            <w:r w:rsidRPr="0081146C">
              <w:t>December 2006</w:t>
            </w:r>
          </w:p>
        </w:tc>
      </w:tr>
      <w:tr w:rsidR="00035544" w:rsidRPr="0081146C" w14:paraId="7E5B72F6" w14:textId="77777777" w:rsidTr="00C72BA2">
        <w:tc>
          <w:tcPr>
            <w:tcW w:w="1701" w:type="dxa"/>
            <w:shd w:val="clear" w:color="auto" w:fill="auto"/>
          </w:tcPr>
          <w:p w14:paraId="79EC5880" w14:textId="77777777" w:rsidR="00035544" w:rsidRPr="0081146C" w:rsidRDefault="00035544" w:rsidP="00035544">
            <w:pPr>
              <w:pStyle w:val="Tabletext"/>
            </w:pPr>
            <w:r w:rsidRPr="0081146C">
              <w:t xml:space="preserve">14.  </w:t>
            </w:r>
            <w:r w:rsidR="00CA78AA" w:rsidRPr="0081146C">
              <w:t>Part 1</w:t>
            </w:r>
            <w:r w:rsidRPr="0081146C">
              <w:t xml:space="preserve">0, </w:t>
            </w:r>
            <w:r w:rsidR="00CA78AA" w:rsidRPr="0081146C">
              <w:t>Division 3</w:t>
            </w:r>
          </w:p>
        </w:tc>
        <w:tc>
          <w:tcPr>
            <w:tcW w:w="3828" w:type="dxa"/>
            <w:shd w:val="clear" w:color="auto" w:fill="auto"/>
          </w:tcPr>
          <w:p w14:paraId="7B0C2CFE" w14:textId="77777777" w:rsidR="00035544" w:rsidRPr="0081146C" w:rsidRDefault="00035544" w:rsidP="00035544">
            <w:pPr>
              <w:pStyle w:val="Tabletext"/>
            </w:pPr>
            <w:r w:rsidRPr="0081146C">
              <w:t>The first day after the end of the period of 12 months beginning on the day on which this Act receives the Royal Assent.</w:t>
            </w:r>
          </w:p>
        </w:tc>
        <w:tc>
          <w:tcPr>
            <w:tcW w:w="1582" w:type="dxa"/>
            <w:shd w:val="clear" w:color="auto" w:fill="auto"/>
          </w:tcPr>
          <w:p w14:paraId="1D270E47" w14:textId="77777777" w:rsidR="00035544" w:rsidRPr="0081146C" w:rsidRDefault="00035544" w:rsidP="00035544">
            <w:pPr>
              <w:pStyle w:val="Tabletext"/>
            </w:pPr>
            <w:r w:rsidRPr="0081146C">
              <w:t>12</w:t>
            </w:r>
            <w:r w:rsidR="004F64A4" w:rsidRPr="0081146C">
              <w:t> </w:t>
            </w:r>
            <w:r w:rsidRPr="0081146C">
              <w:t>December 2007</w:t>
            </w:r>
          </w:p>
        </w:tc>
      </w:tr>
      <w:tr w:rsidR="00035544" w:rsidRPr="0081146C" w14:paraId="295C0ADB" w14:textId="77777777" w:rsidTr="00C72BA2">
        <w:tc>
          <w:tcPr>
            <w:tcW w:w="1701" w:type="dxa"/>
            <w:shd w:val="clear" w:color="auto" w:fill="auto"/>
          </w:tcPr>
          <w:p w14:paraId="155637EA" w14:textId="77777777" w:rsidR="00035544" w:rsidRPr="0081146C" w:rsidRDefault="00035544" w:rsidP="00035544">
            <w:pPr>
              <w:pStyle w:val="Tabletext"/>
            </w:pPr>
            <w:r w:rsidRPr="0081146C">
              <w:t xml:space="preserve">15.  </w:t>
            </w:r>
            <w:r w:rsidR="00CA78AA" w:rsidRPr="0081146C">
              <w:t>Part 1</w:t>
            </w:r>
            <w:r w:rsidRPr="0081146C">
              <w:t xml:space="preserve">0, </w:t>
            </w:r>
            <w:r w:rsidR="00CA78AA" w:rsidRPr="0081146C">
              <w:t>Division 4</w:t>
            </w:r>
          </w:p>
        </w:tc>
        <w:tc>
          <w:tcPr>
            <w:tcW w:w="3828" w:type="dxa"/>
            <w:shd w:val="clear" w:color="auto" w:fill="auto"/>
          </w:tcPr>
          <w:p w14:paraId="27ABB8E4" w14:textId="77777777" w:rsidR="00035544" w:rsidRPr="0081146C" w:rsidRDefault="00035544" w:rsidP="00035544">
            <w:pPr>
              <w:pStyle w:val="Tabletext"/>
            </w:pPr>
            <w:r w:rsidRPr="0081146C">
              <w:t>The day after this Act receives the Royal Assent.</w:t>
            </w:r>
          </w:p>
        </w:tc>
        <w:tc>
          <w:tcPr>
            <w:tcW w:w="1582" w:type="dxa"/>
            <w:shd w:val="clear" w:color="auto" w:fill="auto"/>
          </w:tcPr>
          <w:p w14:paraId="01E0D51A" w14:textId="77777777" w:rsidR="00035544" w:rsidRPr="0081146C" w:rsidRDefault="00035544" w:rsidP="00035544">
            <w:pPr>
              <w:pStyle w:val="Tabletext"/>
            </w:pPr>
            <w:r w:rsidRPr="0081146C">
              <w:t>13</w:t>
            </w:r>
            <w:r w:rsidR="004F64A4" w:rsidRPr="0081146C">
              <w:t> </w:t>
            </w:r>
            <w:r w:rsidRPr="0081146C">
              <w:t>December 2006</w:t>
            </w:r>
          </w:p>
        </w:tc>
      </w:tr>
      <w:tr w:rsidR="00035544" w:rsidRPr="0081146C" w14:paraId="51E86A32" w14:textId="77777777" w:rsidTr="00C72BA2">
        <w:tc>
          <w:tcPr>
            <w:tcW w:w="1701" w:type="dxa"/>
            <w:shd w:val="clear" w:color="auto" w:fill="auto"/>
          </w:tcPr>
          <w:p w14:paraId="4B19472E" w14:textId="77777777" w:rsidR="00035544" w:rsidRPr="0081146C" w:rsidRDefault="00035544" w:rsidP="00035544">
            <w:pPr>
              <w:pStyle w:val="Tabletext"/>
            </w:pPr>
            <w:r w:rsidRPr="0081146C">
              <w:t xml:space="preserve">16.  </w:t>
            </w:r>
            <w:r w:rsidR="00CA78AA" w:rsidRPr="0081146C">
              <w:t>Part 1</w:t>
            </w:r>
            <w:r w:rsidRPr="0081146C">
              <w:t xml:space="preserve">0, </w:t>
            </w:r>
            <w:r w:rsidR="00CA78AA" w:rsidRPr="0081146C">
              <w:t>Division 5</w:t>
            </w:r>
          </w:p>
        </w:tc>
        <w:tc>
          <w:tcPr>
            <w:tcW w:w="3828" w:type="dxa"/>
            <w:shd w:val="clear" w:color="auto" w:fill="auto"/>
          </w:tcPr>
          <w:p w14:paraId="23CC9577" w14:textId="77777777" w:rsidR="00035544" w:rsidRPr="0081146C" w:rsidRDefault="00035544" w:rsidP="00035544">
            <w:pPr>
              <w:pStyle w:val="Tabletext"/>
            </w:pPr>
            <w:r w:rsidRPr="0081146C">
              <w:t>The first day after the end of the period of 12 months beginning on the day on which this Act receives the Royal Assent.</w:t>
            </w:r>
          </w:p>
        </w:tc>
        <w:tc>
          <w:tcPr>
            <w:tcW w:w="1582" w:type="dxa"/>
            <w:shd w:val="clear" w:color="auto" w:fill="auto"/>
          </w:tcPr>
          <w:p w14:paraId="7A8EC354" w14:textId="77777777" w:rsidR="00035544" w:rsidRPr="0081146C" w:rsidRDefault="00035544" w:rsidP="00035544">
            <w:pPr>
              <w:pStyle w:val="Tabletext"/>
            </w:pPr>
            <w:r w:rsidRPr="0081146C">
              <w:t>12</w:t>
            </w:r>
            <w:r w:rsidR="004F64A4" w:rsidRPr="0081146C">
              <w:t> </w:t>
            </w:r>
            <w:r w:rsidRPr="0081146C">
              <w:t>December 2007</w:t>
            </w:r>
          </w:p>
        </w:tc>
      </w:tr>
      <w:tr w:rsidR="00035544" w:rsidRPr="0081146C" w14:paraId="1EB35FA7" w14:textId="77777777" w:rsidTr="009254D4">
        <w:tc>
          <w:tcPr>
            <w:tcW w:w="1701" w:type="dxa"/>
            <w:tcBorders>
              <w:bottom w:val="single" w:sz="4" w:space="0" w:color="auto"/>
            </w:tcBorders>
            <w:shd w:val="clear" w:color="auto" w:fill="auto"/>
          </w:tcPr>
          <w:p w14:paraId="5C3EE398" w14:textId="77777777" w:rsidR="00035544" w:rsidRPr="0081146C" w:rsidRDefault="00035544" w:rsidP="00035544">
            <w:pPr>
              <w:pStyle w:val="Tabletext"/>
            </w:pPr>
            <w:r w:rsidRPr="0081146C">
              <w:t xml:space="preserve">17.  </w:t>
            </w:r>
            <w:r w:rsidR="00CA78AA" w:rsidRPr="0081146C">
              <w:t>Part 1</w:t>
            </w:r>
            <w:r w:rsidRPr="0081146C">
              <w:t xml:space="preserve">0, </w:t>
            </w:r>
            <w:r w:rsidR="003A364D" w:rsidRPr="0081146C">
              <w:t>Division 6</w:t>
            </w:r>
          </w:p>
        </w:tc>
        <w:tc>
          <w:tcPr>
            <w:tcW w:w="3828" w:type="dxa"/>
            <w:tcBorders>
              <w:bottom w:val="single" w:sz="4" w:space="0" w:color="auto"/>
            </w:tcBorders>
            <w:shd w:val="clear" w:color="auto" w:fill="auto"/>
          </w:tcPr>
          <w:p w14:paraId="73AE197B" w14:textId="77777777" w:rsidR="00035544" w:rsidRPr="0081146C" w:rsidRDefault="00035544" w:rsidP="00035544">
            <w:pPr>
              <w:pStyle w:val="Tabletext"/>
            </w:pPr>
            <w:r w:rsidRPr="0081146C">
              <w:t>The first day after the end of the period of 6 months beginning on the day on which this Act receives the Royal Assent.</w:t>
            </w:r>
          </w:p>
        </w:tc>
        <w:tc>
          <w:tcPr>
            <w:tcW w:w="1582" w:type="dxa"/>
            <w:tcBorders>
              <w:bottom w:val="single" w:sz="4" w:space="0" w:color="auto"/>
            </w:tcBorders>
            <w:shd w:val="clear" w:color="auto" w:fill="auto"/>
          </w:tcPr>
          <w:p w14:paraId="791466A9" w14:textId="77777777" w:rsidR="00035544" w:rsidRPr="0081146C" w:rsidRDefault="00035544" w:rsidP="00035544">
            <w:pPr>
              <w:pStyle w:val="Tabletext"/>
            </w:pPr>
            <w:r w:rsidRPr="0081146C">
              <w:t>12</w:t>
            </w:r>
            <w:r w:rsidR="004F64A4" w:rsidRPr="0081146C">
              <w:t> </w:t>
            </w:r>
            <w:r w:rsidRPr="0081146C">
              <w:t>June 2007</w:t>
            </w:r>
          </w:p>
        </w:tc>
      </w:tr>
      <w:tr w:rsidR="00035544" w:rsidRPr="0081146C" w14:paraId="0BA1FC4C" w14:textId="77777777" w:rsidTr="00621DEF">
        <w:tc>
          <w:tcPr>
            <w:tcW w:w="1701" w:type="dxa"/>
            <w:tcBorders>
              <w:bottom w:val="single" w:sz="4" w:space="0" w:color="auto"/>
            </w:tcBorders>
            <w:shd w:val="clear" w:color="auto" w:fill="auto"/>
          </w:tcPr>
          <w:p w14:paraId="62693FB1" w14:textId="77777777" w:rsidR="00035544" w:rsidRPr="0081146C" w:rsidRDefault="00035544" w:rsidP="00035544">
            <w:pPr>
              <w:pStyle w:val="Tabletext"/>
            </w:pPr>
            <w:r w:rsidRPr="0081146C">
              <w:t xml:space="preserve">18.  </w:t>
            </w:r>
            <w:r w:rsidR="00CA78AA" w:rsidRPr="0081146C">
              <w:t>Part 1</w:t>
            </w:r>
            <w:r w:rsidRPr="0081146C">
              <w:t xml:space="preserve">0, </w:t>
            </w:r>
            <w:r w:rsidR="00CA78AA" w:rsidRPr="0081146C">
              <w:t>Division 7</w:t>
            </w:r>
          </w:p>
        </w:tc>
        <w:tc>
          <w:tcPr>
            <w:tcW w:w="3828" w:type="dxa"/>
            <w:tcBorders>
              <w:bottom w:val="single" w:sz="4" w:space="0" w:color="auto"/>
            </w:tcBorders>
            <w:shd w:val="clear" w:color="auto" w:fill="auto"/>
          </w:tcPr>
          <w:p w14:paraId="7ABD41B7" w14:textId="77777777" w:rsidR="00035544" w:rsidRPr="0081146C" w:rsidRDefault="00035544" w:rsidP="00035544">
            <w:pPr>
              <w:pStyle w:val="Tabletext"/>
            </w:pPr>
            <w:r w:rsidRPr="0081146C">
              <w:t>The day after this Act receives the Royal Assent.</w:t>
            </w:r>
          </w:p>
        </w:tc>
        <w:tc>
          <w:tcPr>
            <w:tcW w:w="1582" w:type="dxa"/>
            <w:tcBorders>
              <w:bottom w:val="single" w:sz="4" w:space="0" w:color="auto"/>
            </w:tcBorders>
            <w:shd w:val="clear" w:color="auto" w:fill="auto"/>
          </w:tcPr>
          <w:p w14:paraId="498EF035" w14:textId="77777777" w:rsidR="00035544" w:rsidRPr="0081146C" w:rsidRDefault="00035544" w:rsidP="00035544">
            <w:pPr>
              <w:pStyle w:val="Tabletext"/>
            </w:pPr>
            <w:r w:rsidRPr="0081146C">
              <w:t>13</w:t>
            </w:r>
            <w:r w:rsidR="004F64A4" w:rsidRPr="0081146C">
              <w:t> </w:t>
            </w:r>
            <w:r w:rsidRPr="0081146C">
              <w:t>December 2006</w:t>
            </w:r>
          </w:p>
        </w:tc>
      </w:tr>
      <w:tr w:rsidR="00035544" w:rsidRPr="0081146C" w14:paraId="64A66B32" w14:textId="77777777" w:rsidTr="00C72BA2">
        <w:tc>
          <w:tcPr>
            <w:tcW w:w="1701" w:type="dxa"/>
            <w:tcBorders>
              <w:bottom w:val="single" w:sz="4" w:space="0" w:color="auto"/>
            </w:tcBorders>
            <w:shd w:val="clear" w:color="auto" w:fill="auto"/>
          </w:tcPr>
          <w:p w14:paraId="60589752" w14:textId="77777777" w:rsidR="00035544" w:rsidRPr="0081146C" w:rsidRDefault="00035544" w:rsidP="00035544">
            <w:pPr>
              <w:pStyle w:val="Tabletext"/>
            </w:pPr>
            <w:r w:rsidRPr="0081146C">
              <w:t>19.  Parts</w:t>
            </w:r>
            <w:r w:rsidR="004F64A4" w:rsidRPr="0081146C">
              <w:t> </w:t>
            </w:r>
            <w:r w:rsidRPr="0081146C">
              <w:t>11 to 18</w:t>
            </w:r>
          </w:p>
        </w:tc>
        <w:tc>
          <w:tcPr>
            <w:tcW w:w="3828" w:type="dxa"/>
            <w:tcBorders>
              <w:bottom w:val="single" w:sz="4" w:space="0" w:color="auto"/>
            </w:tcBorders>
            <w:shd w:val="clear" w:color="auto" w:fill="auto"/>
          </w:tcPr>
          <w:p w14:paraId="41B208F8" w14:textId="77777777" w:rsidR="00035544" w:rsidRPr="0081146C" w:rsidRDefault="00035544" w:rsidP="00035544">
            <w:pPr>
              <w:pStyle w:val="Tabletext"/>
            </w:pPr>
            <w:r w:rsidRPr="0081146C">
              <w:t>The day after this Act receives the Royal Assent.</w:t>
            </w:r>
          </w:p>
        </w:tc>
        <w:tc>
          <w:tcPr>
            <w:tcW w:w="1582" w:type="dxa"/>
            <w:tcBorders>
              <w:bottom w:val="single" w:sz="4" w:space="0" w:color="auto"/>
            </w:tcBorders>
            <w:shd w:val="clear" w:color="auto" w:fill="auto"/>
          </w:tcPr>
          <w:p w14:paraId="660EE650" w14:textId="77777777" w:rsidR="00035544" w:rsidRPr="0081146C" w:rsidRDefault="00035544" w:rsidP="00035544">
            <w:pPr>
              <w:pStyle w:val="Tabletext"/>
            </w:pPr>
            <w:r w:rsidRPr="0081146C">
              <w:t>13</w:t>
            </w:r>
            <w:r w:rsidR="004F64A4" w:rsidRPr="0081146C">
              <w:t> </w:t>
            </w:r>
            <w:r w:rsidRPr="0081146C">
              <w:t>December 2006</w:t>
            </w:r>
          </w:p>
        </w:tc>
      </w:tr>
      <w:tr w:rsidR="00035544" w:rsidRPr="0081146C" w14:paraId="23EC4B49" w14:textId="77777777" w:rsidTr="00C72BA2">
        <w:tc>
          <w:tcPr>
            <w:tcW w:w="1701" w:type="dxa"/>
            <w:tcBorders>
              <w:bottom w:val="single" w:sz="12" w:space="0" w:color="auto"/>
            </w:tcBorders>
            <w:shd w:val="clear" w:color="auto" w:fill="auto"/>
          </w:tcPr>
          <w:p w14:paraId="5F6B38BA" w14:textId="77777777" w:rsidR="00035544" w:rsidRPr="0081146C" w:rsidRDefault="00035544" w:rsidP="00035544">
            <w:pPr>
              <w:pStyle w:val="Tabletext"/>
            </w:pPr>
            <w:r w:rsidRPr="0081146C">
              <w:t>20.  Schedule</w:t>
            </w:r>
            <w:r w:rsidR="004F64A4" w:rsidRPr="0081146C">
              <w:t> </w:t>
            </w:r>
            <w:r w:rsidRPr="0081146C">
              <w:t>1</w:t>
            </w:r>
          </w:p>
        </w:tc>
        <w:tc>
          <w:tcPr>
            <w:tcW w:w="3828" w:type="dxa"/>
            <w:tcBorders>
              <w:bottom w:val="single" w:sz="12" w:space="0" w:color="auto"/>
            </w:tcBorders>
            <w:shd w:val="clear" w:color="auto" w:fill="auto"/>
          </w:tcPr>
          <w:p w14:paraId="2F6C1010" w14:textId="77777777" w:rsidR="00035544" w:rsidRPr="0081146C" w:rsidRDefault="00035544" w:rsidP="00035544">
            <w:pPr>
              <w:pStyle w:val="Tabletext"/>
            </w:pPr>
            <w:r w:rsidRPr="0081146C">
              <w:t>The day after this Act receives the Royal Assent.</w:t>
            </w:r>
          </w:p>
        </w:tc>
        <w:tc>
          <w:tcPr>
            <w:tcW w:w="1582" w:type="dxa"/>
            <w:tcBorders>
              <w:bottom w:val="single" w:sz="12" w:space="0" w:color="auto"/>
            </w:tcBorders>
            <w:shd w:val="clear" w:color="auto" w:fill="auto"/>
          </w:tcPr>
          <w:p w14:paraId="5FB0FD25" w14:textId="77777777" w:rsidR="00035544" w:rsidRPr="0081146C" w:rsidRDefault="00035544" w:rsidP="00035544">
            <w:pPr>
              <w:pStyle w:val="Tabletext"/>
            </w:pPr>
            <w:r w:rsidRPr="0081146C">
              <w:t>13</w:t>
            </w:r>
            <w:r w:rsidR="004F64A4" w:rsidRPr="0081146C">
              <w:t> </w:t>
            </w:r>
            <w:r w:rsidRPr="0081146C">
              <w:t>December 2006</w:t>
            </w:r>
          </w:p>
        </w:tc>
      </w:tr>
    </w:tbl>
    <w:p w14:paraId="3B10F700" w14:textId="77777777" w:rsidR="00035544" w:rsidRPr="0081146C" w:rsidRDefault="00035544" w:rsidP="00035544">
      <w:pPr>
        <w:pStyle w:val="notetext"/>
      </w:pPr>
      <w:r w:rsidRPr="0081146C">
        <w:t>Note:</w:t>
      </w:r>
      <w:r w:rsidRPr="0081146C">
        <w:tab/>
      </w:r>
      <w:r w:rsidRPr="0081146C">
        <w:rPr>
          <w:snapToGrid w:val="0"/>
          <w:lang w:eastAsia="en-US"/>
        </w:rPr>
        <w:t>This table relates only to the provisions of this Act as originally passed by both Houses of the Parliament and assented to. It will not be expanded to deal with provisions inserted in this Act after assent.</w:t>
      </w:r>
    </w:p>
    <w:p w14:paraId="14E09FC8" w14:textId="77777777" w:rsidR="00035544" w:rsidRPr="0081146C" w:rsidRDefault="00035544" w:rsidP="00035544">
      <w:pPr>
        <w:pStyle w:val="subsection"/>
      </w:pPr>
      <w:r w:rsidRPr="0081146C">
        <w:tab/>
        <w:t>(2)</w:t>
      </w:r>
      <w:r w:rsidRPr="0081146C">
        <w:tab/>
        <w:t>Column 3 of the table contains additional information that is not part of this Act. Information in this column may be added to or edited in any published version of this Act.</w:t>
      </w:r>
    </w:p>
    <w:p w14:paraId="085E7AE6" w14:textId="77777777" w:rsidR="00035544" w:rsidRPr="0081146C" w:rsidRDefault="00035544" w:rsidP="00035544">
      <w:pPr>
        <w:pStyle w:val="ActHead5"/>
      </w:pPr>
      <w:bookmarkStart w:id="6" w:name="_Toc185415702"/>
      <w:r w:rsidRPr="0081146C">
        <w:rPr>
          <w:rStyle w:val="CharSectno"/>
        </w:rPr>
        <w:t>3</w:t>
      </w:r>
      <w:r w:rsidRPr="0081146C">
        <w:t xml:space="preserve">  Objects</w:t>
      </w:r>
      <w:bookmarkEnd w:id="6"/>
    </w:p>
    <w:p w14:paraId="2B9D88B9" w14:textId="77777777" w:rsidR="00035544" w:rsidRPr="0081146C" w:rsidRDefault="00035544" w:rsidP="00035544">
      <w:pPr>
        <w:pStyle w:val="subsection"/>
      </w:pPr>
      <w:r w:rsidRPr="0081146C">
        <w:tab/>
        <w:t>(1)</w:t>
      </w:r>
      <w:r w:rsidRPr="0081146C">
        <w:tab/>
        <w:t>The objects of this Act include:</w:t>
      </w:r>
    </w:p>
    <w:p w14:paraId="5592D967" w14:textId="77777777" w:rsidR="0049002F" w:rsidRPr="0081146C" w:rsidRDefault="0049002F" w:rsidP="0049002F">
      <w:pPr>
        <w:pStyle w:val="paragraph"/>
      </w:pPr>
      <w:r w:rsidRPr="0081146C">
        <w:tab/>
        <w:t>(aa)</w:t>
      </w:r>
      <w:r w:rsidRPr="0081146C">
        <w:tab/>
        <w:t>to provide for measures to detect, deter and disrupt money laundering, the financing of terrorism, and other serious financial crimes; and</w:t>
      </w:r>
    </w:p>
    <w:p w14:paraId="7DAB2718" w14:textId="77777777" w:rsidR="0049002F" w:rsidRPr="0081146C" w:rsidRDefault="0049002F" w:rsidP="0049002F">
      <w:pPr>
        <w:pStyle w:val="paragraph"/>
      </w:pPr>
      <w:r w:rsidRPr="0081146C">
        <w:tab/>
        <w:t>(ab)</w:t>
      </w:r>
      <w:r w:rsidRPr="0081146C">
        <w:tab/>
        <w:t>to provide relevant Australian government bodies and their international counterparts with the information they need to investigate and prosecute money laundering offences, offences constituted by the financing of terrorism, and other serious crimes; and</w:t>
      </w:r>
    </w:p>
    <w:p w14:paraId="2A07CC64" w14:textId="77777777" w:rsidR="0049002F" w:rsidRPr="0081146C" w:rsidRDefault="0049002F" w:rsidP="0049002F">
      <w:pPr>
        <w:pStyle w:val="paragraph"/>
      </w:pPr>
      <w:r w:rsidRPr="0081146C">
        <w:tab/>
        <w:t>(ac)</w:t>
      </w:r>
      <w:r w:rsidRPr="0081146C">
        <w:tab/>
        <w:t>to support cooperation and collaboration among reporting entities, AUSTRAC and other government agencies, particularly law enforcement agencies, to detect, deter and disrupt money laundering, the financing of terrorism, and other serious crimes; and</w:t>
      </w:r>
    </w:p>
    <w:p w14:paraId="0838D7CC" w14:textId="77777777" w:rsidR="0049002F" w:rsidRPr="0081146C" w:rsidRDefault="0049002F" w:rsidP="0049002F">
      <w:pPr>
        <w:pStyle w:val="paragraph"/>
      </w:pPr>
      <w:r w:rsidRPr="0081146C">
        <w:tab/>
        <w:t>(ad)</w:t>
      </w:r>
      <w:r w:rsidRPr="0081146C">
        <w:tab/>
        <w:t>to promote public confidence in the Australian financial system through the enactment and implementation of controls and powers to detect, deter and disrupt money laundering, the financing of terrorism, and other serious crimes; and</w:t>
      </w:r>
    </w:p>
    <w:p w14:paraId="07BB5AD2" w14:textId="77777777" w:rsidR="00035544" w:rsidRPr="0081146C" w:rsidRDefault="00035544" w:rsidP="00035544">
      <w:pPr>
        <w:pStyle w:val="paragraph"/>
      </w:pPr>
      <w:r w:rsidRPr="0081146C">
        <w:tab/>
        <w:t>(a)</w:t>
      </w:r>
      <w:r w:rsidRPr="0081146C">
        <w:tab/>
        <w:t>to fulfil Australia’s international obligations, including:</w:t>
      </w:r>
    </w:p>
    <w:p w14:paraId="3997D61F" w14:textId="77777777" w:rsidR="00035544" w:rsidRPr="0081146C" w:rsidRDefault="00035544" w:rsidP="00035544">
      <w:pPr>
        <w:pStyle w:val="paragraphsub"/>
      </w:pPr>
      <w:r w:rsidRPr="0081146C">
        <w:tab/>
        <w:t>(i)</w:t>
      </w:r>
      <w:r w:rsidRPr="0081146C">
        <w:tab/>
        <w:t>Australia’s international obligations to combat money laundering; and</w:t>
      </w:r>
    </w:p>
    <w:p w14:paraId="10FE4712" w14:textId="77777777" w:rsidR="00035544" w:rsidRPr="0081146C" w:rsidRDefault="00035544" w:rsidP="00035544">
      <w:pPr>
        <w:pStyle w:val="paragraphsub"/>
      </w:pPr>
      <w:r w:rsidRPr="0081146C">
        <w:tab/>
        <w:t>(ii)</w:t>
      </w:r>
      <w:r w:rsidRPr="0081146C">
        <w:tab/>
        <w:t>Australia’s international obligations to combat financing of terrorism; and</w:t>
      </w:r>
    </w:p>
    <w:p w14:paraId="05F92EEC" w14:textId="77777777" w:rsidR="00035544" w:rsidRPr="0081146C" w:rsidRDefault="00035544" w:rsidP="00035544">
      <w:pPr>
        <w:pStyle w:val="paragraph"/>
      </w:pPr>
      <w:r w:rsidRPr="0081146C">
        <w:tab/>
        <w:t>(b)</w:t>
      </w:r>
      <w:r w:rsidRPr="0081146C">
        <w:tab/>
        <w:t>to address matters of international concern, including:</w:t>
      </w:r>
    </w:p>
    <w:p w14:paraId="4389BBBF" w14:textId="77777777" w:rsidR="00035544" w:rsidRPr="0081146C" w:rsidRDefault="00035544" w:rsidP="00035544">
      <w:pPr>
        <w:pStyle w:val="paragraphsub"/>
      </w:pPr>
      <w:r w:rsidRPr="0081146C">
        <w:tab/>
        <w:t>(i)</w:t>
      </w:r>
      <w:r w:rsidRPr="0081146C">
        <w:tab/>
        <w:t>the need to combat money laundering; and</w:t>
      </w:r>
    </w:p>
    <w:p w14:paraId="15F46814" w14:textId="77777777" w:rsidR="00035544" w:rsidRPr="0081146C" w:rsidRDefault="00035544" w:rsidP="00035544">
      <w:pPr>
        <w:pStyle w:val="paragraphsub"/>
      </w:pPr>
      <w:r w:rsidRPr="0081146C">
        <w:tab/>
        <w:t>(ii)</w:t>
      </w:r>
      <w:r w:rsidRPr="0081146C">
        <w:tab/>
        <w:t>the need to combat financing of terrorism; and</w:t>
      </w:r>
    </w:p>
    <w:p w14:paraId="5C498B00" w14:textId="77777777" w:rsidR="00035544" w:rsidRPr="0081146C" w:rsidRDefault="00035544" w:rsidP="00035544">
      <w:pPr>
        <w:pStyle w:val="paragraph"/>
      </w:pPr>
      <w:r w:rsidRPr="0081146C">
        <w:tab/>
        <w:t>(c)</w:t>
      </w:r>
      <w:r w:rsidRPr="0081146C">
        <w:tab/>
        <w:t>by addressing those matters of international concern, to affect beneficially Australia’s relations with:</w:t>
      </w:r>
    </w:p>
    <w:p w14:paraId="0C6660A3" w14:textId="77777777" w:rsidR="00035544" w:rsidRPr="0081146C" w:rsidRDefault="00035544" w:rsidP="00035544">
      <w:pPr>
        <w:pStyle w:val="paragraphsub"/>
      </w:pPr>
      <w:r w:rsidRPr="0081146C">
        <w:tab/>
        <w:t>(i)</w:t>
      </w:r>
      <w:r w:rsidRPr="0081146C">
        <w:tab/>
        <w:t>foreign countries; and</w:t>
      </w:r>
    </w:p>
    <w:p w14:paraId="4E95F454" w14:textId="77777777" w:rsidR="00035544" w:rsidRPr="0081146C" w:rsidRDefault="00035544" w:rsidP="00035544">
      <w:pPr>
        <w:pStyle w:val="paragraphsub"/>
      </w:pPr>
      <w:r w:rsidRPr="0081146C">
        <w:tab/>
        <w:t>(ii)</w:t>
      </w:r>
      <w:r w:rsidRPr="0081146C">
        <w:tab/>
        <w:t>international organisations.</w:t>
      </w:r>
    </w:p>
    <w:p w14:paraId="69CB0D4F" w14:textId="77777777" w:rsidR="00035544" w:rsidRPr="0081146C" w:rsidRDefault="00035544" w:rsidP="00035544">
      <w:pPr>
        <w:pStyle w:val="notetext"/>
      </w:pPr>
      <w:r w:rsidRPr="0081146C">
        <w:t>Note 1:</w:t>
      </w:r>
      <w:r w:rsidRPr="0081146C">
        <w:tab/>
        <w:t>The objects of this Act are achieved by (among other things) requiring information to be given to the AUSTRAC CEO and by allowing certain other agencies to access information collected by the AUSTRAC CEO.</w:t>
      </w:r>
    </w:p>
    <w:p w14:paraId="2DCA84E3" w14:textId="77777777" w:rsidR="00035544" w:rsidRPr="0081146C" w:rsidRDefault="00035544" w:rsidP="00035544">
      <w:pPr>
        <w:pStyle w:val="notetext"/>
      </w:pPr>
      <w:r w:rsidRPr="0081146C">
        <w:t>Note 2:</w:t>
      </w:r>
      <w:r w:rsidRPr="0081146C">
        <w:tab/>
        <w:t xml:space="preserve">The objects mentioned in </w:t>
      </w:r>
      <w:r w:rsidR="004F64A4" w:rsidRPr="0081146C">
        <w:t>paragraphs (</w:t>
      </w:r>
      <w:r w:rsidRPr="0081146C">
        <w:t>1)(a),(b) and (c) relate to the external affairs power. Schedule</w:t>
      </w:r>
      <w:r w:rsidR="004F64A4" w:rsidRPr="0081146C">
        <w:t> </w:t>
      </w:r>
      <w:r w:rsidRPr="0081146C">
        <w:t>1 (alternative constitutional basis) contains provisions designed to attract other legislative powers (including the taxation power).</w:t>
      </w:r>
    </w:p>
    <w:p w14:paraId="4D58D59A" w14:textId="77777777" w:rsidR="00035544" w:rsidRPr="0081146C" w:rsidRDefault="00035544" w:rsidP="00035544">
      <w:pPr>
        <w:pStyle w:val="subsection"/>
      </w:pPr>
      <w:r w:rsidRPr="0081146C">
        <w:tab/>
        <w:t>(2)</w:t>
      </w:r>
      <w:r w:rsidRPr="0081146C">
        <w:tab/>
        <w:t>Relevant international obligations include obligations under the following:</w:t>
      </w:r>
    </w:p>
    <w:p w14:paraId="64074651" w14:textId="77777777" w:rsidR="00035544" w:rsidRPr="0081146C" w:rsidRDefault="00035544" w:rsidP="00035544">
      <w:pPr>
        <w:pStyle w:val="paragraph"/>
      </w:pPr>
      <w:r w:rsidRPr="0081146C">
        <w:tab/>
        <w:t>(a)</w:t>
      </w:r>
      <w:r w:rsidRPr="0081146C">
        <w:tab/>
        <w:t xml:space="preserve">the </w:t>
      </w:r>
      <w:r w:rsidRPr="0081146C">
        <w:rPr>
          <w:bCs/>
        </w:rPr>
        <w:t xml:space="preserve">United Nations Convention Against Corruption, </w:t>
      </w:r>
      <w:r w:rsidRPr="0081146C">
        <w:t>done at New York on 31</w:t>
      </w:r>
      <w:r w:rsidR="004F64A4" w:rsidRPr="0081146C">
        <w:t> </w:t>
      </w:r>
      <w:r w:rsidRPr="0081146C">
        <w:t>October 2003</w:t>
      </w:r>
      <w:r w:rsidRPr="0081146C">
        <w:rPr>
          <w:bCs/>
        </w:rPr>
        <w:t xml:space="preserve"> </w:t>
      </w:r>
      <w:r w:rsidRPr="0081146C">
        <w:t>[2006] ATS 2;</w:t>
      </w:r>
    </w:p>
    <w:p w14:paraId="0621754F" w14:textId="77777777" w:rsidR="00035544" w:rsidRPr="0081146C" w:rsidRDefault="00035544" w:rsidP="00035544">
      <w:pPr>
        <w:pStyle w:val="paragraph"/>
      </w:pPr>
      <w:r w:rsidRPr="0081146C">
        <w:tab/>
        <w:t>(b)</w:t>
      </w:r>
      <w:r w:rsidRPr="0081146C">
        <w:tab/>
        <w:t xml:space="preserve">the </w:t>
      </w:r>
      <w:r w:rsidRPr="0081146C">
        <w:rPr>
          <w:bCs/>
        </w:rPr>
        <w:t xml:space="preserve">United Nations Convention Against Transnational Organized Crime, </w:t>
      </w:r>
      <w:r w:rsidRPr="0081146C">
        <w:t>done at New York on 15</w:t>
      </w:r>
      <w:r w:rsidR="004F64A4" w:rsidRPr="0081146C">
        <w:t> </w:t>
      </w:r>
      <w:r w:rsidRPr="0081146C">
        <w:t xml:space="preserve">November </w:t>
      </w:r>
      <w:r w:rsidRPr="0081146C">
        <w:rPr>
          <w:bCs/>
        </w:rPr>
        <w:t xml:space="preserve">2000 </w:t>
      </w:r>
      <w:r w:rsidRPr="0081146C">
        <w:t>[2004] ATS 12</w:t>
      </w:r>
      <w:r w:rsidRPr="0081146C">
        <w:rPr>
          <w:bCs/>
        </w:rPr>
        <w:t>;</w:t>
      </w:r>
    </w:p>
    <w:p w14:paraId="4C9E100B" w14:textId="77777777" w:rsidR="00035544" w:rsidRPr="0081146C" w:rsidRDefault="00035544" w:rsidP="00035544">
      <w:pPr>
        <w:pStyle w:val="paragraph"/>
      </w:pPr>
      <w:r w:rsidRPr="0081146C">
        <w:tab/>
        <w:t>(c)</w:t>
      </w:r>
      <w:r w:rsidRPr="0081146C">
        <w:tab/>
        <w:t>the Convention on Laundering, Search, Seizure and Confiscation of the Proceeds of Crime, done at Strasbourg on 8</w:t>
      </w:r>
      <w:r w:rsidR="004F64A4" w:rsidRPr="0081146C">
        <w:t> </w:t>
      </w:r>
      <w:r w:rsidRPr="0081146C">
        <w:t>November 1990 [1997] ATS 21;</w:t>
      </w:r>
    </w:p>
    <w:p w14:paraId="66DA669C" w14:textId="77777777" w:rsidR="00035544" w:rsidRPr="0081146C" w:rsidRDefault="00035544" w:rsidP="00035544">
      <w:pPr>
        <w:pStyle w:val="paragraph"/>
      </w:pPr>
      <w:r w:rsidRPr="0081146C">
        <w:tab/>
        <w:t>(d)</w:t>
      </w:r>
      <w:r w:rsidRPr="0081146C">
        <w:tab/>
        <w:t>United Nations Security Council Resolution 1267 S/RES/1267 (1999);</w:t>
      </w:r>
    </w:p>
    <w:p w14:paraId="639F6F19" w14:textId="77777777" w:rsidR="00035544" w:rsidRPr="0081146C" w:rsidRDefault="00035544" w:rsidP="00035544">
      <w:pPr>
        <w:pStyle w:val="paragraph"/>
      </w:pPr>
      <w:r w:rsidRPr="0081146C">
        <w:tab/>
        <w:t>(e)</w:t>
      </w:r>
      <w:r w:rsidRPr="0081146C">
        <w:tab/>
        <w:t>United Nations Security Council Resolution 1373 S/RES/1373 (2001);</w:t>
      </w:r>
    </w:p>
    <w:p w14:paraId="7675F8A8" w14:textId="77777777" w:rsidR="00035544" w:rsidRPr="0081146C" w:rsidRDefault="00035544" w:rsidP="00035544">
      <w:pPr>
        <w:pStyle w:val="paragraph"/>
      </w:pPr>
      <w:r w:rsidRPr="0081146C">
        <w:tab/>
        <w:t>(f)</w:t>
      </w:r>
      <w:r w:rsidRPr="0081146C">
        <w:tab/>
        <w:t>United Nations Security Council Resolution 1617 S/RES/1617 (2005).</w:t>
      </w:r>
    </w:p>
    <w:p w14:paraId="26D1386C" w14:textId="77777777" w:rsidR="00035544" w:rsidRPr="0081146C" w:rsidRDefault="00035544" w:rsidP="00035544">
      <w:pPr>
        <w:pStyle w:val="subsection"/>
      </w:pPr>
      <w:r w:rsidRPr="0081146C">
        <w:tab/>
        <w:t>(3)</w:t>
      </w:r>
      <w:r w:rsidRPr="0081146C">
        <w:tab/>
        <w:t>The following reflect international concern:</w:t>
      </w:r>
    </w:p>
    <w:p w14:paraId="436E5695" w14:textId="77777777" w:rsidR="00035544" w:rsidRPr="0081146C" w:rsidRDefault="00035544" w:rsidP="00035544">
      <w:pPr>
        <w:pStyle w:val="paragraph"/>
      </w:pPr>
      <w:r w:rsidRPr="0081146C">
        <w:tab/>
        <w:t>(a)</w:t>
      </w:r>
      <w:r w:rsidRPr="0081146C">
        <w:tab/>
        <w:t>the FATF Recommendations;</w:t>
      </w:r>
    </w:p>
    <w:p w14:paraId="7AFC79AD" w14:textId="77777777" w:rsidR="00035544" w:rsidRPr="0081146C" w:rsidRDefault="00035544" w:rsidP="00035544">
      <w:pPr>
        <w:pStyle w:val="paragraph"/>
      </w:pPr>
      <w:r w:rsidRPr="0081146C">
        <w:tab/>
        <w:t>(b)</w:t>
      </w:r>
      <w:r w:rsidRPr="0081146C">
        <w:tab/>
        <w:t xml:space="preserve">the </w:t>
      </w:r>
      <w:r w:rsidRPr="0081146C">
        <w:rPr>
          <w:bCs/>
        </w:rPr>
        <w:t xml:space="preserve">United Nations Convention Against Corruption, </w:t>
      </w:r>
      <w:r w:rsidRPr="0081146C">
        <w:t>done at New York on 31</w:t>
      </w:r>
      <w:r w:rsidR="004F64A4" w:rsidRPr="0081146C">
        <w:t> </w:t>
      </w:r>
      <w:r w:rsidRPr="0081146C">
        <w:t>October 2003</w:t>
      </w:r>
      <w:r w:rsidRPr="0081146C">
        <w:rPr>
          <w:bCs/>
        </w:rPr>
        <w:t xml:space="preserve"> </w:t>
      </w:r>
      <w:r w:rsidRPr="0081146C">
        <w:t>[2006] ATS 2;</w:t>
      </w:r>
    </w:p>
    <w:p w14:paraId="42D4E319" w14:textId="77777777" w:rsidR="00035544" w:rsidRPr="0081146C" w:rsidRDefault="00035544" w:rsidP="00035544">
      <w:pPr>
        <w:pStyle w:val="paragraph"/>
        <w:rPr>
          <w:bCs/>
        </w:rPr>
      </w:pPr>
      <w:r w:rsidRPr="0081146C">
        <w:tab/>
        <w:t>(c)</w:t>
      </w:r>
      <w:r w:rsidRPr="0081146C">
        <w:tab/>
        <w:t xml:space="preserve">the </w:t>
      </w:r>
      <w:r w:rsidRPr="0081146C">
        <w:rPr>
          <w:bCs/>
        </w:rPr>
        <w:t xml:space="preserve">United Nations Convention Against Transnational Organized Crime, </w:t>
      </w:r>
      <w:r w:rsidRPr="0081146C">
        <w:t>done at New York on 15</w:t>
      </w:r>
      <w:r w:rsidR="004F64A4" w:rsidRPr="0081146C">
        <w:t> </w:t>
      </w:r>
      <w:r w:rsidRPr="0081146C">
        <w:t xml:space="preserve">November </w:t>
      </w:r>
      <w:r w:rsidRPr="0081146C">
        <w:rPr>
          <w:bCs/>
        </w:rPr>
        <w:t xml:space="preserve">2000 </w:t>
      </w:r>
      <w:r w:rsidRPr="0081146C">
        <w:t>[2004] ATS 12</w:t>
      </w:r>
      <w:r w:rsidRPr="0081146C">
        <w:rPr>
          <w:bCs/>
        </w:rPr>
        <w:t>;</w:t>
      </w:r>
    </w:p>
    <w:p w14:paraId="7C191CA8" w14:textId="77777777" w:rsidR="00035544" w:rsidRPr="0081146C" w:rsidRDefault="00035544" w:rsidP="00035544">
      <w:pPr>
        <w:pStyle w:val="paragraph"/>
      </w:pPr>
      <w:r w:rsidRPr="0081146C">
        <w:tab/>
        <w:t>(d)</w:t>
      </w:r>
      <w:r w:rsidRPr="0081146C">
        <w:tab/>
        <w:t>the Convention on Laundering, Search, Seizure and Confiscation of the Proceeds of Crime, done at Strasbourg on 8</w:t>
      </w:r>
      <w:r w:rsidR="004F64A4" w:rsidRPr="0081146C">
        <w:t> </w:t>
      </w:r>
      <w:r w:rsidRPr="0081146C">
        <w:t>November 1990 [1997] ATS 21;</w:t>
      </w:r>
    </w:p>
    <w:p w14:paraId="6A6D4C6B" w14:textId="77777777" w:rsidR="00035544" w:rsidRPr="0081146C" w:rsidRDefault="00035544" w:rsidP="00035544">
      <w:pPr>
        <w:pStyle w:val="paragraph"/>
      </w:pPr>
      <w:r w:rsidRPr="0081146C">
        <w:tab/>
        <w:t>(e)</w:t>
      </w:r>
      <w:r w:rsidRPr="0081146C">
        <w:tab/>
        <w:t>the International Convention for the Suppression of the Financing of Terrorism, done at New York on 9</w:t>
      </w:r>
      <w:r w:rsidR="004F64A4" w:rsidRPr="0081146C">
        <w:t> </w:t>
      </w:r>
      <w:r w:rsidRPr="0081146C">
        <w:t>December 1999 [2002] ATS 23;</w:t>
      </w:r>
    </w:p>
    <w:p w14:paraId="7E199A94" w14:textId="77777777" w:rsidR="00035544" w:rsidRPr="0081146C" w:rsidRDefault="00035544" w:rsidP="00035544">
      <w:pPr>
        <w:pStyle w:val="paragraph"/>
      </w:pPr>
      <w:r w:rsidRPr="0081146C">
        <w:tab/>
        <w:t>(f)</w:t>
      </w:r>
      <w:r w:rsidRPr="0081146C">
        <w:tab/>
        <w:t>United Nations General Assembly Resolution 51/210 A/RES/51/210 (1996);</w:t>
      </w:r>
    </w:p>
    <w:p w14:paraId="374C2DAE" w14:textId="77777777" w:rsidR="00035544" w:rsidRPr="0081146C" w:rsidRDefault="00035544" w:rsidP="00035544">
      <w:pPr>
        <w:pStyle w:val="paragraph"/>
      </w:pPr>
      <w:r w:rsidRPr="0081146C">
        <w:tab/>
        <w:t>(g)</w:t>
      </w:r>
      <w:r w:rsidRPr="0081146C">
        <w:tab/>
        <w:t>United Nations Security Council Resolution 1267 S/RES/1267 (1999);</w:t>
      </w:r>
    </w:p>
    <w:p w14:paraId="00814741" w14:textId="77777777" w:rsidR="00035544" w:rsidRPr="0081146C" w:rsidRDefault="00035544" w:rsidP="00035544">
      <w:pPr>
        <w:pStyle w:val="paragraph"/>
      </w:pPr>
      <w:r w:rsidRPr="0081146C">
        <w:tab/>
        <w:t>(h)</w:t>
      </w:r>
      <w:r w:rsidRPr="0081146C">
        <w:tab/>
        <w:t>United Nations Security Council Resolution 1269 S/RES/1269 (1999);</w:t>
      </w:r>
    </w:p>
    <w:p w14:paraId="7A973052" w14:textId="77777777" w:rsidR="00035544" w:rsidRPr="0081146C" w:rsidRDefault="00035544" w:rsidP="00035544">
      <w:pPr>
        <w:pStyle w:val="paragraph"/>
      </w:pPr>
      <w:r w:rsidRPr="0081146C">
        <w:tab/>
        <w:t>(i)</w:t>
      </w:r>
      <w:r w:rsidRPr="0081146C">
        <w:tab/>
        <w:t>United Nations Security Council Resolution 1373 S/RES/1373 (2001);</w:t>
      </w:r>
    </w:p>
    <w:p w14:paraId="1525C456" w14:textId="77777777" w:rsidR="00035544" w:rsidRPr="0081146C" w:rsidRDefault="00035544" w:rsidP="00035544">
      <w:pPr>
        <w:pStyle w:val="paragraph"/>
      </w:pPr>
      <w:r w:rsidRPr="0081146C">
        <w:tab/>
        <w:t>(j)</w:t>
      </w:r>
      <w:r w:rsidRPr="0081146C">
        <w:tab/>
        <w:t>United Nations Security Council Resolution 1456 S/RES/1456 (2003);</w:t>
      </w:r>
    </w:p>
    <w:p w14:paraId="64E9D0B6" w14:textId="77777777" w:rsidR="00035544" w:rsidRPr="0081146C" w:rsidRDefault="00035544" w:rsidP="00035544">
      <w:pPr>
        <w:pStyle w:val="paragraph"/>
      </w:pPr>
      <w:r w:rsidRPr="0081146C">
        <w:tab/>
        <w:t>(k)</w:t>
      </w:r>
      <w:r w:rsidRPr="0081146C">
        <w:tab/>
        <w:t>United Nations Security Council Resolution 1617 S/RES/1617 (2005).</w:t>
      </w:r>
    </w:p>
    <w:p w14:paraId="78F8BC2B" w14:textId="77777777" w:rsidR="00035544" w:rsidRPr="0081146C" w:rsidRDefault="00035544" w:rsidP="00035544">
      <w:pPr>
        <w:pStyle w:val="notetext"/>
      </w:pPr>
      <w:r w:rsidRPr="0081146C">
        <w:t>Note 1:</w:t>
      </w:r>
      <w:r w:rsidRPr="0081146C">
        <w:tab/>
      </w:r>
      <w:r w:rsidRPr="0081146C">
        <w:rPr>
          <w:b/>
          <w:i/>
        </w:rPr>
        <w:t>FATF Recommendations</w:t>
      </w:r>
      <w:r w:rsidRPr="0081146C">
        <w:t xml:space="preserve"> is defined in section</w:t>
      </w:r>
      <w:r w:rsidR="004F64A4" w:rsidRPr="0081146C">
        <w:t> </w:t>
      </w:r>
      <w:r w:rsidRPr="0081146C">
        <w:t>5.</w:t>
      </w:r>
    </w:p>
    <w:p w14:paraId="7957A698" w14:textId="77777777" w:rsidR="00035544" w:rsidRPr="0081146C" w:rsidRDefault="00035544" w:rsidP="00035544">
      <w:pPr>
        <w:pStyle w:val="notetext"/>
      </w:pPr>
      <w:r w:rsidRPr="0081146C">
        <w:t>Note 2:</w:t>
      </w:r>
      <w:r w:rsidRPr="0081146C">
        <w:tab/>
        <w:t xml:space="preserve">In 2006, the text of international agreements in the Australian Treaty Series was accessible through the Australian Treaties Library on the AustLII </w:t>
      </w:r>
      <w:r w:rsidR="00FB2428" w:rsidRPr="0081146C">
        <w:t>website</w:t>
      </w:r>
      <w:r w:rsidRPr="0081146C">
        <w:t xml:space="preserve"> (www.austlii.edu.au).</w:t>
      </w:r>
    </w:p>
    <w:p w14:paraId="329F017E" w14:textId="77777777" w:rsidR="00035544" w:rsidRPr="0081146C" w:rsidRDefault="00035544" w:rsidP="00035544">
      <w:pPr>
        <w:pStyle w:val="notetext"/>
      </w:pPr>
      <w:r w:rsidRPr="0081146C">
        <w:t>Note 3:</w:t>
      </w:r>
      <w:r w:rsidRPr="0081146C">
        <w:tab/>
        <w:t xml:space="preserve">In 2006, the text of United Nations Security Council resolutions and United Nations General Assembly resolutions was accessible through the United Nations </w:t>
      </w:r>
      <w:r w:rsidR="00FB2428" w:rsidRPr="0081146C">
        <w:t>website</w:t>
      </w:r>
      <w:r w:rsidRPr="0081146C">
        <w:t xml:space="preserve"> (www.un.org).</w:t>
      </w:r>
    </w:p>
    <w:p w14:paraId="19090462" w14:textId="77777777" w:rsidR="00035544" w:rsidRPr="0081146C" w:rsidRDefault="00035544" w:rsidP="00035544">
      <w:pPr>
        <w:pStyle w:val="ActHead5"/>
      </w:pPr>
      <w:bookmarkStart w:id="7" w:name="_Toc185415703"/>
      <w:r w:rsidRPr="0081146C">
        <w:rPr>
          <w:rStyle w:val="CharSectno"/>
        </w:rPr>
        <w:t>4</w:t>
      </w:r>
      <w:r w:rsidRPr="0081146C">
        <w:t xml:space="preserve">  Simplified outline</w:t>
      </w:r>
      <w:bookmarkEnd w:id="7"/>
    </w:p>
    <w:p w14:paraId="09F9F3A1" w14:textId="77777777" w:rsidR="00035544" w:rsidRPr="0081146C" w:rsidRDefault="00035544" w:rsidP="00035544">
      <w:pPr>
        <w:pStyle w:val="subsection"/>
      </w:pPr>
      <w:r w:rsidRPr="0081146C">
        <w:tab/>
      </w:r>
      <w:r w:rsidRPr="0081146C">
        <w:tab/>
        <w:t>The following is a simplified outline of this Act:</w:t>
      </w:r>
    </w:p>
    <w:p w14:paraId="3F6B1297" w14:textId="77777777" w:rsidR="000C2386" w:rsidRPr="0081146C" w:rsidRDefault="000C2386" w:rsidP="000C2386">
      <w:pPr>
        <w:pStyle w:val="SOBullet"/>
      </w:pPr>
      <w:r w:rsidRPr="0081146C">
        <w:t>•</w:t>
      </w:r>
      <w:r w:rsidRPr="0081146C">
        <w:tab/>
        <w:t>A reporting entity is a person who provides designated services. (Designated services are listed in section 6.). Lead entities of certain business groups (known as reporting groups) are also reporting entities.</w:t>
      </w:r>
    </w:p>
    <w:p w14:paraId="09B50393" w14:textId="77777777" w:rsidR="000C2386" w:rsidRPr="0081146C" w:rsidRDefault="000C2386" w:rsidP="000C2386">
      <w:pPr>
        <w:pStyle w:val="SOBullet"/>
      </w:pPr>
      <w:r w:rsidRPr="0081146C">
        <w:t>•</w:t>
      </w:r>
      <w:r w:rsidRPr="0081146C">
        <w:tab/>
        <w:t>A reporting entity must have and comply with an AML/CTF program.</w:t>
      </w:r>
    </w:p>
    <w:p w14:paraId="452ED2F0" w14:textId="77777777" w:rsidR="009B278E" w:rsidRPr="0081146C" w:rsidRDefault="009B278E" w:rsidP="009B278E">
      <w:pPr>
        <w:pStyle w:val="SOBullet"/>
      </w:pPr>
      <w:r w:rsidRPr="0081146C">
        <w:t>•</w:t>
      </w:r>
      <w:r w:rsidRPr="0081146C">
        <w:tab/>
        <w:t>A reporting entity must undertake initial customer due diligence before providing a designated service to the customer. However, in special cases, initial customer due diligence may be carried out after the provision of the designated service.</w:t>
      </w:r>
    </w:p>
    <w:p w14:paraId="3FA82A15" w14:textId="77777777" w:rsidR="009B278E" w:rsidRPr="0081146C" w:rsidRDefault="009B278E" w:rsidP="009B278E">
      <w:pPr>
        <w:pStyle w:val="SOBullet"/>
      </w:pPr>
      <w:r w:rsidRPr="0081146C">
        <w:t>•</w:t>
      </w:r>
      <w:r w:rsidRPr="0081146C">
        <w:tab/>
        <w:t>Certain pre</w:t>
      </w:r>
      <w:r w:rsidRPr="0081146C">
        <w:noBreakHyphen/>
        <w:t>commencement customers are subject to modified customer due diligence.</w:t>
      </w:r>
    </w:p>
    <w:p w14:paraId="4E279D0B" w14:textId="77777777" w:rsidR="009B278E" w:rsidRPr="0081146C" w:rsidRDefault="009B278E" w:rsidP="009B278E">
      <w:pPr>
        <w:pStyle w:val="SOBullet"/>
      </w:pPr>
      <w:r w:rsidRPr="0081146C">
        <w:t>•</w:t>
      </w:r>
      <w:r w:rsidRPr="0081146C">
        <w:tab/>
        <w:t>Simplified customer due diligence may be undertaken in certain low risk circumstances as part of initial and ongoing customer due diligence.</w:t>
      </w:r>
    </w:p>
    <w:p w14:paraId="176455E1" w14:textId="77777777" w:rsidR="00035544" w:rsidRPr="0081146C" w:rsidRDefault="00035544" w:rsidP="00035544">
      <w:pPr>
        <w:pStyle w:val="BoxList"/>
      </w:pPr>
      <w:r w:rsidRPr="0081146C">
        <w:t>•</w:t>
      </w:r>
      <w:r w:rsidRPr="0081146C">
        <w:tab/>
        <w:t>Reporting entities must report the following to the Chief Executive Officer of AUSTRAC (the Australian Transaction Reports and Analysis Centre):</w:t>
      </w:r>
    </w:p>
    <w:p w14:paraId="7F3F441E" w14:textId="77777777" w:rsidR="00035544" w:rsidRPr="0081146C" w:rsidRDefault="00035544" w:rsidP="00035544">
      <w:pPr>
        <w:pStyle w:val="BoxPara"/>
      </w:pPr>
      <w:r w:rsidRPr="0081146C">
        <w:tab/>
        <w:t>(a)</w:t>
      </w:r>
      <w:r w:rsidRPr="0081146C">
        <w:tab/>
        <w:t>suspicious matters;</w:t>
      </w:r>
    </w:p>
    <w:p w14:paraId="3925399F" w14:textId="77777777" w:rsidR="00035544" w:rsidRPr="0081146C" w:rsidRDefault="00035544" w:rsidP="00035544">
      <w:pPr>
        <w:pStyle w:val="BoxPara"/>
      </w:pPr>
      <w:r w:rsidRPr="0081146C">
        <w:tab/>
        <w:t>(b)</w:t>
      </w:r>
      <w:r w:rsidRPr="0081146C">
        <w:tab/>
        <w:t>certain transactions above a threshold.</w:t>
      </w:r>
    </w:p>
    <w:p w14:paraId="64205304" w14:textId="0BCC175D" w:rsidR="00035544" w:rsidRPr="0081146C" w:rsidRDefault="00035544" w:rsidP="00035544">
      <w:pPr>
        <w:pStyle w:val="BoxList"/>
      </w:pPr>
      <w:r w:rsidRPr="0081146C">
        <w:t>•</w:t>
      </w:r>
      <w:r w:rsidRPr="0081146C">
        <w:tab/>
        <w:t xml:space="preserve">Certain </w:t>
      </w:r>
      <w:r w:rsidR="00250C0B" w:rsidRPr="0081146C">
        <w:t>information about international value transfer services</w:t>
      </w:r>
      <w:r w:rsidRPr="0081146C">
        <w:t xml:space="preserve"> must be reported to the AUSTRAC CEO.</w:t>
      </w:r>
    </w:p>
    <w:p w14:paraId="471D9A84" w14:textId="77777777" w:rsidR="00035544" w:rsidRPr="0081146C" w:rsidRDefault="00035544" w:rsidP="00035544">
      <w:pPr>
        <w:pStyle w:val="BoxList"/>
      </w:pPr>
      <w:r w:rsidRPr="0081146C">
        <w:t>•</w:t>
      </w:r>
      <w:r w:rsidRPr="0081146C">
        <w:tab/>
        <w:t>Cross</w:t>
      </w:r>
      <w:r w:rsidR="003B7E15" w:rsidRPr="0081146C">
        <w:noBreakHyphen/>
      </w:r>
      <w:r w:rsidRPr="0081146C">
        <w:t xml:space="preserve">border movements of </w:t>
      </w:r>
      <w:r w:rsidR="000639B5" w:rsidRPr="0081146C">
        <w:t>monetary instruments</w:t>
      </w:r>
      <w:r w:rsidRPr="0081146C">
        <w:t xml:space="preserve"> must be reported to the AUSTRAC CEO, a customs officer or a police officer if the total amount moved is above a threshold.</w:t>
      </w:r>
    </w:p>
    <w:p w14:paraId="55BDA087" w14:textId="31EF6D27" w:rsidR="00035544" w:rsidRPr="0081146C" w:rsidRDefault="00035544" w:rsidP="00035544">
      <w:pPr>
        <w:pStyle w:val="BoxList"/>
      </w:pPr>
      <w:r w:rsidRPr="0081146C">
        <w:t>•</w:t>
      </w:r>
      <w:r w:rsidRPr="0081146C">
        <w:tab/>
      </w:r>
      <w:r w:rsidR="00751D89" w:rsidRPr="0081146C">
        <w:t>Transfers of value</w:t>
      </w:r>
      <w:r w:rsidRPr="0081146C">
        <w:t xml:space="preserve"> must include certain information about the origin of the </w:t>
      </w:r>
      <w:r w:rsidR="00751D89" w:rsidRPr="0081146C">
        <w:t>transferred value</w:t>
      </w:r>
      <w:r w:rsidRPr="0081146C">
        <w:t>.</w:t>
      </w:r>
    </w:p>
    <w:p w14:paraId="66C44E6E" w14:textId="675871AB" w:rsidR="00035544" w:rsidRPr="0081146C" w:rsidRDefault="00035544" w:rsidP="00035544">
      <w:pPr>
        <w:pStyle w:val="BoxList"/>
      </w:pPr>
      <w:r w:rsidRPr="0081146C">
        <w:t>•</w:t>
      </w:r>
      <w:r w:rsidRPr="0081146C">
        <w:tab/>
        <w:t xml:space="preserve">Providers of </w:t>
      </w:r>
      <w:r w:rsidR="007330A4" w:rsidRPr="0081146C">
        <w:t>registrable remittance services</w:t>
      </w:r>
      <w:r w:rsidR="00432124" w:rsidRPr="0081146C">
        <w:t xml:space="preserve"> or registrable remittance network services</w:t>
      </w:r>
      <w:r w:rsidRPr="0081146C">
        <w:t xml:space="preserve"> must be registered with the AUSTRAC CEO.</w:t>
      </w:r>
    </w:p>
    <w:p w14:paraId="1401C7AD" w14:textId="7AF03DF9" w:rsidR="00EF3C38" w:rsidRPr="0081146C" w:rsidRDefault="00EF3C38" w:rsidP="00EF3C38">
      <w:pPr>
        <w:pStyle w:val="BoxList"/>
      </w:pPr>
      <w:r w:rsidRPr="0081146C">
        <w:t>•</w:t>
      </w:r>
      <w:r w:rsidRPr="0081146C">
        <w:tab/>
        <w:t xml:space="preserve">Providers of registrable </w:t>
      </w:r>
      <w:r w:rsidR="00483036" w:rsidRPr="0081146C">
        <w:t>virtual asset</w:t>
      </w:r>
      <w:r w:rsidR="00483036" w:rsidRPr="0081146C" w:rsidDel="00483036">
        <w:t xml:space="preserve"> </w:t>
      </w:r>
      <w:r w:rsidRPr="0081146C">
        <w:t>services must be registered with the AUSTRAC CEO.</w:t>
      </w:r>
    </w:p>
    <w:p w14:paraId="343FA929" w14:textId="77777777" w:rsidR="00035544" w:rsidRPr="0081146C" w:rsidRDefault="00035544" w:rsidP="00035544">
      <w:pPr>
        <w:pStyle w:val="BoxList"/>
      </w:pPr>
      <w:r w:rsidRPr="0081146C">
        <w:t>•</w:t>
      </w:r>
      <w:r w:rsidRPr="0081146C">
        <w:tab/>
        <w:t>Financial institutions are subject to restrictions in connection with entering into correspondent banking relationships.</w:t>
      </w:r>
    </w:p>
    <w:p w14:paraId="09494A09" w14:textId="77777777" w:rsidR="00035544" w:rsidRPr="0081146C" w:rsidRDefault="00035544" w:rsidP="00035544">
      <w:pPr>
        <w:pStyle w:val="ActHead5"/>
      </w:pPr>
      <w:bookmarkStart w:id="8" w:name="_Toc185415704"/>
      <w:r w:rsidRPr="0081146C">
        <w:rPr>
          <w:rStyle w:val="CharSectno"/>
        </w:rPr>
        <w:t>5</w:t>
      </w:r>
      <w:r w:rsidRPr="0081146C">
        <w:t xml:space="preserve">  Definitions</w:t>
      </w:r>
      <w:bookmarkEnd w:id="8"/>
    </w:p>
    <w:p w14:paraId="5BAA0153" w14:textId="77777777" w:rsidR="00035544" w:rsidRPr="0081146C" w:rsidRDefault="00035544" w:rsidP="00035544">
      <w:pPr>
        <w:pStyle w:val="subsection"/>
      </w:pPr>
      <w:r w:rsidRPr="0081146C">
        <w:tab/>
      </w:r>
      <w:r w:rsidRPr="0081146C">
        <w:tab/>
        <w:t>In this Act:</w:t>
      </w:r>
    </w:p>
    <w:p w14:paraId="23E42EB4" w14:textId="77777777" w:rsidR="00064C94" w:rsidRPr="0081146C" w:rsidRDefault="00064C94" w:rsidP="00064C94">
      <w:pPr>
        <w:pStyle w:val="Definition"/>
      </w:pPr>
      <w:r w:rsidRPr="0081146C">
        <w:rPr>
          <w:b/>
          <w:i/>
        </w:rPr>
        <w:t>account</w:t>
      </w:r>
      <w:r w:rsidRPr="0081146C">
        <w:t xml:space="preserve"> includes:</w:t>
      </w:r>
    </w:p>
    <w:p w14:paraId="03E085A3" w14:textId="77777777" w:rsidR="00064C94" w:rsidRPr="0081146C" w:rsidRDefault="00064C94" w:rsidP="00064C94">
      <w:pPr>
        <w:pStyle w:val="paragraph"/>
      </w:pPr>
      <w:r w:rsidRPr="0081146C">
        <w:tab/>
        <w:t>(a)</w:t>
      </w:r>
      <w:r w:rsidRPr="0081146C">
        <w:tab/>
        <w:t>an account which has a nil balance; and</w:t>
      </w:r>
    </w:p>
    <w:p w14:paraId="57737450" w14:textId="77777777" w:rsidR="00064C94" w:rsidRPr="0081146C" w:rsidRDefault="00064C94" w:rsidP="00064C94">
      <w:pPr>
        <w:pStyle w:val="paragraph"/>
      </w:pPr>
      <w:r w:rsidRPr="0081146C">
        <w:tab/>
        <w:t>(b)</w:t>
      </w:r>
      <w:r w:rsidRPr="0081146C">
        <w:tab/>
        <w:t>an account in relation to which no transactions have been allowed.</w:t>
      </w:r>
    </w:p>
    <w:p w14:paraId="0A680DE8" w14:textId="77777777" w:rsidR="00035544" w:rsidRPr="0081146C" w:rsidRDefault="00035544" w:rsidP="00035544">
      <w:pPr>
        <w:pStyle w:val="Definition"/>
      </w:pPr>
      <w:r w:rsidRPr="0081146C">
        <w:rPr>
          <w:b/>
          <w:i/>
        </w:rPr>
        <w:t>account provider</w:t>
      </w:r>
      <w:r w:rsidRPr="0081146C">
        <w:t xml:space="preserve">: if an account is with a person, the person is the </w:t>
      </w:r>
      <w:r w:rsidRPr="0081146C">
        <w:rPr>
          <w:b/>
          <w:i/>
        </w:rPr>
        <w:t>account provider</w:t>
      </w:r>
      <w:r w:rsidRPr="0081146C">
        <w:t xml:space="preserve"> for the account.</w:t>
      </w:r>
    </w:p>
    <w:p w14:paraId="54EA3002" w14:textId="77777777" w:rsidR="00035544" w:rsidRPr="0081146C" w:rsidRDefault="00035544" w:rsidP="00035544">
      <w:pPr>
        <w:pStyle w:val="Definition"/>
      </w:pPr>
      <w:r w:rsidRPr="0081146C">
        <w:rPr>
          <w:b/>
          <w:i/>
        </w:rPr>
        <w:t>acquiring</w:t>
      </w:r>
      <w:r w:rsidRPr="0081146C">
        <w:t xml:space="preserve">: in determining whether something is a designated service, </w:t>
      </w:r>
      <w:r w:rsidRPr="0081146C">
        <w:rPr>
          <w:b/>
          <w:i/>
        </w:rPr>
        <w:t>acquiring</w:t>
      </w:r>
      <w:r w:rsidRPr="0081146C">
        <w:t xml:space="preserve"> includes anything that, under the regulations, is taken to be acquiring for the purposes of this definition.</w:t>
      </w:r>
    </w:p>
    <w:p w14:paraId="37409571" w14:textId="77777777" w:rsidR="00035544" w:rsidRPr="0081146C" w:rsidRDefault="00035544" w:rsidP="00035544">
      <w:pPr>
        <w:pStyle w:val="Definition"/>
        <w:keepNext/>
      </w:pPr>
      <w:r w:rsidRPr="0081146C">
        <w:rPr>
          <w:b/>
          <w:i/>
        </w:rPr>
        <w:t>ADI</w:t>
      </w:r>
      <w:r w:rsidRPr="0081146C">
        <w:t xml:space="preserve"> (short for authorised deposit</w:t>
      </w:r>
      <w:r w:rsidR="003B7E15" w:rsidRPr="0081146C">
        <w:noBreakHyphen/>
      </w:r>
      <w:r w:rsidRPr="0081146C">
        <w:t>taking institution) means:</w:t>
      </w:r>
    </w:p>
    <w:p w14:paraId="43B1EC4A" w14:textId="77777777" w:rsidR="00035544" w:rsidRPr="0081146C" w:rsidRDefault="00035544" w:rsidP="00035544">
      <w:pPr>
        <w:pStyle w:val="paragraph"/>
      </w:pPr>
      <w:r w:rsidRPr="0081146C">
        <w:tab/>
        <w:t>(a)</w:t>
      </w:r>
      <w:r w:rsidRPr="0081146C">
        <w:tab/>
        <w:t xml:space="preserve">a body corporate that is an ADI for the purposes of the </w:t>
      </w:r>
      <w:r w:rsidRPr="0081146C">
        <w:rPr>
          <w:i/>
        </w:rPr>
        <w:t>Banking Act 1959</w:t>
      </w:r>
      <w:r w:rsidRPr="0081146C">
        <w:t>; or</w:t>
      </w:r>
    </w:p>
    <w:p w14:paraId="1BC29D5D" w14:textId="77777777" w:rsidR="00035544" w:rsidRPr="0081146C" w:rsidRDefault="00035544" w:rsidP="00035544">
      <w:pPr>
        <w:pStyle w:val="paragraph"/>
      </w:pPr>
      <w:r w:rsidRPr="0081146C">
        <w:tab/>
        <w:t>(b)</w:t>
      </w:r>
      <w:r w:rsidRPr="0081146C">
        <w:tab/>
        <w:t>the Reserve Bank of Australia; or</w:t>
      </w:r>
    </w:p>
    <w:p w14:paraId="141BC165" w14:textId="77777777" w:rsidR="00035544" w:rsidRPr="0081146C" w:rsidRDefault="00035544" w:rsidP="00035544">
      <w:pPr>
        <w:pStyle w:val="paragraph"/>
      </w:pPr>
      <w:r w:rsidRPr="0081146C">
        <w:tab/>
        <w:t>(c)</w:t>
      </w:r>
      <w:r w:rsidRPr="0081146C">
        <w:tab/>
        <w:t>a person who carries on State banking within the meaning of paragraph</w:t>
      </w:r>
      <w:r w:rsidR="004F64A4" w:rsidRPr="0081146C">
        <w:t> </w:t>
      </w:r>
      <w:r w:rsidRPr="0081146C">
        <w:t>51(xiii) of the Constitution.</w:t>
      </w:r>
    </w:p>
    <w:p w14:paraId="07D6F38C" w14:textId="77777777" w:rsidR="005D71C3" w:rsidRPr="0081146C" w:rsidRDefault="005D71C3" w:rsidP="005D71C3">
      <w:pPr>
        <w:pStyle w:val="Definition"/>
      </w:pPr>
      <w:r w:rsidRPr="0081146C">
        <w:rPr>
          <w:b/>
          <w:i/>
        </w:rPr>
        <w:t>administrative action:</w:t>
      </w:r>
      <w:r w:rsidRPr="0081146C">
        <w:t xml:space="preserve"> see subsection 228A(9).</w:t>
      </w:r>
    </w:p>
    <w:p w14:paraId="5C49E9A5" w14:textId="77777777" w:rsidR="00035544" w:rsidRPr="0081146C" w:rsidRDefault="00035544" w:rsidP="00035544">
      <w:pPr>
        <w:pStyle w:val="Definition"/>
      </w:pPr>
      <w:r w:rsidRPr="0081146C">
        <w:rPr>
          <w:b/>
          <w:i/>
        </w:rPr>
        <w:t>AFP member</w:t>
      </w:r>
      <w:r w:rsidRPr="0081146C">
        <w:t xml:space="preserve"> (short for Australian Federal Police member) means a member or special member of the Australian Federal Police.</w:t>
      </w:r>
    </w:p>
    <w:p w14:paraId="1A954A17" w14:textId="77777777" w:rsidR="00035544" w:rsidRPr="0081146C" w:rsidRDefault="00035544" w:rsidP="007A28A1">
      <w:pPr>
        <w:pStyle w:val="Definition"/>
        <w:keepNext/>
      </w:pPr>
      <w:r w:rsidRPr="0081146C">
        <w:rPr>
          <w:b/>
          <w:i/>
        </w:rPr>
        <w:t>agency</w:t>
      </w:r>
      <w:r w:rsidRPr="0081146C">
        <w:t>:</w:t>
      </w:r>
    </w:p>
    <w:p w14:paraId="6C482474" w14:textId="77777777" w:rsidR="00035544" w:rsidRPr="0081146C" w:rsidRDefault="00035544" w:rsidP="007A28A1">
      <w:pPr>
        <w:pStyle w:val="paragraph"/>
        <w:keepNext/>
      </w:pPr>
      <w:r w:rsidRPr="0081146C">
        <w:tab/>
        <w:t>(a)</w:t>
      </w:r>
      <w:r w:rsidRPr="0081146C">
        <w:tab/>
        <w:t>a Department of the Commonwealth is taken to be an agency of the Commonwealth for the purposes of this Act;</w:t>
      </w:r>
    </w:p>
    <w:p w14:paraId="26AB56A6" w14:textId="77777777" w:rsidR="00035544" w:rsidRPr="0081146C" w:rsidRDefault="00035544" w:rsidP="00035544">
      <w:pPr>
        <w:pStyle w:val="paragraph"/>
      </w:pPr>
      <w:r w:rsidRPr="0081146C">
        <w:tab/>
        <w:t>(b)</w:t>
      </w:r>
      <w:r w:rsidRPr="0081146C">
        <w:tab/>
        <w:t>a Department of a State is taken to be an agency of the State for the purposes of this Act;</w:t>
      </w:r>
    </w:p>
    <w:p w14:paraId="1627F659" w14:textId="77777777" w:rsidR="00035544" w:rsidRPr="0081146C" w:rsidRDefault="00035544" w:rsidP="00035544">
      <w:pPr>
        <w:pStyle w:val="paragraph"/>
      </w:pPr>
      <w:r w:rsidRPr="0081146C">
        <w:tab/>
        <w:t>(c)</w:t>
      </w:r>
      <w:r w:rsidRPr="0081146C">
        <w:tab/>
        <w:t>a Department of a Territory is taken to be an agency of the Territory for the purposes of this Act.</w:t>
      </w:r>
    </w:p>
    <w:p w14:paraId="436AC58C" w14:textId="77777777" w:rsidR="00035544" w:rsidRPr="0081146C" w:rsidRDefault="00035544" w:rsidP="00035544">
      <w:pPr>
        <w:pStyle w:val="Definition"/>
      </w:pPr>
      <w:r w:rsidRPr="0081146C">
        <w:rPr>
          <w:b/>
          <w:i/>
        </w:rPr>
        <w:t>allowing a transaction</w:t>
      </w:r>
      <w:r w:rsidRPr="0081146C">
        <w:t>: in determining whether a person has allowed a transaction, it is immaterial whether the person was obliged to allow the transaction.</w:t>
      </w:r>
    </w:p>
    <w:p w14:paraId="787A1C02" w14:textId="77777777" w:rsidR="000C2386" w:rsidRPr="0081146C" w:rsidRDefault="000C2386" w:rsidP="000C2386">
      <w:pPr>
        <w:pStyle w:val="Definition"/>
      </w:pPr>
      <w:r w:rsidRPr="0081146C">
        <w:rPr>
          <w:b/>
          <w:i/>
        </w:rPr>
        <w:t>AML/CTF compliance officer</w:t>
      </w:r>
      <w:r w:rsidRPr="0081146C">
        <w:t xml:space="preserve"> for a reporting entity means the individual designated as the AML/CTF compliance officer for the reporting entity under subsection 26J(1).</w:t>
      </w:r>
    </w:p>
    <w:p w14:paraId="6817A72E" w14:textId="77777777" w:rsidR="000C2386" w:rsidRPr="0081146C" w:rsidRDefault="000C2386" w:rsidP="000C2386">
      <w:pPr>
        <w:pStyle w:val="Definition"/>
      </w:pPr>
      <w:r w:rsidRPr="0081146C">
        <w:rPr>
          <w:b/>
          <w:i/>
        </w:rPr>
        <w:t>AML/CTF policies</w:t>
      </w:r>
      <w:r w:rsidRPr="0081146C">
        <w:t xml:space="preserve"> of a reporting entity:</w:t>
      </w:r>
    </w:p>
    <w:p w14:paraId="6E7579E2" w14:textId="77777777" w:rsidR="000C2386" w:rsidRPr="0081146C" w:rsidRDefault="000C2386" w:rsidP="000C2386">
      <w:pPr>
        <w:pStyle w:val="paragraph"/>
      </w:pPr>
      <w:r w:rsidRPr="0081146C">
        <w:tab/>
        <w:t>(a)</w:t>
      </w:r>
      <w:r w:rsidRPr="0081146C">
        <w:tab/>
        <w:t>means the policies, procedures, systems and controls of the reporting entity developed under section 26F; and</w:t>
      </w:r>
    </w:p>
    <w:p w14:paraId="2BD1BBB4" w14:textId="77777777" w:rsidR="000C2386" w:rsidRPr="0081146C" w:rsidRDefault="000C2386" w:rsidP="000C2386">
      <w:pPr>
        <w:pStyle w:val="paragraph"/>
      </w:pPr>
      <w:r w:rsidRPr="0081146C">
        <w:tab/>
        <w:t>(b)</w:t>
      </w:r>
      <w:r w:rsidRPr="0081146C">
        <w:tab/>
        <w:t>if the policies, procedures, systems and controls of the reporting entity are updated—includes the policies, procedures, systems and controls as updated.</w:t>
      </w:r>
    </w:p>
    <w:p w14:paraId="281AB1BF" w14:textId="77777777" w:rsidR="000C2386" w:rsidRPr="0081146C" w:rsidRDefault="000C2386" w:rsidP="000C2386">
      <w:pPr>
        <w:pStyle w:val="Definition"/>
      </w:pPr>
      <w:r w:rsidRPr="0081146C">
        <w:rPr>
          <w:b/>
          <w:i/>
        </w:rPr>
        <w:t>AML/CTF program</w:t>
      </w:r>
      <w:r w:rsidRPr="0081146C">
        <w:t>: see section 26B.</w:t>
      </w:r>
    </w:p>
    <w:p w14:paraId="72297774" w14:textId="77777777" w:rsidR="00035544" w:rsidRPr="0081146C" w:rsidRDefault="00035544" w:rsidP="00035544">
      <w:pPr>
        <w:pStyle w:val="Definition"/>
      </w:pPr>
      <w:r w:rsidRPr="0081146C">
        <w:rPr>
          <w:b/>
          <w:i/>
        </w:rPr>
        <w:t>AML/CTF Rules</w:t>
      </w:r>
      <w:r w:rsidRPr="0081146C">
        <w:t xml:space="preserve"> (short for Anti</w:t>
      </w:r>
      <w:r w:rsidR="003B7E15" w:rsidRPr="0081146C">
        <w:noBreakHyphen/>
      </w:r>
      <w:r w:rsidRPr="0081146C">
        <w:t>Money Laundering/Counter</w:t>
      </w:r>
      <w:r w:rsidR="003B7E15" w:rsidRPr="0081146C">
        <w:noBreakHyphen/>
      </w:r>
      <w:r w:rsidRPr="0081146C">
        <w:t>Terrorism Financing Rules) means the rules made under section</w:t>
      </w:r>
      <w:r w:rsidR="004F64A4" w:rsidRPr="0081146C">
        <w:t> </w:t>
      </w:r>
      <w:r w:rsidRPr="0081146C">
        <w:t>229.</w:t>
      </w:r>
    </w:p>
    <w:p w14:paraId="2B7EB6D2" w14:textId="77777777" w:rsidR="00035544" w:rsidRPr="0081146C" w:rsidRDefault="00035544" w:rsidP="00035544">
      <w:pPr>
        <w:pStyle w:val="Definition"/>
      </w:pPr>
      <w:r w:rsidRPr="0081146C">
        <w:rPr>
          <w:b/>
          <w:i/>
        </w:rPr>
        <w:t>approved</w:t>
      </w:r>
      <w:r w:rsidRPr="0081146C">
        <w:t xml:space="preserve"> means approved by the AUSTRAC CEO, in writing, for the purposes of the provision in which the term occurs.</w:t>
      </w:r>
    </w:p>
    <w:p w14:paraId="37384DBD" w14:textId="77777777" w:rsidR="00035544" w:rsidRPr="0081146C" w:rsidRDefault="00035544" w:rsidP="00035544">
      <w:pPr>
        <w:pStyle w:val="notetext"/>
      </w:pPr>
      <w:r w:rsidRPr="0081146C">
        <w:t>Note:</w:t>
      </w:r>
      <w:r w:rsidRPr="0081146C">
        <w:tab/>
        <w:t>For variation and revocation, see subsection</w:t>
      </w:r>
      <w:r w:rsidR="004F64A4" w:rsidRPr="0081146C">
        <w:t> </w:t>
      </w:r>
      <w:r w:rsidRPr="0081146C">
        <w:t xml:space="preserve">33(3) of the </w:t>
      </w:r>
      <w:r w:rsidRPr="0081146C">
        <w:rPr>
          <w:i/>
        </w:rPr>
        <w:t>Acts Interpretation Act 1901</w:t>
      </w:r>
      <w:r w:rsidRPr="0081146C">
        <w:t>.</w:t>
      </w:r>
    </w:p>
    <w:p w14:paraId="060B0F06" w14:textId="77777777" w:rsidR="00035544" w:rsidRPr="0081146C" w:rsidRDefault="00035544" w:rsidP="00035544">
      <w:pPr>
        <w:pStyle w:val="Definition"/>
      </w:pPr>
      <w:r w:rsidRPr="0081146C">
        <w:rPr>
          <w:b/>
          <w:i/>
        </w:rPr>
        <w:t>approved deposit fund</w:t>
      </w:r>
      <w:r w:rsidRPr="0081146C">
        <w:t xml:space="preserve"> has the same meaning as in the </w:t>
      </w:r>
      <w:r w:rsidRPr="0081146C">
        <w:rPr>
          <w:i/>
        </w:rPr>
        <w:t>Superannuation Industry (Supervision) Act 1993</w:t>
      </w:r>
      <w:r w:rsidRPr="0081146C">
        <w:t>.</w:t>
      </w:r>
    </w:p>
    <w:p w14:paraId="714C17F8" w14:textId="77777777" w:rsidR="00035544" w:rsidRPr="0081146C" w:rsidRDefault="00035544" w:rsidP="00035544">
      <w:pPr>
        <w:pStyle w:val="Definition"/>
      </w:pPr>
      <w:r w:rsidRPr="0081146C">
        <w:rPr>
          <w:b/>
          <w:i/>
        </w:rPr>
        <w:t>approved third</w:t>
      </w:r>
      <w:r w:rsidR="003B7E15" w:rsidRPr="0081146C">
        <w:rPr>
          <w:b/>
          <w:i/>
        </w:rPr>
        <w:noBreakHyphen/>
      </w:r>
      <w:r w:rsidRPr="0081146C">
        <w:rPr>
          <w:b/>
          <w:i/>
        </w:rPr>
        <w:t>party bill payment system</w:t>
      </w:r>
      <w:r w:rsidRPr="0081146C">
        <w:t xml:space="preserve"> means a bill payment system prescribed by the AML/CTF Rules.</w:t>
      </w:r>
    </w:p>
    <w:p w14:paraId="0F40672E" w14:textId="77777777" w:rsidR="00035544" w:rsidRPr="0081146C" w:rsidRDefault="00035544" w:rsidP="00035544">
      <w:pPr>
        <w:pStyle w:val="Definition"/>
      </w:pPr>
      <w:r w:rsidRPr="0081146C">
        <w:rPr>
          <w:b/>
          <w:i/>
        </w:rPr>
        <w:t xml:space="preserve">arrangement </w:t>
      </w:r>
      <w:r w:rsidRPr="0081146C">
        <w:t>includes:</w:t>
      </w:r>
    </w:p>
    <w:p w14:paraId="34C2FA59" w14:textId="77777777" w:rsidR="00035544" w:rsidRPr="0081146C" w:rsidRDefault="00035544" w:rsidP="00035544">
      <w:pPr>
        <w:pStyle w:val="paragraph"/>
      </w:pPr>
      <w:r w:rsidRPr="0081146C">
        <w:tab/>
        <w:t>(a)</w:t>
      </w:r>
      <w:r w:rsidRPr="0081146C">
        <w:tab/>
        <w:t>any agreement, arrangement, understanding, promise or undertaking, whether express or implied, and whether or not enforceable, or intended to be enforceable, by legal proceedings; and</w:t>
      </w:r>
    </w:p>
    <w:p w14:paraId="370AE95F" w14:textId="77777777" w:rsidR="00035544" w:rsidRPr="0081146C" w:rsidRDefault="00035544" w:rsidP="00035544">
      <w:pPr>
        <w:pStyle w:val="paragraph"/>
      </w:pPr>
      <w:r w:rsidRPr="0081146C">
        <w:tab/>
        <w:t>(b)</w:t>
      </w:r>
      <w:r w:rsidRPr="0081146C">
        <w:tab/>
        <w:t>any scheme, plan, proposal, action, course of action or course of conduct, whether unilateral or otherwise.</w:t>
      </w:r>
    </w:p>
    <w:p w14:paraId="67BA517B" w14:textId="77777777" w:rsidR="00E60DA8" w:rsidRPr="0081146C" w:rsidRDefault="00E60DA8" w:rsidP="00E60DA8">
      <w:pPr>
        <w:pStyle w:val="Definition"/>
      </w:pPr>
      <w:r w:rsidRPr="0081146C">
        <w:rPr>
          <w:b/>
          <w:i/>
        </w:rPr>
        <w:t>assessment</w:t>
      </w:r>
      <w:r w:rsidRPr="0081146C">
        <w:rPr>
          <w:i/>
        </w:rPr>
        <w:t>,</w:t>
      </w:r>
      <w:r w:rsidRPr="0081146C">
        <w:rPr>
          <w:b/>
          <w:i/>
        </w:rPr>
        <w:t xml:space="preserve"> </w:t>
      </w:r>
      <w:r w:rsidRPr="0081146C">
        <w:t xml:space="preserve">in relation to an individual, means an assessment prepared or provided by a credit reporting </w:t>
      </w:r>
      <w:r w:rsidR="00B939C5" w:rsidRPr="0081146C">
        <w:t xml:space="preserve">body </w:t>
      </w:r>
      <w:r w:rsidRPr="0081146C">
        <w:t>under paragraph</w:t>
      </w:r>
      <w:r w:rsidR="004F64A4" w:rsidRPr="0081146C">
        <w:t> </w:t>
      </w:r>
      <w:r w:rsidRPr="0081146C">
        <w:t>35B(1)(a) in relation to the individual.</w:t>
      </w:r>
    </w:p>
    <w:p w14:paraId="0AB18B6C" w14:textId="77777777" w:rsidR="00035544" w:rsidRPr="0081146C" w:rsidRDefault="00035544" w:rsidP="00035544">
      <w:pPr>
        <w:pStyle w:val="Definition"/>
      </w:pPr>
      <w:r w:rsidRPr="0081146C">
        <w:rPr>
          <w:b/>
          <w:i/>
        </w:rPr>
        <w:t>AUSTRAC</w:t>
      </w:r>
      <w:r w:rsidRPr="0081146C">
        <w:t xml:space="preserve"> means the Australian Transaction Reports and Analysis Centre continued in existence by section</w:t>
      </w:r>
      <w:r w:rsidR="004F64A4" w:rsidRPr="0081146C">
        <w:t> </w:t>
      </w:r>
      <w:r w:rsidRPr="0081146C">
        <w:t>209.</w:t>
      </w:r>
    </w:p>
    <w:p w14:paraId="583E599E" w14:textId="77777777" w:rsidR="00035544" w:rsidRPr="0081146C" w:rsidRDefault="00035544" w:rsidP="00035544">
      <w:pPr>
        <w:pStyle w:val="Definition"/>
      </w:pPr>
      <w:r w:rsidRPr="0081146C">
        <w:rPr>
          <w:b/>
          <w:i/>
        </w:rPr>
        <w:t>AUSTRAC CEO</w:t>
      </w:r>
      <w:r w:rsidRPr="0081146C">
        <w:t xml:space="preserve"> means the Chief Executive Officer of AUSTRAC.</w:t>
      </w:r>
    </w:p>
    <w:p w14:paraId="6B00E2C1" w14:textId="77777777" w:rsidR="00DE1AB0" w:rsidRPr="0081146C" w:rsidRDefault="00DE1AB0" w:rsidP="00DE1AB0">
      <w:pPr>
        <w:pStyle w:val="Definition"/>
      </w:pPr>
      <w:r w:rsidRPr="0081146C">
        <w:rPr>
          <w:b/>
          <w:i/>
        </w:rPr>
        <w:t>AUSTRAC entrusted person</w:t>
      </w:r>
      <w:r w:rsidRPr="0081146C">
        <w:t xml:space="preserve"> means:</w:t>
      </w:r>
    </w:p>
    <w:p w14:paraId="1C07F695" w14:textId="77777777" w:rsidR="00DE1AB0" w:rsidRPr="0081146C" w:rsidRDefault="00DE1AB0" w:rsidP="00DE1AB0">
      <w:pPr>
        <w:pStyle w:val="paragraph"/>
      </w:pPr>
      <w:r w:rsidRPr="0081146C">
        <w:tab/>
        <w:t>(a)</w:t>
      </w:r>
      <w:r w:rsidRPr="0081146C">
        <w:tab/>
        <w:t>the AUSTRAC CEO; or</w:t>
      </w:r>
    </w:p>
    <w:p w14:paraId="788B7E54" w14:textId="77777777" w:rsidR="00DE1AB0" w:rsidRPr="0081146C" w:rsidRDefault="00DE1AB0" w:rsidP="00DE1AB0">
      <w:pPr>
        <w:pStyle w:val="paragraph"/>
      </w:pPr>
      <w:r w:rsidRPr="0081146C">
        <w:tab/>
        <w:t>(b)</w:t>
      </w:r>
      <w:r w:rsidRPr="0081146C">
        <w:tab/>
        <w:t>a member of the staff of AUSTRAC; or</w:t>
      </w:r>
    </w:p>
    <w:p w14:paraId="1A7A524E" w14:textId="77777777" w:rsidR="00DE1AB0" w:rsidRPr="0081146C" w:rsidRDefault="00DE1AB0" w:rsidP="00DE1AB0">
      <w:pPr>
        <w:pStyle w:val="paragraph"/>
      </w:pPr>
      <w:r w:rsidRPr="0081146C">
        <w:tab/>
        <w:t>(c)</w:t>
      </w:r>
      <w:r w:rsidRPr="0081146C">
        <w:tab/>
        <w:t>a person engaged as a consultant under subsection 225(1); or</w:t>
      </w:r>
    </w:p>
    <w:p w14:paraId="61B4427D" w14:textId="77777777" w:rsidR="00DE1AB0" w:rsidRPr="0081146C" w:rsidRDefault="00DE1AB0" w:rsidP="00DE1AB0">
      <w:pPr>
        <w:pStyle w:val="paragraph"/>
      </w:pPr>
      <w:r w:rsidRPr="0081146C">
        <w:tab/>
        <w:t>(d)</w:t>
      </w:r>
      <w:r w:rsidRPr="0081146C">
        <w:tab/>
        <w:t>a person whose services are made available to the AUSTRAC CEO under subsection 225(3); or</w:t>
      </w:r>
    </w:p>
    <w:p w14:paraId="5B67B28A" w14:textId="77777777" w:rsidR="00DE1AB0" w:rsidRPr="0081146C" w:rsidRDefault="00DE1AB0" w:rsidP="00DE1AB0">
      <w:pPr>
        <w:pStyle w:val="paragraph"/>
      </w:pPr>
      <w:r w:rsidRPr="0081146C">
        <w:tab/>
        <w:t>(e)</w:t>
      </w:r>
      <w:r w:rsidRPr="0081146C">
        <w:tab/>
        <w:t>a member of a task force established by the AUSTRAC CEO under paragraph 212(1)(db); or</w:t>
      </w:r>
    </w:p>
    <w:p w14:paraId="34393F03" w14:textId="77777777" w:rsidR="00DE1AB0" w:rsidRPr="0081146C" w:rsidRDefault="00DE1AB0" w:rsidP="00DE1AB0">
      <w:pPr>
        <w:pStyle w:val="paragraph"/>
      </w:pPr>
      <w:r w:rsidRPr="0081146C">
        <w:tab/>
        <w:t>(f)</w:t>
      </w:r>
      <w:r w:rsidRPr="0081146C">
        <w:tab/>
        <w:t>the Director of AUSTRAC; or</w:t>
      </w:r>
    </w:p>
    <w:p w14:paraId="133318A1" w14:textId="5A82E1AE" w:rsidR="00DE1AB0" w:rsidRPr="0081146C" w:rsidRDefault="00DE1AB0" w:rsidP="00DE1AB0">
      <w:pPr>
        <w:pStyle w:val="paragraph"/>
      </w:pPr>
      <w:r w:rsidRPr="0081146C">
        <w:tab/>
        <w:t>(g)</w:t>
      </w:r>
      <w:r w:rsidRPr="0081146C">
        <w:tab/>
        <w:t xml:space="preserve">a person engaged as a consultant under </w:t>
      </w:r>
      <w:r w:rsidR="00064C94" w:rsidRPr="0081146C">
        <w:t>section 40A of the repealed</w:t>
      </w:r>
      <w:r w:rsidRPr="0081146C">
        <w:t xml:space="preserve"> </w:t>
      </w:r>
      <w:r w:rsidRPr="0081146C">
        <w:rPr>
          <w:i/>
        </w:rPr>
        <w:t>Financial Transaction Reports Act 1988</w:t>
      </w:r>
      <w:r w:rsidRPr="0081146C">
        <w:t>.</w:t>
      </w:r>
    </w:p>
    <w:p w14:paraId="2A44975B" w14:textId="684E6301" w:rsidR="00DE1AB0" w:rsidRPr="0081146C" w:rsidRDefault="00DE1AB0" w:rsidP="00DE1AB0">
      <w:pPr>
        <w:pStyle w:val="notetext"/>
      </w:pPr>
      <w:r w:rsidRPr="0081146C">
        <w:t>Note:</w:t>
      </w:r>
      <w:r w:rsidRPr="0081146C">
        <w:tab/>
        <w:t xml:space="preserve">The former office of Director of AUSTRAC was established under the </w:t>
      </w:r>
      <w:r w:rsidR="00064C94" w:rsidRPr="0081146C">
        <w:t>repealed</w:t>
      </w:r>
      <w:r w:rsidR="00064C94" w:rsidRPr="0081146C">
        <w:rPr>
          <w:i/>
        </w:rPr>
        <w:t xml:space="preserve"> </w:t>
      </w:r>
      <w:r w:rsidRPr="0081146C">
        <w:rPr>
          <w:i/>
        </w:rPr>
        <w:t>Financial Transaction Reports Act 1988</w:t>
      </w:r>
      <w:r w:rsidRPr="0081146C">
        <w:t>.</w:t>
      </w:r>
    </w:p>
    <w:p w14:paraId="246F40BF" w14:textId="77777777" w:rsidR="00DE1AB0" w:rsidRPr="0081146C" w:rsidRDefault="00DE1AB0" w:rsidP="00DE1AB0">
      <w:pPr>
        <w:pStyle w:val="Definition"/>
      </w:pPr>
      <w:bookmarkStart w:id="9" w:name="_Hlk75780477"/>
      <w:r w:rsidRPr="0081146C">
        <w:rPr>
          <w:b/>
          <w:i/>
        </w:rPr>
        <w:t xml:space="preserve">AUSTRAC information </w:t>
      </w:r>
      <w:r w:rsidRPr="0081146C">
        <w:t>means the following:</w:t>
      </w:r>
    </w:p>
    <w:p w14:paraId="5B13AC30" w14:textId="77777777" w:rsidR="00DE1AB0" w:rsidRPr="0081146C" w:rsidRDefault="00DE1AB0" w:rsidP="00DE1AB0">
      <w:pPr>
        <w:pStyle w:val="paragraph"/>
      </w:pPr>
      <w:r w:rsidRPr="0081146C">
        <w:tab/>
        <w:t>(a)</w:t>
      </w:r>
      <w:r w:rsidRPr="0081146C">
        <w:tab/>
        <w:t>information obtained by, or generated by, an AUSTRAC entrusted person under or for the purposes of this Act;</w:t>
      </w:r>
    </w:p>
    <w:p w14:paraId="1CC18E3F" w14:textId="77777777" w:rsidR="00DE1AB0" w:rsidRPr="0081146C" w:rsidRDefault="00DE1AB0" w:rsidP="00DE1AB0">
      <w:pPr>
        <w:pStyle w:val="paragraph"/>
      </w:pPr>
      <w:r w:rsidRPr="0081146C">
        <w:tab/>
        <w:t>(b)</w:t>
      </w:r>
      <w:r w:rsidRPr="0081146C">
        <w:tab/>
        <w:t>information obtained by an AUSTRAC entrusted person under or for the purposes of any other law of the Commonwealth or a law of a State or a Territory;</w:t>
      </w:r>
    </w:p>
    <w:p w14:paraId="487AD470" w14:textId="77777777" w:rsidR="00DE1AB0" w:rsidRPr="0081146C" w:rsidRDefault="00DE1AB0" w:rsidP="00DE1AB0">
      <w:pPr>
        <w:pStyle w:val="paragraph"/>
      </w:pPr>
      <w:r w:rsidRPr="0081146C">
        <w:tab/>
        <w:t>(c)</w:t>
      </w:r>
      <w:r w:rsidRPr="0081146C">
        <w:tab/>
        <w:t>information obtained by an AUSTRAC entrusted person from a government body;</w:t>
      </w:r>
    </w:p>
    <w:p w14:paraId="2B34A674" w14:textId="2A1E96A4" w:rsidR="00DE1AB0" w:rsidRPr="0081146C" w:rsidRDefault="00DE1AB0" w:rsidP="00DE1AB0">
      <w:pPr>
        <w:pStyle w:val="paragraph"/>
      </w:pPr>
      <w:r w:rsidRPr="0081146C">
        <w:tab/>
        <w:t>(d)</w:t>
      </w:r>
      <w:r w:rsidRPr="0081146C">
        <w:tab/>
        <w:t xml:space="preserve">FTR information (within the meaning of the </w:t>
      </w:r>
      <w:r w:rsidRPr="0081146C">
        <w:rPr>
          <w:i/>
        </w:rPr>
        <w:t>Financial Transaction Reports Act 1988</w:t>
      </w:r>
      <w:r w:rsidR="00064C94" w:rsidRPr="0081146C">
        <w:t>, as in force immediately before its repeal</w:t>
      </w:r>
      <w:r w:rsidRPr="0081146C">
        <w:t>).</w:t>
      </w:r>
    </w:p>
    <w:bookmarkEnd w:id="9"/>
    <w:p w14:paraId="1DE27AD9" w14:textId="77777777" w:rsidR="00035544" w:rsidRPr="0081146C" w:rsidRDefault="00035544" w:rsidP="00035544">
      <w:pPr>
        <w:pStyle w:val="Definition"/>
      </w:pPr>
      <w:r w:rsidRPr="0081146C">
        <w:rPr>
          <w:b/>
          <w:i/>
        </w:rPr>
        <w:t>Australia</w:t>
      </w:r>
      <w:r w:rsidRPr="0081146C">
        <w:t>, when used in a geographical sense, includes the external Territories.</w:t>
      </w:r>
    </w:p>
    <w:p w14:paraId="148F8DFB" w14:textId="77777777" w:rsidR="00035544" w:rsidRPr="0081146C" w:rsidRDefault="00035544" w:rsidP="00035544">
      <w:pPr>
        <w:pStyle w:val="Definition"/>
      </w:pPr>
      <w:r w:rsidRPr="0081146C">
        <w:rPr>
          <w:b/>
          <w:i/>
        </w:rPr>
        <w:t>Australian account</w:t>
      </w:r>
      <w:r w:rsidRPr="0081146C">
        <w:t xml:space="preserve"> means an account held in Australia.</w:t>
      </w:r>
    </w:p>
    <w:p w14:paraId="15267F57" w14:textId="77777777" w:rsidR="00064C94" w:rsidRPr="0081146C" w:rsidRDefault="00064C94" w:rsidP="00064C94">
      <w:pPr>
        <w:pStyle w:val="Definition"/>
      </w:pPr>
      <w:r w:rsidRPr="0081146C">
        <w:rPr>
          <w:b/>
          <w:i/>
        </w:rPr>
        <w:t>Australian Border Force</w:t>
      </w:r>
      <w:r w:rsidRPr="0081146C">
        <w:t xml:space="preserve"> has the same meaning as in the </w:t>
      </w:r>
      <w:r w:rsidRPr="0081146C">
        <w:rPr>
          <w:i/>
        </w:rPr>
        <w:t>Australian Border Force Act 2015</w:t>
      </w:r>
      <w:r w:rsidRPr="0081146C">
        <w:t>.</w:t>
      </w:r>
    </w:p>
    <w:p w14:paraId="6246A408" w14:textId="77777777" w:rsidR="006C208D" w:rsidRPr="0081146C" w:rsidRDefault="006C208D" w:rsidP="006C208D">
      <w:pPr>
        <w:pStyle w:val="Definition"/>
      </w:pPr>
      <w:r w:rsidRPr="0081146C">
        <w:rPr>
          <w:b/>
          <w:i/>
        </w:rPr>
        <w:t>Australian carbon credit unit</w:t>
      </w:r>
      <w:r w:rsidRPr="0081146C">
        <w:t xml:space="preserve"> has the same meaning as in the </w:t>
      </w:r>
      <w:r w:rsidRPr="0081146C">
        <w:rPr>
          <w:i/>
        </w:rPr>
        <w:t>Carbon Credits (Carbon Farming Initiative) Act 2011</w:t>
      </w:r>
      <w:r w:rsidRPr="0081146C">
        <w:t>.</w:t>
      </w:r>
    </w:p>
    <w:p w14:paraId="4B0FBC8B" w14:textId="77777777" w:rsidR="00035544" w:rsidRPr="0081146C" w:rsidRDefault="00035544" w:rsidP="00035544">
      <w:pPr>
        <w:pStyle w:val="Definition"/>
      </w:pPr>
      <w:r w:rsidRPr="0081146C">
        <w:rPr>
          <w:b/>
          <w:i/>
        </w:rPr>
        <w:t>Australian financial services licence</w:t>
      </w:r>
      <w:r w:rsidRPr="0081146C">
        <w:t xml:space="preserve"> has the same meaning as in the </w:t>
      </w:r>
      <w:r w:rsidRPr="0081146C">
        <w:rPr>
          <w:i/>
        </w:rPr>
        <w:t>Corporations Act 2001</w:t>
      </w:r>
      <w:r w:rsidRPr="0081146C">
        <w:t>.</w:t>
      </w:r>
    </w:p>
    <w:p w14:paraId="35C10114" w14:textId="77777777" w:rsidR="00035544" w:rsidRPr="0081146C" w:rsidRDefault="00035544" w:rsidP="00035544">
      <w:pPr>
        <w:pStyle w:val="Definition"/>
      </w:pPr>
      <w:r w:rsidRPr="0081146C">
        <w:rPr>
          <w:b/>
          <w:i/>
        </w:rPr>
        <w:t>Australian government body</w:t>
      </w:r>
      <w:r w:rsidRPr="0081146C">
        <w:t xml:space="preserve"> means:</w:t>
      </w:r>
    </w:p>
    <w:p w14:paraId="48533B46" w14:textId="77777777" w:rsidR="00035544" w:rsidRPr="0081146C" w:rsidRDefault="00035544" w:rsidP="00035544">
      <w:pPr>
        <w:pStyle w:val="paragraph"/>
      </w:pPr>
      <w:r w:rsidRPr="0081146C">
        <w:tab/>
        <w:t>(a)</w:t>
      </w:r>
      <w:r w:rsidRPr="0081146C">
        <w:tab/>
        <w:t>the Commonwealth, a State or a Territory; or</w:t>
      </w:r>
    </w:p>
    <w:p w14:paraId="3C15D28F" w14:textId="77777777" w:rsidR="00035544" w:rsidRPr="0081146C" w:rsidRDefault="00035544" w:rsidP="00035544">
      <w:pPr>
        <w:pStyle w:val="paragraph"/>
      </w:pPr>
      <w:r w:rsidRPr="0081146C">
        <w:tab/>
        <w:t>(b)</w:t>
      </w:r>
      <w:r w:rsidRPr="0081146C">
        <w:tab/>
        <w:t>an agency or authority of:</w:t>
      </w:r>
    </w:p>
    <w:p w14:paraId="2C3B8188" w14:textId="77777777" w:rsidR="00035544" w:rsidRPr="0081146C" w:rsidRDefault="00035544" w:rsidP="00035544">
      <w:pPr>
        <w:pStyle w:val="paragraphsub"/>
      </w:pPr>
      <w:r w:rsidRPr="0081146C">
        <w:tab/>
        <w:t>(i)</w:t>
      </w:r>
      <w:r w:rsidRPr="0081146C">
        <w:tab/>
        <w:t>the Commonwealth; or</w:t>
      </w:r>
    </w:p>
    <w:p w14:paraId="01E5001F" w14:textId="77777777" w:rsidR="00035544" w:rsidRPr="0081146C" w:rsidRDefault="00035544" w:rsidP="00035544">
      <w:pPr>
        <w:pStyle w:val="paragraphsub"/>
      </w:pPr>
      <w:r w:rsidRPr="0081146C">
        <w:tab/>
        <w:t>(ii)</w:t>
      </w:r>
      <w:r w:rsidRPr="0081146C">
        <w:tab/>
        <w:t>a State; or</w:t>
      </w:r>
    </w:p>
    <w:p w14:paraId="49426434" w14:textId="77777777" w:rsidR="00035544" w:rsidRPr="0081146C" w:rsidRDefault="00035544" w:rsidP="00035544">
      <w:pPr>
        <w:pStyle w:val="paragraphsub"/>
      </w:pPr>
      <w:r w:rsidRPr="0081146C">
        <w:tab/>
        <w:t>(iii)</w:t>
      </w:r>
      <w:r w:rsidRPr="0081146C">
        <w:tab/>
        <w:t>a Territory.</w:t>
      </w:r>
    </w:p>
    <w:p w14:paraId="130AE88D" w14:textId="77777777" w:rsidR="00035544" w:rsidRPr="0081146C" w:rsidRDefault="00035544" w:rsidP="00F577D4">
      <w:pPr>
        <w:pStyle w:val="Definition"/>
        <w:keepNext/>
      </w:pPr>
      <w:r w:rsidRPr="0081146C">
        <w:rPr>
          <w:b/>
          <w:i/>
        </w:rPr>
        <w:t>authorised officer</w:t>
      </w:r>
      <w:r w:rsidRPr="0081146C">
        <w:t xml:space="preserve"> means:</w:t>
      </w:r>
    </w:p>
    <w:p w14:paraId="2488228B" w14:textId="77777777" w:rsidR="00035544" w:rsidRPr="0081146C" w:rsidRDefault="00035544" w:rsidP="00035544">
      <w:pPr>
        <w:pStyle w:val="paragraph"/>
      </w:pPr>
      <w:r w:rsidRPr="0081146C">
        <w:tab/>
        <w:t>(a)</w:t>
      </w:r>
      <w:r w:rsidRPr="0081146C">
        <w:tab/>
        <w:t>the AUSTRAC CEO; or</w:t>
      </w:r>
    </w:p>
    <w:p w14:paraId="15A2069D" w14:textId="77777777" w:rsidR="00035544" w:rsidRPr="0081146C" w:rsidRDefault="00035544" w:rsidP="00035544">
      <w:pPr>
        <w:pStyle w:val="paragraph"/>
      </w:pPr>
      <w:r w:rsidRPr="0081146C">
        <w:tab/>
        <w:t>(b)</w:t>
      </w:r>
      <w:r w:rsidRPr="0081146C">
        <w:tab/>
        <w:t xml:space="preserve">a person for whom an appointment as an authorised officer is in force under </w:t>
      </w:r>
      <w:r w:rsidR="003B7E15" w:rsidRPr="0081146C">
        <w:t>section 1</w:t>
      </w:r>
      <w:r w:rsidRPr="0081146C">
        <w:t>45.</w:t>
      </w:r>
    </w:p>
    <w:p w14:paraId="28445D80" w14:textId="77777777" w:rsidR="00035544" w:rsidRPr="0081146C" w:rsidRDefault="00035544" w:rsidP="00035544">
      <w:pPr>
        <w:pStyle w:val="Definition"/>
      </w:pPr>
      <w:r w:rsidRPr="0081146C">
        <w:rPr>
          <w:b/>
          <w:i/>
        </w:rPr>
        <w:t>bearer negotiable instrument</w:t>
      </w:r>
      <w:r w:rsidRPr="0081146C">
        <w:t xml:space="preserve"> has the meaning given by </w:t>
      </w:r>
      <w:r w:rsidR="003B7E15" w:rsidRPr="0081146C">
        <w:t>section 1</w:t>
      </w:r>
      <w:r w:rsidRPr="0081146C">
        <w:t>7.</w:t>
      </w:r>
    </w:p>
    <w:p w14:paraId="4AEBA9D3" w14:textId="77777777" w:rsidR="009B278E" w:rsidRPr="0081146C" w:rsidRDefault="009B278E" w:rsidP="009B278E">
      <w:pPr>
        <w:pStyle w:val="Definition"/>
      </w:pPr>
      <w:r w:rsidRPr="0081146C">
        <w:rPr>
          <w:b/>
          <w:bCs/>
          <w:i/>
          <w:iCs/>
        </w:rPr>
        <w:t>beneficial owner</w:t>
      </w:r>
      <w:r w:rsidRPr="0081146C">
        <w:t xml:space="preserve"> of a person (other than an individual) means an individual who:</w:t>
      </w:r>
    </w:p>
    <w:p w14:paraId="4DDED061" w14:textId="77777777" w:rsidR="009B278E" w:rsidRPr="0081146C" w:rsidRDefault="009B278E" w:rsidP="009B278E">
      <w:pPr>
        <w:pStyle w:val="paragraph"/>
      </w:pPr>
      <w:r w:rsidRPr="0081146C">
        <w:tab/>
        <w:t>(a)</w:t>
      </w:r>
      <w:r w:rsidRPr="0081146C">
        <w:tab/>
        <w:t>ultimately owns (either directly or indirectly) 25% or more of the person; or</w:t>
      </w:r>
    </w:p>
    <w:p w14:paraId="77ECF313" w14:textId="77777777" w:rsidR="009B278E" w:rsidRPr="0081146C" w:rsidRDefault="009B278E" w:rsidP="009B278E">
      <w:pPr>
        <w:pStyle w:val="paragraph"/>
      </w:pPr>
      <w:r w:rsidRPr="0081146C">
        <w:tab/>
        <w:t>(b)</w:t>
      </w:r>
      <w:r w:rsidRPr="0081146C">
        <w:tab/>
        <w:t>controls (directly or indirectly) the person.</w:t>
      </w:r>
    </w:p>
    <w:p w14:paraId="62132620" w14:textId="77777777" w:rsidR="007330A4" w:rsidRPr="0081146C" w:rsidRDefault="007330A4" w:rsidP="007330A4">
      <w:pPr>
        <w:pStyle w:val="Definition"/>
      </w:pPr>
      <w:r w:rsidRPr="0081146C">
        <w:rPr>
          <w:b/>
          <w:i/>
        </w:rPr>
        <w:t>beneficiary institution</w:t>
      </w:r>
      <w:r w:rsidRPr="0081146C">
        <w:t>: see subsections 63A(5) to (8).</w:t>
      </w:r>
    </w:p>
    <w:p w14:paraId="34F05C08" w14:textId="77777777" w:rsidR="00035544" w:rsidRPr="0081146C" w:rsidRDefault="00035544" w:rsidP="00035544">
      <w:pPr>
        <w:pStyle w:val="Definition"/>
        <w:ind w:left="414" w:firstLine="720"/>
      </w:pPr>
      <w:r w:rsidRPr="0081146C">
        <w:rPr>
          <w:b/>
          <w:i/>
        </w:rPr>
        <w:t>bet</w:t>
      </w:r>
      <w:r w:rsidRPr="0081146C">
        <w:t xml:space="preserve"> includes wager.</w:t>
      </w:r>
    </w:p>
    <w:p w14:paraId="04076891" w14:textId="77777777" w:rsidR="0049002F" w:rsidRPr="0081146C" w:rsidRDefault="0049002F" w:rsidP="0049002F">
      <w:pPr>
        <w:pStyle w:val="Definition"/>
      </w:pPr>
      <w:r w:rsidRPr="0081146C">
        <w:rPr>
          <w:b/>
          <w:i/>
        </w:rPr>
        <w:t>betting instrument</w:t>
      </w:r>
      <w:r w:rsidRPr="0081146C">
        <w:t xml:space="preserve"> means a thing (whether real or virtual):</w:t>
      </w:r>
    </w:p>
    <w:p w14:paraId="2B4324FF" w14:textId="6A27E6A7" w:rsidR="0049002F" w:rsidRPr="0081146C" w:rsidRDefault="0049002F" w:rsidP="0049002F">
      <w:pPr>
        <w:pStyle w:val="paragraph"/>
      </w:pPr>
      <w:r w:rsidRPr="0081146C">
        <w:tab/>
        <w:t>(a)</w:t>
      </w:r>
      <w:r w:rsidRPr="0081146C">
        <w:tab/>
        <w:t xml:space="preserve">that represents monetary value or </w:t>
      </w:r>
      <w:bookmarkStart w:id="10" w:name="_Hlk172194331"/>
      <w:r w:rsidR="00483036" w:rsidRPr="0081146C">
        <w:t>virtual asset</w:t>
      </w:r>
      <w:bookmarkEnd w:id="10"/>
      <w:r w:rsidRPr="0081146C">
        <w:t xml:space="preserve"> value; and</w:t>
      </w:r>
    </w:p>
    <w:p w14:paraId="49EF0575" w14:textId="77777777" w:rsidR="0049002F" w:rsidRPr="0081146C" w:rsidRDefault="0049002F" w:rsidP="0049002F">
      <w:pPr>
        <w:pStyle w:val="paragraph"/>
      </w:pPr>
      <w:r w:rsidRPr="0081146C">
        <w:tab/>
        <w:t>(b)</w:t>
      </w:r>
      <w:r w:rsidRPr="0081146C">
        <w:tab/>
        <w:t>that is designed to be used for the purpose of, or for purposes which include:</w:t>
      </w:r>
    </w:p>
    <w:p w14:paraId="71B12388" w14:textId="77777777" w:rsidR="0049002F" w:rsidRPr="0081146C" w:rsidRDefault="0049002F" w:rsidP="0049002F">
      <w:pPr>
        <w:pStyle w:val="paragraphsub"/>
      </w:pPr>
      <w:r w:rsidRPr="0081146C">
        <w:tab/>
        <w:t>(i)</w:t>
      </w:r>
      <w:r w:rsidRPr="0081146C">
        <w:tab/>
        <w:t>placing or making a bet; or</w:t>
      </w:r>
    </w:p>
    <w:p w14:paraId="33AD03EE" w14:textId="77777777" w:rsidR="0049002F" w:rsidRPr="0081146C" w:rsidRDefault="0049002F" w:rsidP="0049002F">
      <w:pPr>
        <w:pStyle w:val="paragraphsub"/>
      </w:pPr>
      <w:r w:rsidRPr="0081146C">
        <w:tab/>
        <w:t>(ii)</w:t>
      </w:r>
      <w:r w:rsidRPr="0081146C">
        <w:tab/>
        <w:t>paying out winnings in respect of a bet;</w:t>
      </w:r>
    </w:p>
    <w:p w14:paraId="0F7C8E1E" w14:textId="77777777" w:rsidR="0049002F" w:rsidRPr="0081146C" w:rsidRDefault="0049002F" w:rsidP="0049002F">
      <w:pPr>
        <w:pStyle w:val="subsection2"/>
      </w:pPr>
      <w:r w:rsidRPr="0081146C">
        <w:t>but does not include:</w:t>
      </w:r>
    </w:p>
    <w:p w14:paraId="3864C168" w14:textId="77777777" w:rsidR="0049002F" w:rsidRPr="0081146C" w:rsidRDefault="0049002F" w:rsidP="0049002F">
      <w:pPr>
        <w:pStyle w:val="paragraph"/>
      </w:pPr>
      <w:r w:rsidRPr="0081146C">
        <w:tab/>
        <w:t>(c)</w:t>
      </w:r>
      <w:r w:rsidRPr="0081146C">
        <w:tab/>
        <w:t>a gaming chip or token; or</w:t>
      </w:r>
    </w:p>
    <w:p w14:paraId="0C5C8894" w14:textId="77777777" w:rsidR="0049002F" w:rsidRPr="0081146C" w:rsidRDefault="0049002F" w:rsidP="0049002F">
      <w:pPr>
        <w:pStyle w:val="paragraph"/>
      </w:pPr>
      <w:r w:rsidRPr="0081146C">
        <w:tab/>
        <w:t>(d)</w:t>
      </w:r>
      <w:r w:rsidRPr="0081146C">
        <w:tab/>
        <w:t>a thing that, under the AML/CTF Rules, is taken not to be a betting instrument.</w:t>
      </w:r>
    </w:p>
    <w:p w14:paraId="54F0486B" w14:textId="77777777" w:rsidR="00035544" w:rsidRPr="0081146C" w:rsidRDefault="00035544" w:rsidP="00035544">
      <w:pPr>
        <w:pStyle w:val="Definition"/>
      </w:pPr>
      <w:r w:rsidRPr="0081146C">
        <w:rPr>
          <w:b/>
          <w:i/>
        </w:rPr>
        <w:t>bill of exchange</w:t>
      </w:r>
      <w:r w:rsidRPr="0081146C">
        <w:t xml:space="preserve"> has the same meaning as in paragraph</w:t>
      </w:r>
      <w:r w:rsidR="004F64A4" w:rsidRPr="0081146C">
        <w:t> </w:t>
      </w:r>
      <w:r w:rsidRPr="0081146C">
        <w:t>51(xvi) of the Constitution, but does not include a cheque unless the cheque is a cheque that an ADI, bank or other institution draws on itself.</w:t>
      </w:r>
    </w:p>
    <w:p w14:paraId="2117029F" w14:textId="77777777" w:rsidR="00035544" w:rsidRPr="0081146C" w:rsidRDefault="00035544" w:rsidP="00035544">
      <w:pPr>
        <w:pStyle w:val="Definition"/>
      </w:pPr>
      <w:r w:rsidRPr="0081146C">
        <w:rPr>
          <w:b/>
          <w:i/>
        </w:rPr>
        <w:t>borrow</w:t>
      </w:r>
      <w:r w:rsidRPr="0081146C">
        <w:t xml:space="preserve"> has a meaning corresponding to </w:t>
      </w:r>
      <w:r w:rsidRPr="0081146C">
        <w:rPr>
          <w:b/>
          <w:i/>
        </w:rPr>
        <w:t>loan</w:t>
      </w:r>
      <w:r w:rsidRPr="0081146C">
        <w:t>.</w:t>
      </w:r>
    </w:p>
    <w:p w14:paraId="0ACC47C3" w14:textId="77777777" w:rsidR="00035544" w:rsidRPr="0081146C" w:rsidRDefault="00035544" w:rsidP="00035544">
      <w:pPr>
        <w:pStyle w:val="Definition"/>
      </w:pPr>
      <w:r w:rsidRPr="0081146C">
        <w:rPr>
          <w:b/>
          <w:i/>
        </w:rPr>
        <w:t>building society</w:t>
      </w:r>
      <w:r w:rsidRPr="0081146C">
        <w:t xml:space="preserve"> includes a society registered or incorporated as a co</w:t>
      </w:r>
      <w:r w:rsidR="003B7E15" w:rsidRPr="0081146C">
        <w:noBreakHyphen/>
      </w:r>
      <w:r w:rsidRPr="0081146C">
        <w:t>operative housing society or similar society under:</w:t>
      </w:r>
    </w:p>
    <w:p w14:paraId="59E9A794" w14:textId="77777777" w:rsidR="00035544" w:rsidRPr="0081146C" w:rsidRDefault="00035544" w:rsidP="00035544">
      <w:pPr>
        <w:pStyle w:val="paragraph"/>
      </w:pPr>
      <w:r w:rsidRPr="0081146C">
        <w:tab/>
        <w:t>(a)</w:t>
      </w:r>
      <w:r w:rsidRPr="0081146C">
        <w:tab/>
        <w:t>a law of a State or Territory; or</w:t>
      </w:r>
    </w:p>
    <w:p w14:paraId="73CECB41" w14:textId="77777777" w:rsidR="00035544" w:rsidRPr="0081146C" w:rsidRDefault="00035544" w:rsidP="00035544">
      <w:pPr>
        <w:pStyle w:val="paragraph"/>
      </w:pPr>
      <w:r w:rsidRPr="0081146C">
        <w:tab/>
        <w:t>(b)</w:t>
      </w:r>
      <w:r w:rsidRPr="0081146C">
        <w:tab/>
        <w:t>a law of a foreign country or a part of a foreign country.</w:t>
      </w:r>
    </w:p>
    <w:p w14:paraId="21C6D737" w14:textId="77777777" w:rsidR="00393E03" w:rsidRPr="0081146C" w:rsidRDefault="00393E03" w:rsidP="00393E03">
      <w:pPr>
        <w:pStyle w:val="Definition"/>
      </w:pPr>
      <w:r w:rsidRPr="0081146C">
        <w:rPr>
          <w:b/>
          <w:i/>
        </w:rPr>
        <w:t>bullion</w:t>
      </w:r>
      <w:r w:rsidRPr="0081146C">
        <w:t xml:space="preserve"> means gold, silver, platinum or palladium that:</w:t>
      </w:r>
    </w:p>
    <w:p w14:paraId="643B2854" w14:textId="77777777" w:rsidR="00393E03" w:rsidRPr="0081146C" w:rsidRDefault="00393E03" w:rsidP="00393E03">
      <w:pPr>
        <w:pStyle w:val="paragraph"/>
      </w:pPr>
      <w:r w:rsidRPr="0081146C">
        <w:tab/>
        <w:t>(a)</w:t>
      </w:r>
      <w:r w:rsidRPr="0081146C">
        <w:tab/>
        <w:t>is in the form of a bar, coin, ingot, plate, wafer or like form of mass; and</w:t>
      </w:r>
    </w:p>
    <w:p w14:paraId="4C870611" w14:textId="77777777" w:rsidR="00393E03" w:rsidRPr="0081146C" w:rsidRDefault="00393E03" w:rsidP="00393E03">
      <w:pPr>
        <w:pStyle w:val="paragraph"/>
      </w:pPr>
      <w:r w:rsidRPr="0081146C">
        <w:tab/>
        <w:t>(b)</w:t>
      </w:r>
      <w:r w:rsidRPr="0081146C">
        <w:tab/>
        <w:t>bears a mark or characteristic generally accepted as identifying and guaranteeing the fineness and quality of the gold, silver, platinum or palladium; and</w:t>
      </w:r>
    </w:p>
    <w:p w14:paraId="73009510" w14:textId="77777777" w:rsidR="00393E03" w:rsidRPr="0081146C" w:rsidRDefault="00393E03" w:rsidP="00393E03">
      <w:pPr>
        <w:pStyle w:val="paragraph"/>
      </w:pPr>
      <w:r w:rsidRPr="0081146C">
        <w:tab/>
        <w:t>(c)</w:t>
      </w:r>
      <w:r w:rsidRPr="0081146C">
        <w:tab/>
        <w:t>is usually traded at a price that is determined by reference to the spot price of the gold, silver, platinum or palladium.</w:t>
      </w:r>
    </w:p>
    <w:p w14:paraId="5E1E4DAD" w14:textId="77777777" w:rsidR="00035544" w:rsidRPr="0081146C" w:rsidRDefault="00035544" w:rsidP="00035544">
      <w:pPr>
        <w:pStyle w:val="Definition"/>
      </w:pPr>
      <w:r w:rsidRPr="0081146C">
        <w:rPr>
          <w:b/>
          <w:i/>
        </w:rPr>
        <w:t>business</w:t>
      </w:r>
      <w:r w:rsidRPr="0081146C">
        <w:t xml:space="preserve"> includes a venture or concern in trade or commerce, whether or not conducted on a regular, repetitive or continuous basis.</w:t>
      </w:r>
    </w:p>
    <w:p w14:paraId="4B96C335" w14:textId="77777777" w:rsidR="00035544" w:rsidRPr="0081146C" w:rsidRDefault="00035544" w:rsidP="00035544">
      <w:pPr>
        <w:pStyle w:val="Definition"/>
      </w:pPr>
      <w:r w:rsidRPr="0081146C">
        <w:rPr>
          <w:b/>
          <w:i/>
        </w:rPr>
        <w:t>business day</w:t>
      </w:r>
      <w:r w:rsidRPr="0081146C">
        <w:t xml:space="preserve"> means a day other than a Saturday, a Sunday or a public or bank holiday in the place concerned.</w:t>
      </w:r>
    </w:p>
    <w:p w14:paraId="64AE5195" w14:textId="77777777" w:rsidR="000C2386" w:rsidRPr="0081146C" w:rsidRDefault="000C2386" w:rsidP="000C2386">
      <w:pPr>
        <w:pStyle w:val="Definition"/>
      </w:pPr>
      <w:r w:rsidRPr="0081146C">
        <w:rPr>
          <w:b/>
          <w:i/>
        </w:rPr>
        <w:t>business group</w:t>
      </w:r>
      <w:r w:rsidRPr="0081146C">
        <w:t>: see subsection 10A(3).</w:t>
      </w:r>
    </w:p>
    <w:p w14:paraId="4D6A61BA" w14:textId="77777777" w:rsidR="009B278E" w:rsidRPr="0081146C" w:rsidRDefault="009B278E" w:rsidP="009B278E">
      <w:pPr>
        <w:pStyle w:val="Definition"/>
      </w:pPr>
      <w:r w:rsidRPr="0081146C">
        <w:rPr>
          <w:b/>
          <w:i/>
        </w:rPr>
        <w:t>business relationship</w:t>
      </w:r>
      <w:r w:rsidRPr="0081146C">
        <w:t xml:space="preserve"> means a relationship between a reporting entity and a customer involving the provision of a designated service or designated services that has, or could reasonably be expected to have, an element of duration.</w:t>
      </w:r>
    </w:p>
    <w:p w14:paraId="43A9B61B" w14:textId="77777777" w:rsidR="00483036" w:rsidRPr="0081146C" w:rsidRDefault="00483036" w:rsidP="00483036">
      <w:pPr>
        <w:pStyle w:val="Definition"/>
      </w:pPr>
      <w:bookmarkStart w:id="11" w:name="_Hlk175235980"/>
      <w:r w:rsidRPr="0081146C">
        <w:rPr>
          <w:b/>
          <w:i/>
        </w:rPr>
        <w:t>casino</w:t>
      </w:r>
      <w:r w:rsidRPr="0081146C">
        <w:t xml:space="preserve"> means a casino operating under a licence granted under a law of a State or a Territory.</w:t>
      </w:r>
    </w:p>
    <w:bookmarkEnd w:id="11"/>
    <w:p w14:paraId="379EF197" w14:textId="77777777" w:rsidR="009B278E" w:rsidRPr="0081146C" w:rsidRDefault="009B278E" w:rsidP="009B278E">
      <w:pPr>
        <w:pStyle w:val="Definition"/>
      </w:pPr>
      <w:r w:rsidRPr="0081146C">
        <w:rPr>
          <w:b/>
          <w:i/>
        </w:rPr>
        <w:t>child</w:t>
      </w:r>
      <w:r w:rsidRPr="0081146C">
        <w:t>:</w:t>
      </w:r>
      <w:r w:rsidRPr="0081146C">
        <w:rPr>
          <w:b/>
          <w:i/>
        </w:rPr>
        <w:t xml:space="preserve"> </w:t>
      </w:r>
      <w:r w:rsidRPr="0081146C">
        <w:t xml:space="preserve">without limiting who is a child of another person for the purposes of this Act, each of the following is the </w:t>
      </w:r>
      <w:r w:rsidRPr="0081146C">
        <w:rPr>
          <w:b/>
          <w:i/>
        </w:rPr>
        <w:t>child</w:t>
      </w:r>
      <w:r w:rsidRPr="0081146C">
        <w:t xml:space="preserve"> of a person:</w:t>
      </w:r>
    </w:p>
    <w:p w14:paraId="67A6FF27" w14:textId="77777777" w:rsidR="009B278E" w:rsidRPr="0081146C" w:rsidRDefault="009B278E" w:rsidP="009B278E">
      <w:pPr>
        <w:pStyle w:val="paragraph"/>
      </w:pPr>
      <w:r w:rsidRPr="0081146C">
        <w:tab/>
        <w:t>(a)</w:t>
      </w:r>
      <w:r w:rsidRPr="0081146C">
        <w:tab/>
        <w:t>a stepchild or an adopted child of the person;</w:t>
      </w:r>
    </w:p>
    <w:p w14:paraId="0C975815" w14:textId="77777777" w:rsidR="009B278E" w:rsidRPr="0081146C" w:rsidRDefault="009B278E" w:rsidP="009B278E">
      <w:pPr>
        <w:pStyle w:val="paragraph"/>
      </w:pPr>
      <w:r w:rsidRPr="0081146C">
        <w:tab/>
        <w:t>(b)</w:t>
      </w:r>
      <w:r w:rsidRPr="0081146C">
        <w:tab/>
        <w:t>someone who would be the stepchild of the person except that the person is not legally married to the person’s partner;</w:t>
      </w:r>
    </w:p>
    <w:p w14:paraId="251ADA19" w14:textId="77777777" w:rsidR="009B278E" w:rsidRPr="0081146C" w:rsidRDefault="009B278E" w:rsidP="009B278E">
      <w:pPr>
        <w:pStyle w:val="paragraph"/>
      </w:pPr>
      <w:r w:rsidRPr="0081146C">
        <w:tab/>
        <w:t>(c)</w:t>
      </w:r>
      <w:r w:rsidRPr="0081146C">
        <w:tab/>
        <w:t xml:space="preserve">someone who is a child of the person within the meaning of the </w:t>
      </w:r>
      <w:r w:rsidRPr="0081146C">
        <w:rPr>
          <w:i/>
        </w:rPr>
        <w:t>Family Law Act 1975</w:t>
      </w:r>
      <w:r w:rsidRPr="0081146C">
        <w:t>.</w:t>
      </w:r>
    </w:p>
    <w:p w14:paraId="71CBAE87" w14:textId="77777777" w:rsidR="00035544" w:rsidRPr="0081146C" w:rsidRDefault="00035544" w:rsidP="00035544">
      <w:pPr>
        <w:pStyle w:val="Definition"/>
      </w:pPr>
      <w:r w:rsidRPr="0081146C">
        <w:rPr>
          <w:b/>
          <w:i/>
        </w:rPr>
        <w:t>civil penalty order</w:t>
      </w:r>
      <w:r w:rsidRPr="0081146C">
        <w:t xml:space="preserve"> means an order under </w:t>
      </w:r>
      <w:r w:rsidR="003B7E15" w:rsidRPr="0081146C">
        <w:t>section 1</w:t>
      </w:r>
      <w:r w:rsidRPr="0081146C">
        <w:t>75.</w:t>
      </w:r>
    </w:p>
    <w:p w14:paraId="2DF36EED" w14:textId="77777777" w:rsidR="00035544" w:rsidRPr="0081146C" w:rsidRDefault="00035544" w:rsidP="00035544">
      <w:pPr>
        <w:pStyle w:val="Definition"/>
      </w:pPr>
      <w:r w:rsidRPr="0081146C">
        <w:rPr>
          <w:b/>
          <w:i/>
        </w:rPr>
        <w:t>civil penalty provision</w:t>
      </w:r>
      <w:r w:rsidRPr="0081146C">
        <w:t xml:space="preserve"> means a provision declared by this Act to be a civil penalty provision.</w:t>
      </w:r>
    </w:p>
    <w:p w14:paraId="6EF33391" w14:textId="77777777" w:rsidR="00035544" w:rsidRPr="0081146C" w:rsidRDefault="00035544" w:rsidP="00035544">
      <w:pPr>
        <w:pStyle w:val="Definition"/>
      </w:pPr>
      <w:r w:rsidRPr="0081146C">
        <w:rPr>
          <w:b/>
          <w:i/>
        </w:rPr>
        <w:t>commence to provide a designated service</w:t>
      </w:r>
      <w:r w:rsidRPr="0081146C">
        <w:t xml:space="preserve"> means:</w:t>
      </w:r>
    </w:p>
    <w:p w14:paraId="030E27BB" w14:textId="77777777" w:rsidR="00035544" w:rsidRPr="0081146C" w:rsidRDefault="00035544" w:rsidP="00035544">
      <w:pPr>
        <w:pStyle w:val="paragraph"/>
      </w:pPr>
      <w:r w:rsidRPr="0081146C">
        <w:tab/>
        <w:t>(a)</w:t>
      </w:r>
      <w:r w:rsidRPr="0081146C">
        <w:tab/>
        <w:t>if the designated service is provided at an instant of time—provide the service; or</w:t>
      </w:r>
    </w:p>
    <w:p w14:paraId="5116F3B2" w14:textId="77777777" w:rsidR="00035544" w:rsidRPr="0081146C" w:rsidRDefault="00035544" w:rsidP="00035544">
      <w:pPr>
        <w:pStyle w:val="paragraph"/>
      </w:pPr>
      <w:r w:rsidRPr="0081146C">
        <w:tab/>
        <w:t>(b)</w:t>
      </w:r>
      <w:r w:rsidRPr="0081146C">
        <w:tab/>
        <w:t>if the designated service is provided over a period of time—begin to provide the service.</w:t>
      </w:r>
    </w:p>
    <w:p w14:paraId="788FC76F" w14:textId="77777777" w:rsidR="00035544" w:rsidRPr="0081146C" w:rsidRDefault="00035544" w:rsidP="00035544">
      <w:pPr>
        <w:pStyle w:val="Definition"/>
      </w:pPr>
      <w:r w:rsidRPr="0081146C">
        <w:rPr>
          <w:b/>
          <w:i/>
        </w:rPr>
        <w:t>commercial goods carrier</w:t>
      </w:r>
      <w:r w:rsidRPr="0081146C">
        <w:t xml:space="preserve"> means a person who, in the normal course of a business, carries goods or mail for reward.</w:t>
      </w:r>
    </w:p>
    <w:p w14:paraId="3EE2E104" w14:textId="77777777" w:rsidR="00035544" w:rsidRPr="0081146C" w:rsidRDefault="00035544" w:rsidP="00035544">
      <w:pPr>
        <w:pStyle w:val="Definition"/>
      </w:pPr>
      <w:r w:rsidRPr="0081146C">
        <w:rPr>
          <w:b/>
          <w:i/>
        </w:rPr>
        <w:t>commercial passenger carrier</w:t>
      </w:r>
      <w:r w:rsidRPr="0081146C">
        <w:t xml:space="preserve"> means a person who, in the normal course of a business, carries passengers for reward.</w:t>
      </w:r>
    </w:p>
    <w:p w14:paraId="20DF1B51" w14:textId="77777777" w:rsidR="00035544" w:rsidRPr="0081146C" w:rsidRDefault="00035544" w:rsidP="00035544">
      <w:pPr>
        <w:pStyle w:val="Definition"/>
      </w:pPr>
      <w:r w:rsidRPr="0081146C">
        <w:rPr>
          <w:b/>
          <w:i/>
        </w:rPr>
        <w:t>Commonwealth place</w:t>
      </w:r>
      <w:r w:rsidRPr="0081146C">
        <w:t xml:space="preserve"> means:</w:t>
      </w:r>
    </w:p>
    <w:p w14:paraId="2A27A321" w14:textId="77777777" w:rsidR="00035544" w:rsidRPr="0081146C" w:rsidRDefault="00035544" w:rsidP="00035544">
      <w:pPr>
        <w:pStyle w:val="paragraph"/>
      </w:pPr>
      <w:r w:rsidRPr="0081146C">
        <w:tab/>
        <w:t>(a)</w:t>
      </w:r>
      <w:r w:rsidRPr="0081146C">
        <w:tab/>
        <w:t xml:space="preserve">a Commonwealth place within the meaning of the </w:t>
      </w:r>
      <w:r w:rsidRPr="0081146C">
        <w:rPr>
          <w:i/>
        </w:rPr>
        <w:t>Commonwealth Places (Application of Laws) Act 1970</w:t>
      </w:r>
      <w:r w:rsidRPr="0081146C">
        <w:t>; or</w:t>
      </w:r>
    </w:p>
    <w:p w14:paraId="4DAA0560" w14:textId="77777777" w:rsidR="00035544" w:rsidRPr="0081146C" w:rsidRDefault="00035544" w:rsidP="00035544">
      <w:pPr>
        <w:pStyle w:val="paragraph"/>
      </w:pPr>
      <w:r w:rsidRPr="0081146C">
        <w:tab/>
        <w:t>(b)</w:t>
      </w:r>
      <w:r w:rsidRPr="0081146C">
        <w:tab/>
        <w:t>a place in a Territory, where the place is owned by the Commonwealth.</w:t>
      </w:r>
    </w:p>
    <w:p w14:paraId="0E9D0C4B" w14:textId="77777777" w:rsidR="00035544" w:rsidRPr="0081146C" w:rsidRDefault="00035544" w:rsidP="00035544">
      <w:pPr>
        <w:pStyle w:val="Definition"/>
      </w:pPr>
      <w:r w:rsidRPr="0081146C">
        <w:rPr>
          <w:b/>
          <w:i/>
        </w:rPr>
        <w:t>Commonwealth Royal Commission</w:t>
      </w:r>
      <w:r w:rsidRPr="0081146C">
        <w:t xml:space="preserve"> means a Royal Commission within the meaning of the </w:t>
      </w:r>
      <w:r w:rsidRPr="0081146C">
        <w:rPr>
          <w:i/>
        </w:rPr>
        <w:t>Royal Commissions Act 1902</w:t>
      </w:r>
      <w:r w:rsidRPr="0081146C">
        <w:t>.</w:t>
      </w:r>
    </w:p>
    <w:p w14:paraId="39ED599C" w14:textId="77777777" w:rsidR="00DE1AB0" w:rsidRPr="0081146C" w:rsidRDefault="00DE1AB0" w:rsidP="00DE1AB0">
      <w:pPr>
        <w:pStyle w:val="Definition"/>
      </w:pPr>
      <w:bookmarkStart w:id="12" w:name="_Hlk75780535"/>
      <w:r w:rsidRPr="0081146C">
        <w:rPr>
          <w:b/>
          <w:i/>
        </w:rPr>
        <w:t>Commonwealth, State or Territory agency</w:t>
      </w:r>
      <w:r w:rsidRPr="0081146C">
        <w:t xml:space="preserve"> means any of the following:</w:t>
      </w:r>
    </w:p>
    <w:p w14:paraId="619390A2" w14:textId="77777777" w:rsidR="00DE1AB0" w:rsidRPr="0081146C" w:rsidRDefault="00DE1AB0" w:rsidP="00DE1AB0">
      <w:pPr>
        <w:pStyle w:val="paragraph"/>
      </w:pPr>
      <w:r w:rsidRPr="0081146C">
        <w:tab/>
        <w:t>(a)</w:t>
      </w:r>
      <w:r w:rsidRPr="0081146C">
        <w:tab/>
        <w:t>an agency, authority, body or organisation of the Commonwealth, a State or a Territory that has functions in relation to, or that is responsible for or deals with, law enforcement or investigation of corruption;</w:t>
      </w:r>
    </w:p>
    <w:p w14:paraId="75208452" w14:textId="77777777" w:rsidR="00DE1AB0" w:rsidRPr="0081146C" w:rsidRDefault="00DE1AB0" w:rsidP="00DE1AB0">
      <w:pPr>
        <w:pStyle w:val="paragraph"/>
      </w:pPr>
      <w:r w:rsidRPr="0081146C">
        <w:tab/>
        <w:t>(b)</w:t>
      </w:r>
      <w:r w:rsidRPr="0081146C">
        <w:tab/>
        <w:t>an agency, authority, body or organisation of the Commonwealth, a State or a Territory that has functions in relation to, or that is responsible for or deals with, criminal intelligence, security intelligence, foreign intelligence or financial intelligence;</w:t>
      </w:r>
    </w:p>
    <w:p w14:paraId="7B812616" w14:textId="77777777" w:rsidR="00DE1AB0" w:rsidRPr="0081146C" w:rsidRDefault="00DE1AB0" w:rsidP="00DE1AB0">
      <w:pPr>
        <w:pStyle w:val="paragraph"/>
      </w:pPr>
      <w:r w:rsidRPr="0081146C">
        <w:tab/>
        <w:t>(c)</w:t>
      </w:r>
      <w:r w:rsidRPr="0081146C">
        <w:tab/>
        <w:t>an agency, authority, body or organisation of the Commonwealth, a State or a Territory that has functions in relation to the protection of the public revenue of the Commonwealth, a State or a Territory;</w:t>
      </w:r>
    </w:p>
    <w:p w14:paraId="249F1434" w14:textId="77777777" w:rsidR="00DE1AB0" w:rsidRPr="0081146C" w:rsidRDefault="00DE1AB0" w:rsidP="00DE1AB0">
      <w:pPr>
        <w:pStyle w:val="paragraph"/>
      </w:pPr>
      <w:r w:rsidRPr="0081146C">
        <w:tab/>
        <w:t>(d)</w:t>
      </w:r>
      <w:r w:rsidRPr="0081146C">
        <w:tab/>
        <w:t>an agency, authority, body or organisation of the Commonwealth, a State or a Territory that has regulatory functions;</w:t>
      </w:r>
    </w:p>
    <w:p w14:paraId="05D6CC43" w14:textId="77777777" w:rsidR="00DE1AB0" w:rsidRPr="0081146C" w:rsidRDefault="00DE1AB0" w:rsidP="00DE1AB0">
      <w:pPr>
        <w:pStyle w:val="paragraph"/>
      </w:pPr>
      <w:r w:rsidRPr="0081146C">
        <w:tab/>
        <w:t>(e)</w:t>
      </w:r>
      <w:r w:rsidRPr="0081146C">
        <w:tab/>
        <w:t>an agency, authority, body or organisation of the Commonwealth, a State or a Territory that has oversight functions under a law of the Commonwealth, a State or a Territory;</w:t>
      </w:r>
    </w:p>
    <w:p w14:paraId="1C66D0C0" w14:textId="77777777" w:rsidR="00DE1AB0" w:rsidRPr="0081146C" w:rsidRDefault="00DE1AB0" w:rsidP="00DE1AB0">
      <w:pPr>
        <w:pStyle w:val="paragraph"/>
      </w:pPr>
      <w:r w:rsidRPr="0081146C">
        <w:tab/>
        <w:t>(f)</w:t>
      </w:r>
      <w:r w:rsidRPr="0081146C">
        <w:tab/>
        <w:t>a Department of the Commonwealth;</w:t>
      </w:r>
    </w:p>
    <w:p w14:paraId="2F63283F" w14:textId="77777777" w:rsidR="00DE1AB0" w:rsidRPr="0081146C" w:rsidRDefault="00DE1AB0" w:rsidP="00DE1AB0">
      <w:pPr>
        <w:pStyle w:val="paragraph"/>
      </w:pPr>
      <w:r w:rsidRPr="0081146C">
        <w:tab/>
        <w:t>(g)</w:t>
      </w:r>
      <w:r w:rsidRPr="0081146C">
        <w:tab/>
        <w:t>a Commonwealth Royal Commission whose terms of reference include inquiry into whether unlawful conduct (however described) has, or might have, occurred;</w:t>
      </w:r>
    </w:p>
    <w:p w14:paraId="0A0BD234" w14:textId="77777777" w:rsidR="00DE1AB0" w:rsidRPr="0081146C" w:rsidRDefault="00DE1AB0" w:rsidP="00DE1AB0">
      <w:pPr>
        <w:pStyle w:val="paragraph"/>
      </w:pPr>
      <w:r w:rsidRPr="0081146C">
        <w:tab/>
        <w:t>(h)</w:t>
      </w:r>
      <w:r w:rsidRPr="0081146C">
        <w:tab/>
        <w:t>a State/Territory Royal Commission:</w:t>
      </w:r>
    </w:p>
    <w:p w14:paraId="028BDC27" w14:textId="77777777" w:rsidR="00DE1AB0" w:rsidRPr="0081146C" w:rsidRDefault="00DE1AB0" w:rsidP="00DE1AB0">
      <w:pPr>
        <w:pStyle w:val="paragraphsub"/>
      </w:pPr>
      <w:r w:rsidRPr="0081146C">
        <w:tab/>
        <w:t>(i)</w:t>
      </w:r>
      <w:r w:rsidRPr="0081146C">
        <w:tab/>
        <w:t>whose terms of reference include inquiry into whether unlawful conduct (however described) has, or might have, occurred; and</w:t>
      </w:r>
    </w:p>
    <w:p w14:paraId="4A896DAE" w14:textId="77777777" w:rsidR="00DE1AB0" w:rsidRPr="0081146C" w:rsidRDefault="00DE1AB0" w:rsidP="00DE1AB0">
      <w:pPr>
        <w:pStyle w:val="paragraphsub"/>
      </w:pPr>
      <w:r w:rsidRPr="0081146C">
        <w:tab/>
        <w:t>(ii)</w:t>
      </w:r>
      <w:r w:rsidRPr="0081146C">
        <w:tab/>
        <w:t>that is specified in the AML/CTF Rules;</w:t>
      </w:r>
    </w:p>
    <w:p w14:paraId="154177D2" w14:textId="77777777" w:rsidR="00DE1AB0" w:rsidRPr="0081146C" w:rsidRDefault="00DE1AB0" w:rsidP="00DE1AB0">
      <w:pPr>
        <w:pStyle w:val="paragraph"/>
      </w:pPr>
      <w:r w:rsidRPr="0081146C">
        <w:tab/>
        <w:t>(i)</w:t>
      </w:r>
      <w:r w:rsidRPr="0081146C">
        <w:tab/>
        <w:t>any other agency, authority, body or organisation of the Commonwealth, a State or a Territory, being an agency, authority, body or organisation prescribed by the AML/CTF Rules;</w:t>
      </w:r>
    </w:p>
    <w:p w14:paraId="0B9E61F9" w14:textId="77777777" w:rsidR="00DE1AB0" w:rsidRPr="0081146C" w:rsidRDefault="00DE1AB0" w:rsidP="00DE1AB0">
      <w:pPr>
        <w:pStyle w:val="paragraph"/>
      </w:pPr>
      <w:r w:rsidRPr="0081146C">
        <w:tab/>
        <w:t>(j)</w:t>
      </w:r>
      <w:r w:rsidRPr="0081146C">
        <w:tab/>
        <w:t>a task force that:</w:t>
      </w:r>
    </w:p>
    <w:p w14:paraId="56214727" w14:textId="77777777" w:rsidR="00DE1AB0" w:rsidRPr="0081146C" w:rsidRDefault="00DE1AB0" w:rsidP="00DE1AB0">
      <w:pPr>
        <w:pStyle w:val="paragraphsub"/>
      </w:pPr>
      <w:r w:rsidRPr="0081146C">
        <w:tab/>
        <w:t>(i)</w:t>
      </w:r>
      <w:r w:rsidRPr="0081146C">
        <w:tab/>
        <w:t>is established by a Minister of the Commonwealth or of a State or Territory or established under a law of the Commonwealth, a State or a Territory; and</w:t>
      </w:r>
    </w:p>
    <w:p w14:paraId="55B377C3" w14:textId="77777777" w:rsidR="00DE1AB0" w:rsidRPr="0081146C" w:rsidRDefault="00DE1AB0" w:rsidP="00DE1AB0">
      <w:pPr>
        <w:pStyle w:val="paragraphsub"/>
      </w:pPr>
      <w:r w:rsidRPr="0081146C">
        <w:tab/>
        <w:t>(ii)</w:t>
      </w:r>
      <w:r w:rsidRPr="0081146C">
        <w:tab/>
        <w:t>has functions of a kind described in paragraph (a), (b), (c) or (d);</w:t>
      </w:r>
    </w:p>
    <w:p w14:paraId="61065073" w14:textId="77777777" w:rsidR="00DE1AB0" w:rsidRPr="0081146C" w:rsidRDefault="00DE1AB0" w:rsidP="00DE1AB0">
      <w:pPr>
        <w:pStyle w:val="paragraph"/>
      </w:pPr>
      <w:r w:rsidRPr="0081146C">
        <w:tab/>
        <w:t>(k)</w:t>
      </w:r>
      <w:r w:rsidRPr="0081146C">
        <w:tab/>
        <w:t>a person who holds an office or appointment under a law of the Commonwealth, a State or a Territory, being an office or appointment prescribed by the AML/CTF Rules.</w:t>
      </w:r>
    </w:p>
    <w:bookmarkEnd w:id="12"/>
    <w:p w14:paraId="4A493919" w14:textId="77777777" w:rsidR="00035544" w:rsidRPr="0081146C" w:rsidRDefault="00035544" w:rsidP="00035544">
      <w:pPr>
        <w:pStyle w:val="Definition"/>
      </w:pPr>
      <w:r w:rsidRPr="0081146C">
        <w:rPr>
          <w:b/>
          <w:i/>
        </w:rPr>
        <w:t>company</w:t>
      </w:r>
      <w:r w:rsidRPr="0081146C">
        <w:t xml:space="preserve"> has the same meaning as in the </w:t>
      </w:r>
      <w:r w:rsidRPr="0081146C">
        <w:rPr>
          <w:i/>
        </w:rPr>
        <w:t>Income Tax Assessment Act 1997</w:t>
      </w:r>
      <w:r w:rsidRPr="0081146C">
        <w:t>.</w:t>
      </w:r>
    </w:p>
    <w:p w14:paraId="76204E71" w14:textId="77777777" w:rsidR="00035544" w:rsidRPr="0081146C" w:rsidRDefault="00035544" w:rsidP="00035544">
      <w:pPr>
        <w:pStyle w:val="notetext"/>
      </w:pPr>
      <w:r w:rsidRPr="0081146C">
        <w:t>Note:</w:t>
      </w:r>
      <w:r w:rsidRPr="0081146C">
        <w:tab/>
        <w:t xml:space="preserve">Under the </w:t>
      </w:r>
      <w:r w:rsidRPr="0081146C">
        <w:rPr>
          <w:i/>
        </w:rPr>
        <w:t>Income Tax Assessment Act 1997</w:t>
      </w:r>
      <w:r w:rsidRPr="0081146C">
        <w:t xml:space="preserve">, </w:t>
      </w:r>
      <w:r w:rsidRPr="0081146C">
        <w:rPr>
          <w:b/>
          <w:i/>
        </w:rPr>
        <w:t>company</w:t>
      </w:r>
      <w:r w:rsidRPr="0081146C">
        <w:t xml:space="preserve"> includes an unincorporated association or body of persons.</w:t>
      </w:r>
    </w:p>
    <w:p w14:paraId="31B9DC7B" w14:textId="77777777" w:rsidR="00035544" w:rsidRPr="0081146C" w:rsidRDefault="00035544" w:rsidP="00035544">
      <w:pPr>
        <w:pStyle w:val="Definition"/>
      </w:pPr>
      <w:r w:rsidRPr="0081146C">
        <w:rPr>
          <w:b/>
          <w:i/>
        </w:rPr>
        <w:t>compliance record</w:t>
      </w:r>
      <w:r w:rsidRPr="0081146C">
        <w:rPr>
          <w:b/>
        </w:rPr>
        <w:t xml:space="preserve"> </w:t>
      </w:r>
      <w:r w:rsidRPr="0081146C">
        <w:t>of a reporting entity means:</w:t>
      </w:r>
    </w:p>
    <w:p w14:paraId="424C3280" w14:textId="77777777" w:rsidR="00035544" w:rsidRPr="0081146C" w:rsidRDefault="00035544" w:rsidP="00035544">
      <w:pPr>
        <w:pStyle w:val="paragraph"/>
      </w:pPr>
      <w:r w:rsidRPr="0081146C">
        <w:tab/>
        <w:t>(a)</w:t>
      </w:r>
      <w:r w:rsidRPr="0081146C">
        <w:tab/>
        <w:t>a record that relates to the obligations under this Act, the regulations or the AML/CTF Rules of the reporting entity; or</w:t>
      </w:r>
    </w:p>
    <w:p w14:paraId="003A2DD9" w14:textId="77777777" w:rsidR="00035544" w:rsidRPr="0081146C" w:rsidRDefault="00035544" w:rsidP="00035544">
      <w:pPr>
        <w:pStyle w:val="paragraph"/>
      </w:pPr>
      <w:r w:rsidRPr="0081146C">
        <w:tab/>
        <w:t>(b)</w:t>
      </w:r>
      <w:r w:rsidRPr="0081146C">
        <w:tab/>
        <w:t xml:space="preserve">a record, copy or extract retained under </w:t>
      </w:r>
      <w:r w:rsidR="00CA78AA" w:rsidRPr="0081146C">
        <w:t>Part 1</w:t>
      </w:r>
      <w:r w:rsidRPr="0081146C">
        <w:t>0 by the reporting entity.</w:t>
      </w:r>
    </w:p>
    <w:p w14:paraId="52FD8D09" w14:textId="77777777" w:rsidR="00147F95" w:rsidRPr="0081146C" w:rsidRDefault="00147F95" w:rsidP="00147F95">
      <w:pPr>
        <w:pStyle w:val="Definition"/>
      </w:pPr>
      <w:r w:rsidRPr="0081146C">
        <w:rPr>
          <w:b/>
          <w:i/>
        </w:rPr>
        <w:t>Comptroller</w:t>
      </w:r>
      <w:r w:rsidR="003B7E15" w:rsidRPr="0081146C">
        <w:rPr>
          <w:b/>
          <w:i/>
        </w:rPr>
        <w:noBreakHyphen/>
      </w:r>
      <w:r w:rsidRPr="0081146C">
        <w:rPr>
          <w:b/>
          <w:i/>
        </w:rPr>
        <w:t>General of Customs</w:t>
      </w:r>
      <w:r w:rsidRPr="0081146C">
        <w:t xml:space="preserve"> means the person who is the Comptroller</w:t>
      </w:r>
      <w:r w:rsidR="003B7E15" w:rsidRPr="0081146C">
        <w:noBreakHyphen/>
      </w:r>
      <w:r w:rsidRPr="0081146C">
        <w:t>General of Customs in accordance with sub</w:t>
      </w:r>
      <w:r w:rsidR="003B7E15" w:rsidRPr="0081146C">
        <w:t>section 1</w:t>
      </w:r>
      <w:r w:rsidRPr="0081146C">
        <w:t xml:space="preserve">1(3) or 14(2) of the </w:t>
      </w:r>
      <w:r w:rsidRPr="0081146C">
        <w:rPr>
          <w:i/>
        </w:rPr>
        <w:t>Australian Border Force Act 2015</w:t>
      </w:r>
      <w:r w:rsidRPr="0081146C">
        <w:t>.</w:t>
      </w:r>
    </w:p>
    <w:p w14:paraId="64187CBE" w14:textId="77777777" w:rsidR="00035544" w:rsidRPr="0081146C" w:rsidRDefault="00035544" w:rsidP="00035544">
      <w:pPr>
        <w:pStyle w:val="Definition"/>
      </w:pPr>
      <w:r w:rsidRPr="0081146C">
        <w:rPr>
          <w:b/>
          <w:i/>
        </w:rPr>
        <w:t>constitutional corporation</w:t>
      </w:r>
      <w:r w:rsidRPr="0081146C">
        <w:t xml:space="preserve"> means a corporation to which paragraph</w:t>
      </w:r>
      <w:r w:rsidR="004F64A4" w:rsidRPr="0081146C">
        <w:t> </w:t>
      </w:r>
      <w:r w:rsidRPr="0081146C">
        <w:t>51(xx) of the Constitution applies.</w:t>
      </w:r>
    </w:p>
    <w:p w14:paraId="1A767186" w14:textId="77777777" w:rsidR="00E1131A" w:rsidRPr="0081146C" w:rsidRDefault="00E1131A" w:rsidP="00E1131A">
      <w:pPr>
        <w:pStyle w:val="Definition"/>
      </w:pPr>
      <w:r w:rsidRPr="0081146C">
        <w:rPr>
          <w:b/>
          <w:i/>
        </w:rPr>
        <w:t>contribution</w:t>
      </w:r>
      <w:r w:rsidRPr="0081146C">
        <w:t xml:space="preserve">, in relation to an RSA, has the same meaning as in the </w:t>
      </w:r>
      <w:r w:rsidRPr="0081146C">
        <w:rPr>
          <w:i/>
        </w:rPr>
        <w:t>Retirement Savings Accounts Act 1997</w:t>
      </w:r>
      <w:r w:rsidRPr="0081146C">
        <w:t>.</w:t>
      </w:r>
    </w:p>
    <w:p w14:paraId="4CEDD5C1" w14:textId="77777777" w:rsidR="00035544" w:rsidRPr="0081146C" w:rsidRDefault="00035544" w:rsidP="00035544">
      <w:pPr>
        <w:pStyle w:val="Definition"/>
      </w:pPr>
      <w:r w:rsidRPr="0081146C">
        <w:rPr>
          <w:b/>
          <w:i/>
        </w:rPr>
        <w:t xml:space="preserve">controller </w:t>
      </w:r>
      <w:r w:rsidRPr="0081146C">
        <w:t xml:space="preserve">of an eligible gaming machine venue has the meaning given by </w:t>
      </w:r>
      <w:r w:rsidR="003B7E15" w:rsidRPr="0081146C">
        <w:t>section 1</w:t>
      </w:r>
      <w:r w:rsidRPr="0081146C">
        <w:t>3.</w:t>
      </w:r>
    </w:p>
    <w:p w14:paraId="2AE61A91" w14:textId="77777777" w:rsidR="000C2386" w:rsidRPr="0081146C" w:rsidRDefault="000C2386" w:rsidP="000C2386">
      <w:pPr>
        <w:pStyle w:val="Definition"/>
      </w:pPr>
      <w:r w:rsidRPr="0081146C">
        <w:rPr>
          <w:b/>
          <w:i/>
        </w:rPr>
        <w:t>control</w:t>
      </w:r>
      <w:r w:rsidRPr="0081146C">
        <w:t xml:space="preserve"> has the meaning given by section 11.</w:t>
      </w:r>
    </w:p>
    <w:p w14:paraId="4FB42701" w14:textId="77777777" w:rsidR="00035544" w:rsidRPr="0081146C" w:rsidRDefault="00035544" w:rsidP="00035544">
      <w:pPr>
        <w:pStyle w:val="Definition"/>
      </w:pPr>
      <w:r w:rsidRPr="0081146C">
        <w:rPr>
          <w:b/>
          <w:i/>
        </w:rPr>
        <w:t>correspondent banking relationship</w:t>
      </w:r>
      <w:r w:rsidRPr="0081146C">
        <w:t xml:space="preserve"> means a relationship that involves the provision by a financial institution (the </w:t>
      </w:r>
      <w:r w:rsidRPr="0081146C">
        <w:rPr>
          <w:b/>
          <w:i/>
        </w:rPr>
        <w:t>first financial institution</w:t>
      </w:r>
      <w:r w:rsidRPr="0081146C">
        <w:t>) of banking services to another financial institution, where:</w:t>
      </w:r>
    </w:p>
    <w:p w14:paraId="4D49274E" w14:textId="77777777" w:rsidR="00035544" w:rsidRPr="0081146C" w:rsidRDefault="00035544" w:rsidP="00035544">
      <w:pPr>
        <w:pStyle w:val="paragraph"/>
      </w:pPr>
      <w:r w:rsidRPr="0081146C">
        <w:tab/>
        <w:t>(a)</w:t>
      </w:r>
      <w:r w:rsidRPr="0081146C">
        <w:tab/>
        <w:t>the first financial institution carries on an activity or business at or through a permanent establishment of the financial institution in a particular country; and</w:t>
      </w:r>
    </w:p>
    <w:p w14:paraId="0A75C24A" w14:textId="77777777" w:rsidR="00035544" w:rsidRPr="0081146C" w:rsidRDefault="00035544" w:rsidP="00035544">
      <w:pPr>
        <w:pStyle w:val="paragraph"/>
      </w:pPr>
      <w:r w:rsidRPr="0081146C">
        <w:tab/>
        <w:t>(b)</w:t>
      </w:r>
      <w:r w:rsidRPr="0081146C">
        <w:tab/>
        <w:t>the other financial institution carries on an activity or business at or through a permanent establishment of the other financial institution in another country; and</w:t>
      </w:r>
    </w:p>
    <w:p w14:paraId="62AB5A63" w14:textId="77777777" w:rsidR="00035544" w:rsidRPr="0081146C" w:rsidRDefault="00035544" w:rsidP="00035544">
      <w:pPr>
        <w:pStyle w:val="paragraph"/>
      </w:pPr>
      <w:r w:rsidRPr="0081146C">
        <w:tab/>
        <w:t>(c)</w:t>
      </w:r>
      <w:r w:rsidRPr="0081146C">
        <w:tab/>
        <w:t>the correspondent banking relationship relates, in whole or in part, to those permanent establishments; and</w:t>
      </w:r>
    </w:p>
    <w:p w14:paraId="62B76912" w14:textId="77777777" w:rsidR="00035544" w:rsidRPr="0081146C" w:rsidRDefault="00035544" w:rsidP="00035544">
      <w:pPr>
        <w:pStyle w:val="paragraph"/>
      </w:pPr>
      <w:r w:rsidRPr="0081146C">
        <w:tab/>
        <w:t>(d)</w:t>
      </w:r>
      <w:r w:rsidRPr="0081146C">
        <w:tab/>
        <w:t>the relationship is not of a kind specified in the AML/CTF Rules; and</w:t>
      </w:r>
    </w:p>
    <w:p w14:paraId="3146C0F7" w14:textId="77777777" w:rsidR="00035544" w:rsidRPr="0081146C" w:rsidRDefault="00035544" w:rsidP="00035544">
      <w:pPr>
        <w:pStyle w:val="paragraph"/>
      </w:pPr>
      <w:r w:rsidRPr="0081146C">
        <w:tab/>
        <w:t>(e)</w:t>
      </w:r>
      <w:r w:rsidRPr="0081146C">
        <w:tab/>
        <w:t>the banking services are not of a kind specified in the AML/CTF Rules.</w:t>
      </w:r>
    </w:p>
    <w:p w14:paraId="02658D04" w14:textId="77777777" w:rsidR="00035544" w:rsidRPr="0081146C" w:rsidRDefault="00035544" w:rsidP="00035544">
      <w:pPr>
        <w:pStyle w:val="subsection2"/>
      </w:pPr>
      <w:r w:rsidRPr="0081146C">
        <w:t xml:space="preserve">For this purpose, </w:t>
      </w:r>
      <w:r w:rsidRPr="0081146C">
        <w:rPr>
          <w:b/>
          <w:i/>
        </w:rPr>
        <w:t>banking service</w:t>
      </w:r>
      <w:r w:rsidRPr="0081146C">
        <w:t xml:space="preserve"> includes anything that, under the AML/CTF Rules, is taken to be a banking service for the purposes of this definition.</w:t>
      </w:r>
    </w:p>
    <w:p w14:paraId="0CDF784C" w14:textId="77777777" w:rsidR="00035544" w:rsidRPr="0081146C" w:rsidRDefault="00035544" w:rsidP="00035544">
      <w:pPr>
        <w:pStyle w:val="notetext"/>
      </w:pPr>
      <w:r w:rsidRPr="0081146C">
        <w:t>Note:</w:t>
      </w:r>
      <w:r w:rsidRPr="0081146C">
        <w:tab/>
        <w:t xml:space="preserve">For geographical links, see </w:t>
      </w:r>
      <w:r w:rsidR="003B7E15" w:rsidRPr="0081146C">
        <w:t>section 1</w:t>
      </w:r>
      <w:r w:rsidRPr="0081146C">
        <w:t>00.</w:t>
      </w:r>
    </w:p>
    <w:p w14:paraId="7416A4AB" w14:textId="77777777" w:rsidR="00035544" w:rsidRPr="0081146C" w:rsidRDefault="00035544" w:rsidP="00035544">
      <w:pPr>
        <w:pStyle w:val="Definition"/>
      </w:pPr>
      <w:r w:rsidRPr="0081146C">
        <w:rPr>
          <w:b/>
          <w:i/>
        </w:rPr>
        <w:t>country</w:t>
      </w:r>
      <w:r w:rsidRPr="0081146C">
        <w:t xml:space="preserve"> means Australia or a foreign country.</w:t>
      </w:r>
    </w:p>
    <w:p w14:paraId="052FDC7F" w14:textId="77777777" w:rsidR="00824795" w:rsidRPr="0081146C" w:rsidRDefault="00824795" w:rsidP="00824795">
      <w:pPr>
        <w:pStyle w:val="Definition"/>
      </w:pPr>
      <w:r w:rsidRPr="0081146C">
        <w:rPr>
          <w:b/>
          <w:i/>
        </w:rPr>
        <w:t xml:space="preserve">credit card </w:t>
      </w:r>
      <w:r w:rsidRPr="0081146C">
        <w:t>is a thing (whether real or virtual) that is one or more of the following:</w:t>
      </w:r>
    </w:p>
    <w:p w14:paraId="182A9FBF" w14:textId="77777777" w:rsidR="00824795" w:rsidRPr="0081146C" w:rsidRDefault="00824795" w:rsidP="00824795">
      <w:pPr>
        <w:pStyle w:val="paragraph"/>
      </w:pPr>
      <w:r w:rsidRPr="0081146C">
        <w:tab/>
        <w:t>(a)</w:t>
      </w:r>
      <w:r w:rsidRPr="0081146C">
        <w:tab/>
        <w:t>a thing of a kind commonly known as a credit card;</w:t>
      </w:r>
    </w:p>
    <w:p w14:paraId="363F314A" w14:textId="77777777" w:rsidR="00824795" w:rsidRPr="0081146C" w:rsidRDefault="00824795" w:rsidP="00824795">
      <w:pPr>
        <w:pStyle w:val="paragraph"/>
      </w:pPr>
      <w:r w:rsidRPr="0081146C">
        <w:tab/>
        <w:t>(b)</w:t>
      </w:r>
      <w:r w:rsidRPr="0081146C">
        <w:tab/>
        <w:t>a similar thing intended for use by a person in obtaining access to an account that is held by the person for the purpose of obtaining money, goods or services on credit;</w:t>
      </w:r>
    </w:p>
    <w:p w14:paraId="3152A1A0" w14:textId="77777777" w:rsidR="00824795" w:rsidRPr="0081146C" w:rsidRDefault="00824795" w:rsidP="00824795">
      <w:pPr>
        <w:pStyle w:val="paragraph"/>
      </w:pPr>
      <w:r w:rsidRPr="0081146C">
        <w:tab/>
        <w:t>(c)</w:t>
      </w:r>
      <w:r w:rsidRPr="0081146C">
        <w:tab/>
        <w:t>a thing of a kind that persons carrying on business commonly issue to their customers, or prospective customers, for use in obtaining goods or services from those persons on credit;</w:t>
      </w:r>
    </w:p>
    <w:p w14:paraId="4A0F4460" w14:textId="77777777" w:rsidR="00824795" w:rsidRPr="0081146C" w:rsidRDefault="00824795" w:rsidP="00824795">
      <w:pPr>
        <w:pStyle w:val="paragraph"/>
      </w:pPr>
      <w:r w:rsidRPr="0081146C">
        <w:tab/>
        <w:t>(d)</w:t>
      </w:r>
      <w:r w:rsidRPr="0081146C">
        <w:tab/>
        <w:t>a thing that may be used as a thing referred to in paragraph (a), (b) or (c).</w:t>
      </w:r>
    </w:p>
    <w:p w14:paraId="21C1FE5B" w14:textId="77777777" w:rsidR="00064C94" w:rsidRPr="0081146C" w:rsidRDefault="00064C94" w:rsidP="00064C94">
      <w:pPr>
        <w:pStyle w:val="Definition"/>
      </w:pPr>
      <w:r w:rsidRPr="0081146C">
        <w:rPr>
          <w:b/>
          <w:i/>
        </w:rPr>
        <w:t xml:space="preserve">credit card acquirer </w:t>
      </w:r>
      <w:r w:rsidRPr="0081146C">
        <w:t>means a person who:</w:t>
      </w:r>
    </w:p>
    <w:p w14:paraId="2A47A0BB" w14:textId="77777777" w:rsidR="00064C94" w:rsidRPr="0081146C" w:rsidRDefault="00064C94" w:rsidP="00064C94">
      <w:pPr>
        <w:pStyle w:val="paragraph"/>
      </w:pPr>
      <w:r w:rsidRPr="0081146C">
        <w:tab/>
        <w:t>(a)</w:t>
      </w:r>
      <w:r w:rsidRPr="0081146C">
        <w:tab/>
        <w:t xml:space="preserve">is a participant of a designated payment system under the </w:t>
      </w:r>
      <w:r w:rsidRPr="0081146C">
        <w:rPr>
          <w:i/>
        </w:rPr>
        <w:t>Payment Systems (Regulation) Act 1998</w:t>
      </w:r>
      <w:r w:rsidRPr="0081146C">
        <w:t>; and</w:t>
      </w:r>
    </w:p>
    <w:p w14:paraId="18EDFE34" w14:textId="77777777" w:rsidR="00064C94" w:rsidRPr="0081146C" w:rsidRDefault="00064C94" w:rsidP="00064C94">
      <w:pPr>
        <w:pStyle w:val="paragraph"/>
      </w:pPr>
      <w:r w:rsidRPr="0081146C">
        <w:tab/>
        <w:t>(b)</w:t>
      </w:r>
      <w:r w:rsidRPr="0081146C">
        <w:tab/>
        <w:t>pays, or accepts liability to pay, a merchant (either directly or through another person) for goods or services obtained, or to be obtained, by another person from the merchant in a credit card transaction.</w:t>
      </w:r>
    </w:p>
    <w:p w14:paraId="60B5A7E6" w14:textId="77777777" w:rsidR="00064C94" w:rsidRPr="0081146C" w:rsidRDefault="00064C94" w:rsidP="00064C94">
      <w:pPr>
        <w:pStyle w:val="Definition"/>
      </w:pPr>
      <w:r w:rsidRPr="0081146C">
        <w:rPr>
          <w:b/>
          <w:i/>
        </w:rPr>
        <w:t>credit card issuer</w:t>
      </w:r>
      <w:r w:rsidRPr="0081146C">
        <w:t xml:space="preserve"> means a person who:</w:t>
      </w:r>
    </w:p>
    <w:p w14:paraId="33F6FD85" w14:textId="77777777" w:rsidR="00064C94" w:rsidRPr="0081146C" w:rsidRDefault="00064C94" w:rsidP="00064C94">
      <w:pPr>
        <w:pStyle w:val="paragraph"/>
      </w:pPr>
      <w:r w:rsidRPr="0081146C">
        <w:tab/>
        <w:t>(a)</w:t>
      </w:r>
      <w:r w:rsidRPr="0081146C">
        <w:tab/>
        <w:t xml:space="preserve">is a participant of a designated payment system under the </w:t>
      </w:r>
      <w:r w:rsidRPr="0081146C">
        <w:rPr>
          <w:i/>
        </w:rPr>
        <w:t>Payment Systems (Regulation) Act 1998</w:t>
      </w:r>
      <w:r w:rsidRPr="0081146C">
        <w:t>; and</w:t>
      </w:r>
    </w:p>
    <w:p w14:paraId="25689E6D" w14:textId="77777777" w:rsidR="00064C94" w:rsidRPr="0081146C" w:rsidRDefault="00064C94" w:rsidP="00064C94">
      <w:pPr>
        <w:pStyle w:val="paragraph"/>
      </w:pPr>
      <w:r w:rsidRPr="0081146C">
        <w:tab/>
        <w:t>(b)</w:t>
      </w:r>
      <w:r w:rsidRPr="0081146C">
        <w:tab/>
        <w:t>issues a credit card to a customer; and</w:t>
      </w:r>
    </w:p>
    <w:p w14:paraId="39927D89" w14:textId="77777777" w:rsidR="00064C94" w:rsidRPr="0081146C" w:rsidRDefault="00064C94" w:rsidP="00064C94">
      <w:pPr>
        <w:pStyle w:val="paragraph"/>
      </w:pPr>
      <w:r w:rsidRPr="0081146C">
        <w:tab/>
        <w:t>(c)</w:t>
      </w:r>
      <w:r w:rsidRPr="0081146C">
        <w:tab/>
        <w:t>either:</w:t>
      </w:r>
    </w:p>
    <w:p w14:paraId="43E6C49D" w14:textId="77777777" w:rsidR="00064C94" w:rsidRPr="0081146C" w:rsidRDefault="00064C94" w:rsidP="00064C94">
      <w:pPr>
        <w:pStyle w:val="paragraphsub"/>
      </w:pPr>
      <w:r w:rsidRPr="0081146C">
        <w:tab/>
        <w:t>(i)</w:t>
      </w:r>
      <w:r w:rsidRPr="0081146C">
        <w:tab/>
        <w:t>receives payment from the customer for amounts owed by the customer, under the terms governing the credit card, for credit card transactions; or</w:t>
      </w:r>
    </w:p>
    <w:p w14:paraId="07119EB2" w14:textId="77777777" w:rsidR="00064C94" w:rsidRPr="0081146C" w:rsidRDefault="00064C94" w:rsidP="00064C94">
      <w:pPr>
        <w:pStyle w:val="paragraphsub"/>
      </w:pPr>
      <w:r w:rsidRPr="0081146C">
        <w:tab/>
        <w:t>(ii)</w:t>
      </w:r>
      <w:r w:rsidRPr="0081146C">
        <w:tab/>
        <w:t>pays, or accepts liability to pay, a credit card acquirer (either directly or through another person) for amounts paid or payable by the acquirer to a merchant for the customer’s credit card transactions.</w:t>
      </w:r>
    </w:p>
    <w:p w14:paraId="6D87E0C7" w14:textId="77777777" w:rsidR="00B939C5" w:rsidRPr="0081146C" w:rsidRDefault="00B939C5" w:rsidP="00B939C5">
      <w:pPr>
        <w:pStyle w:val="Definition"/>
      </w:pPr>
      <w:r w:rsidRPr="0081146C">
        <w:rPr>
          <w:b/>
          <w:i/>
        </w:rPr>
        <w:t>credit reporting body</w:t>
      </w:r>
      <w:r w:rsidRPr="0081146C">
        <w:t xml:space="preserve"> has the same meaning as in the </w:t>
      </w:r>
      <w:r w:rsidRPr="0081146C">
        <w:rPr>
          <w:i/>
        </w:rPr>
        <w:t>Privacy Act 1988</w:t>
      </w:r>
      <w:r w:rsidRPr="0081146C">
        <w:t>.</w:t>
      </w:r>
    </w:p>
    <w:p w14:paraId="10C725D6" w14:textId="77777777" w:rsidR="00035544" w:rsidRPr="0081146C" w:rsidRDefault="00035544" w:rsidP="00035544">
      <w:pPr>
        <w:pStyle w:val="Definition"/>
      </w:pPr>
      <w:r w:rsidRPr="0081146C">
        <w:rPr>
          <w:b/>
          <w:i/>
        </w:rPr>
        <w:t>custodial or depository service</w:t>
      </w:r>
      <w:r w:rsidRPr="0081146C">
        <w:t xml:space="preserve">: see the definition of </w:t>
      </w:r>
      <w:r w:rsidRPr="0081146C">
        <w:rPr>
          <w:b/>
          <w:i/>
        </w:rPr>
        <w:t>providing a custodial or depository service</w:t>
      </w:r>
      <w:r w:rsidRPr="0081146C">
        <w:t>.</w:t>
      </w:r>
    </w:p>
    <w:p w14:paraId="430339D1" w14:textId="77777777" w:rsidR="00035544" w:rsidRPr="0081146C" w:rsidRDefault="00035544" w:rsidP="00035544">
      <w:pPr>
        <w:pStyle w:val="Definition"/>
      </w:pPr>
      <w:r w:rsidRPr="0081146C">
        <w:rPr>
          <w:b/>
          <w:i/>
        </w:rPr>
        <w:t>customer</w:t>
      </w:r>
      <w:r w:rsidRPr="0081146C">
        <w:t xml:space="preserve"> has the meaning given by section</w:t>
      </w:r>
      <w:r w:rsidR="004F64A4" w:rsidRPr="0081146C">
        <w:t> </w:t>
      </w:r>
      <w:r w:rsidRPr="0081146C">
        <w:t>6, and includes a prospective customer.</w:t>
      </w:r>
    </w:p>
    <w:p w14:paraId="6DCDCDCE" w14:textId="77777777" w:rsidR="00147F95" w:rsidRPr="0081146C" w:rsidRDefault="00147F95" w:rsidP="00147F95">
      <w:pPr>
        <w:pStyle w:val="Definition"/>
      </w:pPr>
      <w:r w:rsidRPr="0081146C">
        <w:rPr>
          <w:b/>
          <w:i/>
        </w:rPr>
        <w:t>customs officer</w:t>
      </w:r>
      <w:r w:rsidRPr="0081146C">
        <w:t xml:space="preserve"> means an officer of Customs within the meaning of the </w:t>
      </w:r>
      <w:r w:rsidRPr="0081146C">
        <w:rPr>
          <w:i/>
        </w:rPr>
        <w:t>Customs Act 1901</w:t>
      </w:r>
      <w:r w:rsidRPr="0081146C">
        <w:t>.</w:t>
      </w:r>
    </w:p>
    <w:p w14:paraId="0B5D5199" w14:textId="77777777" w:rsidR="00035544" w:rsidRPr="0081146C" w:rsidRDefault="00035544" w:rsidP="00035544">
      <w:pPr>
        <w:pStyle w:val="Definition"/>
      </w:pPr>
      <w:r w:rsidRPr="0081146C">
        <w:rPr>
          <w:b/>
          <w:i/>
        </w:rPr>
        <w:t>damage</w:t>
      </w:r>
      <w:r w:rsidRPr="0081146C">
        <w:t>, in relation to data, includes damage by erasure of data or addition of other data.</w:t>
      </w:r>
    </w:p>
    <w:p w14:paraId="16101481" w14:textId="77777777" w:rsidR="00035544" w:rsidRPr="0081146C" w:rsidRDefault="00035544" w:rsidP="00035544">
      <w:pPr>
        <w:pStyle w:val="Definition"/>
      </w:pPr>
      <w:r w:rsidRPr="0081146C">
        <w:rPr>
          <w:b/>
          <w:i/>
        </w:rPr>
        <w:t>data</w:t>
      </w:r>
      <w:r w:rsidRPr="0081146C">
        <w:t xml:space="preserve"> includes:</w:t>
      </w:r>
    </w:p>
    <w:p w14:paraId="01EF5C01" w14:textId="77777777" w:rsidR="00035544" w:rsidRPr="0081146C" w:rsidRDefault="00035544" w:rsidP="00035544">
      <w:pPr>
        <w:pStyle w:val="paragraph"/>
      </w:pPr>
      <w:r w:rsidRPr="0081146C">
        <w:tab/>
        <w:t>(a)</w:t>
      </w:r>
      <w:r w:rsidRPr="0081146C">
        <w:tab/>
        <w:t>information in any form; or</w:t>
      </w:r>
    </w:p>
    <w:p w14:paraId="56A93C3F" w14:textId="77777777" w:rsidR="00035544" w:rsidRPr="0081146C" w:rsidRDefault="00035544" w:rsidP="00035544">
      <w:pPr>
        <w:pStyle w:val="paragraph"/>
      </w:pPr>
      <w:r w:rsidRPr="0081146C">
        <w:tab/>
        <w:t>(b)</w:t>
      </w:r>
      <w:r w:rsidRPr="0081146C">
        <w:tab/>
        <w:t>any program (or part of a program).</w:t>
      </w:r>
    </w:p>
    <w:p w14:paraId="35792B56" w14:textId="77777777" w:rsidR="00035544" w:rsidRPr="0081146C" w:rsidRDefault="00035544" w:rsidP="00035544">
      <w:pPr>
        <w:pStyle w:val="Definition"/>
      </w:pPr>
      <w:r w:rsidRPr="0081146C">
        <w:rPr>
          <w:b/>
          <w:i/>
        </w:rPr>
        <w:t>data storage device</w:t>
      </w:r>
      <w:r w:rsidRPr="0081146C">
        <w:t xml:space="preserve"> means a thing containing, or designed to contain, data for use by a computer.</w:t>
      </w:r>
    </w:p>
    <w:p w14:paraId="207326C3" w14:textId="77777777" w:rsidR="00824795" w:rsidRPr="0081146C" w:rsidRDefault="00824795" w:rsidP="00824795">
      <w:pPr>
        <w:pStyle w:val="Definition"/>
      </w:pPr>
      <w:r w:rsidRPr="0081146C">
        <w:rPr>
          <w:b/>
          <w:i/>
        </w:rPr>
        <w:t>debit card</w:t>
      </w:r>
      <w:r w:rsidRPr="0081146C">
        <w:t xml:space="preserve"> means:</w:t>
      </w:r>
    </w:p>
    <w:p w14:paraId="7CA2C268" w14:textId="77777777" w:rsidR="00824795" w:rsidRPr="0081146C" w:rsidRDefault="00824795" w:rsidP="00824795">
      <w:pPr>
        <w:pStyle w:val="paragraph"/>
      </w:pPr>
      <w:r w:rsidRPr="0081146C">
        <w:tab/>
        <w:t>(a)</w:t>
      </w:r>
      <w:r w:rsidRPr="0081146C">
        <w:tab/>
        <w:t>a thing (whether real or virtual) that is intended for use by a person in obtaining access to an account that is held by the person for the purpose of withdrawing or depositing physical currency or obtaining goods or services; or</w:t>
      </w:r>
    </w:p>
    <w:p w14:paraId="0B08F922" w14:textId="77777777" w:rsidR="00824795" w:rsidRPr="0081146C" w:rsidRDefault="00824795" w:rsidP="00824795">
      <w:pPr>
        <w:pStyle w:val="paragraph"/>
      </w:pPr>
      <w:r w:rsidRPr="0081146C">
        <w:tab/>
        <w:t>(b)</w:t>
      </w:r>
      <w:r w:rsidRPr="0081146C">
        <w:tab/>
        <w:t>a thing (whether real or virtual) that may be used as a thing referred to in paragraph (a).</w:t>
      </w:r>
    </w:p>
    <w:p w14:paraId="478AEF24" w14:textId="77777777" w:rsidR="00035544" w:rsidRPr="0081146C" w:rsidRDefault="00035544" w:rsidP="00035544">
      <w:pPr>
        <w:pStyle w:val="Definition"/>
      </w:pPr>
      <w:r w:rsidRPr="0081146C">
        <w:rPr>
          <w:b/>
          <w:i/>
        </w:rPr>
        <w:t>debit card account</w:t>
      </w:r>
      <w:r w:rsidRPr="0081146C">
        <w:t xml:space="preserve">: if a debit card enables the holder of an account to debit the account, the account is a </w:t>
      </w:r>
      <w:r w:rsidRPr="0081146C">
        <w:rPr>
          <w:b/>
          <w:i/>
        </w:rPr>
        <w:t>debit card account</w:t>
      </w:r>
      <w:r w:rsidRPr="0081146C">
        <w:t>.</w:t>
      </w:r>
    </w:p>
    <w:p w14:paraId="7517961A" w14:textId="77777777" w:rsidR="00064C94" w:rsidRPr="0081146C" w:rsidRDefault="00064C94" w:rsidP="00064C94">
      <w:pPr>
        <w:pStyle w:val="Definition"/>
      </w:pPr>
      <w:r w:rsidRPr="0081146C">
        <w:rPr>
          <w:b/>
          <w:i/>
        </w:rPr>
        <w:t>deductible gift recipient</w:t>
      </w:r>
      <w:r w:rsidRPr="0081146C">
        <w:t xml:space="preserve"> has the same meaning as in the </w:t>
      </w:r>
      <w:r w:rsidRPr="0081146C">
        <w:rPr>
          <w:i/>
        </w:rPr>
        <w:t>Income Tax Assessment Act 1997</w:t>
      </w:r>
      <w:r w:rsidRPr="0081146C">
        <w:t>.</w:t>
      </w:r>
    </w:p>
    <w:p w14:paraId="31D9E28C" w14:textId="77777777" w:rsidR="009B278E" w:rsidRPr="0081146C" w:rsidRDefault="009B278E" w:rsidP="009B278E">
      <w:pPr>
        <w:pStyle w:val="Definition"/>
      </w:pPr>
      <w:r w:rsidRPr="0081146C">
        <w:rPr>
          <w:b/>
          <w:i/>
        </w:rPr>
        <w:t>de facto partner</w:t>
      </w:r>
      <w:r w:rsidRPr="0081146C">
        <w:rPr>
          <w:b/>
        </w:rPr>
        <w:t xml:space="preserve"> </w:t>
      </w:r>
      <w:r w:rsidRPr="0081146C">
        <w:t xml:space="preserve">has the same meaning as in the </w:t>
      </w:r>
      <w:r w:rsidRPr="0081146C">
        <w:rPr>
          <w:i/>
        </w:rPr>
        <w:t>Acts Interpretation Act 1901</w:t>
      </w:r>
      <w:r w:rsidRPr="0081146C">
        <w:t>.</w:t>
      </w:r>
    </w:p>
    <w:p w14:paraId="3805216E" w14:textId="77777777" w:rsidR="00517CBA" w:rsidRPr="0081146C" w:rsidRDefault="00517CBA" w:rsidP="00517CBA">
      <w:pPr>
        <w:pStyle w:val="Definition"/>
      </w:pPr>
      <w:r w:rsidRPr="0081146C">
        <w:rPr>
          <w:b/>
          <w:i/>
        </w:rPr>
        <w:t>Defence Department</w:t>
      </w:r>
      <w:r w:rsidRPr="0081146C">
        <w:t xml:space="preserve"> means the Department administered by the Defence Minister.</w:t>
      </w:r>
    </w:p>
    <w:p w14:paraId="37E03B46" w14:textId="77777777" w:rsidR="00517CBA" w:rsidRPr="0081146C" w:rsidRDefault="00517CBA" w:rsidP="00517CBA">
      <w:pPr>
        <w:pStyle w:val="Definition"/>
      </w:pPr>
      <w:r w:rsidRPr="0081146C">
        <w:rPr>
          <w:b/>
          <w:i/>
        </w:rPr>
        <w:t xml:space="preserve">Defence Minister </w:t>
      </w:r>
      <w:r w:rsidRPr="0081146C">
        <w:t xml:space="preserve">means the Minister responsible for administering the </w:t>
      </w:r>
      <w:r w:rsidRPr="0081146C">
        <w:rPr>
          <w:i/>
        </w:rPr>
        <w:t>Defence Act 1903</w:t>
      </w:r>
      <w:r w:rsidRPr="0081146C">
        <w:t>.</w:t>
      </w:r>
    </w:p>
    <w:p w14:paraId="140A004E" w14:textId="77777777" w:rsidR="00064C94" w:rsidRPr="0081146C" w:rsidRDefault="00064C94" w:rsidP="00064C94">
      <w:pPr>
        <w:pStyle w:val="Definition"/>
      </w:pPr>
      <w:r w:rsidRPr="0081146C">
        <w:rPr>
          <w:b/>
          <w:i/>
        </w:rPr>
        <w:t xml:space="preserve">departing Australia superannuation payment </w:t>
      </w:r>
      <w:r w:rsidRPr="0081146C">
        <w:t xml:space="preserve">has the same meaning as in the </w:t>
      </w:r>
      <w:r w:rsidRPr="0081146C">
        <w:rPr>
          <w:i/>
        </w:rPr>
        <w:t>Income Tax Assessment Act 1997</w:t>
      </w:r>
      <w:r w:rsidRPr="0081146C">
        <w:t>.</w:t>
      </w:r>
    </w:p>
    <w:p w14:paraId="3203CC8C" w14:textId="77777777" w:rsidR="00824795" w:rsidRPr="0081146C" w:rsidRDefault="00824795" w:rsidP="00824795">
      <w:pPr>
        <w:pStyle w:val="Definition"/>
      </w:pPr>
      <w:r w:rsidRPr="0081146C">
        <w:rPr>
          <w:b/>
          <w:i/>
        </w:rPr>
        <w:t>derivative</w:t>
      </w:r>
      <w:r w:rsidRPr="0081146C">
        <w:t>: see subsections 7A(3) and (4).</w:t>
      </w:r>
    </w:p>
    <w:p w14:paraId="006784DE" w14:textId="77777777" w:rsidR="0049002F" w:rsidRPr="0081146C" w:rsidRDefault="0049002F" w:rsidP="0049002F">
      <w:pPr>
        <w:pStyle w:val="Definition"/>
      </w:pPr>
      <w:r w:rsidRPr="0081146C">
        <w:rPr>
          <w:b/>
          <w:i/>
        </w:rPr>
        <w:t>designated infringement notice provision</w:t>
      </w:r>
      <w:r w:rsidRPr="0081146C">
        <w:t xml:space="preserve"> has the meaning given by sub</w:t>
      </w:r>
      <w:r w:rsidR="003B7E15" w:rsidRPr="0081146C">
        <w:t>section 1</w:t>
      </w:r>
      <w:r w:rsidRPr="0081146C">
        <w:t>84(4).</w:t>
      </w:r>
    </w:p>
    <w:p w14:paraId="07B9B484" w14:textId="77777777" w:rsidR="00035544" w:rsidRPr="0081146C" w:rsidRDefault="00035544" w:rsidP="00035544">
      <w:pPr>
        <w:pStyle w:val="Definition"/>
      </w:pPr>
      <w:r w:rsidRPr="0081146C">
        <w:rPr>
          <w:b/>
          <w:i/>
        </w:rPr>
        <w:t>designated service</w:t>
      </w:r>
      <w:r w:rsidRPr="0081146C">
        <w:t xml:space="preserve"> has the meaning given by section</w:t>
      </w:r>
      <w:r w:rsidR="004F64A4" w:rsidRPr="0081146C">
        <w:t> </w:t>
      </w:r>
      <w:r w:rsidRPr="0081146C">
        <w:t>6.</w:t>
      </w:r>
    </w:p>
    <w:p w14:paraId="41A96EF9" w14:textId="77777777" w:rsidR="00035544" w:rsidRPr="0081146C" w:rsidRDefault="00035544" w:rsidP="00035544">
      <w:pPr>
        <w:pStyle w:val="Definition"/>
      </w:pPr>
      <w:r w:rsidRPr="0081146C">
        <w:rPr>
          <w:b/>
          <w:i/>
        </w:rPr>
        <w:t xml:space="preserve">director </w:t>
      </w:r>
      <w:r w:rsidRPr="0081146C">
        <w:t>of a company includes a member of a body corporate incorporated for a public purpose by a law of the Commonwealth, a State or a Territory.</w:t>
      </w:r>
    </w:p>
    <w:p w14:paraId="1C132ADD" w14:textId="77777777" w:rsidR="00C41F94" w:rsidRPr="0081146C" w:rsidRDefault="00C41F94" w:rsidP="00C41F94">
      <w:pPr>
        <w:pStyle w:val="Definition"/>
      </w:pPr>
      <w:r w:rsidRPr="0081146C">
        <w:rPr>
          <w:b/>
          <w:i/>
        </w:rPr>
        <w:t>Director</w:t>
      </w:r>
      <w:r w:rsidR="003B7E15" w:rsidRPr="0081146C">
        <w:rPr>
          <w:b/>
          <w:i/>
        </w:rPr>
        <w:noBreakHyphen/>
      </w:r>
      <w:r w:rsidRPr="0081146C">
        <w:rPr>
          <w:b/>
          <w:i/>
        </w:rPr>
        <w:t>General of National Intelligence</w:t>
      </w:r>
      <w:r w:rsidRPr="0081146C">
        <w:t xml:space="preserve"> means the Director</w:t>
      </w:r>
      <w:r w:rsidR="003B7E15" w:rsidRPr="0081146C">
        <w:noBreakHyphen/>
      </w:r>
      <w:r w:rsidRPr="0081146C">
        <w:t xml:space="preserve">General of National Intelligence holding office under the </w:t>
      </w:r>
      <w:r w:rsidRPr="0081146C">
        <w:rPr>
          <w:i/>
        </w:rPr>
        <w:t>Office of National Intelligence Act 2018</w:t>
      </w:r>
      <w:r w:rsidRPr="0081146C">
        <w:t>.</w:t>
      </w:r>
    </w:p>
    <w:p w14:paraId="2660230C" w14:textId="77777777" w:rsidR="00035544" w:rsidRPr="0081146C" w:rsidRDefault="00035544" w:rsidP="00035544">
      <w:pPr>
        <w:pStyle w:val="Definition"/>
      </w:pPr>
      <w:r w:rsidRPr="0081146C">
        <w:rPr>
          <w:b/>
          <w:i/>
        </w:rPr>
        <w:t>disclose</w:t>
      </w:r>
      <w:r w:rsidRPr="0081146C">
        <w:t xml:space="preserve"> means divulge or communicate.</w:t>
      </w:r>
    </w:p>
    <w:p w14:paraId="512D5721" w14:textId="77777777" w:rsidR="00035544" w:rsidRPr="0081146C" w:rsidRDefault="00035544" w:rsidP="00035544">
      <w:pPr>
        <w:pStyle w:val="Definition"/>
      </w:pPr>
      <w:r w:rsidRPr="0081146C">
        <w:rPr>
          <w:b/>
          <w:i/>
        </w:rPr>
        <w:t>disposing of</w:t>
      </w:r>
      <w:r w:rsidRPr="0081146C">
        <w:t xml:space="preserve">: in determining whether something is a designated service, </w:t>
      </w:r>
      <w:r w:rsidRPr="0081146C">
        <w:rPr>
          <w:b/>
          <w:i/>
        </w:rPr>
        <w:t xml:space="preserve">disposing of </w:t>
      </w:r>
      <w:r w:rsidRPr="0081146C">
        <w:t>includes anything that, under the regulations, is taken to be disposing of for the purposes of this definition.</w:t>
      </w:r>
    </w:p>
    <w:p w14:paraId="6091D06D" w14:textId="77777777" w:rsidR="009B278E" w:rsidRPr="0081146C" w:rsidRDefault="009B278E" w:rsidP="009B278E">
      <w:pPr>
        <w:pStyle w:val="Definition"/>
      </w:pPr>
      <w:r w:rsidRPr="0081146C">
        <w:rPr>
          <w:b/>
          <w:i/>
        </w:rPr>
        <w:t xml:space="preserve">domestic politically exposed person </w:t>
      </w:r>
      <w:r w:rsidRPr="0081146C">
        <w:t>means:</w:t>
      </w:r>
    </w:p>
    <w:p w14:paraId="54F5D46A" w14:textId="77777777" w:rsidR="009B278E" w:rsidRPr="0081146C" w:rsidRDefault="009B278E" w:rsidP="009B278E">
      <w:pPr>
        <w:pStyle w:val="paragraph"/>
      </w:pPr>
      <w:r w:rsidRPr="0081146C">
        <w:tab/>
        <w:t>(a)</w:t>
      </w:r>
      <w:r w:rsidRPr="0081146C">
        <w:tab/>
        <w:t>an individual who holds an office or position (whether or not in or for the Commonwealth) specified in the AML/CTF Rules; or</w:t>
      </w:r>
    </w:p>
    <w:p w14:paraId="75E2D925" w14:textId="77777777" w:rsidR="009B278E" w:rsidRPr="0081146C" w:rsidRDefault="009B278E" w:rsidP="009B278E">
      <w:pPr>
        <w:pStyle w:val="paragraph"/>
      </w:pPr>
      <w:r w:rsidRPr="0081146C">
        <w:tab/>
        <w:t>(b)</w:t>
      </w:r>
      <w:r w:rsidRPr="0081146C">
        <w:tab/>
        <w:t>an individual who is a member of the legislature of the Commonwealth or of a State or Territory; or</w:t>
      </w:r>
    </w:p>
    <w:p w14:paraId="1AB15D33" w14:textId="77777777" w:rsidR="009B278E" w:rsidRPr="0081146C" w:rsidRDefault="009B278E" w:rsidP="009B278E">
      <w:pPr>
        <w:pStyle w:val="paragraph"/>
      </w:pPr>
      <w:r w:rsidRPr="0081146C">
        <w:tab/>
        <w:t>(c)</w:t>
      </w:r>
      <w:r w:rsidRPr="0081146C">
        <w:tab/>
        <w:t>a family member of an individual covered by paragraph (a) or (b); or</w:t>
      </w:r>
    </w:p>
    <w:p w14:paraId="215131A4" w14:textId="77777777" w:rsidR="009B278E" w:rsidRPr="0081146C" w:rsidRDefault="009B278E" w:rsidP="009B278E">
      <w:pPr>
        <w:pStyle w:val="paragraph"/>
      </w:pPr>
      <w:r w:rsidRPr="0081146C">
        <w:tab/>
        <w:t>(d)</w:t>
      </w:r>
      <w:r w:rsidRPr="0081146C">
        <w:tab/>
        <w:t>an individual who is known (having regard to information that is public or readily available) to have:</w:t>
      </w:r>
    </w:p>
    <w:p w14:paraId="42EA1853" w14:textId="77777777" w:rsidR="009B278E" w:rsidRPr="0081146C" w:rsidRDefault="009B278E" w:rsidP="009B278E">
      <w:pPr>
        <w:pStyle w:val="paragraphsub"/>
      </w:pPr>
      <w:r w:rsidRPr="0081146C">
        <w:tab/>
        <w:t>(i)</w:t>
      </w:r>
      <w:r w:rsidRPr="0081146C">
        <w:tab/>
        <w:t>joint beneficial ownership of a body corporate or legal arrangement with an individual covered by paragraph (a) or (b); or</w:t>
      </w:r>
    </w:p>
    <w:p w14:paraId="29B40763" w14:textId="77777777" w:rsidR="009B278E" w:rsidRPr="0081146C" w:rsidRDefault="009B278E" w:rsidP="009B278E">
      <w:pPr>
        <w:pStyle w:val="paragraphsub"/>
      </w:pPr>
      <w:r w:rsidRPr="0081146C">
        <w:tab/>
        <w:t>(ii)</w:t>
      </w:r>
      <w:r w:rsidRPr="0081146C">
        <w:tab/>
        <w:t>sole beneficial ownership of a body corporate or legal arrangement on behalf or for the benefit of an individual covered by paragraph (a) or (b); or</w:t>
      </w:r>
    </w:p>
    <w:p w14:paraId="7A8C35A1" w14:textId="77777777" w:rsidR="009B278E" w:rsidRPr="0081146C" w:rsidRDefault="009B278E" w:rsidP="009B278E">
      <w:pPr>
        <w:pStyle w:val="paragraphsub"/>
      </w:pPr>
      <w:r w:rsidRPr="0081146C">
        <w:tab/>
        <w:t>(iii)</w:t>
      </w:r>
      <w:r w:rsidRPr="0081146C">
        <w:tab/>
        <w:t>any other close business relations with an individual covered by paragraph (a) or (b).</w:t>
      </w:r>
    </w:p>
    <w:p w14:paraId="537469AC" w14:textId="77777777" w:rsidR="00035544" w:rsidRPr="0081146C" w:rsidRDefault="00035544" w:rsidP="00035544">
      <w:pPr>
        <w:pStyle w:val="Definition"/>
      </w:pPr>
      <w:r w:rsidRPr="0081146C">
        <w:rPr>
          <w:b/>
          <w:i/>
        </w:rPr>
        <w:t>electronic communication</w:t>
      </w:r>
      <w:r w:rsidRPr="0081146C">
        <w:t xml:space="preserve"> has the same meaning as in the </w:t>
      </w:r>
      <w:r w:rsidRPr="0081146C">
        <w:rPr>
          <w:i/>
        </w:rPr>
        <w:t>Criminal Code</w:t>
      </w:r>
      <w:r w:rsidRPr="0081146C">
        <w:t>.</w:t>
      </w:r>
    </w:p>
    <w:p w14:paraId="06F5D8D2" w14:textId="77777777" w:rsidR="00035544" w:rsidRPr="0081146C" w:rsidRDefault="00035544" w:rsidP="00035544">
      <w:pPr>
        <w:pStyle w:val="Definition"/>
      </w:pPr>
      <w:r w:rsidRPr="0081146C">
        <w:rPr>
          <w:b/>
          <w:i/>
        </w:rPr>
        <w:t>eligible gaming machine venue</w:t>
      </w:r>
      <w:r w:rsidRPr="0081146C">
        <w:t xml:space="preserve"> has the meaning given by </w:t>
      </w:r>
      <w:r w:rsidR="003B7E15" w:rsidRPr="0081146C">
        <w:t>section 1</w:t>
      </w:r>
      <w:r w:rsidRPr="0081146C">
        <w:t>3.</w:t>
      </w:r>
    </w:p>
    <w:p w14:paraId="208BB3E0" w14:textId="77777777" w:rsidR="006C208D" w:rsidRPr="0081146C" w:rsidRDefault="006C208D" w:rsidP="006C208D">
      <w:pPr>
        <w:pStyle w:val="Definition"/>
      </w:pPr>
      <w:r w:rsidRPr="0081146C">
        <w:rPr>
          <w:b/>
          <w:i/>
        </w:rPr>
        <w:t>eligible international emissions unit</w:t>
      </w:r>
      <w:r w:rsidRPr="0081146C">
        <w:t xml:space="preserve"> has the same meaning as in the </w:t>
      </w:r>
      <w:r w:rsidRPr="0081146C">
        <w:rPr>
          <w:i/>
        </w:rPr>
        <w:t>Australian National Registry of Emissions Units Act 2011</w:t>
      </w:r>
      <w:r w:rsidRPr="0081146C">
        <w:t>.</w:t>
      </w:r>
    </w:p>
    <w:p w14:paraId="2A806C12" w14:textId="77777777" w:rsidR="00035544" w:rsidRPr="0081146C" w:rsidRDefault="00035544" w:rsidP="00035544">
      <w:pPr>
        <w:pStyle w:val="Definition"/>
      </w:pPr>
      <w:r w:rsidRPr="0081146C">
        <w:rPr>
          <w:b/>
          <w:i/>
        </w:rPr>
        <w:t>eligible place</w:t>
      </w:r>
      <w:r w:rsidRPr="0081146C">
        <w:t xml:space="preserve"> means:</w:t>
      </w:r>
    </w:p>
    <w:p w14:paraId="1BBEC442" w14:textId="77777777" w:rsidR="00035544" w:rsidRPr="0081146C" w:rsidRDefault="00035544" w:rsidP="00035544">
      <w:pPr>
        <w:pStyle w:val="paragraph"/>
      </w:pPr>
      <w:r w:rsidRPr="0081146C">
        <w:tab/>
        <w:t>(b)</w:t>
      </w:r>
      <w:r w:rsidRPr="0081146C">
        <w:tab/>
        <w:t xml:space="preserve">a warehouse in respect of which a warehouse licence (within the meaning of Part V of the </w:t>
      </w:r>
      <w:r w:rsidRPr="0081146C">
        <w:rPr>
          <w:i/>
        </w:rPr>
        <w:t>Customs Act 1901</w:t>
      </w:r>
      <w:r w:rsidRPr="0081146C">
        <w:t>) is in force; or</w:t>
      </w:r>
    </w:p>
    <w:p w14:paraId="007BEA07" w14:textId="77777777" w:rsidR="00035544" w:rsidRPr="0081146C" w:rsidRDefault="00035544" w:rsidP="00035544">
      <w:pPr>
        <w:pStyle w:val="paragraph"/>
      </w:pPr>
      <w:r w:rsidRPr="0081146C">
        <w:tab/>
        <w:t>(c)</w:t>
      </w:r>
      <w:r w:rsidRPr="0081146C">
        <w:tab/>
        <w:t xml:space="preserve">a port, airport, wharf or boarding station appointed under </w:t>
      </w:r>
      <w:r w:rsidR="003B7E15" w:rsidRPr="0081146C">
        <w:t>section 1</w:t>
      </w:r>
      <w:r w:rsidRPr="0081146C">
        <w:t xml:space="preserve">5 of the </w:t>
      </w:r>
      <w:r w:rsidRPr="0081146C">
        <w:rPr>
          <w:i/>
        </w:rPr>
        <w:t>Customs Act 1901</w:t>
      </w:r>
      <w:r w:rsidRPr="0081146C">
        <w:t>.</w:t>
      </w:r>
    </w:p>
    <w:p w14:paraId="2CCDBE0D" w14:textId="77777777" w:rsidR="00035544" w:rsidRPr="0081146C" w:rsidRDefault="00035544" w:rsidP="00035544">
      <w:pPr>
        <w:pStyle w:val="Definition"/>
      </w:pPr>
      <w:r w:rsidRPr="0081146C">
        <w:rPr>
          <w:b/>
          <w:i/>
        </w:rPr>
        <w:t>embarkation area</w:t>
      </w:r>
      <w:r w:rsidRPr="0081146C">
        <w:t xml:space="preserve"> means a section</w:t>
      </w:r>
      <w:r w:rsidR="004F64A4" w:rsidRPr="0081146C">
        <w:t> </w:t>
      </w:r>
      <w:r w:rsidRPr="0081146C">
        <w:t xml:space="preserve">234AA place within the meaning of the </w:t>
      </w:r>
      <w:r w:rsidRPr="0081146C">
        <w:rPr>
          <w:i/>
        </w:rPr>
        <w:t>Customs Act 1901</w:t>
      </w:r>
      <w:r w:rsidRPr="0081146C">
        <w:t>.</w:t>
      </w:r>
    </w:p>
    <w:p w14:paraId="6C00B257" w14:textId="77777777" w:rsidR="00035544" w:rsidRPr="0081146C" w:rsidRDefault="00035544" w:rsidP="00035544">
      <w:pPr>
        <w:pStyle w:val="Definition"/>
      </w:pPr>
      <w:r w:rsidRPr="0081146C">
        <w:rPr>
          <w:b/>
          <w:i/>
        </w:rPr>
        <w:t>engage in conduct</w:t>
      </w:r>
      <w:r w:rsidRPr="0081146C">
        <w:t xml:space="preserve"> means:</w:t>
      </w:r>
    </w:p>
    <w:p w14:paraId="71C6B318" w14:textId="77777777" w:rsidR="00035544" w:rsidRPr="0081146C" w:rsidRDefault="00035544" w:rsidP="00035544">
      <w:pPr>
        <w:pStyle w:val="paragraph"/>
      </w:pPr>
      <w:r w:rsidRPr="0081146C">
        <w:tab/>
        <w:t>(a)</w:t>
      </w:r>
      <w:r w:rsidRPr="0081146C">
        <w:tab/>
        <w:t>do an act; or</w:t>
      </w:r>
    </w:p>
    <w:p w14:paraId="6ED18F22" w14:textId="77777777" w:rsidR="00035544" w:rsidRPr="0081146C" w:rsidRDefault="00035544" w:rsidP="00035544">
      <w:pPr>
        <w:pStyle w:val="paragraph"/>
      </w:pPr>
      <w:r w:rsidRPr="0081146C">
        <w:tab/>
        <w:t>(b)</w:t>
      </w:r>
      <w:r w:rsidRPr="0081146C">
        <w:tab/>
        <w:t>omit to perform an act.</w:t>
      </w:r>
    </w:p>
    <w:p w14:paraId="786D0F72" w14:textId="77777777" w:rsidR="004C2DD1" w:rsidRPr="0081146C" w:rsidRDefault="004C2DD1" w:rsidP="004C2DD1">
      <w:pPr>
        <w:pStyle w:val="Definition"/>
      </w:pPr>
      <w:r w:rsidRPr="0081146C">
        <w:rPr>
          <w:b/>
          <w:i/>
        </w:rPr>
        <w:t>enrolment details</w:t>
      </w:r>
      <w:r w:rsidRPr="0081146C">
        <w:t>, in relation to a person, means such information relating to the person as is specified in the AML/CTF Rules.</w:t>
      </w:r>
    </w:p>
    <w:p w14:paraId="0AF6919D" w14:textId="77777777" w:rsidR="00DE1AB0" w:rsidRPr="0081146C" w:rsidRDefault="00DE1AB0" w:rsidP="00DE1AB0">
      <w:pPr>
        <w:pStyle w:val="Definition"/>
      </w:pPr>
      <w:r w:rsidRPr="0081146C">
        <w:rPr>
          <w:b/>
          <w:i/>
        </w:rPr>
        <w:t>entrusted investigating official</w:t>
      </w:r>
      <w:r w:rsidRPr="0081146C">
        <w:t xml:space="preserve"> means:</w:t>
      </w:r>
    </w:p>
    <w:p w14:paraId="303CD7A1" w14:textId="77777777" w:rsidR="00DE1AB0" w:rsidRPr="0081146C" w:rsidRDefault="00DE1AB0" w:rsidP="00DE1AB0">
      <w:pPr>
        <w:pStyle w:val="paragraph"/>
      </w:pPr>
      <w:r w:rsidRPr="0081146C">
        <w:tab/>
        <w:t>(a)</w:t>
      </w:r>
      <w:r w:rsidRPr="0081146C">
        <w:tab/>
        <w:t>the Commissioner of the Australian Federal Police; or</w:t>
      </w:r>
    </w:p>
    <w:p w14:paraId="2928F9AE" w14:textId="77777777" w:rsidR="00DE1AB0" w:rsidRPr="0081146C" w:rsidRDefault="00DE1AB0" w:rsidP="00DE1AB0">
      <w:pPr>
        <w:pStyle w:val="paragraph"/>
      </w:pPr>
      <w:r w:rsidRPr="0081146C">
        <w:tab/>
        <w:t>(b)</w:t>
      </w:r>
      <w:r w:rsidRPr="0081146C">
        <w:tab/>
        <w:t>the Chief Executive Officer of the Australian Crime Commission; or</w:t>
      </w:r>
    </w:p>
    <w:p w14:paraId="23FF58E9" w14:textId="77777777" w:rsidR="00DE1AB0" w:rsidRPr="0081146C" w:rsidRDefault="00DE1AB0" w:rsidP="00DE1AB0">
      <w:pPr>
        <w:pStyle w:val="paragraph"/>
      </w:pPr>
      <w:r w:rsidRPr="0081146C">
        <w:tab/>
        <w:t>(c)</w:t>
      </w:r>
      <w:r w:rsidRPr="0081146C">
        <w:tab/>
        <w:t>the Commissioner of Taxation; or</w:t>
      </w:r>
    </w:p>
    <w:p w14:paraId="1602AE2D" w14:textId="77777777" w:rsidR="00DE1AB0" w:rsidRPr="0081146C" w:rsidRDefault="00DE1AB0" w:rsidP="00DE1AB0">
      <w:pPr>
        <w:pStyle w:val="paragraph"/>
      </w:pPr>
      <w:r w:rsidRPr="0081146C">
        <w:tab/>
        <w:t>(d)</w:t>
      </w:r>
      <w:r w:rsidRPr="0081146C">
        <w:tab/>
        <w:t>the Comptroller</w:t>
      </w:r>
      <w:r w:rsidR="003B7E15" w:rsidRPr="0081146C">
        <w:noBreakHyphen/>
      </w:r>
      <w:r w:rsidRPr="0081146C">
        <w:t>General of Customs; or</w:t>
      </w:r>
    </w:p>
    <w:p w14:paraId="7FE0AB6B" w14:textId="77777777" w:rsidR="00EC3B77" w:rsidRPr="0081146C" w:rsidRDefault="00EC3B77" w:rsidP="00EC3B77">
      <w:pPr>
        <w:pStyle w:val="paragraph"/>
      </w:pPr>
      <w:r w:rsidRPr="0081146C">
        <w:tab/>
        <w:t>(e)</w:t>
      </w:r>
      <w:r w:rsidRPr="0081146C">
        <w:tab/>
        <w:t>the National Anti</w:t>
      </w:r>
      <w:r w:rsidR="003B7E15" w:rsidRPr="0081146C">
        <w:noBreakHyphen/>
      </w:r>
      <w:r w:rsidRPr="0081146C">
        <w:t>Corruption Commissioner; or</w:t>
      </w:r>
    </w:p>
    <w:p w14:paraId="691D151D" w14:textId="77777777" w:rsidR="00DE1AB0" w:rsidRPr="0081146C" w:rsidRDefault="00DE1AB0" w:rsidP="00DE1AB0">
      <w:pPr>
        <w:pStyle w:val="paragraph"/>
      </w:pPr>
      <w:r w:rsidRPr="0081146C">
        <w:tab/>
        <w:t>(f)</w:t>
      </w:r>
      <w:r w:rsidRPr="0081146C">
        <w:tab/>
        <w:t>an investigating officer.</w:t>
      </w:r>
    </w:p>
    <w:p w14:paraId="1BBFF372" w14:textId="77777777" w:rsidR="00035544" w:rsidRPr="0081146C" w:rsidRDefault="00035544" w:rsidP="00035544">
      <w:pPr>
        <w:pStyle w:val="Definition"/>
      </w:pPr>
      <w:r w:rsidRPr="0081146C">
        <w:rPr>
          <w:b/>
          <w:i/>
        </w:rPr>
        <w:t>evidential burden</w:t>
      </w:r>
      <w:r w:rsidRPr="0081146C">
        <w:t>, in relation to a matter, means the burden of adducing or pointing to evidence that suggests a reasonable possibility that the matter exists or does not exist.</w:t>
      </w:r>
    </w:p>
    <w:p w14:paraId="185A0238" w14:textId="77777777" w:rsidR="008F343A" w:rsidRPr="0081146C" w:rsidRDefault="008F343A" w:rsidP="008F343A">
      <w:pPr>
        <w:pStyle w:val="Definition"/>
      </w:pPr>
      <w:r w:rsidRPr="0081146C">
        <w:rPr>
          <w:b/>
          <w:i/>
        </w:rPr>
        <w:t>examinee</w:t>
      </w:r>
      <w:r w:rsidRPr="0081146C">
        <w:t>, in relation to an examination under Division 3 of Part 14, means the person who appears for examination.</w:t>
      </w:r>
    </w:p>
    <w:p w14:paraId="040FD234" w14:textId="77777777" w:rsidR="008F343A" w:rsidRPr="0081146C" w:rsidRDefault="008F343A" w:rsidP="008F343A">
      <w:pPr>
        <w:pStyle w:val="Definition"/>
      </w:pPr>
      <w:r w:rsidRPr="0081146C">
        <w:rPr>
          <w:b/>
          <w:i/>
        </w:rPr>
        <w:t>examiner</w:t>
      </w:r>
      <w:r w:rsidRPr="0081146C">
        <w:t>, in relation to an examination under Division 3 of Part 14, means the AUSTRAC CEO and includes:</w:t>
      </w:r>
    </w:p>
    <w:p w14:paraId="6DFFC0B9" w14:textId="77777777" w:rsidR="008F343A" w:rsidRPr="0081146C" w:rsidRDefault="008F343A" w:rsidP="008F343A">
      <w:pPr>
        <w:pStyle w:val="paragraph"/>
      </w:pPr>
      <w:r w:rsidRPr="0081146C">
        <w:tab/>
        <w:t>(a)</w:t>
      </w:r>
      <w:r w:rsidRPr="0081146C">
        <w:tab/>
        <w:t>a delegate of the AUSTRAC CEO; and</w:t>
      </w:r>
    </w:p>
    <w:p w14:paraId="07915D04" w14:textId="77777777" w:rsidR="008F343A" w:rsidRPr="0081146C" w:rsidRDefault="008F343A" w:rsidP="008F343A">
      <w:pPr>
        <w:pStyle w:val="paragraph"/>
      </w:pPr>
      <w:r w:rsidRPr="0081146C">
        <w:tab/>
        <w:t>(b)</w:t>
      </w:r>
      <w:r w:rsidRPr="0081146C">
        <w:tab/>
        <w:t>a consultant engaged under subsection 225(1) to perform services as an examiner.</w:t>
      </w:r>
    </w:p>
    <w:p w14:paraId="2DEB2432" w14:textId="77777777" w:rsidR="00035544" w:rsidRPr="0081146C" w:rsidRDefault="00035544" w:rsidP="00035544">
      <w:pPr>
        <w:pStyle w:val="Definition"/>
      </w:pPr>
      <w:r w:rsidRPr="0081146C">
        <w:rPr>
          <w:b/>
          <w:i/>
        </w:rPr>
        <w:t xml:space="preserve">examiner of the Australian Crime Commission </w:t>
      </w:r>
      <w:r w:rsidRPr="0081146C">
        <w:t xml:space="preserve">means an examiner within the meaning of the </w:t>
      </w:r>
      <w:r w:rsidRPr="0081146C">
        <w:rPr>
          <w:i/>
        </w:rPr>
        <w:t>Australian Crime Commission Act 2002</w:t>
      </w:r>
      <w:r w:rsidRPr="0081146C">
        <w:t>.</w:t>
      </w:r>
    </w:p>
    <w:p w14:paraId="69CAF171" w14:textId="77777777" w:rsidR="00064C94" w:rsidRPr="0081146C" w:rsidRDefault="00064C94" w:rsidP="00064C94">
      <w:pPr>
        <w:pStyle w:val="Definition"/>
      </w:pPr>
      <w:r w:rsidRPr="0081146C">
        <w:rPr>
          <w:b/>
          <w:i/>
        </w:rPr>
        <w:t>exchange settlement account</w:t>
      </w:r>
      <w:r w:rsidRPr="0081146C">
        <w:t xml:space="preserve"> means an account provided by the Reserve Bank of Australia that is used for the final settlement of obligations between holders of such accounts.</w:t>
      </w:r>
    </w:p>
    <w:p w14:paraId="30D86C74" w14:textId="77777777" w:rsidR="00035544" w:rsidRPr="0081146C" w:rsidRDefault="00035544" w:rsidP="00035544">
      <w:pPr>
        <w:pStyle w:val="Definition"/>
      </w:pPr>
      <w:r w:rsidRPr="0081146C">
        <w:rPr>
          <w:b/>
          <w:i/>
        </w:rPr>
        <w:t>exempt financial market operator</w:t>
      </w:r>
      <w:r w:rsidRPr="0081146C">
        <w:t xml:space="preserve"> </w:t>
      </w:r>
      <w:r w:rsidRPr="0081146C">
        <w:rPr>
          <w:b/>
          <w:i/>
        </w:rPr>
        <w:t>issue</w:t>
      </w:r>
      <w:r w:rsidRPr="0081146C">
        <w:t xml:space="preserve"> of a security or derivative means the making available of the security or derivative, by the operator of a financial market (within the meaning of Chapter</w:t>
      </w:r>
      <w:r w:rsidR="004F64A4" w:rsidRPr="0081146C">
        <w:t> </w:t>
      </w:r>
      <w:r w:rsidRPr="0081146C">
        <w:t xml:space="preserve">7 of the </w:t>
      </w:r>
      <w:r w:rsidRPr="0081146C">
        <w:rPr>
          <w:i/>
        </w:rPr>
        <w:t>Corporations Act 2001</w:t>
      </w:r>
      <w:r w:rsidRPr="0081146C">
        <w:t>), in the course of operating the financial market.</w:t>
      </w:r>
    </w:p>
    <w:p w14:paraId="48897EFA" w14:textId="77777777" w:rsidR="00393E03" w:rsidRPr="0081146C" w:rsidRDefault="00393E03" w:rsidP="00393E03">
      <w:pPr>
        <w:pStyle w:val="Definition"/>
      </w:pPr>
      <w:r w:rsidRPr="0081146C">
        <w:rPr>
          <w:b/>
          <w:i/>
        </w:rPr>
        <w:t>express trust</w:t>
      </w:r>
      <w:r w:rsidRPr="0081146C">
        <w:t xml:space="preserve"> means a trust expressly and intentionally created in writing by a settlor but does not include a testamentary trust.</w:t>
      </w:r>
    </w:p>
    <w:p w14:paraId="69845B09" w14:textId="77777777" w:rsidR="00064C94" w:rsidRPr="0081146C" w:rsidRDefault="00064C94" w:rsidP="00064C94">
      <w:pPr>
        <w:pStyle w:val="Definition"/>
      </w:pPr>
      <w:r w:rsidRPr="0081146C">
        <w:rPr>
          <w:b/>
          <w:i/>
        </w:rPr>
        <w:t>extension notice</w:t>
      </w:r>
      <w:r w:rsidRPr="0081146C">
        <w:t>: see subsection 39B(7).</w:t>
      </w:r>
    </w:p>
    <w:p w14:paraId="26E39201" w14:textId="77777777" w:rsidR="00035544" w:rsidRPr="0081146C" w:rsidRDefault="00035544" w:rsidP="00035544">
      <w:pPr>
        <w:pStyle w:val="Definition"/>
      </w:pPr>
      <w:r w:rsidRPr="0081146C">
        <w:rPr>
          <w:b/>
          <w:i/>
        </w:rPr>
        <w:t>external auditor</w:t>
      </w:r>
      <w:r w:rsidRPr="0081146C">
        <w:t xml:space="preserve"> means a person authorised under </w:t>
      </w:r>
      <w:r w:rsidR="003B7E15" w:rsidRPr="0081146C">
        <w:t>section 1</w:t>
      </w:r>
      <w:r w:rsidRPr="0081146C">
        <w:t>64 to be an external auditor for the purposes of this Act.</w:t>
      </w:r>
    </w:p>
    <w:p w14:paraId="036500EA" w14:textId="77777777" w:rsidR="00035544" w:rsidRPr="0081146C" w:rsidRDefault="00035544" w:rsidP="00035544">
      <w:pPr>
        <w:pStyle w:val="Definition"/>
      </w:pPr>
      <w:r w:rsidRPr="0081146C">
        <w:rPr>
          <w:b/>
          <w:i/>
        </w:rPr>
        <w:t>factoring</w:t>
      </w:r>
      <w:r w:rsidRPr="0081146C">
        <w:t xml:space="preserve"> includes anything that, under the regulations, is taken to be factoring for the purposes of this Act.</w:t>
      </w:r>
    </w:p>
    <w:p w14:paraId="54E0CE99" w14:textId="77777777" w:rsidR="00035544" w:rsidRPr="0081146C" w:rsidRDefault="00035544" w:rsidP="00035544">
      <w:pPr>
        <w:pStyle w:val="Definition"/>
      </w:pPr>
      <w:r w:rsidRPr="0081146C">
        <w:rPr>
          <w:b/>
          <w:i/>
        </w:rPr>
        <w:t>false customer name</w:t>
      </w:r>
      <w:r w:rsidRPr="0081146C">
        <w:t xml:space="preserve"> means a name other than a name by which the customer is commonly known.</w:t>
      </w:r>
    </w:p>
    <w:p w14:paraId="681A17E8" w14:textId="77777777" w:rsidR="009B278E" w:rsidRPr="0081146C" w:rsidRDefault="009B278E" w:rsidP="009B278E">
      <w:pPr>
        <w:pStyle w:val="Definition"/>
      </w:pPr>
      <w:r w:rsidRPr="0081146C">
        <w:rPr>
          <w:b/>
          <w:i/>
        </w:rPr>
        <w:t>family member</w:t>
      </w:r>
      <w:r w:rsidRPr="0081146C">
        <w:t xml:space="preserve"> of an individual who is covered by:</w:t>
      </w:r>
    </w:p>
    <w:p w14:paraId="4C141990" w14:textId="77777777" w:rsidR="009B278E" w:rsidRPr="0081146C" w:rsidRDefault="009B278E" w:rsidP="009B278E">
      <w:pPr>
        <w:pStyle w:val="paragraph"/>
      </w:pPr>
      <w:r w:rsidRPr="0081146C">
        <w:tab/>
        <w:t>(a)</w:t>
      </w:r>
      <w:r w:rsidRPr="0081146C">
        <w:tab/>
        <w:t xml:space="preserve">paragraph (a) or (b) of the definition of </w:t>
      </w:r>
      <w:r w:rsidRPr="0081146C">
        <w:rPr>
          <w:b/>
          <w:i/>
        </w:rPr>
        <w:t>domestic politically exposed person</w:t>
      </w:r>
      <w:r w:rsidRPr="0081146C">
        <w:t xml:space="preserve"> in this section; or</w:t>
      </w:r>
    </w:p>
    <w:p w14:paraId="3A2593F0" w14:textId="77777777" w:rsidR="009B278E" w:rsidRPr="0081146C" w:rsidRDefault="009B278E" w:rsidP="009B278E">
      <w:pPr>
        <w:pStyle w:val="paragraph"/>
      </w:pPr>
      <w:r w:rsidRPr="0081146C">
        <w:tab/>
        <w:t>(b)</w:t>
      </w:r>
      <w:r w:rsidRPr="0081146C">
        <w:tab/>
        <w:t xml:space="preserve">paragraph (a) of the definition of </w:t>
      </w:r>
      <w:r w:rsidRPr="0081146C">
        <w:rPr>
          <w:b/>
          <w:i/>
        </w:rPr>
        <w:t>foreign politically exposed person</w:t>
      </w:r>
      <w:r w:rsidRPr="0081146C">
        <w:t xml:space="preserve"> in this section; or</w:t>
      </w:r>
    </w:p>
    <w:p w14:paraId="4EA923DF" w14:textId="77777777" w:rsidR="009B278E" w:rsidRPr="0081146C" w:rsidRDefault="009B278E" w:rsidP="009B278E">
      <w:pPr>
        <w:pStyle w:val="paragraph"/>
      </w:pPr>
      <w:r w:rsidRPr="0081146C">
        <w:tab/>
        <w:t>(c)</w:t>
      </w:r>
      <w:r w:rsidRPr="0081146C">
        <w:tab/>
        <w:t xml:space="preserve">paragraph (a) of the definition of </w:t>
      </w:r>
      <w:r w:rsidRPr="0081146C">
        <w:rPr>
          <w:b/>
          <w:i/>
        </w:rPr>
        <w:t>international organisation politically exposed person</w:t>
      </w:r>
      <w:r w:rsidRPr="0081146C">
        <w:t xml:space="preserve"> in this section;</w:t>
      </w:r>
    </w:p>
    <w:p w14:paraId="49D1F901" w14:textId="77777777" w:rsidR="009B278E" w:rsidRPr="0081146C" w:rsidRDefault="009B278E" w:rsidP="009B278E">
      <w:pPr>
        <w:pStyle w:val="subsection2"/>
      </w:pPr>
      <w:r w:rsidRPr="0081146C">
        <w:t>includes:</w:t>
      </w:r>
    </w:p>
    <w:p w14:paraId="174A70C9" w14:textId="77777777" w:rsidR="009B278E" w:rsidRPr="0081146C" w:rsidRDefault="009B278E" w:rsidP="009B278E">
      <w:pPr>
        <w:pStyle w:val="paragraph"/>
      </w:pPr>
      <w:r w:rsidRPr="0081146C">
        <w:tab/>
        <w:t>(d)</w:t>
      </w:r>
      <w:r w:rsidRPr="0081146C">
        <w:tab/>
        <w:t>a spouse, de facto partner, or other person who is equivalent to a spouse or de facto partner under any applicable law of a foreign country, of the individual; and</w:t>
      </w:r>
    </w:p>
    <w:p w14:paraId="1DD58532" w14:textId="77777777" w:rsidR="009B278E" w:rsidRPr="0081146C" w:rsidRDefault="009B278E" w:rsidP="009B278E">
      <w:pPr>
        <w:pStyle w:val="paragraph"/>
      </w:pPr>
      <w:r w:rsidRPr="0081146C">
        <w:tab/>
        <w:t>(e)</w:t>
      </w:r>
      <w:r w:rsidRPr="0081146C">
        <w:tab/>
        <w:t>a child of the individual; and</w:t>
      </w:r>
    </w:p>
    <w:p w14:paraId="23638F28" w14:textId="77777777" w:rsidR="009B278E" w:rsidRPr="0081146C" w:rsidRDefault="009B278E" w:rsidP="009B278E">
      <w:pPr>
        <w:pStyle w:val="paragraph"/>
      </w:pPr>
      <w:r w:rsidRPr="0081146C">
        <w:tab/>
        <w:t>(f)</w:t>
      </w:r>
      <w:r w:rsidRPr="0081146C">
        <w:tab/>
        <w:t>a spouse or de facto partner, or other person who is equivalent to a spouse or de facto partner under any applicable law of a foreign country, of a child of the individual; and</w:t>
      </w:r>
    </w:p>
    <w:p w14:paraId="3D77A9A7" w14:textId="77777777" w:rsidR="009B278E" w:rsidRPr="0081146C" w:rsidRDefault="009B278E" w:rsidP="009B278E">
      <w:pPr>
        <w:pStyle w:val="paragraph"/>
      </w:pPr>
      <w:r w:rsidRPr="0081146C">
        <w:tab/>
        <w:t>(g)</w:t>
      </w:r>
      <w:r w:rsidRPr="0081146C">
        <w:tab/>
        <w:t>a parent of the individual.</w:t>
      </w:r>
    </w:p>
    <w:p w14:paraId="4F62A942" w14:textId="77777777" w:rsidR="00035544" w:rsidRPr="0081146C" w:rsidRDefault="00035544" w:rsidP="00035544">
      <w:pPr>
        <w:pStyle w:val="Definition"/>
      </w:pPr>
      <w:r w:rsidRPr="0081146C">
        <w:rPr>
          <w:b/>
          <w:i/>
        </w:rPr>
        <w:t>FATF Recommendations</w:t>
      </w:r>
      <w:r w:rsidRPr="0081146C">
        <w:t xml:space="preserve"> (short for Financial Action Task Force Recommendations) means:</w:t>
      </w:r>
    </w:p>
    <w:p w14:paraId="1704357A" w14:textId="77777777" w:rsidR="00035544" w:rsidRPr="0081146C" w:rsidRDefault="00035544" w:rsidP="00035544">
      <w:pPr>
        <w:pStyle w:val="paragraph"/>
      </w:pPr>
      <w:r w:rsidRPr="0081146C">
        <w:tab/>
        <w:t>(a)</w:t>
      </w:r>
      <w:r w:rsidRPr="0081146C">
        <w:tab/>
        <w:t>all of the following Recommendations:</w:t>
      </w:r>
    </w:p>
    <w:p w14:paraId="17843D66" w14:textId="77777777" w:rsidR="00035544" w:rsidRPr="0081146C" w:rsidRDefault="00035544" w:rsidP="00035544">
      <w:pPr>
        <w:pStyle w:val="paragraphsub"/>
      </w:pPr>
      <w:r w:rsidRPr="0081146C">
        <w:tab/>
        <w:t>(i)</w:t>
      </w:r>
      <w:r w:rsidRPr="0081146C">
        <w:tab/>
        <w:t>the Forty Recommendations adopted by the Financial Action Task Force on Money Laundering (FATF) at its plenary meeting on 20</w:t>
      </w:r>
      <w:r w:rsidR="004F64A4" w:rsidRPr="0081146C">
        <w:t> </w:t>
      </w:r>
      <w:r w:rsidRPr="0081146C">
        <w:t>June 2003;</w:t>
      </w:r>
    </w:p>
    <w:p w14:paraId="47342EBF" w14:textId="77777777" w:rsidR="00035544" w:rsidRPr="0081146C" w:rsidRDefault="00035544" w:rsidP="00035544">
      <w:pPr>
        <w:pStyle w:val="paragraphsub"/>
      </w:pPr>
      <w:r w:rsidRPr="0081146C">
        <w:tab/>
        <w:t>(ii)</w:t>
      </w:r>
      <w:r w:rsidRPr="0081146C">
        <w:tab/>
        <w:t>the Special Recommendations on Terrorist Financing adopted by the Financial Action Task Force on Money Laundering (FATF) at its special plenary meeting on 31</w:t>
      </w:r>
      <w:r w:rsidR="004F64A4" w:rsidRPr="0081146C">
        <w:t> </w:t>
      </w:r>
      <w:r w:rsidRPr="0081146C">
        <w:t>October 2001;</w:t>
      </w:r>
    </w:p>
    <w:p w14:paraId="37F2342C" w14:textId="77777777" w:rsidR="00035544" w:rsidRPr="0081146C" w:rsidRDefault="00035544" w:rsidP="00035544">
      <w:pPr>
        <w:pStyle w:val="paragraphsub"/>
      </w:pPr>
      <w:r w:rsidRPr="0081146C">
        <w:tab/>
        <w:t>(iii)</w:t>
      </w:r>
      <w:r w:rsidRPr="0081146C">
        <w:tab/>
        <w:t>Special Recommendation IX on Terrorist Financing adopted by the Financial Action Task Force on Money Laundering (FATF) at its plenary meeting on 20</w:t>
      </w:r>
      <w:r w:rsidR="003B7E15" w:rsidRPr="0081146C">
        <w:noBreakHyphen/>
      </w:r>
      <w:r w:rsidRPr="0081146C">
        <w:t>22</w:t>
      </w:r>
      <w:r w:rsidR="004F64A4" w:rsidRPr="0081146C">
        <w:t> </w:t>
      </w:r>
      <w:r w:rsidRPr="0081146C">
        <w:t>October 2004; or</w:t>
      </w:r>
    </w:p>
    <w:p w14:paraId="61C84D34" w14:textId="77777777" w:rsidR="00035544" w:rsidRPr="0081146C" w:rsidRDefault="00035544" w:rsidP="00035544">
      <w:pPr>
        <w:pStyle w:val="paragraph"/>
      </w:pPr>
      <w:r w:rsidRPr="0081146C">
        <w:tab/>
        <w:t>(b)</w:t>
      </w:r>
      <w:r w:rsidRPr="0081146C">
        <w:tab/>
        <w:t>if any or all of those Recommendations are amended—the Recommendations as so amended.</w:t>
      </w:r>
    </w:p>
    <w:p w14:paraId="5C46C032" w14:textId="77777777" w:rsidR="00035544" w:rsidRPr="0081146C" w:rsidRDefault="00035544" w:rsidP="00035544">
      <w:pPr>
        <w:pStyle w:val="notetext"/>
      </w:pPr>
      <w:r w:rsidRPr="0081146C">
        <w:t>Note:</w:t>
      </w:r>
      <w:r w:rsidRPr="0081146C">
        <w:tab/>
        <w:t xml:space="preserve">In 2006, the text of the FATF Recommendations was available on the FATF </w:t>
      </w:r>
      <w:r w:rsidR="00FB2428" w:rsidRPr="0081146C">
        <w:t>website</w:t>
      </w:r>
      <w:r w:rsidRPr="0081146C">
        <w:t xml:space="preserve"> (www.fatf</w:t>
      </w:r>
      <w:r w:rsidR="003B7E15" w:rsidRPr="0081146C">
        <w:noBreakHyphen/>
      </w:r>
      <w:r w:rsidRPr="0081146C">
        <w:t>gafi.org).</w:t>
      </w:r>
    </w:p>
    <w:p w14:paraId="2148251E" w14:textId="77777777" w:rsidR="00035544" w:rsidRPr="0081146C" w:rsidRDefault="00035544" w:rsidP="00035544">
      <w:pPr>
        <w:pStyle w:val="Definition"/>
      </w:pPr>
      <w:r w:rsidRPr="0081146C">
        <w:rPr>
          <w:b/>
          <w:i/>
        </w:rPr>
        <w:t>Federal Court</w:t>
      </w:r>
      <w:r w:rsidRPr="0081146C">
        <w:t xml:space="preserve"> means the Federal Court of Australia.</w:t>
      </w:r>
    </w:p>
    <w:p w14:paraId="67C4B967" w14:textId="77777777" w:rsidR="00035544" w:rsidRPr="0081146C" w:rsidRDefault="00035544" w:rsidP="00035544">
      <w:pPr>
        <w:pStyle w:val="Definition"/>
      </w:pPr>
      <w:r w:rsidRPr="0081146C">
        <w:rPr>
          <w:b/>
          <w:i/>
        </w:rPr>
        <w:t>financial institution</w:t>
      </w:r>
      <w:r w:rsidRPr="0081146C">
        <w:t xml:space="preserve"> means:</w:t>
      </w:r>
    </w:p>
    <w:p w14:paraId="01098587" w14:textId="77777777" w:rsidR="00035544" w:rsidRPr="0081146C" w:rsidRDefault="00035544" w:rsidP="00035544">
      <w:pPr>
        <w:pStyle w:val="paragraph"/>
      </w:pPr>
      <w:r w:rsidRPr="0081146C">
        <w:tab/>
        <w:t>(a)</w:t>
      </w:r>
      <w:r w:rsidRPr="0081146C">
        <w:tab/>
        <w:t>an ADI; or</w:t>
      </w:r>
    </w:p>
    <w:p w14:paraId="65544F1A" w14:textId="77777777" w:rsidR="00035544" w:rsidRPr="0081146C" w:rsidRDefault="00035544" w:rsidP="00035544">
      <w:pPr>
        <w:pStyle w:val="paragraph"/>
      </w:pPr>
      <w:r w:rsidRPr="0081146C">
        <w:tab/>
        <w:t>(b)</w:t>
      </w:r>
      <w:r w:rsidRPr="0081146C">
        <w:tab/>
        <w:t>a bank; or</w:t>
      </w:r>
    </w:p>
    <w:p w14:paraId="6E6B8816" w14:textId="77777777" w:rsidR="00035544" w:rsidRPr="0081146C" w:rsidRDefault="00035544" w:rsidP="00035544">
      <w:pPr>
        <w:pStyle w:val="paragraph"/>
      </w:pPr>
      <w:r w:rsidRPr="0081146C">
        <w:tab/>
        <w:t>(c)</w:t>
      </w:r>
      <w:r w:rsidRPr="0081146C">
        <w:tab/>
        <w:t>a building society; or</w:t>
      </w:r>
    </w:p>
    <w:p w14:paraId="2E50B206" w14:textId="77777777" w:rsidR="00035544" w:rsidRPr="0081146C" w:rsidRDefault="00035544" w:rsidP="00035544">
      <w:pPr>
        <w:pStyle w:val="paragraph"/>
      </w:pPr>
      <w:r w:rsidRPr="0081146C">
        <w:tab/>
        <w:t>(d)</w:t>
      </w:r>
      <w:r w:rsidRPr="0081146C">
        <w:tab/>
        <w:t>a credit union; or</w:t>
      </w:r>
    </w:p>
    <w:p w14:paraId="68CA57BC" w14:textId="77777777" w:rsidR="00035544" w:rsidRPr="0081146C" w:rsidRDefault="00035544" w:rsidP="00035544">
      <w:pPr>
        <w:pStyle w:val="paragraph"/>
      </w:pPr>
      <w:r w:rsidRPr="0081146C">
        <w:tab/>
        <w:t>(e)</w:t>
      </w:r>
      <w:r w:rsidRPr="0081146C">
        <w:tab/>
        <w:t>a person specified in the AML/CTF Rules.</w:t>
      </w:r>
    </w:p>
    <w:p w14:paraId="3594B30B" w14:textId="77777777" w:rsidR="00662B46" w:rsidRPr="0081146C" w:rsidRDefault="00662B46" w:rsidP="00662B46">
      <w:pPr>
        <w:pStyle w:val="subsection2"/>
      </w:pPr>
      <w:r w:rsidRPr="0081146C">
        <w:t xml:space="preserve">The AML/CTF Rules made under </w:t>
      </w:r>
      <w:r w:rsidR="004F64A4" w:rsidRPr="0081146C">
        <w:t>paragraph (</w:t>
      </w:r>
      <w:r w:rsidRPr="0081146C">
        <w:t>e) may specify different persons to be financial institutions for the purposes of different provisions of this Act.</w:t>
      </w:r>
    </w:p>
    <w:p w14:paraId="24A58E7B" w14:textId="77777777" w:rsidR="00035544" w:rsidRPr="0081146C" w:rsidRDefault="00035544" w:rsidP="00035544">
      <w:pPr>
        <w:pStyle w:val="Definition"/>
      </w:pPr>
      <w:r w:rsidRPr="0081146C">
        <w:rPr>
          <w:b/>
          <w:i/>
        </w:rPr>
        <w:t>financing of terrorism</w:t>
      </w:r>
      <w:r w:rsidRPr="0081146C">
        <w:t xml:space="preserve"> means conduct that amounts to:</w:t>
      </w:r>
    </w:p>
    <w:p w14:paraId="7E57C438" w14:textId="77777777" w:rsidR="00035544" w:rsidRPr="0081146C" w:rsidRDefault="00035544" w:rsidP="00035544">
      <w:pPr>
        <w:pStyle w:val="paragraph"/>
      </w:pPr>
      <w:r w:rsidRPr="0081146C">
        <w:tab/>
        <w:t>(a)</w:t>
      </w:r>
      <w:r w:rsidRPr="0081146C">
        <w:tab/>
        <w:t xml:space="preserve">an offence against </w:t>
      </w:r>
      <w:r w:rsidR="003B7E15" w:rsidRPr="0081146C">
        <w:t>section 1</w:t>
      </w:r>
      <w:r w:rsidRPr="0081146C">
        <w:t xml:space="preserve">02.6 or </w:t>
      </w:r>
      <w:r w:rsidR="00CA78AA" w:rsidRPr="0081146C">
        <w:t>Division 1</w:t>
      </w:r>
      <w:r w:rsidRPr="0081146C">
        <w:t xml:space="preserve">03 of the </w:t>
      </w:r>
      <w:r w:rsidRPr="0081146C">
        <w:rPr>
          <w:i/>
        </w:rPr>
        <w:t>Criminal Code</w:t>
      </w:r>
      <w:r w:rsidRPr="0081146C">
        <w:t>; or</w:t>
      </w:r>
    </w:p>
    <w:p w14:paraId="080F99C0" w14:textId="77777777" w:rsidR="00035544" w:rsidRPr="0081146C" w:rsidRDefault="00035544" w:rsidP="00035544">
      <w:pPr>
        <w:pStyle w:val="paragraph"/>
      </w:pPr>
      <w:r w:rsidRPr="0081146C">
        <w:tab/>
        <w:t>(b)</w:t>
      </w:r>
      <w:r w:rsidRPr="0081146C">
        <w:tab/>
        <w:t>an offence against section</w:t>
      </w:r>
      <w:r w:rsidR="004F64A4" w:rsidRPr="0081146C">
        <w:t> </w:t>
      </w:r>
      <w:r w:rsidRPr="0081146C">
        <w:t xml:space="preserve">20 or 21 of the </w:t>
      </w:r>
      <w:r w:rsidRPr="0081146C">
        <w:rPr>
          <w:i/>
        </w:rPr>
        <w:t>Charter of the United Nations Act 1945</w:t>
      </w:r>
      <w:r w:rsidRPr="0081146C">
        <w:t>; or</w:t>
      </w:r>
    </w:p>
    <w:p w14:paraId="598A0289" w14:textId="77777777" w:rsidR="00035544" w:rsidRPr="0081146C" w:rsidRDefault="00035544" w:rsidP="00035544">
      <w:pPr>
        <w:pStyle w:val="paragraph"/>
      </w:pPr>
      <w:r w:rsidRPr="0081146C">
        <w:tab/>
        <w:t>(c)</w:t>
      </w:r>
      <w:r w:rsidRPr="0081146C">
        <w:tab/>
        <w:t xml:space="preserve">an offence against a law of a State or Territory that corresponds to an offence referred to in </w:t>
      </w:r>
      <w:r w:rsidR="004F64A4" w:rsidRPr="0081146C">
        <w:t>paragraph (</w:t>
      </w:r>
      <w:r w:rsidRPr="0081146C">
        <w:t>a) or (b); or</w:t>
      </w:r>
    </w:p>
    <w:p w14:paraId="1E902CEB" w14:textId="77777777" w:rsidR="00035544" w:rsidRPr="0081146C" w:rsidRDefault="00035544" w:rsidP="00035544">
      <w:pPr>
        <w:pStyle w:val="paragraph"/>
      </w:pPr>
      <w:r w:rsidRPr="0081146C">
        <w:tab/>
        <w:t>(d)</w:t>
      </w:r>
      <w:r w:rsidRPr="0081146C">
        <w:tab/>
        <w:t xml:space="preserve">an offence against a law of a foreign country or a part of a foreign country that corresponds to an offence referred to in </w:t>
      </w:r>
      <w:r w:rsidR="004F64A4" w:rsidRPr="0081146C">
        <w:t>paragraph (</w:t>
      </w:r>
      <w:r w:rsidRPr="0081146C">
        <w:t>a) or (b).</w:t>
      </w:r>
    </w:p>
    <w:p w14:paraId="1C180379" w14:textId="77777777" w:rsidR="007873A1" w:rsidRPr="0081146C" w:rsidRDefault="007873A1" w:rsidP="007873A1">
      <w:pPr>
        <w:pStyle w:val="Definition"/>
      </w:pPr>
      <w:r w:rsidRPr="0081146C">
        <w:rPr>
          <w:b/>
          <w:i/>
        </w:rPr>
        <w:t xml:space="preserve">Foreign Affairs Minister </w:t>
      </w:r>
      <w:r w:rsidRPr="0081146C">
        <w:t>means the Minister responsible for administering the</w:t>
      </w:r>
      <w:r w:rsidRPr="0081146C">
        <w:rPr>
          <w:i/>
        </w:rPr>
        <w:t xml:space="preserve"> Diplomatic Privileges and Immunities Act 1967</w:t>
      </w:r>
      <w:r w:rsidRPr="0081146C">
        <w:t>.</w:t>
      </w:r>
    </w:p>
    <w:p w14:paraId="6049F31A" w14:textId="77777777" w:rsidR="00DE1AB0" w:rsidRPr="0081146C" w:rsidRDefault="00DE1AB0" w:rsidP="00DE1AB0">
      <w:pPr>
        <w:pStyle w:val="Definition"/>
      </w:pPr>
      <w:bookmarkStart w:id="13" w:name="_Hlk75780781"/>
      <w:r w:rsidRPr="0081146C">
        <w:rPr>
          <w:b/>
          <w:i/>
        </w:rPr>
        <w:t xml:space="preserve">foreign agency </w:t>
      </w:r>
      <w:r w:rsidRPr="0081146C">
        <w:t>means:</w:t>
      </w:r>
    </w:p>
    <w:p w14:paraId="1000047D" w14:textId="77777777" w:rsidR="00DE1AB0" w:rsidRPr="0081146C" w:rsidRDefault="00DE1AB0" w:rsidP="00DE1AB0">
      <w:pPr>
        <w:pStyle w:val="paragraph"/>
      </w:pPr>
      <w:r w:rsidRPr="0081146C">
        <w:tab/>
        <w:t>(a)</w:t>
      </w:r>
      <w:r w:rsidRPr="0081146C">
        <w:tab/>
        <w:t>a government body that has responsibility for:</w:t>
      </w:r>
    </w:p>
    <w:p w14:paraId="6BB8F34B" w14:textId="77777777" w:rsidR="00DE1AB0" w:rsidRPr="0081146C" w:rsidRDefault="00DE1AB0" w:rsidP="00DE1AB0">
      <w:pPr>
        <w:pStyle w:val="paragraphsub"/>
      </w:pPr>
      <w:r w:rsidRPr="0081146C">
        <w:tab/>
        <w:t>(i)</w:t>
      </w:r>
      <w:r w:rsidRPr="0081146C">
        <w:tab/>
        <w:t>intelligence gathering for a foreign country; or</w:t>
      </w:r>
    </w:p>
    <w:p w14:paraId="315A73D1" w14:textId="77777777" w:rsidR="00DE1AB0" w:rsidRPr="0081146C" w:rsidRDefault="00DE1AB0" w:rsidP="00DE1AB0">
      <w:pPr>
        <w:pStyle w:val="paragraphsub"/>
      </w:pPr>
      <w:r w:rsidRPr="0081146C">
        <w:tab/>
        <w:t>(ii)</w:t>
      </w:r>
      <w:r w:rsidRPr="0081146C">
        <w:tab/>
        <w:t>the security of a foreign country; or</w:t>
      </w:r>
    </w:p>
    <w:p w14:paraId="7619DE3B" w14:textId="77777777" w:rsidR="00DE1AB0" w:rsidRPr="0081146C" w:rsidRDefault="00DE1AB0" w:rsidP="00DE1AB0">
      <w:pPr>
        <w:pStyle w:val="paragraph"/>
      </w:pPr>
      <w:r w:rsidRPr="0081146C">
        <w:tab/>
        <w:t>(b)</w:t>
      </w:r>
      <w:r w:rsidRPr="0081146C">
        <w:tab/>
        <w:t>a government body that has responsibility for law enforcement or investigation of corruption in a foreign country or a part of a foreign country; or</w:t>
      </w:r>
    </w:p>
    <w:p w14:paraId="596F7E4F" w14:textId="77777777" w:rsidR="00DE1AB0" w:rsidRPr="0081146C" w:rsidRDefault="00DE1AB0" w:rsidP="00DE1AB0">
      <w:pPr>
        <w:pStyle w:val="paragraph"/>
      </w:pPr>
      <w:r w:rsidRPr="0081146C">
        <w:tab/>
        <w:t>(c)</w:t>
      </w:r>
      <w:r w:rsidRPr="0081146C">
        <w:tab/>
        <w:t>a government body that has responsibility for the protection of the public revenue of a foreign country; or</w:t>
      </w:r>
    </w:p>
    <w:p w14:paraId="254D86BA" w14:textId="77777777" w:rsidR="00DE1AB0" w:rsidRPr="0081146C" w:rsidRDefault="00DE1AB0" w:rsidP="00DE1AB0">
      <w:pPr>
        <w:pStyle w:val="paragraph"/>
      </w:pPr>
      <w:r w:rsidRPr="0081146C">
        <w:tab/>
        <w:t>(d)</w:t>
      </w:r>
      <w:r w:rsidRPr="0081146C">
        <w:tab/>
        <w:t>a government body that has regulatory functions in a foreign country; or</w:t>
      </w:r>
    </w:p>
    <w:p w14:paraId="2A3641DF" w14:textId="77777777" w:rsidR="00DE1AB0" w:rsidRPr="0081146C" w:rsidRDefault="00DE1AB0" w:rsidP="00DE1AB0">
      <w:pPr>
        <w:pStyle w:val="paragraph"/>
      </w:pPr>
      <w:r w:rsidRPr="0081146C">
        <w:tab/>
        <w:t>(e)</w:t>
      </w:r>
      <w:r w:rsidRPr="0081146C">
        <w:tab/>
        <w:t>the European Police Office (Europol); or</w:t>
      </w:r>
    </w:p>
    <w:p w14:paraId="7E89D99B" w14:textId="77777777" w:rsidR="00DE1AB0" w:rsidRPr="0081146C" w:rsidRDefault="00DE1AB0" w:rsidP="00DE1AB0">
      <w:pPr>
        <w:pStyle w:val="paragraph"/>
      </w:pPr>
      <w:r w:rsidRPr="0081146C">
        <w:tab/>
        <w:t>(f)</w:t>
      </w:r>
      <w:r w:rsidRPr="0081146C">
        <w:tab/>
        <w:t>the International Criminal Police Organization (Interpol); or</w:t>
      </w:r>
    </w:p>
    <w:p w14:paraId="096E0819" w14:textId="77777777" w:rsidR="00DE1AB0" w:rsidRPr="0081146C" w:rsidRDefault="00DE1AB0" w:rsidP="00DE1AB0">
      <w:pPr>
        <w:pStyle w:val="paragraph"/>
      </w:pPr>
      <w:r w:rsidRPr="0081146C">
        <w:tab/>
        <w:t>(g)</w:t>
      </w:r>
      <w:r w:rsidRPr="0081146C">
        <w:tab/>
        <w:t>an international body prescribed by the regulations for the purposes of this paragraph.</w:t>
      </w:r>
    </w:p>
    <w:bookmarkEnd w:id="13"/>
    <w:p w14:paraId="5D395310" w14:textId="77777777" w:rsidR="00035544" w:rsidRPr="0081146C" w:rsidRDefault="00035544" w:rsidP="00035544">
      <w:pPr>
        <w:pStyle w:val="Definition"/>
      </w:pPr>
      <w:r w:rsidRPr="0081146C">
        <w:rPr>
          <w:b/>
          <w:i/>
        </w:rPr>
        <w:t>foreign country</w:t>
      </w:r>
      <w:r w:rsidRPr="0081146C">
        <w:t xml:space="preserve"> includes a region where:</w:t>
      </w:r>
    </w:p>
    <w:p w14:paraId="7B347E8D" w14:textId="77777777" w:rsidR="00035544" w:rsidRPr="0081146C" w:rsidRDefault="00035544" w:rsidP="00035544">
      <w:pPr>
        <w:pStyle w:val="paragraph"/>
      </w:pPr>
      <w:r w:rsidRPr="0081146C">
        <w:tab/>
        <w:t>(a)</w:t>
      </w:r>
      <w:r w:rsidRPr="0081146C">
        <w:tab/>
        <w:t>the region is a colony, territory or protectorate of a foreign country; or</w:t>
      </w:r>
    </w:p>
    <w:p w14:paraId="27E7DD16" w14:textId="77777777" w:rsidR="00035544" w:rsidRPr="0081146C" w:rsidRDefault="00035544" w:rsidP="00035544">
      <w:pPr>
        <w:pStyle w:val="paragraph"/>
      </w:pPr>
      <w:r w:rsidRPr="0081146C">
        <w:tab/>
        <w:t>(b)</w:t>
      </w:r>
      <w:r w:rsidRPr="0081146C">
        <w:tab/>
        <w:t>the region is part of a foreign country; or</w:t>
      </w:r>
    </w:p>
    <w:p w14:paraId="05196432" w14:textId="77777777" w:rsidR="00035544" w:rsidRPr="0081146C" w:rsidRDefault="00035544" w:rsidP="00035544">
      <w:pPr>
        <w:pStyle w:val="paragraph"/>
      </w:pPr>
      <w:r w:rsidRPr="0081146C">
        <w:tab/>
        <w:t>(c)</w:t>
      </w:r>
      <w:r w:rsidRPr="0081146C">
        <w:tab/>
        <w:t>the region is under the protection of a foreign country; or</w:t>
      </w:r>
    </w:p>
    <w:p w14:paraId="3A25856A" w14:textId="77777777" w:rsidR="00035544" w:rsidRPr="0081146C" w:rsidRDefault="00035544" w:rsidP="00035544">
      <w:pPr>
        <w:pStyle w:val="paragraph"/>
      </w:pPr>
      <w:r w:rsidRPr="0081146C">
        <w:tab/>
        <w:t>(d)</w:t>
      </w:r>
      <w:r w:rsidRPr="0081146C">
        <w:tab/>
        <w:t>a foreign country exercises jurisdiction or control over the region; or</w:t>
      </w:r>
    </w:p>
    <w:p w14:paraId="4C7C16A3" w14:textId="77777777" w:rsidR="00035544" w:rsidRPr="0081146C" w:rsidRDefault="00035544" w:rsidP="00035544">
      <w:pPr>
        <w:pStyle w:val="paragraph"/>
      </w:pPr>
      <w:r w:rsidRPr="0081146C">
        <w:tab/>
        <w:t>(e)</w:t>
      </w:r>
      <w:r w:rsidRPr="0081146C">
        <w:tab/>
        <w:t>a foreign country is responsible for the region’s international relations.</w:t>
      </w:r>
    </w:p>
    <w:p w14:paraId="4F7D50F8" w14:textId="77777777" w:rsidR="00035544" w:rsidRPr="0081146C" w:rsidRDefault="00035544" w:rsidP="00035544">
      <w:pPr>
        <w:pStyle w:val="Definition"/>
      </w:pPr>
      <w:r w:rsidRPr="0081146C">
        <w:rPr>
          <w:b/>
          <w:i/>
        </w:rPr>
        <w:t>foreign exchange contract</w:t>
      </w:r>
      <w:r w:rsidRPr="0081146C">
        <w:t xml:space="preserve"> means a contract:</w:t>
      </w:r>
    </w:p>
    <w:p w14:paraId="15980733" w14:textId="77777777" w:rsidR="00035544" w:rsidRPr="0081146C" w:rsidRDefault="00035544" w:rsidP="00035544">
      <w:pPr>
        <w:pStyle w:val="paragraph"/>
      </w:pPr>
      <w:r w:rsidRPr="0081146C">
        <w:tab/>
        <w:t>(a)</w:t>
      </w:r>
      <w:r w:rsidRPr="0081146C">
        <w:tab/>
        <w:t>to buy or sell currency (whether Australian or not); or</w:t>
      </w:r>
    </w:p>
    <w:p w14:paraId="0458DF7C" w14:textId="77777777" w:rsidR="00035544" w:rsidRPr="0081146C" w:rsidRDefault="00035544" w:rsidP="00035544">
      <w:pPr>
        <w:pStyle w:val="paragraph"/>
      </w:pPr>
      <w:r w:rsidRPr="0081146C">
        <w:tab/>
        <w:t>(b)</w:t>
      </w:r>
      <w:r w:rsidRPr="0081146C">
        <w:tab/>
        <w:t>to exchange one currency (whether Australian or not) for another (whether Australian or not).</w:t>
      </w:r>
    </w:p>
    <w:p w14:paraId="21867A47" w14:textId="77777777" w:rsidR="009B278E" w:rsidRPr="0081146C" w:rsidRDefault="009B278E" w:rsidP="009B278E">
      <w:pPr>
        <w:pStyle w:val="Definition"/>
      </w:pPr>
      <w:r w:rsidRPr="0081146C">
        <w:rPr>
          <w:b/>
          <w:i/>
        </w:rPr>
        <w:t>foreign politically exposed person</w:t>
      </w:r>
      <w:r w:rsidRPr="0081146C">
        <w:t xml:space="preserve"> means:</w:t>
      </w:r>
    </w:p>
    <w:p w14:paraId="3F0DC7D7" w14:textId="77777777" w:rsidR="009B278E" w:rsidRPr="0081146C" w:rsidRDefault="009B278E" w:rsidP="009B278E">
      <w:pPr>
        <w:pStyle w:val="paragraph"/>
      </w:pPr>
      <w:r w:rsidRPr="0081146C">
        <w:tab/>
        <w:t>(a)</w:t>
      </w:r>
      <w:r w:rsidRPr="0081146C">
        <w:tab/>
        <w:t>an individual who holds a prominent office or position or public function in or for the legislature, executive or judiciary of a foreign country, including an individual who holds any of the following offices or positions:</w:t>
      </w:r>
    </w:p>
    <w:p w14:paraId="0EB858FA" w14:textId="77777777" w:rsidR="009B278E" w:rsidRPr="0081146C" w:rsidRDefault="009B278E" w:rsidP="009B278E">
      <w:pPr>
        <w:pStyle w:val="paragraphsub"/>
      </w:pPr>
      <w:r w:rsidRPr="0081146C">
        <w:tab/>
        <w:t>(i)</w:t>
      </w:r>
      <w:r w:rsidRPr="0081146C">
        <w:tab/>
        <w:t>head of state or head of government;</w:t>
      </w:r>
    </w:p>
    <w:p w14:paraId="513A2870" w14:textId="77777777" w:rsidR="009B278E" w:rsidRPr="0081146C" w:rsidRDefault="009B278E" w:rsidP="009B278E">
      <w:pPr>
        <w:pStyle w:val="paragraphsub"/>
      </w:pPr>
      <w:r w:rsidRPr="0081146C">
        <w:tab/>
        <w:t>(ii)</w:t>
      </w:r>
      <w:r w:rsidRPr="0081146C">
        <w:tab/>
        <w:t>member of the executive council of government;</w:t>
      </w:r>
    </w:p>
    <w:p w14:paraId="3F2E44AD" w14:textId="77777777" w:rsidR="009B278E" w:rsidRPr="0081146C" w:rsidRDefault="009B278E" w:rsidP="009B278E">
      <w:pPr>
        <w:pStyle w:val="paragraphsub"/>
      </w:pPr>
      <w:r w:rsidRPr="0081146C">
        <w:tab/>
        <w:t>(iii)</w:t>
      </w:r>
      <w:r w:rsidRPr="0081146C">
        <w:tab/>
        <w:t>member of a legislature;</w:t>
      </w:r>
    </w:p>
    <w:p w14:paraId="6D0D8194" w14:textId="77777777" w:rsidR="009B278E" w:rsidRPr="0081146C" w:rsidRDefault="009B278E" w:rsidP="009B278E">
      <w:pPr>
        <w:pStyle w:val="paragraphsub"/>
      </w:pPr>
      <w:r w:rsidRPr="0081146C">
        <w:tab/>
        <w:t>(iv)</w:t>
      </w:r>
      <w:r w:rsidRPr="0081146C">
        <w:tab/>
        <w:t>minister, deputy minister or equivalent office or position;</w:t>
      </w:r>
    </w:p>
    <w:p w14:paraId="3A30F7B6" w14:textId="77777777" w:rsidR="009B278E" w:rsidRPr="0081146C" w:rsidRDefault="009B278E" w:rsidP="009B278E">
      <w:pPr>
        <w:pStyle w:val="paragraphsub"/>
      </w:pPr>
      <w:r w:rsidRPr="0081146C">
        <w:tab/>
        <w:t>(v)</w:t>
      </w:r>
      <w:r w:rsidRPr="0081146C">
        <w:tab/>
        <w:t>judge of a supreme court, constitutional court or other court of general jurisdiction or last resort;</w:t>
      </w:r>
    </w:p>
    <w:p w14:paraId="039BDF28" w14:textId="77777777" w:rsidR="009B278E" w:rsidRPr="0081146C" w:rsidRDefault="009B278E" w:rsidP="009B278E">
      <w:pPr>
        <w:pStyle w:val="paragraphsub"/>
      </w:pPr>
      <w:r w:rsidRPr="0081146C">
        <w:tab/>
        <w:t>(vi)</w:t>
      </w:r>
      <w:r w:rsidRPr="0081146C">
        <w:tab/>
        <w:t>ambassador, high commissioner or charge d’affaires;</w:t>
      </w:r>
    </w:p>
    <w:p w14:paraId="0DCCB370" w14:textId="77777777" w:rsidR="009B278E" w:rsidRPr="0081146C" w:rsidRDefault="009B278E" w:rsidP="009B278E">
      <w:pPr>
        <w:pStyle w:val="paragraphsub"/>
      </w:pPr>
      <w:r w:rsidRPr="0081146C">
        <w:tab/>
        <w:t>(vii)</w:t>
      </w:r>
      <w:r w:rsidRPr="0081146C">
        <w:tab/>
        <w:t>high ranking military officer;</w:t>
      </w:r>
    </w:p>
    <w:p w14:paraId="010C821E" w14:textId="77777777" w:rsidR="009B278E" w:rsidRPr="0081146C" w:rsidRDefault="009B278E" w:rsidP="009B278E">
      <w:pPr>
        <w:pStyle w:val="paragraphsub"/>
      </w:pPr>
      <w:r w:rsidRPr="0081146C">
        <w:tab/>
        <w:t>(viii)</w:t>
      </w:r>
      <w:r w:rsidRPr="0081146C">
        <w:tab/>
        <w:t>head or board member of a government body;</w:t>
      </w:r>
    </w:p>
    <w:p w14:paraId="57E875BD" w14:textId="77777777" w:rsidR="009B278E" w:rsidRPr="0081146C" w:rsidRDefault="009B278E" w:rsidP="009B278E">
      <w:pPr>
        <w:pStyle w:val="paragraphsub"/>
      </w:pPr>
      <w:r w:rsidRPr="0081146C">
        <w:tab/>
        <w:t>(ix)</w:t>
      </w:r>
      <w:r w:rsidRPr="0081146C">
        <w:tab/>
        <w:t>head or board member of a state</w:t>
      </w:r>
      <w:r w:rsidRPr="0081146C">
        <w:noBreakHyphen/>
        <w:t>owned company or a state</w:t>
      </w:r>
      <w:r w:rsidRPr="0081146C">
        <w:noBreakHyphen/>
        <w:t>owned bank;</w:t>
      </w:r>
    </w:p>
    <w:p w14:paraId="0BF9C063" w14:textId="77777777" w:rsidR="009B278E" w:rsidRPr="0081146C" w:rsidRDefault="009B278E" w:rsidP="009B278E">
      <w:pPr>
        <w:pStyle w:val="paragraphsub"/>
      </w:pPr>
      <w:r w:rsidRPr="0081146C">
        <w:tab/>
        <w:t>(x)</w:t>
      </w:r>
      <w:r w:rsidRPr="0081146C">
        <w:tab/>
        <w:t>member of a governing body of a political party represented in a legislature;</w:t>
      </w:r>
    </w:p>
    <w:p w14:paraId="0756440D" w14:textId="77777777" w:rsidR="009B278E" w:rsidRPr="0081146C" w:rsidRDefault="009B278E" w:rsidP="009B278E">
      <w:pPr>
        <w:pStyle w:val="paragraphsub"/>
      </w:pPr>
      <w:r w:rsidRPr="0081146C">
        <w:tab/>
        <w:t>(xi)</w:t>
      </w:r>
      <w:r w:rsidRPr="0081146C">
        <w:tab/>
        <w:t>an office or position prescribed in the AML/CTF Rules; or</w:t>
      </w:r>
    </w:p>
    <w:p w14:paraId="137D4F0A" w14:textId="77777777" w:rsidR="009B278E" w:rsidRPr="0081146C" w:rsidRDefault="009B278E" w:rsidP="009B278E">
      <w:pPr>
        <w:pStyle w:val="paragraph"/>
      </w:pPr>
      <w:r w:rsidRPr="0081146C">
        <w:tab/>
        <w:t>(b)</w:t>
      </w:r>
      <w:r w:rsidRPr="0081146C">
        <w:tab/>
        <w:t>a family member of an individual covered by paragraph (a); or</w:t>
      </w:r>
    </w:p>
    <w:p w14:paraId="494DDB78" w14:textId="77777777" w:rsidR="009B278E" w:rsidRPr="0081146C" w:rsidRDefault="009B278E" w:rsidP="009B278E">
      <w:pPr>
        <w:pStyle w:val="paragraph"/>
      </w:pPr>
      <w:r w:rsidRPr="0081146C">
        <w:tab/>
        <w:t>(c)</w:t>
      </w:r>
      <w:r w:rsidRPr="0081146C">
        <w:tab/>
        <w:t>an individual who is known (having regard to information that is public or readily available) to have:</w:t>
      </w:r>
    </w:p>
    <w:p w14:paraId="4AE96435" w14:textId="77777777" w:rsidR="009B278E" w:rsidRPr="0081146C" w:rsidRDefault="009B278E" w:rsidP="009B278E">
      <w:pPr>
        <w:pStyle w:val="paragraphsub"/>
      </w:pPr>
      <w:r w:rsidRPr="0081146C">
        <w:tab/>
        <w:t>(i)</w:t>
      </w:r>
      <w:r w:rsidRPr="0081146C">
        <w:tab/>
        <w:t>joint beneficial ownership of a body corporate or legal arrangement with an individual covered by paragraph (a); or</w:t>
      </w:r>
    </w:p>
    <w:p w14:paraId="76B62862" w14:textId="77777777" w:rsidR="009B278E" w:rsidRPr="0081146C" w:rsidRDefault="009B278E" w:rsidP="009B278E">
      <w:pPr>
        <w:pStyle w:val="paragraphsub"/>
      </w:pPr>
      <w:r w:rsidRPr="0081146C">
        <w:tab/>
        <w:t>(ii)</w:t>
      </w:r>
      <w:r w:rsidRPr="0081146C">
        <w:tab/>
        <w:t>sole beneficial ownership of a body corporate or legal arrangement on behalf or for the benefit of an individual covered by paragraph (a); or</w:t>
      </w:r>
    </w:p>
    <w:p w14:paraId="45381D5B" w14:textId="77777777" w:rsidR="009B278E" w:rsidRPr="0081146C" w:rsidRDefault="009B278E" w:rsidP="009B278E">
      <w:pPr>
        <w:pStyle w:val="paragraphsub"/>
      </w:pPr>
      <w:r w:rsidRPr="0081146C">
        <w:tab/>
        <w:t>(iii)</w:t>
      </w:r>
      <w:r w:rsidRPr="0081146C">
        <w:tab/>
        <w:t>any other close business relations with an individual covered by paragraph (a).</w:t>
      </w:r>
    </w:p>
    <w:p w14:paraId="14CAF950" w14:textId="77777777" w:rsidR="009B278E" w:rsidRPr="0081146C" w:rsidRDefault="009B278E" w:rsidP="009B278E">
      <w:pPr>
        <w:pStyle w:val="notetext"/>
        <w:ind w:left="2291"/>
      </w:pPr>
      <w:r w:rsidRPr="0081146C">
        <w:t>Note:</w:t>
      </w:r>
      <w:r w:rsidRPr="0081146C">
        <w:tab/>
      </w:r>
      <w:r w:rsidRPr="0081146C">
        <w:rPr>
          <w:b/>
          <w:i/>
        </w:rPr>
        <w:t>Foreign country</w:t>
      </w:r>
      <w:r w:rsidRPr="0081146C">
        <w:t xml:space="preserve"> has an extended meaning—see the definition of </w:t>
      </w:r>
      <w:r w:rsidRPr="0081146C">
        <w:rPr>
          <w:b/>
          <w:i/>
        </w:rPr>
        <w:t xml:space="preserve">foreign country </w:t>
      </w:r>
      <w:r w:rsidRPr="0081146C">
        <w:t>in this section.</w:t>
      </w:r>
    </w:p>
    <w:p w14:paraId="030814CD" w14:textId="77777777" w:rsidR="00035544" w:rsidRPr="0081146C" w:rsidRDefault="00035544" w:rsidP="00035544">
      <w:pPr>
        <w:pStyle w:val="Definition"/>
      </w:pPr>
      <w:r w:rsidRPr="0081146C">
        <w:rPr>
          <w:b/>
          <w:i/>
        </w:rPr>
        <w:t>game</w:t>
      </w:r>
      <w:r w:rsidRPr="0081146C">
        <w:t xml:space="preserve"> includes an electronic game, but does not include a lottery.</w:t>
      </w:r>
    </w:p>
    <w:p w14:paraId="6812B916" w14:textId="77777777" w:rsidR="00035544" w:rsidRPr="0081146C" w:rsidRDefault="00035544" w:rsidP="00035544">
      <w:pPr>
        <w:pStyle w:val="Definition"/>
      </w:pPr>
      <w:r w:rsidRPr="0081146C">
        <w:rPr>
          <w:b/>
          <w:i/>
        </w:rPr>
        <w:t>gaming chip or token</w:t>
      </w:r>
      <w:r w:rsidRPr="0081146C">
        <w:t xml:space="preserve"> means a chip or token for playing a game, where:</w:t>
      </w:r>
    </w:p>
    <w:p w14:paraId="31537F2D" w14:textId="77777777" w:rsidR="00035544" w:rsidRPr="0081146C" w:rsidRDefault="00035544" w:rsidP="00035544">
      <w:pPr>
        <w:pStyle w:val="paragraph"/>
      </w:pPr>
      <w:r w:rsidRPr="0081146C">
        <w:tab/>
        <w:t>(a)</w:t>
      </w:r>
      <w:r w:rsidRPr="0081146C">
        <w:tab/>
        <w:t>the game is played for money or anything else of value; and</w:t>
      </w:r>
    </w:p>
    <w:p w14:paraId="6B42A754" w14:textId="77777777" w:rsidR="00035544" w:rsidRPr="0081146C" w:rsidRDefault="00035544" w:rsidP="00035544">
      <w:pPr>
        <w:pStyle w:val="paragraph"/>
      </w:pPr>
      <w:r w:rsidRPr="0081146C">
        <w:tab/>
        <w:t>(b)</w:t>
      </w:r>
      <w:r w:rsidRPr="0081146C">
        <w:tab/>
        <w:t>the game is a game of chance or of mixed chance and skill.</w:t>
      </w:r>
    </w:p>
    <w:p w14:paraId="771A3461" w14:textId="77777777" w:rsidR="00035544" w:rsidRPr="0081146C" w:rsidRDefault="00035544" w:rsidP="00671DE3">
      <w:pPr>
        <w:pStyle w:val="Definition"/>
        <w:keepNext/>
        <w:keepLines/>
      </w:pPr>
      <w:r w:rsidRPr="0081146C">
        <w:rPr>
          <w:b/>
          <w:i/>
        </w:rPr>
        <w:t>gaming machine</w:t>
      </w:r>
      <w:r w:rsidRPr="0081146C">
        <w:t xml:space="preserve"> means a machine for playing a game, where:</w:t>
      </w:r>
    </w:p>
    <w:p w14:paraId="4358589C" w14:textId="77777777" w:rsidR="00035544" w:rsidRPr="0081146C" w:rsidRDefault="00035544" w:rsidP="00035544">
      <w:pPr>
        <w:pStyle w:val="paragraph"/>
      </w:pPr>
      <w:r w:rsidRPr="0081146C">
        <w:tab/>
        <w:t>(a)</w:t>
      </w:r>
      <w:r w:rsidRPr="0081146C">
        <w:tab/>
        <w:t>the game is played for money or anything else of value; and</w:t>
      </w:r>
    </w:p>
    <w:p w14:paraId="2F4C3DC0" w14:textId="77777777" w:rsidR="00035544" w:rsidRPr="0081146C" w:rsidRDefault="00035544" w:rsidP="00035544">
      <w:pPr>
        <w:pStyle w:val="paragraph"/>
      </w:pPr>
      <w:r w:rsidRPr="0081146C">
        <w:tab/>
        <w:t>(b)</w:t>
      </w:r>
      <w:r w:rsidRPr="0081146C">
        <w:tab/>
        <w:t>the game is a game of chance or of mixed chance and skill.</w:t>
      </w:r>
    </w:p>
    <w:p w14:paraId="3B47F5E8" w14:textId="77777777" w:rsidR="000C2386" w:rsidRPr="0081146C" w:rsidRDefault="000C2386" w:rsidP="000C2386">
      <w:pPr>
        <w:pStyle w:val="Definition"/>
      </w:pPr>
      <w:r w:rsidRPr="0081146C">
        <w:rPr>
          <w:b/>
          <w:i/>
        </w:rPr>
        <w:t>governing body</w:t>
      </w:r>
      <w:r w:rsidRPr="0081146C">
        <w:t xml:space="preserve"> of a reporting entity means:</w:t>
      </w:r>
    </w:p>
    <w:p w14:paraId="52B18977" w14:textId="77777777" w:rsidR="000C2386" w:rsidRPr="0081146C" w:rsidRDefault="000C2386" w:rsidP="000C2386">
      <w:pPr>
        <w:pStyle w:val="paragraph"/>
      </w:pPr>
      <w:r w:rsidRPr="0081146C">
        <w:tab/>
        <w:t>(a)</w:t>
      </w:r>
      <w:r w:rsidRPr="0081146C">
        <w:tab/>
        <w:t>if the reporting entity is an individual—the individual; or</w:t>
      </w:r>
    </w:p>
    <w:p w14:paraId="7FF37F4E" w14:textId="77777777" w:rsidR="000C2386" w:rsidRPr="0081146C" w:rsidRDefault="000C2386" w:rsidP="000C2386">
      <w:pPr>
        <w:pStyle w:val="paragraph"/>
      </w:pPr>
      <w:r w:rsidRPr="0081146C">
        <w:tab/>
        <w:t>(b)</w:t>
      </w:r>
      <w:r w:rsidRPr="0081146C">
        <w:tab/>
        <w:t>otherwise—the individual, or group of individuals, with primary responsibility for the governance and executive decisions of the reporting entity.</w:t>
      </w:r>
    </w:p>
    <w:p w14:paraId="1AE9C9DE" w14:textId="77777777" w:rsidR="00035544" w:rsidRPr="0081146C" w:rsidRDefault="00035544" w:rsidP="00035544">
      <w:pPr>
        <w:pStyle w:val="Definition"/>
      </w:pPr>
      <w:r w:rsidRPr="0081146C">
        <w:rPr>
          <w:b/>
          <w:i/>
        </w:rPr>
        <w:t>government</w:t>
      </w:r>
      <w:r w:rsidRPr="0081146C">
        <w:t xml:space="preserve"> </w:t>
      </w:r>
      <w:r w:rsidRPr="0081146C">
        <w:rPr>
          <w:b/>
          <w:i/>
        </w:rPr>
        <w:t>body</w:t>
      </w:r>
      <w:r w:rsidRPr="0081146C">
        <w:t xml:space="preserve"> means:</w:t>
      </w:r>
    </w:p>
    <w:p w14:paraId="15F1F855" w14:textId="77777777" w:rsidR="00035544" w:rsidRPr="0081146C" w:rsidRDefault="00035544" w:rsidP="00035544">
      <w:pPr>
        <w:pStyle w:val="paragraph"/>
      </w:pPr>
      <w:r w:rsidRPr="0081146C">
        <w:tab/>
        <w:t>(a)</w:t>
      </w:r>
      <w:r w:rsidRPr="0081146C">
        <w:tab/>
        <w:t>the government of a country; or</w:t>
      </w:r>
    </w:p>
    <w:p w14:paraId="7ED08E92" w14:textId="77777777" w:rsidR="00035544" w:rsidRPr="0081146C" w:rsidRDefault="00035544" w:rsidP="00035544">
      <w:pPr>
        <w:pStyle w:val="paragraph"/>
      </w:pPr>
      <w:r w:rsidRPr="0081146C">
        <w:tab/>
        <w:t>(b)</w:t>
      </w:r>
      <w:r w:rsidRPr="0081146C">
        <w:tab/>
        <w:t>an agency or authority of the government of a country; or</w:t>
      </w:r>
    </w:p>
    <w:p w14:paraId="21FA7200" w14:textId="77777777" w:rsidR="00035544" w:rsidRPr="0081146C" w:rsidRDefault="00035544" w:rsidP="00035544">
      <w:pPr>
        <w:pStyle w:val="paragraph"/>
      </w:pPr>
      <w:r w:rsidRPr="0081146C">
        <w:tab/>
        <w:t>(c)</w:t>
      </w:r>
      <w:r w:rsidRPr="0081146C">
        <w:tab/>
        <w:t>the government of part of a country; or</w:t>
      </w:r>
    </w:p>
    <w:p w14:paraId="1FF42053" w14:textId="77777777" w:rsidR="00035544" w:rsidRPr="0081146C" w:rsidRDefault="00035544" w:rsidP="00035544">
      <w:pPr>
        <w:pStyle w:val="paragraph"/>
      </w:pPr>
      <w:r w:rsidRPr="0081146C">
        <w:tab/>
        <w:t>(d)</w:t>
      </w:r>
      <w:r w:rsidRPr="0081146C">
        <w:tab/>
        <w:t>an agency or authority of the government of part of a country.</w:t>
      </w:r>
    </w:p>
    <w:p w14:paraId="7388DE13" w14:textId="77777777" w:rsidR="00035544" w:rsidRPr="0081146C" w:rsidRDefault="00035544" w:rsidP="00035544">
      <w:pPr>
        <w:pStyle w:val="Definition"/>
      </w:pPr>
      <w:r w:rsidRPr="0081146C">
        <w:rPr>
          <w:b/>
          <w:i/>
        </w:rPr>
        <w:t>guarantee</w:t>
      </w:r>
      <w:r w:rsidRPr="0081146C">
        <w:t xml:space="preserve"> includes anything that, under the regulations, is taken to be a guarantee for the purposes of this Act.</w:t>
      </w:r>
    </w:p>
    <w:p w14:paraId="64BC7B82" w14:textId="77777777" w:rsidR="00035544" w:rsidRPr="0081146C" w:rsidRDefault="00035544" w:rsidP="00035544">
      <w:pPr>
        <w:pStyle w:val="Definition"/>
      </w:pPr>
      <w:r w:rsidRPr="0081146C">
        <w:rPr>
          <w:b/>
          <w:i/>
        </w:rPr>
        <w:t>incorporated</w:t>
      </w:r>
      <w:r w:rsidRPr="0081146C">
        <w:t xml:space="preserve"> includes formed. This definition does not apply to the expression </w:t>
      </w:r>
      <w:r w:rsidRPr="0081146C">
        <w:rPr>
          <w:b/>
          <w:i/>
        </w:rPr>
        <w:t>unincorporated</w:t>
      </w:r>
      <w:r w:rsidRPr="0081146C">
        <w:t>.</w:t>
      </w:r>
    </w:p>
    <w:p w14:paraId="2DDB06C4" w14:textId="77777777" w:rsidR="00035544" w:rsidRPr="0081146C" w:rsidRDefault="00035544" w:rsidP="00035544">
      <w:pPr>
        <w:pStyle w:val="Definition"/>
      </w:pPr>
      <w:r w:rsidRPr="0081146C">
        <w:rPr>
          <w:b/>
          <w:i/>
        </w:rPr>
        <w:t>information obtained</w:t>
      </w:r>
      <w:r w:rsidRPr="0081146C">
        <w:t xml:space="preserve"> includes information obtained as a result of the production of a document.</w:t>
      </w:r>
    </w:p>
    <w:p w14:paraId="469F4D31" w14:textId="77777777" w:rsidR="00035544" w:rsidRPr="0081146C" w:rsidRDefault="00035544" w:rsidP="00035544">
      <w:pPr>
        <w:pStyle w:val="Definition"/>
      </w:pPr>
      <w:r w:rsidRPr="0081146C">
        <w:rPr>
          <w:b/>
          <w:i/>
        </w:rPr>
        <w:t>infringement notice</w:t>
      </w:r>
      <w:r w:rsidRPr="0081146C">
        <w:t xml:space="preserve"> means an infringement notice under </w:t>
      </w:r>
      <w:r w:rsidR="003B7E15" w:rsidRPr="0081146C">
        <w:t>section 1</w:t>
      </w:r>
      <w:r w:rsidRPr="0081146C">
        <w:t>84.</w:t>
      </w:r>
    </w:p>
    <w:p w14:paraId="68612F49" w14:textId="77777777" w:rsidR="002D0554" w:rsidRPr="0081146C" w:rsidRDefault="002D0554" w:rsidP="002D0554">
      <w:pPr>
        <w:pStyle w:val="Definition"/>
      </w:pPr>
      <w:r w:rsidRPr="0081146C">
        <w:rPr>
          <w:b/>
          <w:i/>
        </w:rPr>
        <w:t xml:space="preserve">infringement notice provision </w:t>
      </w:r>
      <w:r w:rsidRPr="0081146C">
        <w:t>has the meaning given by sub</w:t>
      </w:r>
      <w:r w:rsidR="003B7E15" w:rsidRPr="0081146C">
        <w:t>section 1</w:t>
      </w:r>
      <w:r w:rsidRPr="0081146C">
        <w:t>84(1A).</w:t>
      </w:r>
    </w:p>
    <w:p w14:paraId="303ABBBE" w14:textId="77777777" w:rsidR="007330A4" w:rsidRPr="0081146C" w:rsidRDefault="007330A4" w:rsidP="007330A4">
      <w:pPr>
        <w:pStyle w:val="Definition"/>
      </w:pPr>
      <w:r w:rsidRPr="0081146C">
        <w:rPr>
          <w:b/>
          <w:i/>
        </w:rPr>
        <w:t>institution</w:t>
      </w:r>
      <w:r w:rsidRPr="0081146C">
        <w:t>: see subsection 63A(12).</w:t>
      </w:r>
    </w:p>
    <w:p w14:paraId="0F051890" w14:textId="77777777" w:rsidR="007330A4" w:rsidRPr="0081146C" w:rsidRDefault="007330A4" w:rsidP="007330A4">
      <w:pPr>
        <w:pStyle w:val="Definition"/>
      </w:pPr>
      <w:r w:rsidRPr="0081146C">
        <w:rPr>
          <w:b/>
          <w:i/>
        </w:rPr>
        <w:t>intermediary institution</w:t>
      </w:r>
      <w:r w:rsidRPr="0081146C">
        <w:t>: see subsections 63A(9) and (10).</w:t>
      </w:r>
    </w:p>
    <w:p w14:paraId="2BA3C63E" w14:textId="77777777" w:rsidR="009B278E" w:rsidRPr="0081146C" w:rsidRDefault="009B278E" w:rsidP="009B278E">
      <w:pPr>
        <w:pStyle w:val="Definition"/>
      </w:pPr>
      <w:r w:rsidRPr="0081146C">
        <w:rPr>
          <w:b/>
          <w:i/>
        </w:rPr>
        <w:t>international organisation politically exposed person</w:t>
      </w:r>
      <w:r w:rsidRPr="0081146C">
        <w:t xml:space="preserve"> means:</w:t>
      </w:r>
    </w:p>
    <w:p w14:paraId="44F9137D" w14:textId="77777777" w:rsidR="009B278E" w:rsidRPr="0081146C" w:rsidRDefault="009B278E" w:rsidP="009B278E">
      <w:pPr>
        <w:pStyle w:val="paragraph"/>
      </w:pPr>
      <w:r w:rsidRPr="0081146C">
        <w:tab/>
        <w:t>(a)</w:t>
      </w:r>
      <w:r w:rsidRPr="0081146C">
        <w:tab/>
        <w:t>an individual who is entrusted with a prominent public function, position or office of a public international organisation, including a head, deputy head or board member in a public international organisation;</w:t>
      </w:r>
    </w:p>
    <w:p w14:paraId="226D6985" w14:textId="77777777" w:rsidR="009B278E" w:rsidRPr="0081146C" w:rsidRDefault="009B278E" w:rsidP="009B278E">
      <w:pPr>
        <w:pStyle w:val="paragraph"/>
        <w:rPr>
          <w:bCs/>
          <w:iCs/>
        </w:rPr>
      </w:pPr>
      <w:r w:rsidRPr="0081146C">
        <w:rPr>
          <w:bCs/>
          <w:iCs/>
        </w:rPr>
        <w:tab/>
        <w:t>(b)</w:t>
      </w:r>
      <w:r w:rsidRPr="0081146C">
        <w:rPr>
          <w:bCs/>
          <w:iCs/>
        </w:rPr>
        <w:tab/>
        <w:t>a family member of an individual covered by (a);</w:t>
      </w:r>
    </w:p>
    <w:p w14:paraId="5A75D541" w14:textId="77777777" w:rsidR="009B278E" w:rsidRPr="0081146C" w:rsidRDefault="009B278E" w:rsidP="009B278E">
      <w:pPr>
        <w:pStyle w:val="paragraph"/>
      </w:pPr>
      <w:r w:rsidRPr="0081146C">
        <w:rPr>
          <w:bCs/>
          <w:iCs/>
        </w:rPr>
        <w:tab/>
        <w:t>(c)</w:t>
      </w:r>
      <w:r w:rsidRPr="0081146C">
        <w:rPr>
          <w:bCs/>
          <w:iCs/>
        </w:rPr>
        <w:tab/>
      </w:r>
      <w:r w:rsidRPr="0081146C">
        <w:t>an individual who is known (having regard to information that is public or readily available) to have:</w:t>
      </w:r>
    </w:p>
    <w:p w14:paraId="7582F275" w14:textId="77777777" w:rsidR="009B278E" w:rsidRPr="0081146C" w:rsidRDefault="009B278E" w:rsidP="009B278E">
      <w:pPr>
        <w:pStyle w:val="paragraphsub"/>
      </w:pPr>
      <w:r w:rsidRPr="0081146C">
        <w:tab/>
        <w:t>(i)</w:t>
      </w:r>
      <w:r w:rsidRPr="0081146C">
        <w:tab/>
        <w:t>joint beneficial ownership of a body corporate or legal arrangement with an individual covered by paragraph (a); or</w:t>
      </w:r>
    </w:p>
    <w:p w14:paraId="3B9C5629" w14:textId="77777777" w:rsidR="009B278E" w:rsidRPr="0081146C" w:rsidRDefault="009B278E" w:rsidP="009B278E">
      <w:pPr>
        <w:pStyle w:val="paragraphsub"/>
      </w:pPr>
      <w:r w:rsidRPr="0081146C">
        <w:tab/>
        <w:t>(ii)</w:t>
      </w:r>
      <w:r w:rsidRPr="0081146C">
        <w:tab/>
        <w:t>sole beneficial ownership of a body corporate or legal arrangement on behalf or for the benefit of an individual covered by paragraph (a); or</w:t>
      </w:r>
    </w:p>
    <w:p w14:paraId="77A22CD8" w14:textId="77777777" w:rsidR="009B278E" w:rsidRPr="0081146C" w:rsidRDefault="009B278E" w:rsidP="009B278E">
      <w:pPr>
        <w:pStyle w:val="paragraphsub"/>
      </w:pPr>
      <w:r w:rsidRPr="0081146C">
        <w:tab/>
        <w:t>(iii)</w:t>
      </w:r>
      <w:r w:rsidRPr="0081146C">
        <w:tab/>
        <w:t>any other close business relations with an individual covered by paragraph (a</w:t>
      </w:r>
      <w:r w:rsidRPr="0081146C">
        <w:rPr>
          <w:bCs/>
          <w:iCs/>
        </w:rPr>
        <w:t>).</w:t>
      </w:r>
    </w:p>
    <w:p w14:paraId="4AA0D069" w14:textId="77777777" w:rsidR="00250C0B" w:rsidRPr="0081146C" w:rsidRDefault="00250C0B" w:rsidP="00250C0B">
      <w:pPr>
        <w:pStyle w:val="Definition"/>
      </w:pPr>
      <w:r w:rsidRPr="0081146C">
        <w:rPr>
          <w:b/>
          <w:i/>
        </w:rPr>
        <w:t>international value transfer service</w:t>
      </w:r>
      <w:r w:rsidRPr="0081146C">
        <w:t xml:space="preserve"> has the meaning given by section 45.</w:t>
      </w:r>
    </w:p>
    <w:p w14:paraId="4003C0DC" w14:textId="77777777" w:rsidR="00035544" w:rsidRPr="0081146C" w:rsidRDefault="00035544" w:rsidP="00035544">
      <w:pPr>
        <w:pStyle w:val="Definition"/>
      </w:pPr>
      <w:r w:rsidRPr="0081146C">
        <w:rPr>
          <w:b/>
          <w:i/>
        </w:rPr>
        <w:t>investigating officer</w:t>
      </w:r>
      <w:r w:rsidRPr="0081146C">
        <w:t xml:space="preserve"> means:</w:t>
      </w:r>
    </w:p>
    <w:p w14:paraId="6B0A9D73" w14:textId="77777777" w:rsidR="00035544" w:rsidRPr="0081146C" w:rsidRDefault="00035544" w:rsidP="00035544">
      <w:pPr>
        <w:pStyle w:val="paragraph"/>
      </w:pPr>
      <w:r w:rsidRPr="0081146C">
        <w:tab/>
        <w:t>(a)</w:t>
      </w:r>
      <w:r w:rsidRPr="0081146C">
        <w:tab/>
        <w:t>a taxation officer; or</w:t>
      </w:r>
    </w:p>
    <w:p w14:paraId="11472357" w14:textId="77777777" w:rsidR="00035544" w:rsidRPr="0081146C" w:rsidRDefault="00035544" w:rsidP="00035544">
      <w:pPr>
        <w:pStyle w:val="paragraph"/>
      </w:pPr>
      <w:r w:rsidRPr="0081146C">
        <w:tab/>
        <w:t>(b)</w:t>
      </w:r>
      <w:r w:rsidRPr="0081146C">
        <w:tab/>
        <w:t>an AFP member; or</w:t>
      </w:r>
    </w:p>
    <w:p w14:paraId="71237D12" w14:textId="77777777" w:rsidR="00035544" w:rsidRPr="0081146C" w:rsidRDefault="00035544" w:rsidP="00035544">
      <w:pPr>
        <w:pStyle w:val="paragraph"/>
      </w:pPr>
      <w:r w:rsidRPr="0081146C">
        <w:tab/>
        <w:t>(c)</w:t>
      </w:r>
      <w:r w:rsidRPr="0081146C">
        <w:tab/>
        <w:t xml:space="preserve">a customs officer (other than the </w:t>
      </w:r>
      <w:r w:rsidR="00147F95" w:rsidRPr="0081146C">
        <w:t>Comptroller</w:t>
      </w:r>
      <w:r w:rsidR="003B7E15" w:rsidRPr="0081146C">
        <w:noBreakHyphen/>
      </w:r>
      <w:r w:rsidR="00147F95" w:rsidRPr="0081146C">
        <w:t>General of Customs</w:t>
      </w:r>
      <w:r w:rsidRPr="0081146C">
        <w:t>); or</w:t>
      </w:r>
    </w:p>
    <w:p w14:paraId="79820BC7" w14:textId="77777777" w:rsidR="00035544" w:rsidRPr="0081146C" w:rsidRDefault="00035544" w:rsidP="00035544">
      <w:pPr>
        <w:pStyle w:val="paragraph"/>
      </w:pPr>
      <w:r w:rsidRPr="0081146C">
        <w:tab/>
        <w:t>(d)</w:t>
      </w:r>
      <w:r w:rsidRPr="0081146C">
        <w:tab/>
        <w:t>an examiner of the Australian Crime Commission; or</w:t>
      </w:r>
    </w:p>
    <w:p w14:paraId="0D0AD565" w14:textId="77777777" w:rsidR="00035544" w:rsidRPr="0081146C" w:rsidRDefault="00035544" w:rsidP="00035544">
      <w:pPr>
        <w:pStyle w:val="paragraph"/>
      </w:pPr>
      <w:r w:rsidRPr="0081146C">
        <w:tab/>
        <w:t>(e)</w:t>
      </w:r>
      <w:r w:rsidRPr="0081146C">
        <w:tab/>
        <w:t>a member of the staff of the Australian Crime Commission</w:t>
      </w:r>
      <w:r w:rsidR="00123189" w:rsidRPr="0081146C">
        <w:t>; or</w:t>
      </w:r>
    </w:p>
    <w:p w14:paraId="73A94028" w14:textId="77777777" w:rsidR="00EC3B77" w:rsidRPr="0081146C" w:rsidRDefault="00EC3B77" w:rsidP="00EC3B77">
      <w:pPr>
        <w:pStyle w:val="paragraph"/>
      </w:pPr>
      <w:r w:rsidRPr="0081146C">
        <w:tab/>
        <w:t>(f)</w:t>
      </w:r>
      <w:r w:rsidRPr="0081146C">
        <w:tab/>
        <w:t>a National Anti</w:t>
      </w:r>
      <w:r w:rsidR="003B7E15" w:rsidRPr="0081146C">
        <w:noBreakHyphen/>
      </w:r>
      <w:r w:rsidRPr="0081146C">
        <w:t>Corruption Commission officer.</w:t>
      </w:r>
    </w:p>
    <w:p w14:paraId="3F0F2EC6" w14:textId="77777777" w:rsidR="00035544" w:rsidRPr="0081146C" w:rsidRDefault="00035544" w:rsidP="00035544">
      <w:pPr>
        <w:pStyle w:val="Definition"/>
      </w:pPr>
      <w:r w:rsidRPr="0081146C">
        <w:rPr>
          <w:b/>
          <w:i/>
        </w:rPr>
        <w:t>involves</w:t>
      </w:r>
      <w:r w:rsidRPr="0081146C">
        <w:t xml:space="preserve"> includes relates to.</w:t>
      </w:r>
    </w:p>
    <w:p w14:paraId="44823FAA" w14:textId="6EF8AFB4" w:rsidR="00035544" w:rsidRPr="0081146C" w:rsidRDefault="00035544" w:rsidP="00035544">
      <w:pPr>
        <w:pStyle w:val="Definition"/>
      </w:pPr>
      <w:r w:rsidRPr="0081146C">
        <w:rPr>
          <w:b/>
          <w:i/>
        </w:rPr>
        <w:t>issue</w:t>
      </w:r>
      <w:r w:rsidRPr="0081146C">
        <w:t xml:space="preserve">, when used in relation to a security or derivative, </w:t>
      </w:r>
      <w:r w:rsidR="00824795" w:rsidRPr="0081146C">
        <w:t xml:space="preserve">has the same meaning as in Chapter 7 of the </w:t>
      </w:r>
      <w:r w:rsidR="00824795" w:rsidRPr="0081146C">
        <w:rPr>
          <w:i/>
        </w:rPr>
        <w:t>Corporations Act 2001</w:t>
      </w:r>
      <w:r w:rsidRPr="0081146C">
        <w:t>. The time when a derivative is issued is to be worked out under subsection</w:t>
      </w:r>
      <w:r w:rsidR="004F64A4" w:rsidRPr="0081146C">
        <w:t> </w:t>
      </w:r>
      <w:r w:rsidRPr="0081146C">
        <w:t xml:space="preserve">761E(3) of the </w:t>
      </w:r>
      <w:r w:rsidRPr="0081146C">
        <w:rPr>
          <w:i/>
        </w:rPr>
        <w:t>Corporations Act 2001</w:t>
      </w:r>
      <w:r w:rsidRPr="0081146C">
        <w:t>.</w:t>
      </w:r>
    </w:p>
    <w:p w14:paraId="7FF8C565" w14:textId="77777777" w:rsidR="00064C94" w:rsidRPr="0081146C" w:rsidRDefault="00064C94" w:rsidP="00064C94">
      <w:pPr>
        <w:pStyle w:val="Definition"/>
      </w:pPr>
      <w:r w:rsidRPr="0081146C">
        <w:rPr>
          <w:b/>
          <w:i/>
        </w:rPr>
        <w:t>keep open notice</w:t>
      </w:r>
      <w:r w:rsidRPr="0081146C">
        <w:t>: see subsection 39B(1).</w:t>
      </w:r>
    </w:p>
    <w:p w14:paraId="39B99CDD" w14:textId="77777777" w:rsidR="009B278E" w:rsidRPr="0081146C" w:rsidRDefault="009B278E" w:rsidP="009B278E">
      <w:pPr>
        <w:pStyle w:val="Definition"/>
      </w:pPr>
      <w:r w:rsidRPr="0081146C">
        <w:rPr>
          <w:b/>
          <w:i/>
        </w:rPr>
        <w:t>KYC information</w:t>
      </w:r>
      <w:r w:rsidRPr="0081146C">
        <w:t xml:space="preserve"> (short for know your customer information) about a customer of a reporting entity means information about the customer that:</w:t>
      </w:r>
    </w:p>
    <w:p w14:paraId="20C3AD45" w14:textId="77777777" w:rsidR="009B278E" w:rsidRPr="0081146C" w:rsidRDefault="009B278E" w:rsidP="009B278E">
      <w:pPr>
        <w:pStyle w:val="paragraph"/>
      </w:pPr>
      <w:r w:rsidRPr="0081146C">
        <w:tab/>
        <w:t>(a)</w:t>
      </w:r>
      <w:r w:rsidRPr="0081146C">
        <w:tab/>
        <w:t>provides reasonable grounds for the reporting entity to establish the matters mentioned in subsection 28(2); or</w:t>
      </w:r>
    </w:p>
    <w:p w14:paraId="0DDAE186" w14:textId="77777777" w:rsidR="009B278E" w:rsidRPr="0081146C" w:rsidRDefault="009B278E" w:rsidP="009B278E">
      <w:pPr>
        <w:pStyle w:val="paragraph"/>
      </w:pPr>
      <w:r w:rsidRPr="0081146C">
        <w:tab/>
        <w:t>(b)</w:t>
      </w:r>
      <w:r w:rsidRPr="0081146C">
        <w:tab/>
        <w:t>enables the reporting entity to identify or assess the ML/TF risk of the customer.</w:t>
      </w:r>
    </w:p>
    <w:p w14:paraId="1D029134" w14:textId="77777777" w:rsidR="00393E03" w:rsidRPr="0081146C" w:rsidRDefault="00393E03" w:rsidP="00393E03">
      <w:pPr>
        <w:pStyle w:val="Definition"/>
      </w:pPr>
      <w:r w:rsidRPr="0081146C">
        <w:rPr>
          <w:b/>
          <w:i/>
        </w:rPr>
        <w:t>land</w:t>
      </w:r>
      <w:r w:rsidRPr="0081146C">
        <w:t xml:space="preserve"> includes:</w:t>
      </w:r>
    </w:p>
    <w:p w14:paraId="068938C8" w14:textId="77777777" w:rsidR="00393E03" w:rsidRPr="0081146C" w:rsidRDefault="00393E03" w:rsidP="00393E03">
      <w:pPr>
        <w:pStyle w:val="paragraph"/>
      </w:pPr>
      <w:r w:rsidRPr="0081146C">
        <w:tab/>
        <w:t>(a)</w:t>
      </w:r>
      <w:r w:rsidRPr="0081146C">
        <w:tab/>
        <w:t>land in Australia or a foreign country; and</w:t>
      </w:r>
    </w:p>
    <w:p w14:paraId="59540FAB" w14:textId="77777777" w:rsidR="00393E03" w:rsidRPr="0081146C" w:rsidRDefault="00393E03" w:rsidP="00393E03">
      <w:pPr>
        <w:pStyle w:val="paragraph"/>
      </w:pPr>
      <w:r w:rsidRPr="0081146C">
        <w:tab/>
        <w:t>(b)</w:t>
      </w:r>
      <w:r w:rsidRPr="0081146C">
        <w:tab/>
        <w:t>land the subject of a subdivision arrangement.</w:t>
      </w:r>
    </w:p>
    <w:p w14:paraId="08EA0A1C" w14:textId="77777777" w:rsidR="00393E03" w:rsidRPr="0081146C" w:rsidRDefault="00393E03" w:rsidP="00393E03">
      <w:pPr>
        <w:pStyle w:val="Definition"/>
      </w:pPr>
      <w:r w:rsidRPr="0081146C">
        <w:rPr>
          <w:b/>
          <w:i/>
        </w:rPr>
        <w:t xml:space="preserve">land use entitlement </w:t>
      </w:r>
      <w:r w:rsidRPr="0081146C">
        <w:t>means an entitlement to occupy land conferred through an ownership of shares in a company or units in a unit trust scheme, or a combination of a shareholding or ownership of units together with a lease or licence.</w:t>
      </w:r>
    </w:p>
    <w:p w14:paraId="7DD7C24B" w14:textId="77777777" w:rsidR="000C2386" w:rsidRPr="0081146C" w:rsidRDefault="000C2386" w:rsidP="000C2386">
      <w:pPr>
        <w:pStyle w:val="Definition"/>
      </w:pPr>
      <w:r w:rsidRPr="0081146C">
        <w:rPr>
          <w:b/>
          <w:i/>
        </w:rPr>
        <w:t>lead entity</w:t>
      </w:r>
      <w:r w:rsidRPr="0081146C">
        <w:t xml:space="preserve"> of a reporting group: see subsection 10A(5).</w:t>
      </w:r>
    </w:p>
    <w:p w14:paraId="1D7E6DDE" w14:textId="77777777" w:rsidR="00035544" w:rsidRPr="0081146C" w:rsidRDefault="00035544" w:rsidP="00035544">
      <w:pPr>
        <w:pStyle w:val="Definition"/>
      </w:pPr>
      <w:r w:rsidRPr="0081146C">
        <w:rPr>
          <w:b/>
          <w:i/>
        </w:rPr>
        <w:t>lease</w:t>
      </w:r>
      <w:r w:rsidRPr="0081146C">
        <w:t>, when used in relation to goods, includes hire.</w:t>
      </w:r>
    </w:p>
    <w:p w14:paraId="3B8FAD8F" w14:textId="77777777" w:rsidR="00393E03" w:rsidRPr="0081146C" w:rsidRDefault="00393E03" w:rsidP="00393E03">
      <w:pPr>
        <w:pStyle w:val="Definition"/>
      </w:pPr>
      <w:r w:rsidRPr="0081146C">
        <w:rPr>
          <w:b/>
          <w:i/>
        </w:rPr>
        <w:t>legal arrangement</w:t>
      </w:r>
      <w:r w:rsidRPr="0081146C">
        <w:t xml:space="preserve"> means:</w:t>
      </w:r>
    </w:p>
    <w:p w14:paraId="12021208" w14:textId="77777777" w:rsidR="00393E03" w:rsidRPr="0081146C" w:rsidRDefault="00393E03" w:rsidP="00393E03">
      <w:pPr>
        <w:pStyle w:val="paragraph"/>
      </w:pPr>
      <w:r w:rsidRPr="0081146C">
        <w:tab/>
        <w:t>(a)</w:t>
      </w:r>
      <w:r w:rsidRPr="0081146C">
        <w:tab/>
        <w:t>an express trust; or</w:t>
      </w:r>
    </w:p>
    <w:p w14:paraId="747A7087" w14:textId="77777777" w:rsidR="00393E03" w:rsidRPr="0081146C" w:rsidRDefault="00393E03" w:rsidP="00393E03">
      <w:pPr>
        <w:pStyle w:val="paragraph"/>
      </w:pPr>
      <w:r w:rsidRPr="0081146C">
        <w:tab/>
        <w:t>(b)</w:t>
      </w:r>
      <w:r w:rsidRPr="0081146C">
        <w:tab/>
        <w:t>a partnership; or</w:t>
      </w:r>
    </w:p>
    <w:p w14:paraId="183BF104" w14:textId="77777777" w:rsidR="00393E03" w:rsidRPr="0081146C" w:rsidRDefault="00393E03" w:rsidP="00393E03">
      <w:pPr>
        <w:pStyle w:val="paragraph"/>
      </w:pPr>
      <w:r w:rsidRPr="0081146C">
        <w:tab/>
        <w:t>(c)</w:t>
      </w:r>
      <w:r w:rsidRPr="0081146C">
        <w:tab/>
        <w:t>a joint venture; or</w:t>
      </w:r>
    </w:p>
    <w:p w14:paraId="4E99F79A" w14:textId="77777777" w:rsidR="00393E03" w:rsidRPr="0081146C" w:rsidRDefault="00393E03" w:rsidP="00393E03">
      <w:pPr>
        <w:pStyle w:val="paragraph"/>
      </w:pPr>
      <w:r w:rsidRPr="0081146C">
        <w:tab/>
        <w:t>(d)</w:t>
      </w:r>
      <w:r w:rsidRPr="0081146C">
        <w:tab/>
        <w:t>an unincorporated association; or</w:t>
      </w:r>
    </w:p>
    <w:p w14:paraId="03BC9DEC" w14:textId="77777777" w:rsidR="00393E03" w:rsidRPr="0081146C" w:rsidRDefault="00393E03" w:rsidP="00393E03">
      <w:pPr>
        <w:pStyle w:val="paragraph"/>
      </w:pPr>
      <w:r w:rsidRPr="0081146C">
        <w:tab/>
        <w:t>(e)</w:t>
      </w:r>
      <w:r w:rsidRPr="0081146C">
        <w:tab/>
        <w:t>an arrangement, including a foreign arrangement such as a fiducie, treuhand or fideicomiso, similar to an arrangement mentioned in any of the above paragraphs.</w:t>
      </w:r>
    </w:p>
    <w:p w14:paraId="26736247" w14:textId="77777777" w:rsidR="00EB7F1B" w:rsidRPr="0081146C" w:rsidRDefault="00EB7F1B" w:rsidP="00EB7F1B">
      <w:pPr>
        <w:pStyle w:val="Definition"/>
      </w:pPr>
      <w:r w:rsidRPr="0081146C">
        <w:rPr>
          <w:b/>
          <w:i/>
        </w:rPr>
        <w:t>legal professional privilege</w:t>
      </w:r>
      <w:r w:rsidRPr="0081146C">
        <w:t xml:space="preserve"> includes privilege under Division 1 of Part 3.10 of the </w:t>
      </w:r>
      <w:r w:rsidRPr="0081146C">
        <w:rPr>
          <w:i/>
        </w:rPr>
        <w:t>Evidence Act 1995</w:t>
      </w:r>
      <w:r w:rsidRPr="0081146C">
        <w:t>.</w:t>
      </w:r>
    </w:p>
    <w:p w14:paraId="164998FF" w14:textId="77777777" w:rsidR="00035544" w:rsidRPr="0081146C" w:rsidRDefault="00035544" w:rsidP="00035544">
      <w:pPr>
        <w:pStyle w:val="Definition"/>
      </w:pPr>
      <w:r w:rsidRPr="0081146C">
        <w:rPr>
          <w:b/>
          <w:i/>
        </w:rPr>
        <w:t>life policy</w:t>
      </w:r>
      <w:r w:rsidRPr="0081146C">
        <w:t xml:space="preserve"> means a life policy (within the meaning of the </w:t>
      </w:r>
      <w:r w:rsidRPr="0081146C">
        <w:rPr>
          <w:i/>
        </w:rPr>
        <w:t>Life Insurance Act 1995</w:t>
      </w:r>
      <w:r w:rsidRPr="0081146C">
        <w:t>), but does not include:</w:t>
      </w:r>
    </w:p>
    <w:p w14:paraId="207F1CB8" w14:textId="77777777" w:rsidR="00035544" w:rsidRPr="0081146C" w:rsidRDefault="00035544" w:rsidP="00035544">
      <w:pPr>
        <w:pStyle w:val="paragraph"/>
      </w:pPr>
      <w:r w:rsidRPr="0081146C">
        <w:tab/>
        <w:t>(a)</w:t>
      </w:r>
      <w:r w:rsidRPr="0081146C">
        <w:tab/>
        <w:t>a policy for which there is no prescribed minimum surrender value (other than that which may be provided for in the policy documentation and promotional material); or</w:t>
      </w:r>
    </w:p>
    <w:p w14:paraId="477D8D85" w14:textId="77777777" w:rsidR="00035544" w:rsidRPr="0081146C" w:rsidRDefault="00035544" w:rsidP="00035544">
      <w:pPr>
        <w:pStyle w:val="paragraph"/>
      </w:pPr>
      <w:r w:rsidRPr="0081146C">
        <w:tab/>
        <w:t>(b)</w:t>
      </w:r>
      <w:r w:rsidRPr="0081146C">
        <w:tab/>
        <w:t xml:space="preserve">a regular premium policy to which </w:t>
      </w:r>
      <w:r w:rsidR="004F64A4" w:rsidRPr="0081146C">
        <w:t>paragraph (</w:t>
      </w:r>
      <w:r w:rsidRPr="0081146C">
        <w:t>a) does not apply, where the amount, or the total of the amounts, payable by way of premium each year is not more than:</w:t>
      </w:r>
    </w:p>
    <w:p w14:paraId="36AAF684" w14:textId="77777777" w:rsidR="00035544" w:rsidRPr="0081146C" w:rsidRDefault="00035544" w:rsidP="00035544">
      <w:pPr>
        <w:pStyle w:val="paragraphsub"/>
      </w:pPr>
      <w:r w:rsidRPr="0081146C">
        <w:tab/>
        <w:t>(i)</w:t>
      </w:r>
      <w:r w:rsidRPr="0081146C">
        <w:tab/>
        <w:t>$1,500; or</w:t>
      </w:r>
    </w:p>
    <w:p w14:paraId="57BFFF91" w14:textId="77777777" w:rsidR="00035544" w:rsidRPr="0081146C" w:rsidRDefault="00035544" w:rsidP="00035544">
      <w:pPr>
        <w:pStyle w:val="paragraphsub"/>
      </w:pPr>
      <w:r w:rsidRPr="0081146C">
        <w:tab/>
        <w:t>(ii)</w:t>
      </w:r>
      <w:r w:rsidRPr="0081146C">
        <w:tab/>
        <w:t>if a greater amount is specified in the AML/CTF Rules—that greater amount; or</w:t>
      </w:r>
    </w:p>
    <w:p w14:paraId="7BBC40CD" w14:textId="77777777" w:rsidR="00035544" w:rsidRPr="0081146C" w:rsidRDefault="00035544" w:rsidP="00035544">
      <w:pPr>
        <w:pStyle w:val="paragraph"/>
      </w:pPr>
      <w:r w:rsidRPr="0081146C">
        <w:tab/>
        <w:t>(c)</w:t>
      </w:r>
      <w:r w:rsidRPr="0081146C">
        <w:tab/>
        <w:t xml:space="preserve">a single premium policy to which </w:t>
      </w:r>
      <w:r w:rsidR="004F64A4" w:rsidRPr="0081146C">
        <w:t>paragraph (</w:t>
      </w:r>
      <w:r w:rsidRPr="0081146C">
        <w:t>a) does not apply, where the amount of the single premium is not more than:</w:t>
      </w:r>
    </w:p>
    <w:p w14:paraId="000F0498" w14:textId="77777777" w:rsidR="00035544" w:rsidRPr="0081146C" w:rsidRDefault="00035544" w:rsidP="00035544">
      <w:pPr>
        <w:pStyle w:val="paragraphsub"/>
      </w:pPr>
      <w:r w:rsidRPr="0081146C">
        <w:tab/>
        <w:t>(i)</w:t>
      </w:r>
      <w:r w:rsidRPr="0081146C">
        <w:tab/>
        <w:t>$3,000; or</w:t>
      </w:r>
    </w:p>
    <w:p w14:paraId="5B2FE21B" w14:textId="77777777" w:rsidR="00035544" w:rsidRPr="0081146C" w:rsidRDefault="00035544" w:rsidP="00035544">
      <w:pPr>
        <w:pStyle w:val="paragraphsub"/>
      </w:pPr>
      <w:r w:rsidRPr="0081146C">
        <w:tab/>
        <w:t>(ii)</w:t>
      </w:r>
      <w:r w:rsidRPr="0081146C">
        <w:tab/>
        <w:t>if a greater amount is specified in the AML/CTF Rules—that greater amount; or</w:t>
      </w:r>
    </w:p>
    <w:p w14:paraId="57020A10" w14:textId="77777777" w:rsidR="00035544" w:rsidRPr="0081146C" w:rsidRDefault="00035544" w:rsidP="00035544">
      <w:pPr>
        <w:pStyle w:val="paragraph"/>
      </w:pPr>
      <w:r w:rsidRPr="0081146C">
        <w:tab/>
        <w:t>(d)</w:t>
      </w:r>
      <w:r w:rsidRPr="0081146C">
        <w:tab/>
        <w:t xml:space="preserve">a contract of consumer credit insurance (within the meaning of the </w:t>
      </w:r>
      <w:r w:rsidRPr="0081146C">
        <w:rPr>
          <w:i/>
        </w:rPr>
        <w:t>Insurance Contracts Act 1984</w:t>
      </w:r>
      <w:r w:rsidRPr="0081146C">
        <w:t>).</w:t>
      </w:r>
    </w:p>
    <w:p w14:paraId="0448F0A4" w14:textId="77777777" w:rsidR="00035544" w:rsidRPr="0081146C" w:rsidRDefault="00035544" w:rsidP="00035544">
      <w:pPr>
        <w:pStyle w:val="subsection2"/>
      </w:pPr>
      <w:r w:rsidRPr="0081146C">
        <w:t xml:space="preserve">For the purposes of this definition, the question of whether a policy has a prescribed minimum surrender value is to be determined in accordance with </w:t>
      </w:r>
      <w:r w:rsidR="002040B3" w:rsidRPr="0081146C">
        <w:t>prudential standards made under section</w:t>
      </w:r>
      <w:r w:rsidR="004F64A4" w:rsidRPr="0081146C">
        <w:t> </w:t>
      </w:r>
      <w:r w:rsidR="002040B3" w:rsidRPr="0081146C">
        <w:t xml:space="preserve">230A of the </w:t>
      </w:r>
      <w:r w:rsidR="002040B3" w:rsidRPr="0081146C">
        <w:rPr>
          <w:i/>
        </w:rPr>
        <w:t>Life Insurance Act 1995</w:t>
      </w:r>
      <w:r w:rsidRPr="0081146C">
        <w:t xml:space="preserve"> as in force from time to time.</w:t>
      </w:r>
    </w:p>
    <w:p w14:paraId="7D447B79" w14:textId="77777777" w:rsidR="00035544" w:rsidRPr="0081146C" w:rsidRDefault="00035544" w:rsidP="00035544">
      <w:pPr>
        <w:pStyle w:val="Definition"/>
      </w:pPr>
      <w:r w:rsidRPr="0081146C">
        <w:rPr>
          <w:b/>
          <w:i/>
        </w:rPr>
        <w:t>loan</w:t>
      </w:r>
      <w:r w:rsidRPr="0081146C">
        <w:t xml:space="preserve"> includes:</w:t>
      </w:r>
    </w:p>
    <w:p w14:paraId="4741BE21" w14:textId="77777777" w:rsidR="00035544" w:rsidRPr="0081146C" w:rsidRDefault="00035544" w:rsidP="00035544">
      <w:pPr>
        <w:pStyle w:val="paragraph"/>
      </w:pPr>
      <w:r w:rsidRPr="0081146C">
        <w:tab/>
        <w:t>(a)</w:t>
      </w:r>
      <w:r w:rsidRPr="0081146C">
        <w:tab/>
        <w:t>an advance of money; and</w:t>
      </w:r>
    </w:p>
    <w:p w14:paraId="4027C47E" w14:textId="77777777" w:rsidR="00035544" w:rsidRPr="0081146C" w:rsidRDefault="00035544" w:rsidP="00035544">
      <w:pPr>
        <w:pStyle w:val="paragraph"/>
      </w:pPr>
      <w:r w:rsidRPr="0081146C">
        <w:tab/>
        <w:t>(b)</w:t>
      </w:r>
      <w:r w:rsidRPr="0081146C">
        <w:tab/>
        <w:t>the provision of credit or any other form of financial accommodation; and</w:t>
      </w:r>
    </w:p>
    <w:p w14:paraId="50A9DAB5" w14:textId="77777777" w:rsidR="00035544" w:rsidRPr="0081146C" w:rsidRDefault="00035544" w:rsidP="00035544">
      <w:pPr>
        <w:pStyle w:val="paragraph"/>
      </w:pPr>
      <w:r w:rsidRPr="0081146C">
        <w:tab/>
        <w:t>(c)</w:t>
      </w:r>
      <w:r w:rsidRPr="0081146C">
        <w:tab/>
        <w:t>the payment of an amount for, on account of, on behalf of or at the request of a person where there is an obligation (whether expressed or implied) to repay the amount; and</w:t>
      </w:r>
    </w:p>
    <w:p w14:paraId="1F382FCB" w14:textId="77777777" w:rsidR="00035544" w:rsidRPr="0081146C" w:rsidRDefault="00035544" w:rsidP="00035544">
      <w:pPr>
        <w:pStyle w:val="paragraph"/>
      </w:pPr>
      <w:r w:rsidRPr="0081146C">
        <w:tab/>
        <w:t>(d)</w:t>
      </w:r>
      <w:r w:rsidRPr="0081146C">
        <w:tab/>
        <w:t>a transaction (whatever its terms or form) which in substance effects a loan of money;</w:t>
      </w:r>
    </w:p>
    <w:p w14:paraId="498E30A6" w14:textId="77777777" w:rsidR="00035544" w:rsidRPr="0081146C" w:rsidRDefault="00035544" w:rsidP="00035544">
      <w:pPr>
        <w:pStyle w:val="subsection2"/>
      </w:pPr>
      <w:r w:rsidRPr="0081146C">
        <w:t>but does not include:</w:t>
      </w:r>
    </w:p>
    <w:p w14:paraId="6EED2918" w14:textId="50FA8485" w:rsidR="00035544" w:rsidRPr="0081146C" w:rsidRDefault="00035544" w:rsidP="00035544">
      <w:pPr>
        <w:pStyle w:val="paragraph"/>
      </w:pPr>
      <w:r w:rsidRPr="0081146C">
        <w:tab/>
        <w:t>(e)</w:t>
      </w:r>
      <w:r w:rsidRPr="0081146C">
        <w:tab/>
        <w:t>if goods are sold on credit—the provision by the seller of that credit; or</w:t>
      </w:r>
    </w:p>
    <w:p w14:paraId="1B4E60ED" w14:textId="16620204" w:rsidR="00035544" w:rsidRPr="0081146C" w:rsidRDefault="00035544" w:rsidP="00035544">
      <w:pPr>
        <w:pStyle w:val="paragraph"/>
      </w:pPr>
      <w:r w:rsidRPr="0081146C">
        <w:tab/>
        <w:t>(f)</w:t>
      </w:r>
      <w:r w:rsidRPr="0081146C">
        <w:tab/>
        <w:t>if services are provided on credit—the provision by the provider of the service of that credit; or</w:t>
      </w:r>
    </w:p>
    <w:p w14:paraId="28E92A75" w14:textId="77777777" w:rsidR="00035544" w:rsidRPr="0081146C" w:rsidRDefault="00035544" w:rsidP="00035544">
      <w:pPr>
        <w:pStyle w:val="paragraph"/>
      </w:pPr>
      <w:r w:rsidRPr="0081146C">
        <w:tab/>
        <w:t>(g)</w:t>
      </w:r>
      <w:r w:rsidRPr="0081146C">
        <w:tab/>
        <w:t>anything that, under the AML/CTF Rules, is taken not to be a loan for the purposes of this Act.</w:t>
      </w:r>
    </w:p>
    <w:p w14:paraId="5CB1062C" w14:textId="77777777" w:rsidR="00EB7F1B" w:rsidRPr="0081146C" w:rsidRDefault="00EB7F1B" w:rsidP="00EB7F1B">
      <w:pPr>
        <w:pStyle w:val="Definition"/>
      </w:pPr>
      <w:r w:rsidRPr="0081146C">
        <w:rPr>
          <w:b/>
          <w:i/>
        </w:rPr>
        <w:t>LPP form</w:t>
      </w:r>
      <w:r w:rsidRPr="0081146C">
        <w:t>, in relation to information or a document, means a written notice that:</w:t>
      </w:r>
    </w:p>
    <w:p w14:paraId="0E46A406" w14:textId="77777777" w:rsidR="00EB7F1B" w:rsidRPr="0081146C" w:rsidRDefault="00EB7F1B" w:rsidP="00EB7F1B">
      <w:pPr>
        <w:pStyle w:val="paragraph"/>
      </w:pPr>
      <w:r w:rsidRPr="0081146C">
        <w:tab/>
        <w:t>(a)</w:t>
      </w:r>
      <w:r w:rsidRPr="0081146C">
        <w:tab/>
        <w:t>is in an approved form; and</w:t>
      </w:r>
    </w:p>
    <w:p w14:paraId="470F2C15" w14:textId="77777777" w:rsidR="00EB7F1B" w:rsidRPr="0081146C" w:rsidRDefault="00EB7F1B" w:rsidP="00EB7F1B">
      <w:pPr>
        <w:pStyle w:val="paragraph"/>
      </w:pPr>
      <w:r w:rsidRPr="0081146C">
        <w:tab/>
        <w:t>(b)</w:t>
      </w:r>
      <w:r w:rsidRPr="0081146C">
        <w:tab/>
        <w:t>specifies the basis on which the information or document is privileged from being given or produced on the ground of legal professional privilege; and</w:t>
      </w:r>
    </w:p>
    <w:p w14:paraId="2C1AFA6C" w14:textId="77777777" w:rsidR="00EB7F1B" w:rsidRPr="0081146C" w:rsidRDefault="00EB7F1B" w:rsidP="00EB7F1B">
      <w:pPr>
        <w:pStyle w:val="paragraph"/>
      </w:pPr>
      <w:r w:rsidRPr="0081146C">
        <w:tab/>
        <w:t>(c)</w:t>
      </w:r>
      <w:r w:rsidRPr="0081146C">
        <w:tab/>
        <w:t>contains any other information required by the approved form; and</w:t>
      </w:r>
    </w:p>
    <w:p w14:paraId="2205BE14" w14:textId="77777777" w:rsidR="00EB7F1B" w:rsidRPr="0081146C" w:rsidRDefault="00EB7F1B" w:rsidP="00EB7F1B">
      <w:pPr>
        <w:pStyle w:val="paragraph"/>
      </w:pPr>
      <w:r w:rsidRPr="0081146C">
        <w:tab/>
        <w:t>(d)</w:t>
      </w:r>
      <w:r w:rsidRPr="0081146C">
        <w:tab/>
        <w:t>is accompanied by any documents required by the approved form.</w:t>
      </w:r>
    </w:p>
    <w:p w14:paraId="140E937D" w14:textId="77777777" w:rsidR="00035544" w:rsidRPr="0081146C" w:rsidRDefault="00035544" w:rsidP="00035544">
      <w:pPr>
        <w:pStyle w:val="Definition"/>
      </w:pPr>
      <w:r w:rsidRPr="0081146C">
        <w:rPr>
          <w:b/>
          <w:i/>
        </w:rPr>
        <w:t>make available</w:t>
      </w:r>
      <w:r w:rsidRPr="0081146C">
        <w:t>, when used in relation to money, includes reducing the balance of a loan account.</w:t>
      </w:r>
    </w:p>
    <w:p w14:paraId="0E3CD2BE" w14:textId="77777777" w:rsidR="00CC3DD3" w:rsidRPr="0081146C" w:rsidRDefault="00CC3DD3" w:rsidP="00CC3DD3">
      <w:pPr>
        <w:pStyle w:val="Definition"/>
      </w:pPr>
      <w:r w:rsidRPr="0081146C">
        <w:rPr>
          <w:b/>
          <w:i/>
        </w:rPr>
        <w:t>managed investment scheme</w:t>
      </w:r>
      <w:r w:rsidRPr="0081146C">
        <w:t xml:space="preserve"> has the same meaning as in the </w:t>
      </w:r>
      <w:r w:rsidRPr="0081146C">
        <w:rPr>
          <w:i/>
        </w:rPr>
        <w:t>Corporations Act 2001</w:t>
      </w:r>
      <w:r w:rsidRPr="0081146C">
        <w:t>.</w:t>
      </w:r>
    </w:p>
    <w:p w14:paraId="4E6D7C91" w14:textId="77777777" w:rsidR="00CC3DD3" w:rsidRPr="0081146C" w:rsidRDefault="00CC3DD3" w:rsidP="00CC3DD3">
      <w:pPr>
        <w:pStyle w:val="notetext"/>
      </w:pPr>
      <w:r w:rsidRPr="0081146C">
        <w:t>Note:</w:t>
      </w:r>
      <w:r w:rsidRPr="0081146C">
        <w:tab/>
        <w:t xml:space="preserve">A notified foreign passport fund is a managed investment scheme for the purposes of that Act, see </w:t>
      </w:r>
      <w:r w:rsidR="003B7E15" w:rsidRPr="0081146C">
        <w:t>section 1</w:t>
      </w:r>
      <w:r w:rsidRPr="0081146C">
        <w:t>213E of that Act.</w:t>
      </w:r>
    </w:p>
    <w:p w14:paraId="38578631" w14:textId="77777777" w:rsidR="000C2386" w:rsidRPr="0081146C" w:rsidRDefault="000C2386" w:rsidP="000C2386">
      <w:pPr>
        <w:pStyle w:val="Definition"/>
      </w:pPr>
      <w:r w:rsidRPr="0081146C">
        <w:rPr>
          <w:b/>
          <w:i/>
        </w:rPr>
        <w:t>member</w:t>
      </w:r>
      <w:r w:rsidRPr="0081146C">
        <w:t xml:space="preserve"> of a reporting group or a business group: see subsection 10A(4).</w:t>
      </w:r>
    </w:p>
    <w:p w14:paraId="5950B3B2" w14:textId="77777777" w:rsidR="00035544" w:rsidRPr="0081146C" w:rsidRDefault="00035544" w:rsidP="00035544">
      <w:pPr>
        <w:pStyle w:val="Definition"/>
      </w:pPr>
      <w:r w:rsidRPr="0081146C">
        <w:rPr>
          <w:b/>
          <w:i/>
        </w:rPr>
        <w:t xml:space="preserve">member of the staff of the Australian Crime Commission </w:t>
      </w:r>
      <w:r w:rsidRPr="0081146C">
        <w:t xml:space="preserve">has the same meaning as in the </w:t>
      </w:r>
      <w:r w:rsidRPr="0081146C">
        <w:rPr>
          <w:i/>
        </w:rPr>
        <w:t>Australian Crime Commission Act 2002</w:t>
      </w:r>
      <w:r w:rsidRPr="0081146C">
        <w:t>.</w:t>
      </w:r>
    </w:p>
    <w:p w14:paraId="4556AA84" w14:textId="77777777" w:rsidR="009B278E" w:rsidRPr="0081146C" w:rsidRDefault="009B278E" w:rsidP="009B278E">
      <w:pPr>
        <w:pStyle w:val="Definition"/>
      </w:pPr>
      <w:r w:rsidRPr="0081146C">
        <w:rPr>
          <w:b/>
          <w:i/>
        </w:rPr>
        <w:t>ML/TF risk</w:t>
      </w:r>
      <w:r w:rsidRPr="0081146C">
        <w:t>, of a customer, means the risks of money laundering, financing of terrorism and proliferation financing that a reporting entity may reasonably face in providing its designated service, or designated services, to the customer.</w:t>
      </w:r>
    </w:p>
    <w:p w14:paraId="22C6703B" w14:textId="77777777" w:rsidR="000C2386" w:rsidRPr="0081146C" w:rsidRDefault="000C2386" w:rsidP="000C2386">
      <w:pPr>
        <w:pStyle w:val="Definition"/>
      </w:pPr>
      <w:r w:rsidRPr="0081146C">
        <w:rPr>
          <w:b/>
          <w:i/>
        </w:rPr>
        <w:t>ML/TF risk assessment</w:t>
      </w:r>
      <w:r w:rsidRPr="0081146C">
        <w:t xml:space="preserve"> of a reporting entity:</w:t>
      </w:r>
    </w:p>
    <w:p w14:paraId="31CC41A7" w14:textId="77777777" w:rsidR="000C2386" w:rsidRPr="0081146C" w:rsidRDefault="000C2386" w:rsidP="000C2386">
      <w:pPr>
        <w:pStyle w:val="paragraph"/>
      </w:pPr>
      <w:r w:rsidRPr="0081146C">
        <w:tab/>
        <w:t>(a)</w:t>
      </w:r>
      <w:r w:rsidRPr="0081146C">
        <w:tab/>
        <w:t>means the risk assessment undertaken by the reporting entity under section 26C; and</w:t>
      </w:r>
    </w:p>
    <w:p w14:paraId="03FF82AE" w14:textId="77777777" w:rsidR="000C2386" w:rsidRPr="0081146C" w:rsidRDefault="000C2386" w:rsidP="000C2386">
      <w:pPr>
        <w:pStyle w:val="paragraph"/>
      </w:pPr>
      <w:r w:rsidRPr="0081146C">
        <w:tab/>
        <w:t>(b)</w:t>
      </w:r>
      <w:r w:rsidRPr="0081146C">
        <w:tab/>
        <w:t>if the assessment is updated under section 26D—includes the risk assessment as updated.</w:t>
      </w:r>
    </w:p>
    <w:p w14:paraId="080A9885" w14:textId="77777777" w:rsidR="00035544" w:rsidRPr="0081146C" w:rsidRDefault="00035544" w:rsidP="00035544">
      <w:pPr>
        <w:pStyle w:val="Definition"/>
      </w:pPr>
      <w:r w:rsidRPr="0081146C">
        <w:rPr>
          <w:b/>
          <w:i/>
        </w:rPr>
        <w:t>modifications</w:t>
      </w:r>
      <w:r w:rsidRPr="0081146C">
        <w:t xml:space="preserve"> includes additions, omissions and substitutions.</w:t>
      </w:r>
    </w:p>
    <w:p w14:paraId="1989EC87" w14:textId="77777777" w:rsidR="000639B5" w:rsidRPr="0081146C" w:rsidRDefault="000639B5" w:rsidP="000639B5">
      <w:pPr>
        <w:pStyle w:val="Definition"/>
      </w:pPr>
      <w:r w:rsidRPr="0081146C">
        <w:rPr>
          <w:b/>
          <w:i/>
        </w:rPr>
        <w:t>monetary instrument</w:t>
      </w:r>
      <w:r w:rsidRPr="0081146C">
        <w:t xml:space="preserve"> means any of the following:</w:t>
      </w:r>
    </w:p>
    <w:p w14:paraId="5B43B216" w14:textId="77777777" w:rsidR="000639B5" w:rsidRPr="0081146C" w:rsidRDefault="000639B5" w:rsidP="000639B5">
      <w:pPr>
        <w:pStyle w:val="paragraph"/>
      </w:pPr>
      <w:r w:rsidRPr="0081146C">
        <w:tab/>
        <w:t>(a)</w:t>
      </w:r>
      <w:r w:rsidRPr="0081146C">
        <w:tab/>
        <w:t>physical currency;</w:t>
      </w:r>
    </w:p>
    <w:p w14:paraId="4F13D4ED" w14:textId="77777777" w:rsidR="000639B5" w:rsidRPr="0081146C" w:rsidRDefault="000639B5" w:rsidP="000639B5">
      <w:pPr>
        <w:pStyle w:val="paragraph"/>
      </w:pPr>
      <w:r w:rsidRPr="0081146C">
        <w:tab/>
        <w:t>(b)</w:t>
      </w:r>
      <w:r w:rsidRPr="0081146C">
        <w:tab/>
        <w:t>a bearer negotiable instrument;</w:t>
      </w:r>
    </w:p>
    <w:p w14:paraId="46DC6742" w14:textId="77777777" w:rsidR="000639B5" w:rsidRPr="0081146C" w:rsidRDefault="000639B5" w:rsidP="000639B5">
      <w:pPr>
        <w:pStyle w:val="paragraph"/>
      </w:pPr>
      <w:r w:rsidRPr="0081146C">
        <w:tab/>
        <w:t>(c)</w:t>
      </w:r>
      <w:r w:rsidRPr="0081146C">
        <w:tab/>
        <w:t>a thing prescribed by the AML/CTF Rules.</w:t>
      </w:r>
    </w:p>
    <w:p w14:paraId="10721CAE" w14:textId="77777777" w:rsidR="000639B5" w:rsidRPr="0081146C" w:rsidRDefault="000639B5" w:rsidP="000639B5">
      <w:pPr>
        <w:pStyle w:val="Definition"/>
      </w:pPr>
      <w:r w:rsidRPr="0081146C">
        <w:rPr>
          <w:b/>
          <w:i/>
        </w:rPr>
        <w:t>monetary instrument</w:t>
      </w:r>
      <w:r w:rsidRPr="0081146C">
        <w:t xml:space="preserve"> </w:t>
      </w:r>
      <w:r w:rsidRPr="0081146C">
        <w:rPr>
          <w:b/>
          <w:i/>
        </w:rPr>
        <w:t>amount</w:t>
      </w:r>
      <w:r w:rsidRPr="0081146C">
        <w:t xml:space="preserve"> for a monetary instrument means:</w:t>
      </w:r>
    </w:p>
    <w:p w14:paraId="04C3008D" w14:textId="77777777" w:rsidR="000639B5" w:rsidRPr="0081146C" w:rsidRDefault="000639B5" w:rsidP="000639B5">
      <w:pPr>
        <w:pStyle w:val="paragraph"/>
      </w:pPr>
      <w:r w:rsidRPr="0081146C">
        <w:tab/>
        <w:t>(a)</w:t>
      </w:r>
      <w:r w:rsidRPr="0081146C">
        <w:tab/>
        <w:t>for physical currency—the amount of the currency; or</w:t>
      </w:r>
    </w:p>
    <w:p w14:paraId="47F8E3AF" w14:textId="77777777" w:rsidR="000639B5" w:rsidRPr="0081146C" w:rsidRDefault="000639B5" w:rsidP="000639B5">
      <w:pPr>
        <w:pStyle w:val="paragraph"/>
      </w:pPr>
      <w:r w:rsidRPr="0081146C">
        <w:tab/>
        <w:t>(b)</w:t>
      </w:r>
      <w:r w:rsidRPr="0081146C">
        <w:tab/>
        <w:t>for a bearer negotiable instrument—the amount payable under the instrument; or</w:t>
      </w:r>
    </w:p>
    <w:p w14:paraId="32438ED6" w14:textId="77777777" w:rsidR="000639B5" w:rsidRPr="0081146C" w:rsidRDefault="000639B5" w:rsidP="000639B5">
      <w:pPr>
        <w:pStyle w:val="paragraph"/>
      </w:pPr>
      <w:r w:rsidRPr="0081146C">
        <w:tab/>
        <w:t>(c)</w:t>
      </w:r>
      <w:r w:rsidRPr="0081146C">
        <w:tab/>
        <w:t xml:space="preserve">for a thing prescribed by the AML/CTF Rules for the purposes of paragraph (c) of the definition of </w:t>
      </w:r>
      <w:r w:rsidRPr="0081146C">
        <w:rPr>
          <w:b/>
          <w:i/>
        </w:rPr>
        <w:t xml:space="preserve">monetary instrument </w:t>
      </w:r>
      <w:r w:rsidRPr="0081146C">
        <w:t>in this section—the amount worked out in accordance with the AML/CTF Rules.</w:t>
      </w:r>
    </w:p>
    <w:p w14:paraId="64CB6E8C" w14:textId="77777777" w:rsidR="00035544" w:rsidRPr="0081146C" w:rsidRDefault="00035544" w:rsidP="00035544">
      <w:pPr>
        <w:pStyle w:val="Definition"/>
      </w:pPr>
      <w:r w:rsidRPr="0081146C">
        <w:rPr>
          <w:b/>
          <w:i/>
        </w:rPr>
        <w:t>money</w:t>
      </w:r>
      <w:r w:rsidRPr="0081146C">
        <w:t xml:space="preserve"> includes:</w:t>
      </w:r>
    </w:p>
    <w:p w14:paraId="6B5CE3A6" w14:textId="77777777" w:rsidR="00035544" w:rsidRPr="0081146C" w:rsidRDefault="00035544" w:rsidP="00035544">
      <w:pPr>
        <w:pStyle w:val="paragraph"/>
      </w:pPr>
      <w:r w:rsidRPr="0081146C">
        <w:tab/>
        <w:t>(a)</w:t>
      </w:r>
      <w:r w:rsidRPr="0081146C">
        <w:tab/>
        <w:t>physical currency; and</w:t>
      </w:r>
    </w:p>
    <w:p w14:paraId="65963BA2" w14:textId="77777777" w:rsidR="00035544" w:rsidRPr="0081146C" w:rsidRDefault="00035544" w:rsidP="00035544">
      <w:pPr>
        <w:pStyle w:val="paragraph"/>
      </w:pPr>
      <w:r w:rsidRPr="0081146C">
        <w:tab/>
        <w:t>(b)</w:t>
      </w:r>
      <w:r w:rsidRPr="0081146C">
        <w:tab/>
        <w:t>money held in an account, whether denominated in Australian currency or any other currency; and</w:t>
      </w:r>
    </w:p>
    <w:p w14:paraId="4F7A9815" w14:textId="3DE27A5D" w:rsidR="00035544" w:rsidRPr="0081146C" w:rsidRDefault="00035544" w:rsidP="00035544">
      <w:pPr>
        <w:pStyle w:val="paragraph"/>
      </w:pPr>
      <w:r w:rsidRPr="0081146C">
        <w:tab/>
        <w:t>(c)</w:t>
      </w:r>
      <w:r w:rsidRPr="0081146C">
        <w:tab/>
        <w:t xml:space="preserve">money held on deposit, whether denominated in Australian currency or any </w:t>
      </w:r>
      <w:r w:rsidR="0049002F" w:rsidRPr="0081146C">
        <w:t>other currency</w:t>
      </w:r>
      <w:r w:rsidR="00064C94" w:rsidRPr="0081146C">
        <w:t>; and</w:t>
      </w:r>
    </w:p>
    <w:p w14:paraId="0184DAF3" w14:textId="40927C06" w:rsidR="00064C94" w:rsidRPr="0081146C" w:rsidRDefault="00064C94" w:rsidP="00064C94">
      <w:pPr>
        <w:pStyle w:val="paragraph"/>
      </w:pPr>
      <w:r w:rsidRPr="0081146C">
        <w:tab/>
        <w:t>(d)</w:t>
      </w:r>
      <w:r w:rsidRPr="0081146C">
        <w:tab/>
        <w:t>a digital representation of value:</w:t>
      </w:r>
    </w:p>
    <w:p w14:paraId="60D05B97" w14:textId="77777777" w:rsidR="00064C94" w:rsidRPr="0081146C" w:rsidRDefault="00064C94" w:rsidP="00064C94">
      <w:pPr>
        <w:pStyle w:val="paragraphsub"/>
      </w:pPr>
      <w:r w:rsidRPr="0081146C">
        <w:tab/>
        <w:t>(i)</w:t>
      </w:r>
      <w:r w:rsidRPr="0081146C">
        <w:tab/>
        <w:t>that is issued by or under the authority of a government body; and</w:t>
      </w:r>
    </w:p>
    <w:p w14:paraId="34569C5B" w14:textId="77777777" w:rsidR="00064C94" w:rsidRPr="0081146C" w:rsidRDefault="00064C94" w:rsidP="00064C94">
      <w:pPr>
        <w:pStyle w:val="paragraphsub"/>
      </w:pPr>
      <w:r w:rsidRPr="0081146C">
        <w:tab/>
        <w:t>(ii)</w:t>
      </w:r>
      <w:r w:rsidRPr="0081146C">
        <w:tab/>
        <w:t>that is intended to function as money.</w:t>
      </w:r>
    </w:p>
    <w:p w14:paraId="79B90E98" w14:textId="77777777" w:rsidR="00064C94" w:rsidRPr="0081146C" w:rsidRDefault="00064C94" w:rsidP="00064C94">
      <w:pPr>
        <w:pStyle w:val="notetext"/>
      </w:pPr>
      <w:r w:rsidRPr="0081146C">
        <w:t>Example:</w:t>
      </w:r>
      <w:r w:rsidRPr="0081146C">
        <w:tab/>
        <w:t>Central bank digital currency.</w:t>
      </w:r>
    </w:p>
    <w:p w14:paraId="2D293C7D" w14:textId="77777777" w:rsidR="00035544" w:rsidRPr="0081146C" w:rsidRDefault="00035544" w:rsidP="00035544">
      <w:pPr>
        <w:pStyle w:val="Definition"/>
      </w:pPr>
      <w:r w:rsidRPr="0081146C">
        <w:rPr>
          <w:b/>
          <w:i/>
        </w:rPr>
        <w:t>money laundering</w:t>
      </w:r>
      <w:r w:rsidRPr="0081146C">
        <w:t xml:space="preserve"> means conduct that amounts to:</w:t>
      </w:r>
    </w:p>
    <w:p w14:paraId="22025F9A" w14:textId="77777777" w:rsidR="00035544" w:rsidRPr="0081146C" w:rsidRDefault="00035544" w:rsidP="00035544">
      <w:pPr>
        <w:pStyle w:val="paragraph"/>
      </w:pPr>
      <w:r w:rsidRPr="0081146C">
        <w:tab/>
        <w:t>(a)</w:t>
      </w:r>
      <w:r w:rsidRPr="0081146C">
        <w:tab/>
        <w:t xml:space="preserve">an offence against </w:t>
      </w:r>
      <w:r w:rsidR="00CA78AA" w:rsidRPr="0081146C">
        <w:t>Division 4</w:t>
      </w:r>
      <w:r w:rsidRPr="0081146C">
        <w:t>00 of the</w:t>
      </w:r>
      <w:r w:rsidRPr="0081146C">
        <w:rPr>
          <w:i/>
        </w:rPr>
        <w:t xml:space="preserve"> Criminal Code</w:t>
      </w:r>
      <w:r w:rsidRPr="0081146C">
        <w:t>; or</w:t>
      </w:r>
    </w:p>
    <w:p w14:paraId="501A68C4" w14:textId="77777777" w:rsidR="00035544" w:rsidRPr="0081146C" w:rsidRDefault="00035544" w:rsidP="00035544">
      <w:pPr>
        <w:pStyle w:val="paragraph"/>
      </w:pPr>
      <w:r w:rsidRPr="0081146C">
        <w:tab/>
        <w:t>(b)</w:t>
      </w:r>
      <w:r w:rsidRPr="0081146C">
        <w:tab/>
        <w:t xml:space="preserve">an offence against a law of a State or Territory that corresponds to an offence referred to in </w:t>
      </w:r>
      <w:r w:rsidR="004F64A4" w:rsidRPr="0081146C">
        <w:t>paragraph (</w:t>
      </w:r>
      <w:r w:rsidRPr="0081146C">
        <w:t>a); or</w:t>
      </w:r>
    </w:p>
    <w:p w14:paraId="20320E88" w14:textId="77777777" w:rsidR="00035544" w:rsidRPr="0081146C" w:rsidRDefault="00035544" w:rsidP="00035544">
      <w:pPr>
        <w:pStyle w:val="paragraph"/>
      </w:pPr>
      <w:r w:rsidRPr="0081146C">
        <w:tab/>
        <w:t>(c)</w:t>
      </w:r>
      <w:r w:rsidRPr="0081146C">
        <w:tab/>
        <w:t xml:space="preserve">an offence against a law of a foreign country or of a part of a foreign country that corresponds to an offence referred to in </w:t>
      </w:r>
      <w:r w:rsidR="004F64A4" w:rsidRPr="0081146C">
        <w:t>paragraph (</w:t>
      </w:r>
      <w:r w:rsidRPr="0081146C">
        <w:t>a).</w:t>
      </w:r>
    </w:p>
    <w:p w14:paraId="0F93F1D5" w14:textId="77777777" w:rsidR="00035544" w:rsidRPr="0081146C" w:rsidRDefault="00035544" w:rsidP="00035544">
      <w:pPr>
        <w:pStyle w:val="Definition"/>
      </w:pPr>
      <w:r w:rsidRPr="0081146C">
        <w:rPr>
          <w:b/>
          <w:i/>
        </w:rPr>
        <w:t>monitoring powers</w:t>
      </w:r>
      <w:r w:rsidRPr="0081146C">
        <w:t xml:space="preserve"> has the meaning given by </w:t>
      </w:r>
      <w:r w:rsidR="003B7E15" w:rsidRPr="0081146C">
        <w:t>section 1</w:t>
      </w:r>
      <w:r w:rsidRPr="0081146C">
        <w:t>48.</w:t>
      </w:r>
    </w:p>
    <w:p w14:paraId="39B13D50" w14:textId="77777777" w:rsidR="00035544" w:rsidRPr="0081146C" w:rsidRDefault="00035544" w:rsidP="00035544">
      <w:pPr>
        <w:pStyle w:val="Definition"/>
      </w:pPr>
      <w:r w:rsidRPr="0081146C">
        <w:rPr>
          <w:b/>
          <w:i/>
        </w:rPr>
        <w:t>monitoring warrant</w:t>
      </w:r>
      <w:r w:rsidRPr="0081146C">
        <w:t xml:space="preserve"> means a warrant issued under </w:t>
      </w:r>
      <w:r w:rsidR="003B7E15" w:rsidRPr="0081146C">
        <w:t>section 1</w:t>
      </w:r>
      <w:r w:rsidRPr="0081146C">
        <w:t>59.</w:t>
      </w:r>
    </w:p>
    <w:p w14:paraId="5F8A0419" w14:textId="77777777" w:rsidR="000639B5" w:rsidRPr="0081146C" w:rsidRDefault="000639B5" w:rsidP="000639B5">
      <w:pPr>
        <w:pStyle w:val="Definition"/>
      </w:pPr>
      <w:r w:rsidRPr="0081146C">
        <w:rPr>
          <w:b/>
          <w:i/>
        </w:rPr>
        <w:t>move</w:t>
      </w:r>
      <w:r w:rsidRPr="0081146C">
        <w:t>:</w:t>
      </w:r>
    </w:p>
    <w:p w14:paraId="4CCC0B59" w14:textId="77777777" w:rsidR="000639B5" w:rsidRPr="0081146C" w:rsidRDefault="000639B5" w:rsidP="000639B5">
      <w:pPr>
        <w:pStyle w:val="paragraph"/>
      </w:pPr>
      <w:r w:rsidRPr="0081146C">
        <w:tab/>
        <w:t>(a)</w:t>
      </w:r>
      <w:r w:rsidRPr="0081146C">
        <w:tab/>
      </w:r>
      <w:r w:rsidRPr="0081146C">
        <w:rPr>
          <w:b/>
          <w:i/>
        </w:rPr>
        <w:t>move</w:t>
      </w:r>
      <w:r w:rsidRPr="0081146C">
        <w:t xml:space="preserve"> a monetary instrument into Australia has the meaning given by section 55; and</w:t>
      </w:r>
    </w:p>
    <w:p w14:paraId="4ADC2E1F" w14:textId="77777777" w:rsidR="000639B5" w:rsidRPr="0081146C" w:rsidRDefault="000639B5" w:rsidP="000639B5">
      <w:pPr>
        <w:pStyle w:val="paragraph"/>
      </w:pPr>
      <w:r w:rsidRPr="0081146C">
        <w:tab/>
        <w:t>(b)</w:t>
      </w:r>
      <w:r w:rsidRPr="0081146C">
        <w:tab/>
      </w:r>
      <w:r w:rsidRPr="0081146C">
        <w:rPr>
          <w:b/>
          <w:i/>
        </w:rPr>
        <w:t>move</w:t>
      </w:r>
      <w:r w:rsidRPr="0081146C">
        <w:t xml:space="preserve"> a monetary instrument out of Australia has the meaning given by section 56.</w:t>
      </w:r>
    </w:p>
    <w:p w14:paraId="146C24B3" w14:textId="77777777" w:rsidR="00EC3B77" w:rsidRPr="0081146C" w:rsidRDefault="00EC3B77" w:rsidP="00EC3B77">
      <w:pPr>
        <w:pStyle w:val="Definition"/>
      </w:pPr>
      <w:r w:rsidRPr="0081146C">
        <w:rPr>
          <w:b/>
          <w:i/>
        </w:rPr>
        <w:t>National Anti</w:t>
      </w:r>
      <w:r w:rsidR="003B7E15" w:rsidRPr="0081146C">
        <w:rPr>
          <w:b/>
          <w:i/>
        </w:rPr>
        <w:noBreakHyphen/>
      </w:r>
      <w:r w:rsidRPr="0081146C">
        <w:rPr>
          <w:b/>
          <w:i/>
        </w:rPr>
        <w:t>Corruption Commissioner</w:t>
      </w:r>
      <w:r w:rsidRPr="0081146C">
        <w:t xml:space="preserve"> means the Commissioner within the meaning of the </w:t>
      </w:r>
      <w:r w:rsidRPr="0081146C">
        <w:rPr>
          <w:i/>
        </w:rPr>
        <w:t>National Anti</w:t>
      </w:r>
      <w:r w:rsidR="003B7E15" w:rsidRPr="0081146C">
        <w:rPr>
          <w:i/>
        </w:rPr>
        <w:noBreakHyphen/>
      </w:r>
      <w:r w:rsidRPr="0081146C">
        <w:rPr>
          <w:i/>
        </w:rPr>
        <w:t>Corruption Commission Act 2022</w:t>
      </w:r>
      <w:r w:rsidRPr="0081146C">
        <w:t>.</w:t>
      </w:r>
    </w:p>
    <w:p w14:paraId="13C89E54" w14:textId="77777777" w:rsidR="00EC3B77" w:rsidRPr="0081146C" w:rsidRDefault="00EC3B77" w:rsidP="00EC3B77">
      <w:pPr>
        <w:pStyle w:val="Definition"/>
      </w:pPr>
      <w:r w:rsidRPr="0081146C">
        <w:rPr>
          <w:b/>
          <w:i/>
        </w:rPr>
        <w:t>National Anti</w:t>
      </w:r>
      <w:r w:rsidR="003B7E15" w:rsidRPr="0081146C">
        <w:rPr>
          <w:b/>
          <w:i/>
        </w:rPr>
        <w:noBreakHyphen/>
      </w:r>
      <w:r w:rsidRPr="0081146C">
        <w:rPr>
          <w:b/>
          <w:i/>
        </w:rPr>
        <w:t>Corruption Commission officer</w:t>
      </w:r>
      <w:r w:rsidRPr="0081146C">
        <w:t xml:space="preserve"> means a staff member of the NACC within the meaning of the </w:t>
      </w:r>
      <w:r w:rsidRPr="0081146C">
        <w:rPr>
          <w:i/>
        </w:rPr>
        <w:t>National Anti</w:t>
      </w:r>
      <w:r w:rsidR="003B7E15" w:rsidRPr="0081146C">
        <w:rPr>
          <w:i/>
        </w:rPr>
        <w:noBreakHyphen/>
      </w:r>
      <w:r w:rsidRPr="0081146C">
        <w:rPr>
          <w:i/>
        </w:rPr>
        <w:t>Corruption Commission Act 2022</w:t>
      </w:r>
      <w:r w:rsidRPr="0081146C">
        <w:t>.</w:t>
      </w:r>
    </w:p>
    <w:p w14:paraId="6739D195" w14:textId="77777777" w:rsidR="009B278E" w:rsidRPr="0081146C" w:rsidRDefault="009B278E" w:rsidP="009B278E">
      <w:pPr>
        <w:pStyle w:val="Definition"/>
      </w:pPr>
      <w:r w:rsidRPr="0081146C">
        <w:rPr>
          <w:b/>
          <w:i/>
        </w:rPr>
        <w:t>nested services relationship</w:t>
      </w:r>
      <w:r w:rsidRPr="0081146C">
        <w:t xml:space="preserve"> means a relationship that involves the provision of a designated service by a reporting entity that is a remitter, virtual asset service provider or financial institution to a customer that is a remitter, virtual asset service provider or financial institution where:</w:t>
      </w:r>
    </w:p>
    <w:p w14:paraId="302A22E9" w14:textId="77777777" w:rsidR="009B278E" w:rsidRPr="0081146C" w:rsidRDefault="009B278E" w:rsidP="009B278E">
      <w:pPr>
        <w:pStyle w:val="paragraph"/>
      </w:pPr>
      <w:r w:rsidRPr="0081146C">
        <w:tab/>
        <w:t>(a)</w:t>
      </w:r>
      <w:r w:rsidRPr="0081146C">
        <w:tab/>
        <w:t>the reporting entity provides the designated service at or through a permanent establishment in one country; and</w:t>
      </w:r>
    </w:p>
    <w:p w14:paraId="5B8A200E" w14:textId="77777777" w:rsidR="009B278E" w:rsidRPr="0081146C" w:rsidRDefault="009B278E" w:rsidP="009B278E">
      <w:pPr>
        <w:pStyle w:val="paragraph"/>
      </w:pPr>
      <w:r w:rsidRPr="0081146C">
        <w:tab/>
        <w:t>(b)</w:t>
      </w:r>
      <w:r w:rsidRPr="0081146C">
        <w:tab/>
        <w:t>the customer uses the designated service to provide services to its own customers at or through a permanent establishment in another country; and</w:t>
      </w:r>
    </w:p>
    <w:p w14:paraId="5CFCAA00" w14:textId="77777777" w:rsidR="009B278E" w:rsidRPr="0081146C" w:rsidRDefault="009B278E" w:rsidP="009B278E">
      <w:pPr>
        <w:pStyle w:val="paragraph"/>
      </w:pPr>
      <w:r w:rsidRPr="0081146C">
        <w:tab/>
        <w:t>(c)</w:t>
      </w:r>
      <w:r w:rsidRPr="0081146C">
        <w:tab/>
        <w:t>the relationship is not a correspondent banking relationship.</w:t>
      </w:r>
    </w:p>
    <w:p w14:paraId="5FA91225" w14:textId="77777777" w:rsidR="00393E03" w:rsidRPr="0081146C" w:rsidRDefault="00393E03" w:rsidP="00393E03">
      <w:pPr>
        <w:pStyle w:val="Definition"/>
      </w:pPr>
      <w:r w:rsidRPr="0081146C">
        <w:rPr>
          <w:b/>
          <w:i/>
        </w:rPr>
        <w:t>nominee shareholder</w:t>
      </w:r>
      <w:r w:rsidRPr="0081146C">
        <w:t>, in relation to a body corporate or legal arrangement, means a person who:</w:t>
      </w:r>
    </w:p>
    <w:p w14:paraId="742A0AA0" w14:textId="77777777" w:rsidR="00393E03" w:rsidRPr="0081146C" w:rsidRDefault="00393E03" w:rsidP="00393E03">
      <w:pPr>
        <w:pStyle w:val="paragraph"/>
      </w:pPr>
      <w:r w:rsidRPr="0081146C">
        <w:tab/>
        <w:t>(a)</w:t>
      </w:r>
      <w:r w:rsidRPr="0081146C">
        <w:tab/>
        <w:t xml:space="preserve">holds shares or an interest in the body corporate or legal arrangement on behalf of another person (the </w:t>
      </w:r>
      <w:r w:rsidRPr="0081146C">
        <w:rPr>
          <w:b/>
          <w:i/>
        </w:rPr>
        <w:t>nominator</w:t>
      </w:r>
      <w:r w:rsidRPr="0081146C">
        <w:t>); and</w:t>
      </w:r>
    </w:p>
    <w:p w14:paraId="0BE69FA1" w14:textId="77777777" w:rsidR="00393E03" w:rsidRPr="0081146C" w:rsidRDefault="00393E03" w:rsidP="00393E03">
      <w:pPr>
        <w:pStyle w:val="paragraph"/>
      </w:pPr>
      <w:r w:rsidRPr="0081146C">
        <w:tab/>
        <w:t>(b)</w:t>
      </w:r>
      <w:r w:rsidRPr="0081146C">
        <w:tab/>
        <w:t>exercises voting rights associated with the shares or interest according to the instructions of the nominator, or receives dividends on behalf of the nominator, or both.</w:t>
      </w:r>
    </w:p>
    <w:p w14:paraId="1B41CFB8" w14:textId="77777777" w:rsidR="000639B5" w:rsidRPr="0081146C" w:rsidRDefault="000639B5" w:rsidP="000639B5">
      <w:pPr>
        <w:pStyle w:val="Definition"/>
      </w:pPr>
      <w:r w:rsidRPr="0081146C">
        <w:rPr>
          <w:b/>
          <w:i/>
        </w:rPr>
        <w:t>non</w:t>
      </w:r>
      <w:r w:rsidR="003B7E15" w:rsidRPr="0081146C">
        <w:rPr>
          <w:b/>
          <w:i/>
        </w:rPr>
        <w:noBreakHyphen/>
      </w:r>
      <w:r w:rsidRPr="0081146C">
        <w:rPr>
          <w:b/>
          <w:i/>
        </w:rPr>
        <w:t>reportable cross</w:t>
      </w:r>
      <w:r w:rsidR="003B7E15" w:rsidRPr="0081146C">
        <w:rPr>
          <w:b/>
          <w:i/>
        </w:rPr>
        <w:noBreakHyphen/>
      </w:r>
      <w:r w:rsidRPr="0081146C">
        <w:rPr>
          <w:b/>
          <w:i/>
        </w:rPr>
        <w:t>border movement of monetary instruments</w:t>
      </w:r>
      <w:r w:rsidRPr="0081146C">
        <w:t xml:space="preserve"> means:</w:t>
      </w:r>
    </w:p>
    <w:p w14:paraId="46CA998A" w14:textId="77777777" w:rsidR="000639B5" w:rsidRPr="0081146C" w:rsidRDefault="000639B5" w:rsidP="000639B5">
      <w:pPr>
        <w:pStyle w:val="paragraph"/>
      </w:pPr>
      <w:r w:rsidRPr="0081146C">
        <w:tab/>
        <w:t>(a)</w:t>
      </w:r>
      <w:r w:rsidRPr="0081146C">
        <w:tab/>
        <w:t>a movement of one or more monetary instruments into Australia; or</w:t>
      </w:r>
    </w:p>
    <w:p w14:paraId="657118D9" w14:textId="77777777" w:rsidR="000639B5" w:rsidRPr="0081146C" w:rsidRDefault="000639B5" w:rsidP="000639B5">
      <w:pPr>
        <w:pStyle w:val="paragraph"/>
      </w:pPr>
      <w:r w:rsidRPr="0081146C">
        <w:tab/>
        <w:t>(b)</w:t>
      </w:r>
      <w:r w:rsidRPr="0081146C">
        <w:tab/>
        <w:t>a movement of one or more monetary instruments out of Australia;</w:t>
      </w:r>
    </w:p>
    <w:p w14:paraId="3ED3353E" w14:textId="77777777" w:rsidR="000639B5" w:rsidRPr="0081146C" w:rsidRDefault="000639B5" w:rsidP="000639B5">
      <w:pPr>
        <w:pStyle w:val="subsection2"/>
      </w:pPr>
      <w:r w:rsidRPr="0081146C">
        <w:t>for which a report under section 53 is not required.</w:t>
      </w:r>
    </w:p>
    <w:p w14:paraId="47AE6164" w14:textId="77777777" w:rsidR="00035544" w:rsidRPr="0081146C" w:rsidRDefault="00035544" w:rsidP="00035544">
      <w:pPr>
        <w:pStyle w:val="Definition"/>
      </w:pPr>
      <w:r w:rsidRPr="0081146C">
        <w:rPr>
          <w:b/>
          <w:i/>
        </w:rPr>
        <w:t>non</w:t>
      </w:r>
      <w:r w:rsidR="003B7E15" w:rsidRPr="0081146C">
        <w:rPr>
          <w:b/>
          <w:i/>
        </w:rPr>
        <w:noBreakHyphen/>
      </w:r>
      <w:r w:rsidRPr="0081146C">
        <w:rPr>
          <w:b/>
          <w:i/>
        </w:rPr>
        <w:t>reportable transaction</w:t>
      </w:r>
      <w:r w:rsidRPr="0081146C">
        <w:t>: if:</w:t>
      </w:r>
    </w:p>
    <w:p w14:paraId="07DB1951" w14:textId="77777777" w:rsidR="00035544" w:rsidRPr="0081146C" w:rsidRDefault="00035544" w:rsidP="00035544">
      <w:pPr>
        <w:pStyle w:val="paragraph"/>
      </w:pPr>
      <w:r w:rsidRPr="0081146C">
        <w:tab/>
        <w:t>(a)</w:t>
      </w:r>
      <w:r w:rsidRPr="0081146C">
        <w:tab/>
        <w:t>a reporting entity commences to provide, or provides, a designated service to a customer; and</w:t>
      </w:r>
    </w:p>
    <w:p w14:paraId="7B66DFAF" w14:textId="77777777" w:rsidR="00035544" w:rsidRPr="0081146C" w:rsidRDefault="00035544" w:rsidP="00035544">
      <w:pPr>
        <w:pStyle w:val="paragraph"/>
      </w:pPr>
      <w:r w:rsidRPr="0081146C">
        <w:tab/>
        <w:t>(b)</w:t>
      </w:r>
      <w:r w:rsidRPr="0081146C">
        <w:tab/>
        <w:t>the provision of the service involves a transaction; and</w:t>
      </w:r>
    </w:p>
    <w:p w14:paraId="34A043AC" w14:textId="77777777" w:rsidR="00035544" w:rsidRPr="0081146C" w:rsidRDefault="00035544" w:rsidP="00035544">
      <w:pPr>
        <w:pStyle w:val="paragraph"/>
      </w:pPr>
      <w:r w:rsidRPr="0081146C">
        <w:tab/>
        <w:t>(c)</w:t>
      </w:r>
      <w:r w:rsidRPr="0081146C">
        <w:tab/>
        <w:t>the transaction is not a threshold transaction;</w:t>
      </w:r>
    </w:p>
    <w:p w14:paraId="0350E425" w14:textId="77777777" w:rsidR="00035544" w:rsidRPr="0081146C" w:rsidRDefault="00035544" w:rsidP="00035544">
      <w:pPr>
        <w:pStyle w:val="subsection2"/>
      </w:pPr>
      <w:r w:rsidRPr="0081146C">
        <w:t xml:space="preserve">the transaction is a </w:t>
      </w:r>
      <w:r w:rsidRPr="0081146C">
        <w:rPr>
          <w:b/>
          <w:i/>
        </w:rPr>
        <w:t>non</w:t>
      </w:r>
      <w:r w:rsidR="003B7E15" w:rsidRPr="0081146C">
        <w:rPr>
          <w:b/>
          <w:i/>
        </w:rPr>
        <w:noBreakHyphen/>
      </w:r>
      <w:r w:rsidRPr="0081146C">
        <w:rPr>
          <w:b/>
          <w:i/>
        </w:rPr>
        <w:t>reportable transaction</w:t>
      </w:r>
      <w:r w:rsidRPr="0081146C">
        <w:t>.</w:t>
      </w:r>
    </w:p>
    <w:p w14:paraId="514D1DEE" w14:textId="77777777" w:rsidR="00CC3DD3" w:rsidRPr="0081146C" w:rsidRDefault="00CC3DD3" w:rsidP="00CC3DD3">
      <w:pPr>
        <w:pStyle w:val="Definition"/>
      </w:pPr>
      <w:r w:rsidRPr="0081146C">
        <w:rPr>
          <w:b/>
          <w:i/>
        </w:rPr>
        <w:t xml:space="preserve">notified foreign passport fund </w:t>
      </w:r>
      <w:r w:rsidRPr="0081146C">
        <w:t xml:space="preserve">has the same meaning as in the </w:t>
      </w:r>
      <w:r w:rsidRPr="0081146C">
        <w:rPr>
          <w:i/>
        </w:rPr>
        <w:t>Corporations Act 2001</w:t>
      </w:r>
      <w:r w:rsidRPr="0081146C">
        <w:t>.</w:t>
      </w:r>
    </w:p>
    <w:p w14:paraId="29BC5A0B" w14:textId="77777777" w:rsidR="009B278E" w:rsidRPr="0081146C" w:rsidRDefault="009B278E" w:rsidP="009B278E">
      <w:pPr>
        <w:pStyle w:val="Definition"/>
        <w:rPr>
          <w:b/>
          <w:i/>
        </w:rPr>
      </w:pPr>
      <w:r w:rsidRPr="0081146C">
        <w:rPr>
          <w:b/>
          <w:i/>
        </w:rPr>
        <w:t xml:space="preserve">occasional transaction </w:t>
      </w:r>
      <w:r w:rsidRPr="0081146C">
        <w:t>means the provision of a designated service by a reporting entity to a customer other than as part of a business relationship.</w:t>
      </w:r>
    </w:p>
    <w:p w14:paraId="1682200A" w14:textId="77777777" w:rsidR="00035544" w:rsidRPr="0081146C" w:rsidRDefault="00035544" w:rsidP="00035544">
      <w:pPr>
        <w:pStyle w:val="Definition"/>
      </w:pPr>
      <w:r w:rsidRPr="0081146C">
        <w:rPr>
          <w:b/>
          <w:i/>
        </w:rPr>
        <w:t>offence</w:t>
      </w:r>
      <w:r w:rsidRPr="0081146C">
        <w:t>:</w:t>
      </w:r>
    </w:p>
    <w:p w14:paraId="1913CB52" w14:textId="77777777" w:rsidR="00035544" w:rsidRPr="0081146C" w:rsidRDefault="00035544" w:rsidP="00035544">
      <w:pPr>
        <w:pStyle w:val="paragraph"/>
      </w:pPr>
      <w:r w:rsidRPr="0081146C">
        <w:tab/>
        <w:t>(a)</w:t>
      </w:r>
      <w:r w:rsidRPr="0081146C">
        <w:tab/>
        <w:t>a reference in this Act to an offence against a law of the Commonwealth (including this Act) includes a reference to an offence against section</w:t>
      </w:r>
      <w:r w:rsidR="004F64A4" w:rsidRPr="0081146C">
        <w:t> </w:t>
      </w:r>
      <w:r w:rsidRPr="0081146C">
        <w:t xml:space="preserve">6 of the </w:t>
      </w:r>
      <w:r w:rsidRPr="0081146C">
        <w:rPr>
          <w:i/>
        </w:rPr>
        <w:t>Crimes Act 1914</w:t>
      </w:r>
      <w:r w:rsidRPr="0081146C">
        <w:t xml:space="preserve"> that relates to such an offence; and</w:t>
      </w:r>
    </w:p>
    <w:p w14:paraId="276BB84C" w14:textId="77777777" w:rsidR="00035544" w:rsidRPr="0081146C" w:rsidRDefault="00035544" w:rsidP="00035544">
      <w:pPr>
        <w:pStyle w:val="paragraph"/>
      </w:pPr>
      <w:r w:rsidRPr="0081146C">
        <w:tab/>
        <w:t>(b)</w:t>
      </w:r>
      <w:r w:rsidRPr="0081146C">
        <w:tab/>
        <w:t>a reference in this Act to a particular offence includes a reference to an offence against section</w:t>
      </w:r>
      <w:r w:rsidR="004F64A4" w:rsidRPr="0081146C">
        <w:t> </w:t>
      </w:r>
      <w:r w:rsidRPr="0081146C">
        <w:t xml:space="preserve">6 of the </w:t>
      </w:r>
      <w:r w:rsidRPr="0081146C">
        <w:rPr>
          <w:i/>
        </w:rPr>
        <w:t>Crimes Act 1914</w:t>
      </w:r>
      <w:r w:rsidRPr="0081146C">
        <w:t xml:space="preserve"> that relates to that particular offence.</w:t>
      </w:r>
    </w:p>
    <w:p w14:paraId="6A89F53A" w14:textId="77777777" w:rsidR="00035544" w:rsidRPr="0081146C" w:rsidRDefault="00035544" w:rsidP="00035544">
      <w:pPr>
        <w:pStyle w:val="notetext"/>
      </w:pPr>
      <w:r w:rsidRPr="0081146C">
        <w:t>Note:</w:t>
      </w:r>
      <w:r w:rsidRPr="0081146C">
        <w:tab/>
        <w:t xml:space="preserve">For other ancillary offences, see </w:t>
      </w:r>
      <w:r w:rsidR="003B7E15" w:rsidRPr="0081146C">
        <w:t>section 1</w:t>
      </w:r>
      <w:r w:rsidRPr="0081146C">
        <w:t xml:space="preserve">1.6 of the </w:t>
      </w:r>
      <w:r w:rsidRPr="0081146C">
        <w:rPr>
          <w:i/>
        </w:rPr>
        <w:t>Criminal Code</w:t>
      </w:r>
      <w:r w:rsidRPr="0081146C">
        <w:t>.</w:t>
      </w:r>
    </w:p>
    <w:p w14:paraId="4991A60F" w14:textId="77777777" w:rsidR="00035544" w:rsidRPr="0081146C" w:rsidRDefault="00035544" w:rsidP="003F448A">
      <w:pPr>
        <w:pStyle w:val="Definition"/>
        <w:keepNext/>
      </w:pPr>
      <w:r w:rsidRPr="0081146C">
        <w:rPr>
          <w:b/>
          <w:i/>
        </w:rPr>
        <w:t>officer</w:t>
      </w:r>
      <w:r w:rsidRPr="0081146C">
        <w:t>:</w:t>
      </w:r>
    </w:p>
    <w:p w14:paraId="739C6E2E" w14:textId="77777777" w:rsidR="00035544" w:rsidRPr="0081146C" w:rsidRDefault="00035544" w:rsidP="00035544">
      <w:pPr>
        <w:pStyle w:val="paragraph"/>
      </w:pPr>
      <w:r w:rsidRPr="0081146C">
        <w:tab/>
        <w:t>(a)</w:t>
      </w:r>
      <w:r w:rsidRPr="0081146C">
        <w:tab/>
        <w:t>a director or secretary of a company is taken to be an officer of the company for the purposes of this Act;</w:t>
      </w:r>
    </w:p>
    <w:p w14:paraId="533BC7A8" w14:textId="77777777" w:rsidR="00035544" w:rsidRPr="0081146C" w:rsidRDefault="00035544" w:rsidP="00035544">
      <w:pPr>
        <w:pStyle w:val="paragraph"/>
      </w:pPr>
      <w:r w:rsidRPr="0081146C">
        <w:tab/>
        <w:t>(b)</w:t>
      </w:r>
      <w:r w:rsidRPr="0081146C">
        <w:tab/>
        <w:t>a partner of a partnership is taken to be an officer of the partnership for the purposes of this Act;</w:t>
      </w:r>
    </w:p>
    <w:p w14:paraId="37675611" w14:textId="77777777" w:rsidR="00035544" w:rsidRPr="0081146C" w:rsidRDefault="00035544" w:rsidP="00035544">
      <w:pPr>
        <w:pStyle w:val="paragraph"/>
      </w:pPr>
      <w:r w:rsidRPr="0081146C">
        <w:tab/>
        <w:t>(c)</w:t>
      </w:r>
      <w:r w:rsidRPr="0081146C">
        <w:tab/>
        <w:t>a trustee or manager of a trust is taken to be an officer of the trust for the purposes of this Act.</w:t>
      </w:r>
    </w:p>
    <w:p w14:paraId="125DA272" w14:textId="77777777" w:rsidR="00946652" w:rsidRPr="0081146C" w:rsidRDefault="00946652" w:rsidP="00946652">
      <w:pPr>
        <w:pStyle w:val="Definition"/>
      </w:pPr>
      <w:r w:rsidRPr="0081146C">
        <w:rPr>
          <w:b/>
          <w:i/>
        </w:rPr>
        <w:t xml:space="preserve">official </w:t>
      </w:r>
      <w:r w:rsidRPr="0081146C">
        <w:t>has the meaning given by section 22.</w:t>
      </w:r>
    </w:p>
    <w:p w14:paraId="5CF81CBB" w14:textId="77777777" w:rsidR="00064C94" w:rsidRPr="0081146C" w:rsidRDefault="00064C94" w:rsidP="00064C94">
      <w:pPr>
        <w:pStyle w:val="Definition"/>
      </w:pPr>
      <w:r w:rsidRPr="0081146C">
        <w:rPr>
          <w:b/>
          <w:i/>
        </w:rPr>
        <w:t>on</w:t>
      </w:r>
      <w:r w:rsidRPr="0081146C">
        <w:rPr>
          <w:b/>
          <w:i/>
        </w:rPr>
        <w:noBreakHyphen/>
        <w:t>course bookmaker</w:t>
      </w:r>
      <w:r w:rsidRPr="0081146C">
        <w:t xml:space="preserve"> means a person who carries on a business of a bookmaker or a turf commission agent at a racecourse.</w:t>
      </w:r>
    </w:p>
    <w:p w14:paraId="56C8C65E" w14:textId="77777777" w:rsidR="00064C94" w:rsidRPr="0081146C" w:rsidRDefault="00064C94" w:rsidP="00064C94">
      <w:pPr>
        <w:pStyle w:val="Definition"/>
      </w:pPr>
      <w:r w:rsidRPr="0081146C">
        <w:rPr>
          <w:b/>
          <w:bCs/>
          <w:i/>
          <w:iCs/>
        </w:rPr>
        <w:t>online gambling service</w:t>
      </w:r>
      <w:r w:rsidRPr="0081146C">
        <w:t>:</w:t>
      </w:r>
    </w:p>
    <w:p w14:paraId="6F6EDD29" w14:textId="77777777" w:rsidR="00064C94" w:rsidRPr="0081146C" w:rsidRDefault="00064C94" w:rsidP="00064C94">
      <w:pPr>
        <w:pStyle w:val="paragraph"/>
      </w:pPr>
      <w:r w:rsidRPr="0081146C">
        <w:tab/>
        <w:t>(a)</w:t>
      </w:r>
      <w:r w:rsidRPr="0081146C">
        <w:tab/>
        <w:t>means a designated service covered by an item of table 3 in section 6 of this Act that is provided to a customer using any of the means referred to in paragraph 5(1)(b) of the </w:t>
      </w:r>
      <w:r w:rsidRPr="0081146C">
        <w:rPr>
          <w:i/>
          <w:iCs/>
        </w:rPr>
        <w:t>Interactive Gambling Act 2001</w:t>
      </w:r>
      <w:r w:rsidRPr="0081146C">
        <w:t>; and</w:t>
      </w:r>
    </w:p>
    <w:p w14:paraId="0B276602" w14:textId="77777777" w:rsidR="00064C94" w:rsidRPr="0081146C" w:rsidRDefault="00064C94" w:rsidP="00064C94">
      <w:pPr>
        <w:pStyle w:val="paragraph"/>
      </w:pPr>
      <w:r w:rsidRPr="0081146C">
        <w:tab/>
        <w:t>(b)</w:t>
      </w:r>
      <w:r w:rsidRPr="0081146C">
        <w:tab/>
        <w:t>includes an excluded wagering service (within the meaning of that Act), but does not include a telephone betting service (within the meaning of that Act).</w:t>
      </w:r>
    </w:p>
    <w:p w14:paraId="4AA6984F" w14:textId="77777777" w:rsidR="00035544" w:rsidRPr="0081146C" w:rsidRDefault="00035544" w:rsidP="007A28A1">
      <w:pPr>
        <w:pStyle w:val="Definition"/>
        <w:keepNext/>
      </w:pPr>
      <w:r w:rsidRPr="0081146C">
        <w:rPr>
          <w:b/>
          <w:i/>
        </w:rPr>
        <w:t>opening</w:t>
      </w:r>
      <w:r w:rsidRPr="0081146C">
        <w:t>, in relation to an account, means creating the account. To avoid doubt, it is immaterial whether:</w:t>
      </w:r>
    </w:p>
    <w:p w14:paraId="742DFB6B" w14:textId="77777777" w:rsidR="00035544" w:rsidRPr="0081146C" w:rsidRDefault="00035544" w:rsidP="007A28A1">
      <w:pPr>
        <w:pStyle w:val="paragraph"/>
        <w:keepNext/>
      </w:pPr>
      <w:r w:rsidRPr="0081146C">
        <w:tab/>
        <w:t>(a)</w:t>
      </w:r>
      <w:r w:rsidRPr="0081146C">
        <w:tab/>
        <w:t>the account number has been given to the holder of the account; or</w:t>
      </w:r>
    </w:p>
    <w:p w14:paraId="23132737" w14:textId="77777777" w:rsidR="00035544" w:rsidRPr="0081146C" w:rsidRDefault="00035544" w:rsidP="00035544">
      <w:pPr>
        <w:pStyle w:val="paragraph"/>
      </w:pPr>
      <w:r w:rsidRPr="0081146C">
        <w:tab/>
        <w:t>(b)</w:t>
      </w:r>
      <w:r w:rsidRPr="0081146C">
        <w:tab/>
        <w:t>the holder of the account, or any other signatory to the account, can conduct a transaction in relation to the account.</w:t>
      </w:r>
    </w:p>
    <w:p w14:paraId="2B3FEC5D" w14:textId="77777777" w:rsidR="007330A4" w:rsidRPr="0081146C" w:rsidRDefault="007330A4" w:rsidP="007330A4">
      <w:pPr>
        <w:pStyle w:val="Definition"/>
      </w:pPr>
      <w:r w:rsidRPr="0081146C">
        <w:rPr>
          <w:b/>
          <w:i/>
        </w:rPr>
        <w:t>ordering institution</w:t>
      </w:r>
      <w:r w:rsidRPr="0081146C">
        <w:t>: see subsections 63A(1) to (4).</w:t>
      </w:r>
    </w:p>
    <w:p w14:paraId="5FB19529" w14:textId="77777777" w:rsidR="00035544" w:rsidRPr="0081146C" w:rsidRDefault="00035544" w:rsidP="00035544">
      <w:pPr>
        <w:pStyle w:val="Definition"/>
      </w:pPr>
      <w:r w:rsidRPr="0081146C">
        <w:rPr>
          <w:b/>
          <w:i/>
        </w:rPr>
        <w:t>owner</w:t>
      </w:r>
      <w:r w:rsidR="003B7E15" w:rsidRPr="0081146C">
        <w:rPr>
          <w:b/>
          <w:i/>
        </w:rPr>
        <w:noBreakHyphen/>
      </w:r>
      <w:r w:rsidRPr="0081146C">
        <w:rPr>
          <w:b/>
          <w:i/>
        </w:rPr>
        <w:t>managed branch</w:t>
      </w:r>
      <w:r w:rsidRPr="0081146C">
        <w:t xml:space="preserve"> of an ADI has the meaning given by </w:t>
      </w:r>
      <w:r w:rsidR="003B7E15" w:rsidRPr="0081146C">
        <w:t>section 1</w:t>
      </w:r>
      <w:r w:rsidRPr="0081146C">
        <w:t>2.</w:t>
      </w:r>
    </w:p>
    <w:p w14:paraId="53F6F28B" w14:textId="77777777" w:rsidR="009B278E" w:rsidRPr="0081146C" w:rsidRDefault="009B278E" w:rsidP="009B278E">
      <w:pPr>
        <w:pStyle w:val="Definition"/>
      </w:pPr>
      <w:r w:rsidRPr="0081146C">
        <w:rPr>
          <w:b/>
          <w:i/>
        </w:rPr>
        <w:t>parent</w:t>
      </w:r>
      <w:r w:rsidRPr="0081146C">
        <w:t xml:space="preserve">: without limiting who is a parent of another person for the purposes of this Act, a person is the </w:t>
      </w:r>
      <w:r w:rsidRPr="0081146C">
        <w:rPr>
          <w:b/>
          <w:i/>
        </w:rPr>
        <w:t>parent</w:t>
      </w:r>
      <w:r w:rsidRPr="0081146C">
        <w:t xml:space="preserve"> of another person if the other person is the person’s child because of the definition of </w:t>
      </w:r>
      <w:r w:rsidRPr="0081146C">
        <w:rPr>
          <w:b/>
          <w:i/>
        </w:rPr>
        <w:t>child</w:t>
      </w:r>
      <w:r w:rsidRPr="0081146C">
        <w:t xml:space="preserve"> in this section.</w:t>
      </w:r>
    </w:p>
    <w:p w14:paraId="3AB42893" w14:textId="77777777" w:rsidR="00035544" w:rsidRPr="0081146C" w:rsidRDefault="00035544" w:rsidP="00035544">
      <w:pPr>
        <w:pStyle w:val="Definition"/>
      </w:pPr>
      <w:r w:rsidRPr="0081146C">
        <w:rPr>
          <w:b/>
          <w:i/>
        </w:rPr>
        <w:t>partnership</w:t>
      </w:r>
      <w:r w:rsidRPr="0081146C">
        <w:rPr>
          <w:i/>
        </w:rPr>
        <w:t xml:space="preserve"> </w:t>
      </w:r>
      <w:r w:rsidRPr="0081146C">
        <w:t xml:space="preserve">has the same meaning as in the </w:t>
      </w:r>
      <w:r w:rsidRPr="0081146C">
        <w:rPr>
          <w:i/>
        </w:rPr>
        <w:t>Income Tax Assessment Act 1997</w:t>
      </w:r>
      <w:r w:rsidRPr="0081146C">
        <w:t>.</w:t>
      </w:r>
    </w:p>
    <w:p w14:paraId="5EBB98F5" w14:textId="77777777" w:rsidR="00035544" w:rsidRPr="0081146C" w:rsidRDefault="00035544" w:rsidP="00035544">
      <w:pPr>
        <w:pStyle w:val="Definition"/>
      </w:pPr>
      <w:r w:rsidRPr="0081146C">
        <w:rPr>
          <w:b/>
          <w:i/>
        </w:rPr>
        <w:t>permanent establishment</w:t>
      </w:r>
      <w:r w:rsidRPr="0081146C">
        <w:t xml:space="preserve"> has the meaning given by section</w:t>
      </w:r>
      <w:r w:rsidR="004F64A4" w:rsidRPr="0081146C">
        <w:t> </w:t>
      </w:r>
      <w:r w:rsidRPr="0081146C">
        <w:t>21.</w:t>
      </w:r>
    </w:p>
    <w:p w14:paraId="5DE7E829" w14:textId="77777777" w:rsidR="00035544" w:rsidRPr="0081146C" w:rsidRDefault="00035544" w:rsidP="00035544">
      <w:pPr>
        <w:pStyle w:val="Definition"/>
      </w:pPr>
      <w:r w:rsidRPr="0081146C">
        <w:rPr>
          <w:b/>
          <w:i/>
        </w:rPr>
        <w:t>person</w:t>
      </w:r>
      <w:r w:rsidRPr="0081146C">
        <w:t xml:space="preserve"> means any of the following:</w:t>
      </w:r>
    </w:p>
    <w:p w14:paraId="24C26216" w14:textId="77777777" w:rsidR="00035544" w:rsidRPr="0081146C" w:rsidRDefault="00035544" w:rsidP="00035544">
      <w:pPr>
        <w:pStyle w:val="paragraph"/>
      </w:pPr>
      <w:r w:rsidRPr="0081146C">
        <w:tab/>
        <w:t>(a)</w:t>
      </w:r>
      <w:r w:rsidRPr="0081146C">
        <w:tab/>
        <w:t>an individual;</w:t>
      </w:r>
    </w:p>
    <w:p w14:paraId="50399CC4" w14:textId="77777777" w:rsidR="00035544" w:rsidRPr="0081146C" w:rsidRDefault="00035544" w:rsidP="00035544">
      <w:pPr>
        <w:pStyle w:val="paragraph"/>
      </w:pPr>
      <w:r w:rsidRPr="0081146C">
        <w:tab/>
        <w:t>(b)</w:t>
      </w:r>
      <w:r w:rsidRPr="0081146C">
        <w:tab/>
        <w:t>a company;</w:t>
      </w:r>
    </w:p>
    <w:p w14:paraId="4D3FDC93" w14:textId="77777777" w:rsidR="00035544" w:rsidRPr="0081146C" w:rsidRDefault="00035544" w:rsidP="00035544">
      <w:pPr>
        <w:pStyle w:val="paragraph"/>
      </w:pPr>
      <w:r w:rsidRPr="0081146C">
        <w:tab/>
        <w:t>(c)</w:t>
      </w:r>
      <w:r w:rsidRPr="0081146C">
        <w:tab/>
        <w:t>a trust;</w:t>
      </w:r>
    </w:p>
    <w:p w14:paraId="25FDD749" w14:textId="77777777" w:rsidR="00035544" w:rsidRPr="0081146C" w:rsidRDefault="00035544" w:rsidP="00035544">
      <w:pPr>
        <w:pStyle w:val="paragraph"/>
      </w:pPr>
      <w:r w:rsidRPr="0081146C">
        <w:tab/>
        <w:t>(d)</w:t>
      </w:r>
      <w:r w:rsidRPr="0081146C">
        <w:tab/>
        <w:t>a partnership;</w:t>
      </w:r>
    </w:p>
    <w:p w14:paraId="1638C3DE" w14:textId="77777777" w:rsidR="00035544" w:rsidRPr="0081146C" w:rsidRDefault="00035544" w:rsidP="00035544">
      <w:pPr>
        <w:pStyle w:val="paragraph"/>
      </w:pPr>
      <w:r w:rsidRPr="0081146C">
        <w:tab/>
        <w:t>(e)</w:t>
      </w:r>
      <w:r w:rsidRPr="0081146C">
        <w:tab/>
        <w:t>a corporation sole;</w:t>
      </w:r>
    </w:p>
    <w:p w14:paraId="1ABEE5E8" w14:textId="77777777" w:rsidR="00035544" w:rsidRPr="0081146C" w:rsidRDefault="00035544" w:rsidP="00035544">
      <w:pPr>
        <w:pStyle w:val="paragraph"/>
      </w:pPr>
      <w:r w:rsidRPr="0081146C">
        <w:tab/>
        <w:t>(f)</w:t>
      </w:r>
      <w:r w:rsidRPr="0081146C">
        <w:tab/>
        <w:t>a body politic.</w:t>
      </w:r>
    </w:p>
    <w:p w14:paraId="2886A8FC" w14:textId="77777777" w:rsidR="00035544" w:rsidRPr="0081146C" w:rsidRDefault="00035544" w:rsidP="00035544">
      <w:pPr>
        <w:pStyle w:val="notetext"/>
      </w:pPr>
      <w:r w:rsidRPr="0081146C">
        <w:t>Note:</w:t>
      </w:r>
      <w:r w:rsidRPr="0081146C">
        <w:tab/>
        <w:t>See also sections</w:t>
      </w:r>
      <w:r w:rsidR="004F64A4" w:rsidRPr="0081146C">
        <w:t> </w:t>
      </w:r>
      <w:r w:rsidRPr="0081146C">
        <w:t>237 (partnerships), 238 (unincorporated associations) and 239 (trusts with multiple trustees).</w:t>
      </w:r>
    </w:p>
    <w:p w14:paraId="510D8BC2" w14:textId="77777777" w:rsidR="00E60DA8" w:rsidRPr="0081146C" w:rsidRDefault="00E60DA8" w:rsidP="00E60DA8">
      <w:pPr>
        <w:pStyle w:val="Definition"/>
      </w:pPr>
      <w:r w:rsidRPr="0081146C">
        <w:rPr>
          <w:b/>
          <w:i/>
        </w:rPr>
        <w:t>personal information</w:t>
      </w:r>
      <w:r w:rsidRPr="0081146C">
        <w:t xml:space="preserve"> has the same meaning as in the </w:t>
      </w:r>
      <w:r w:rsidRPr="0081146C">
        <w:rPr>
          <w:i/>
        </w:rPr>
        <w:t>Privacy Act 1988</w:t>
      </w:r>
      <w:r w:rsidRPr="0081146C">
        <w:t>.</w:t>
      </w:r>
    </w:p>
    <w:p w14:paraId="2BD65765" w14:textId="77777777" w:rsidR="009B278E" w:rsidRPr="0081146C" w:rsidRDefault="009B278E" w:rsidP="009B278E">
      <w:pPr>
        <w:pStyle w:val="Definition"/>
      </w:pPr>
      <w:r w:rsidRPr="0081146C">
        <w:rPr>
          <w:b/>
          <w:i/>
        </w:rPr>
        <w:t>person designated for targeted financial sanctions</w:t>
      </w:r>
      <w:r w:rsidRPr="0081146C">
        <w:t xml:space="preserve"> means:</w:t>
      </w:r>
    </w:p>
    <w:p w14:paraId="58E384A6" w14:textId="77777777" w:rsidR="009B278E" w:rsidRPr="0081146C" w:rsidRDefault="009B278E" w:rsidP="009B278E">
      <w:pPr>
        <w:pStyle w:val="paragraph"/>
      </w:pPr>
      <w:r w:rsidRPr="0081146C">
        <w:tab/>
        <w:t>(a)</w:t>
      </w:r>
      <w:r w:rsidRPr="0081146C">
        <w:tab/>
        <w:t xml:space="preserve">a designated person or entity (within the meaning of regulations made under the </w:t>
      </w:r>
      <w:r w:rsidRPr="0081146C">
        <w:rPr>
          <w:i/>
        </w:rPr>
        <w:t>Charter of the United Nations Act 1945</w:t>
      </w:r>
      <w:r w:rsidRPr="0081146C">
        <w:t>); or</w:t>
      </w:r>
    </w:p>
    <w:p w14:paraId="2B64AEAB" w14:textId="77777777" w:rsidR="009B278E" w:rsidRPr="0081146C" w:rsidRDefault="009B278E" w:rsidP="009B278E">
      <w:pPr>
        <w:pStyle w:val="paragraph"/>
      </w:pPr>
      <w:r w:rsidRPr="0081146C">
        <w:tab/>
        <w:t>(b)</w:t>
      </w:r>
      <w:r w:rsidRPr="0081146C">
        <w:tab/>
        <w:t xml:space="preserve">a designated person or entity (within the meaning of regulations made under the </w:t>
      </w:r>
      <w:r w:rsidRPr="0081146C">
        <w:rPr>
          <w:i/>
        </w:rPr>
        <w:t>Autonomous Sanctions Act 2011</w:t>
      </w:r>
      <w:r w:rsidRPr="0081146C">
        <w:t>).</w:t>
      </w:r>
    </w:p>
    <w:p w14:paraId="0FB784DF" w14:textId="77777777" w:rsidR="00035544" w:rsidRPr="0081146C" w:rsidRDefault="00035544" w:rsidP="00035544">
      <w:pPr>
        <w:pStyle w:val="Definition"/>
      </w:pPr>
      <w:r w:rsidRPr="0081146C">
        <w:rPr>
          <w:b/>
          <w:i/>
        </w:rPr>
        <w:t>physical currency</w:t>
      </w:r>
      <w:r w:rsidRPr="0081146C">
        <w:t xml:space="preserve"> means the coin and printed money (whether of Australia or of a foreign country) that:</w:t>
      </w:r>
    </w:p>
    <w:p w14:paraId="0E710800" w14:textId="77777777" w:rsidR="00035544" w:rsidRPr="0081146C" w:rsidRDefault="00035544" w:rsidP="00035544">
      <w:pPr>
        <w:pStyle w:val="paragraph"/>
      </w:pPr>
      <w:r w:rsidRPr="0081146C">
        <w:tab/>
        <w:t>(a)</w:t>
      </w:r>
      <w:r w:rsidRPr="0081146C">
        <w:tab/>
        <w:t>is designated as legal tender; and</w:t>
      </w:r>
    </w:p>
    <w:p w14:paraId="214CA931" w14:textId="77777777" w:rsidR="00035544" w:rsidRPr="0081146C" w:rsidRDefault="00035544" w:rsidP="00035544">
      <w:pPr>
        <w:pStyle w:val="paragraph"/>
      </w:pPr>
      <w:r w:rsidRPr="0081146C">
        <w:tab/>
        <w:t>(b)</w:t>
      </w:r>
      <w:r w:rsidRPr="0081146C">
        <w:tab/>
        <w:t>circulates as, and is customarily used and accepted as, a medium of exchange in the country of issue.</w:t>
      </w:r>
    </w:p>
    <w:p w14:paraId="15037154" w14:textId="77777777" w:rsidR="00035544" w:rsidRPr="0081146C" w:rsidRDefault="00035544" w:rsidP="00035544">
      <w:pPr>
        <w:pStyle w:val="Definition"/>
      </w:pPr>
      <w:r w:rsidRPr="0081146C">
        <w:rPr>
          <w:b/>
          <w:i/>
        </w:rPr>
        <w:t>police officer</w:t>
      </w:r>
      <w:r w:rsidRPr="0081146C">
        <w:t xml:space="preserve"> means:</w:t>
      </w:r>
    </w:p>
    <w:p w14:paraId="401F63A8" w14:textId="77777777" w:rsidR="00035544" w:rsidRPr="0081146C" w:rsidRDefault="00035544" w:rsidP="00035544">
      <w:pPr>
        <w:pStyle w:val="paragraph"/>
      </w:pPr>
      <w:r w:rsidRPr="0081146C">
        <w:tab/>
        <w:t>(a)</w:t>
      </w:r>
      <w:r w:rsidRPr="0081146C">
        <w:tab/>
        <w:t>an AFP member; or</w:t>
      </w:r>
    </w:p>
    <w:p w14:paraId="0F3EEA18" w14:textId="77777777" w:rsidR="00035544" w:rsidRPr="0081146C" w:rsidRDefault="00035544" w:rsidP="00035544">
      <w:pPr>
        <w:pStyle w:val="paragraph"/>
      </w:pPr>
      <w:r w:rsidRPr="0081146C">
        <w:tab/>
        <w:t>(b)</w:t>
      </w:r>
      <w:r w:rsidRPr="0081146C">
        <w:tab/>
        <w:t>a member of the police force or police service of a State or Territory.</w:t>
      </w:r>
    </w:p>
    <w:p w14:paraId="1EEDE822" w14:textId="77777777" w:rsidR="00895996" w:rsidRPr="0081146C" w:rsidRDefault="00895996" w:rsidP="00895996">
      <w:pPr>
        <w:pStyle w:val="Definition"/>
      </w:pPr>
      <w:r w:rsidRPr="0081146C">
        <w:rPr>
          <w:b/>
          <w:i/>
        </w:rPr>
        <w:t>politically exposed person</w:t>
      </w:r>
      <w:r w:rsidRPr="0081146C">
        <w:t xml:space="preserve"> means:</w:t>
      </w:r>
    </w:p>
    <w:p w14:paraId="27EF3360" w14:textId="77777777" w:rsidR="00895996" w:rsidRPr="0081146C" w:rsidRDefault="00895996" w:rsidP="00895996">
      <w:pPr>
        <w:pStyle w:val="paragraph"/>
      </w:pPr>
      <w:r w:rsidRPr="0081146C">
        <w:tab/>
        <w:t>(a)</w:t>
      </w:r>
      <w:r w:rsidRPr="0081146C">
        <w:tab/>
        <w:t>a domestic politically exposed person; or</w:t>
      </w:r>
    </w:p>
    <w:p w14:paraId="1E92A73E" w14:textId="77777777" w:rsidR="00895996" w:rsidRPr="0081146C" w:rsidRDefault="00895996" w:rsidP="00895996">
      <w:pPr>
        <w:pStyle w:val="paragraph"/>
      </w:pPr>
      <w:r w:rsidRPr="0081146C">
        <w:tab/>
        <w:t>(b)</w:t>
      </w:r>
      <w:r w:rsidRPr="0081146C">
        <w:tab/>
        <w:t>a foreign politically exposed person; or</w:t>
      </w:r>
    </w:p>
    <w:p w14:paraId="7B26C64B" w14:textId="77777777" w:rsidR="00895996" w:rsidRPr="0081146C" w:rsidRDefault="00895996" w:rsidP="00895996">
      <w:pPr>
        <w:pStyle w:val="paragraph"/>
      </w:pPr>
      <w:r w:rsidRPr="0081146C">
        <w:tab/>
        <w:t>(c)</w:t>
      </w:r>
      <w:r w:rsidRPr="0081146C">
        <w:tab/>
        <w:t>an international organisation politically exposed person.</w:t>
      </w:r>
    </w:p>
    <w:p w14:paraId="490995BC" w14:textId="77777777" w:rsidR="00393E03" w:rsidRPr="0081146C" w:rsidRDefault="00393E03" w:rsidP="00393E03">
      <w:pPr>
        <w:pStyle w:val="Definition"/>
      </w:pPr>
      <w:r w:rsidRPr="0081146C">
        <w:rPr>
          <w:b/>
          <w:i/>
        </w:rPr>
        <w:t>precious metal</w:t>
      </w:r>
      <w:r w:rsidRPr="0081146C">
        <w:t>: see subsection 5A(1).</w:t>
      </w:r>
    </w:p>
    <w:p w14:paraId="0FC22CAF" w14:textId="77777777" w:rsidR="00393E03" w:rsidRPr="0081146C" w:rsidRDefault="00393E03" w:rsidP="00393E03">
      <w:pPr>
        <w:pStyle w:val="Definition"/>
      </w:pPr>
      <w:r w:rsidRPr="0081146C">
        <w:rPr>
          <w:b/>
          <w:i/>
        </w:rPr>
        <w:t>precious product</w:t>
      </w:r>
      <w:r w:rsidRPr="0081146C">
        <w:t>: see subsection 5A(6).</w:t>
      </w:r>
    </w:p>
    <w:p w14:paraId="2738F1D2" w14:textId="77777777" w:rsidR="00393E03" w:rsidRPr="0081146C" w:rsidRDefault="00393E03" w:rsidP="00393E03">
      <w:pPr>
        <w:pStyle w:val="Definition"/>
      </w:pPr>
      <w:r w:rsidRPr="0081146C">
        <w:rPr>
          <w:b/>
          <w:i/>
        </w:rPr>
        <w:t>precious stone</w:t>
      </w:r>
      <w:r w:rsidRPr="0081146C">
        <w:t>: see subsection 5A(3).</w:t>
      </w:r>
    </w:p>
    <w:p w14:paraId="06FC7A70" w14:textId="77777777" w:rsidR="00895996" w:rsidRPr="0081146C" w:rsidRDefault="00895996" w:rsidP="00895996">
      <w:pPr>
        <w:pStyle w:val="Definition"/>
      </w:pPr>
      <w:r w:rsidRPr="0081146C">
        <w:rPr>
          <w:b/>
          <w:i/>
        </w:rPr>
        <w:t>pre</w:t>
      </w:r>
      <w:r w:rsidRPr="0081146C">
        <w:rPr>
          <w:b/>
          <w:i/>
        </w:rPr>
        <w:noBreakHyphen/>
        <w:t>commencement customer</w:t>
      </w:r>
      <w:r w:rsidRPr="0081146C">
        <w:t>: see subsection 36(1).</w:t>
      </w:r>
    </w:p>
    <w:p w14:paraId="7BA747D3" w14:textId="77777777" w:rsidR="00035544" w:rsidRPr="0081146C" w:rsidRDefault="00035544" w:rsidP="00035544">
      <w:pPr>
        <w:pStyle w:val="Definition"/>
      </w:pPr>
      <w:r w:rsidRPr="0081146C">
        <w:rPr>
          <w:b/>
          <w:i/>
        </w:rPr>
        <w:t>prescribed foreign country</w:t>
      </w:r>
      <w:r w:rsidRPr="0081146C">
        <w:t xml:space="preserve"> means a foreign country declared by the regulations to be a prescribed foreign country for the purposes of this Act.</w:t>
      </w:r>
    </w:p>
    <w:p w14:paraId="5B7B50D4" w14:textId="77777777" w:rsidR="00035544" w:rsidRPr="0081146C" w:rsidRDefault="00035544" w:rsidP="00035544">
      <w:pPr>
        <w:pStyle w:val="Definition"/>
      </w:pPr>
      <w:r w:rsidRPr="0081146C">
        <w:rPr>
          <w:b/>
          <w:i/>
        </w:rPr>
        <w:t>printed money</w:t>
      </w:r>
      <w:r w:rsidRPr="0081146C">
        <w:t xml:space="preserve"> means money comprising a note printed, written or otherwise made on polymer, paper or any other material.</w:t>
      </w:r>
    </w:p>
    <w:p w14:paraId="24D8B381" w14:textId="77777777" w:rsidR="00035544" w:rsidRPr="0081146C" w:rsidRDefault="00035544" w:rsidP="00035544">
      <w:pPr>
        <w:pStyle w:val="Definition"/>
      </w:pPr>
      <w:r w:rsidRPr="0081146C">
        <w:rPr>
          <w:b/>
          <w:i/>
        </w:rPr>
        <w:t>produce</w:t>
      </w:r>
      <w:r w:rsidRPr="0081146C">
        <w:t xml:space="preserve"> includes permit access to.</w:t>
      </w:r>
    </w:p>
    <w:p w14:paraId="6A5DC244" w14:textId="77777777" w:rsidR="000C2386" w:rsidRPr="0081146C" w:rsidRDefault="000C2386" w:rsidP="000C2386">
      <w:pPr>
        <w:pStyle w:val="Definition"/>
      </w:pPr>
      <w:r w:rsidRPr="0081146C">
        <w:rPr>
          <w:b/>
          <w:i/>
        </w:rPr>
        <w:t>proliferation financing</w:t>
      </w:r>
      <w:r w:rsidRPr="0081146C">
        <w:t xml:space="preserve"> means conduct that amounts to:</w:t>
      </w:r>
    </w:p>
    <w:p w14:paraId="29F2AD14" w14:textId="77777777" w:rsidR="000C2386" w:rsidRPr="0081146C" w:rsidRDefault="000C2386" w:rsidP="000C2386">
      <w:pPr>
        <w:pStyle w:val="paragraph"/>
      </w:pPr>
      <w:r w:rsidRPr="0081146C">
        <w:tab/>
        <w:t>(a)</w:t>
      </w:r>
      <w:r w:rsidRPr="0081146C">
        <w:tab/>
        <w:t xml:space="preserve">an offence against the </w:t>
      </w:r>
      <w:r w:rsidRPr="0081146C">
        <w:rPr>
          <w:i/>
        </w:rPr>
        <w:t>Charter of the United Nations Act 1945</w:t>
      </w:r>
      <w:r w:rsidRPr="0081146C">
        <w:t>, or regulations made under that Act, that is prescribed by regulations made under this Act for the purposes of this paragraph; or</w:t>
      </w:r>
    </w:p>
    <w:p w14:paraId="5DE6B433" w14:textId="77777777" w:rsidR="000C2386" w:rsidRPr="0081146C" w:rsidRDefault="000C2386" w:rsidP="000C2386">
      <w:pPr>
        <w:pStyle w:val="paragraph"/>
      </w:pPr>
      <w:r w:rsidRPr="0081146C">
        <w:tab/>
        <w:t>(b)</w:t>
      </w:r>
      <w:r w:rsidRPr="0081146C">
        <w:tab/>
        <w:t xml:space="preserve">an offence against the </w:t>
      </w:r>
      <w:r w:rsidRPr="0081146C">
        <w:rPr>
          <w:i/>
        </w:rPr>
        <w:t>Autonomous Sanctions Act 2011</w:t>
      </w:r>
      <w:r w:rsidRPr="0081146C">
        <w:t>, or a contravention of regulations made under that Act, that involves sanctions addressing the proliferation of weapons of mass destruction; or</w:t>
      </w:r>
    </w:p>
    <w:p w14:paraId="769C03DB" w14:textId="77777777" w:rsidR="000C2386" w:rsidRPr="0081146C" w:rsidRDefault="000C2386" w:rsidP="000C2386">
      <w:pPr>
        <w:pStyle w:val="paragraph"/>
      </w:pPr>
      <w:r w:rsidRPr="0081146C">
        <w:tab/>
        <w:t>(c)</w:t>
      </w:r>
      <w:r w:rsidRPr="0081146C">
        <w:tab/>
        <w:t xml:space="preserve">an offence against the </w:t>
      </w:r>
      <w:r w:rsidRPr="0081146C">
        <w:rPr>
          <w:i/>
        </w:rPr>
        <w:t>Autonomous Sanctions Act 2011</w:t>
      </w:r>
      <w:r w:rsidRPr="0081146C">
        <w:t>, or a contravention of regulations made under that Act, that is prescribed by regulations made under this Act for the purposes of this paragraph; or</w:t>
      </w:r>
    </w:p>
    <w:p w14:paraId="5A4CE803" w14:textId="77777777" w:rsidR="000C2386" w:rsidRPr="0081146C" w:rsidRDefault="000C2386" w:rsidP="000C2386">
      <w:pPr>
        <w:pStyle w:val="paragraph"/>
      </w:pPr>
      <w:r w:rsidRPr="0081146C">
        <w:tab/>
        <w:t>(d)</w:t>
      </w:r>
      <w:r w:rsidRPr="0081146C">
        <w:tab/>
        <w:t>the provision of assets (including funds) or financial services, or other dealing with assets, in contravention of a law of the Commonwealth that:</w:t>
      </w:r>
    </w:p>
    <w:p w14:paraId="536D93E1" w14:textId="77777777" w:rsidR="000C2386" w:rsidRPr="0081146C" w:rsidRDefault="000C2386" w:rsidP="000C2386">
      <w:pPr>
        <w:pStyle w:val="paragraphsub"/>
      </w:pPr>
      <w:r w:rsidRPr="0081146C">
        <w:tab/>
        <w:t>(i)</w:t>
      </w:r>
      <w:r w:rsidRPr="0081146C">
        <w:tab/>
        <w:t>implements an international agreement, convention or treaty relating to the proliferation of weapons of mass destruction; and</w:t>
      </w:r>
    </w:p>
    <w:p w14:paraId="2DCF01F2" w14:textId="77777777" w:rsidR="000C2386" w:rsidRPr="0081146C" w:rsidRDefault="000C2386" w:rsidP="000C2386">
      <w:pPr>
        <w:pStyle w:val="paragraphsub"/>
      </w:pPr>
      <w:r w:rsidRPr="0081146C">
        <w:tab/>
        <w:t>(ii)</w:t>
      </w:r>
      <w:r w:rsidRPr="0081146C">
        <w:tab/>
        <w:t>is prescribed by the regulations for the purposes of this paragraph; or</w:t>
      </w:r>
    </w:p>
    <w:p w14:paraId="798A6745" w14:textId="77777777" w:rsidR="000C2386" w:rsidRPr="0081146C" w:rsidRDefault="000C2386" w:rsidP="000C2386">
      <w:pPr>
        <w:pStyle w:val="paragraph"/>
      </w:pPr>
      <w:r w:rsidRPr="0081146C">
        <w:tab/>
        <w:t>(e)</w:t>
      </w:r>
      <w:r w:rsidRPr="0081146C">
        <w:tab/>
        <w:t>an offence against a law of a State or Territory that corresponds to an offence referred to in paragraph (a), (b), (c) or (d); or</w:t>
      </w:r>
    </w:p>
    <w:p w14:paraId="4DA8B169" w14:textId="77777777" w:rsidR="000C2386" w:rsidRPr="0081146C" w:rsidRDefault="000C2386" w:rsidP="000C2386">
      <w:pPr>
        <w:pStyle w:val="paragraph"/>
      </w:pPr>
      <w:r w:rsidRPr="0081146C">
        <w:tab/>
        <w:t>(f)</w:t>
      </w:r>
      <w:r w:rsidRPr="0081146C">
        <w:tab/>
        <w:t>an offence against a law of a foreign country or a part of a foreign country that corresponds to an offence referred to in paragraph (a), (b), (c), (d) or (e); or</w:t>
      </w:r>
    </w:p>
    <w:p w14:paraId="5BAADFFC" w14:textId="77777777" w:rsidR="000C2386" w:rsidRPr="0081146C" w:rsidRDefault="000C2386" w:rsidP="000C2386">
      <w:pPr>
        <w:pStyle w:val="paragraph"/>
      </w:pPr>
      <w:r w:rsidRPr="0081146C">
        <w:tab/>
        <w:t>(g)</w:t>
      </w:r>
      <w:r w:rsidRPr="0081146C">
        <w:tab/>
        <w:t>an offence against a law of the Commonwealth, a State or a Territory that is prescribed by the regulations for the purposes of this paragraph.</w:t>
      </w:r>
    </w:p>
    <w:p w14:paraId="286B1137" w14:textId="77777777" w:rsidR="00035544" w:rsidRPr="0081146C" w:rsidRDefault="00035544" w:rsidP="00035544">
      <w:pPr>
        <w:pStyle w:val="Definition"/>
      </w:pPr>
      <w:r w:rsidRPr="0081146C">
        <w:rPr>
          <w:b/>
          <w:i/>
        </w:rPr>
        <w:t>promissory note</w:t>
      </w:r>
      <w:r w:rsidRPr="0081146C">
        <w:t xml:space="preserve"> has the same meaning as in paragraph</w:t>
      </w:r>
      <w:r w:rsidR="004F64A4" w:rsidRPr="0081146C">
        <w:t> </w:t>
      </w:r>
      <w:r w:rsidRPr="0081146C">
        <w:t>51(xvi) of the Constitution.</w:t>
      </w:r>
    </w:p>
    <w:p w14:paraId="2E802B0C" w14:textId="72EA9994" w:rsidR="00035544" w:rsidRPr="0081146C" w:rsidRDefault="00035544" w:rsidP="00035544">
      <w:pPr>
        <w:pStyle w:val="Definition"/>
      </w:pPr>
      <w:r w:rsidRPr="0081146C">
        <w:rPr>
          <w:b/>
          <w:i/>
        </w:rPr>
        <w:t>property</w:t>
      </w:r>
      <w:r w:rsidRPr="0081146C">
        <w:t xml:space="preserve"> means any legal or equitable estate or interest in real or personal property, including a contingent or prospective one, but does not include money</w:t>
      </w:r>
      <w:r w:rsidR="0049002F" w:rsidRPr="0081146C">
        <w:t xml:space="preserve"> or </w:t>
      </w:r>
      <w:bookmarkStart w:id="14" w:name="_Hlk172194332"/>
      <w:r w:rsidR="00610C10" w:rsidRPr="0081146C">
        <w:t>a virtual asset</w:t>
      </w:r>
      <w:bookmarkEnd w:id="14"/>
      <w:r w:rsidRPr="0081146C">
        <w:t>.</w:t>
      </w:r>
    </w:p>
    <w:p w14:paraId="06002A74" w14:textId="77777777" w:rsidR="00035544" w:rsidRPr="0081146C" w:rsidRDefault="00035544" w:rsidP="00035544">
      <w:pPr>
        <w:pStyle w:val="Definition"/>
      </w:pPr>
      <w:r w:rsidRPr="0081146C">
        <w:rPr>
          <w:b/>
          <w:i/>
        </w:rPr>
        <w:t>provide</w:t>
      </w:r>
      <w:r w:rsidRPr="0081146C">
        <w:t xml:space="preserve"> includes supply, grant or confer.</w:t>
      </w:r>
    </w:p>
    <w:p w14:paraId="4F69555E" w14:textId="77777777" w:rsidR="00035544" w:rsidRPr="0081146C" w:rsidRDefault="00035544" w:rsidP="00035544">
      <w:pPr>
        <w:pStyle w:val="Definition"/>
      </w:pPr>
      <w:r w:rsidRPr="0081146C">
        <w:rPr>
          <w:b/>
          <w:i/>
        </w:rPr>
        <w:t>providing a custodial or depository service</w:t>
      </w:r>
      <w:r w:rsidRPr="0081146C">
        <w:t xml:space="preserve"> includes engaging in conduct that, under subsection</w:t>
      </w:r>
      <w:r w:rsidR="004F64A4" w:rsidRPr="0081146C">
        <w:t> </w:t>
      </w:r>
      <w:r w:rsidRPr="0081146C">
        <w:t xml:space="preserve">766E(1) of the </w:t>
      </w:r>
      <w:r w:rsidRPr="0081146C">
        <w:rPr>
          <w:i/>
        </w:rPr>
        <w:t>Corporations Act 2001</w:t>
      </w:r>
      <w:r w:rsidRPr="0081146C">
        <w:t>, constitutes providing a custodial or depository service, but does not include:</w:t>
      </w:r>
    </w:p>
    <w:p w14:paraId="16FCDDF4" w14:textId="77777777" w:rsidR="00035544" w:rsidRPr="0081146C" w:rsidRDefault="00035544" w:rsidP="00035544">
      <w:pPr>
        <w:pStyle w:val="paragraph"/>
      </w:pPr>
      <w:r w:rsidRPr="0081146C">
        <w:tab/>
        <w:t>(a)</w:t>
      </w:r>
      <w:r w:rsidRPr="0081146C">
        <w:tab/>
        <w:t>conduct covered by subsection</w:t>
      </w:r>
      <w:r w:rsidR="004F64A4" w:rsidRPr="0081146C">
        <w:t> </w:t>
      </w:r>
      <w:r w:rsidRPr="0081146C">
        <w:t>766E(3) of that Act; or</w:t>
      </w:r>
    </w:p>
    <w:p w14:paraId="7DDB9535" w14:textId="77777777" w:rsidR="00035544" w:rsidRPr="0081146C" w:rsidRDefault="00035544" w:rsidP="00035544">
      <w:pPr>
        <w:pStyle w:val="paragraph"/>
      </w:pPr>
      <w:r w:rsidRPr="0081146C">
        <w:tab/>
        <w:t>(b)</w:t>
      </w:r>
      <w:r w:rsidRPr="0081146C">
        <w:tab/>
        <w:t>conduct specified in the AML/CTF Rules.</w:t>
      </w:r>
    </w:p>
    <w:p w14:paraId="78FDE0C9" w14:textId="77777777" w:rsidR="00895996" w:rsidRPr="0081146C" w:rsidRDefault="00895996" w:rsidP="00895996">
      <w:pPr>
        <w:pStyle w:val="Definition"/>
      </w:pPr>
      <w:r w:rsidRPr="0081146C">
        <w:rPr>
          <w:b/>
          <w:i/>
        </w:rPr>
        <w:t>public international organisation</w:t>
      </w:r>
      <w:r w:rsidRPr="0081146C">
        <w:t xml:space="preserve"> has the same meaning as in section 70.1 of the </w:t>
      </w:r>
      <w:r w:rsidRPr="0081146C">
        <w:rPr>
          <w:i/>
        </w:rPr>
        <w:t>Criminal Code.</w:t>
      </w:r>
    </w:p>
    <w:p w14:paraId="6BF7FB9A" w14:textId="77777777" w:rsidR="00035544" w:rsidRPr="0081146C" w:rsidRDefault="00035544" w:rsidP="00035544">
      <w:pPr>
        <w:pStyle w:val="Definition"/>
        <w:keepNext/>
      </w:pPr>
      <w:r w:rsidRPr="0081146C">
        <w:rPr>
          <w:b/>
          <w:i/>
        </w:rPr>
        <w:t>public official</w:t>
      </w:r>
      <w:r w:rsidRPr="0081146C">
        <w:t xml:space="preserve"> means:</w:t>
      </w:r>
    </w:p>
    <w:p w14:paraId="237C2BC6" w14:textId="77777777" w:rsidR="00035544" w:rsidRPr="0081146C" w:rsidRDefault="00035544" w:rsidP="00035544">
      <w:pPr>
        <w:pStyle w:val="paragraph"/>
      </w:pPr>
      <w:r w:rsidRPr="0081146C">
        <w:tab/>
        <w:t>(a)</w:t>
      </w:r>
      <w:r w:rsidRPr="0081146C">
        <w:tab/>
        <w:t>an employee or official of a government body; or</w:t>
      </w:r>
    </w:p>
    <w:p w14:paraId="6DA802E6" w14:textId="77777777" w:rsidR="00035544" w:rsidRPr="0081146C" w:rsidRDefault="00035544" w:rsidP="00035544">
      <w:pPr>
        <w:pStyle w:val="paragraph"/>
      </w:pPr>
      <w:r w:rsidRPr="0081146C">
        <w:tab/>
        <w:t>(b)</w:t>
      </w:r>
      <w:r w:rsidRPr="0081146C">
        <w:tab/>
        <w:t>an individual who holds or performs the duties of an appointment, office or position under a law of a country or of part of a country; or</w:t>
      </w:r>
    </w:p>
    <w:p w14:paraId="618425B1" w14:textId="77777777" w:rsidR="00035544" w:rsidRPr="0081146C" w:rsidRDefault="00035544" w:rsidP="00035544">
      <w:pPr>
        <w:pStyle w:val="paragraph"/>
      </w:pPr>
      <w:r w:rsidRPr="0081146C">
        <w:tab/>
        <w:t>(c)</w:t>
      </w:r>
      <w:r w:rsidRPr="0081146C">
        <w:tab/>
        <w:t>an individual who holds or performs the duties of an appointment, office or position created by custom or convention of a country or of part of a country; or</w:t>
      </w:r>
    </w:p>
    <w:p w14:paraId="25A6E61F" w14:textId="77777777" w:rsidR="00035544" w:rsidRPr="0081146C" w:rsidRDefault="00035544" w:rsidP="00035544">
      <w:pPr>
        <w:pStyle w:val="paragraph"/>
      </w:pPr>
      <w:r w:rsidRPr="0081146C">
        <w:tab/>
        <w:t>(d)</w:t>
      </w:r>
      <w:r w:rsidRPr="0081146C">
        <w:tab/>
        <w:t>an individual who is otherwise in the service of a government body (including service as a member of a military force, police force or police service); or</w:t>
      </w:r>
    </w:p>
    <w:p w14:paraId="0ED6FF8B" w14:textId="77777777" w:rsidR="00035544" w:rsidRPr="0081146C" w:rsidRDefault="00035544" w:rsidP="00035544">
      <w:pPr>
        <w:pStyle w:val="paragraph"/>
      </w:pPr>
      <w:r w:rsidRPr="0081146C">
        <w:tab/>
        <w:t>(e)</w:t>
      </w:r>
      <w:r w:rsidRPr="0081146C">
        <w:tab/>
        <w:t>a member of the executive, judiciary or magistracy of a country or of part of a country.</w:t>
      </w:r>
    </w:p>
    <w:p w14:paraId="69162786" w14:textId="77777777" w:rsidR="00035544" w:rsidRPr="0081146C" w:rsidRDefault="00035544" w:rsidP="00035544">
      <w:pPr>
        <w:pStyle w:val="Definition"/>
      </w:pPr>
      <w:r w:rsidRPr="0081146C">
        <w:rPr>
          <w:b/>
          <w:i/>
        </w:rPr>
        <w:t>qualified accountant</w:t>
      </w:r>
      <w:r w:rsidRPr="0081146C">
        <w:t xml:space="preserve"> means a person who is a member of:</w:t>
      </w:r>
    </w:p>
    <w:p w14:paraId="11F72A15" w14:textId="77777777" w:rsidR="00035544" w:rsidRPr="0081146C" w:rsidRDefault="00035544" w:rsidP="00035544">
      <w:pPr>
        <w:pStyle w:val="paragraph"/>
      </w:pPr>
      <w:r w:rsidRPr="0081146C">
        <w:tab/>
        <w:t>(a)</w:t>
      </w:r>
      <w:r w:rsidRPr="0081146C">
        <w:tab/>
        <w:t>CPA Australia; or</w:t>
      </w:r>
    </w:p>
    <w:p w14:paraId="52161868" w14:textId="77777777" w:rsidR="00035544" w:rsidRPr="0081146C" w:rsidRDefault="00035544" w:rsidP="00035544">
      <w:pPr>
        <w:pStyle w:val="paragraph"/>
      </w:pPr>
      <w:r w:rsidRPr="0081146C">
        <w:tab/>
        <w:t>(b)</w:t>
      </w:r>
      <w:r w:rsidRPr="0081146C">
        <w:tab/>
      </w:r>
      <w:r w:rsidR="00624063" w:rsidRPr="0081146C">
        <w:t>Chartered Accountants Australia and New Zealand</w:t>
      </w:r>
      <w:r w:rsidRPr="0081146C">
        <w:t>; or</w:t>
      </w:r>
    </w:p>
    <w:p w14:paraId="789DC0FE" w14:textId="77777777" w:rsidR="00064C94" w:rsidRPr="0081146C" w:rsidRDefault="00064C94" w:rsidP="00064C94">
      <w:pPr>
        <w:pStyle w:val="paragraph"/>
      </w:pPr>
      <w:r w:rsidRPr="0081146C">
        <w:tab/>
        <w:t>(ba)</w:t>
      </w:r>
      <w:r w:rsidRPr="0081146C">
        <w:tab/>
        <w:t>the Institute of Public Accountants; or</w:t>
      </w:r>
    </w:p>
    <w:p w14:paraId="34B33123" w14:textId="77777777" w:rsidR="00035544" w:rsidRPr="0081146C" w:rsidRDefault="00035544" w:rsidP="00035544">
      <w:pPr>
        <w:pStyle w:val="paragraph"/>
      </w:pPr>
      <w:r w:rsidRPr="0081146C">
        <w:tab/>
        <w:t>(c)</w:t>
      </w:r>
      <w:r w:rsidRPr="0081146C">
        <w:tab/>
        <w:t>a body specified in the AML/CTF Rules.</w:t>
      </w:r>
    </w:p>
    <w:p w14:paraId="19379ED1" w14:textId="77777777" w:rsidR="00393E03" w:rsidRPr="0081146C" w:rsidRDefault="00393E03" w:rsidP="00393E03">
      <w:pPr>
        <w:pStyle w:val="Definition"/>
      </w:pPr>
      <w:r w:rsidRPr="0081146C">
        <w:rPr>
          <w:b/>
          <w:i/>
        </w:rPr>
        <w:t>real estate</w:t>
      </w:r>
      <w:r w:rsidRPr="0081146C">
        <w:t xml:space="preserve"> means:</w:t>
      </w:r>
    </w:p>
    <w:p w14:paraId="05D46782" w14:textId="77777777" w:rsidR="00393E03" w:rsidRPr="0081146C" w:rsidRDefault="00393E03" w:rsidP="00393E03">
      <w:pPr>
        <w:pStyle w:val="paragraph"/>
      </w:pPr>
      <w:r w:rsidRPr="0081146C">
        <w:tab/>
        <w:t>(a)</w:t>
      </w:r>
      <w:r w:rsidRPr="0081146C">
        <w:tab/>
        <w:t>any of the following interests in land in Australia:</w:t>
      </w:r>
    </w:p>
    <w:p w14:paraId="4093A6D1" w14:textId="77777777" w:rsidR="00393E03" w:rsidRPr="0081146C" w:rsidRDefault="00393E03" w:rsidP="00393E03">
      <w:pPr>
        <w:pStyle w:val="paragraphsub"/>
      </w:pPr>
      <w:r w:rsidRPr="0081146C">
        <w:tab/>
        <w:t>(i)</w:t>
      </w:r>
      <w:r w:rsidRPr="0081146C">
        <w:tab/>
        <w:t>a fee simple interest;</w:t>
      </w:r>
    </w:p>
    <w:p w14:paraId="7B73696D" w14:textId="77777777" w:rsidR="00393E03" w:rsidRPr="0081146C" w:rsidRDefault="00393E03" w:rsidP="00393E03">
      <w:pPr>
        <w:pStyle w:val="paragraphsub"/>
      </w:pPr>
      <w:r w:rsidRPr="0081146C">
        <w:tab/>
        <w:t>(ii)</w:t>
      </w:r>
      <w:r w:rsidRPr="0081146C">
        <w:tab/>
        <w:t>a leasehold interest;</w:t>
      </w:r>
    </w:p>
    <w:p w14:paraId="15A08212" w14:textId="77777777" w:rsidR="00393E03" w:rsidRPr="0081146C" w:rsidRDefault="00393E03" w:rsidP="00393E03">
      <w:pPr>
        <w:pStyle w:val="paragraphsub"/>
      </w:pPr>
      <w:r w:rsidRPr="0081146C">
        <w:tab/>
        <w:t>(iii)</w:t>
      </w:r>
      <w:r w:rsidRPr="0081146C">
        <w:tab/>
        <w:t>a land use entitlement; or</w:t>
      </w:r>
    </w:p>
    <w:p w14:paraId="49AAAF9A" w14:textId="77777777" w:rsidR="00393E03" w:rsidRPr="0081146C" w:rsidRDefault="00393E03" w:rsidP="00393E03">
      <w:pPr>
        <w:pStyle w:val="paragraph"/>
      </w:pPr>
      <w:r w:rsidRPr="0081146C">
        <w:tab/>
        <w:t>(b)</w:t>
      </w:r>
      <w:r w:rsidRPr="0081146C">
        <w:tab/>
        <w:t>an interest, estate, right or entitlement in land in a foreign country that:</w:t>
      </w:r>
    </w:p>
    <w:p w14:paraId="341F703A" w14:textId="77777777" w:rsidR="00393E03" w:rsidRPr="0081146C" w:rsidRDefault="00393E03" w:rsidP="00393E03">
      <w:pPr>
        <w:pStyle w:val="paragraphsub"/>
      </w:pPr>
      <w:r w:rsidRPr="0081146C">
        <w:tab/>
        <w:t>(i)</w:t>
      </w:r>
      <w:r w:rsidRPr="0081146C">
        <w:tab/>
        <w:t>is equivalent to an interest mentioned in paragraph (a); or</w:t>
      </w:r>
    </w:p>
    <w:p w14:paraId="35212D46" w14:textId="77777777" w:rsidR="00393E03" w:rsidRPr="0081146C" w:rsidRDefault="00393E03" w:rsidP="00393E03">
      <w:pPr>
        <w:pStyle w:val="paragraphsub"/>
      </w:pPr>
      <w:r w:rsidRPr="0081146C">
        <w:tab/>
        <w:t>(ii)</w:t>
      </w:r>
      <w:r w:rsidRPr="0081146C">
        <w:tab/>
        <w:t>otherwise confers ownership rights on the holder of that interest, estate; right or entitlement; or</w:t>
      </w:r>
    </w:p>
    <w:p w14:paraId="54D2A5DA" w14:textId="77777777" w:rsidR="00393E03" w:rsidRPr="0081146C" w:rsidRDefault="00393E03" w:rsidP="00393E03">
      <w:pPr>
        <w:pStyle w:val="paragraph"/>
      </w:pPr>
      <w:r w:rsidRPr="0081146C">
        <w:tab/>
        <w:t>(c)</w:t>
      </w:r>
      <w:r w:rsidRPr="0081146C">
        <w:tab/>
        <w:t>an interest prescribed by the regulations;</w:t>
      </w:r>
    </w:p>
    <w:p w14:paraId="30318AB7" w14:textId="77777777" w:rsidR="00393E03" w:rsidRPr="0081146C" w:rsidRDefault="00393E03" w:rsidP="00393E03">
      <w:pPr>
        <w:pStyle w:val="subsection2"/>
      </w:pPr>
      <w:r w:rsidRPr="0081146C">
        <w:t>but does not include the following:</w:t>
      </w:r>
    </w:p>
    <w:p w14:paraId="77A3653F" w14:textId="77777777" w:rsidR="00393E03" w:rsidRPr="0081146C" w:rsidRDefault="00393E03" w:rsidP="00393E03">
      <w:pPr>
        <w:pStyle w:val="paragraph"/>
      </w:pPr>
      <w:r w:rsidRPr="0081146C">
        <w:tab/>
        <w:t>(d)</w:t>
      </w:r>
      <w:r w:rsidRPr="0081146C">
        <w:tab/>
        <w:t>incorporeal hereditaments;</w:t>
      </w:r>
    </w:p>
    <w:p w14:paraId="527008C3" w14:textId="77777777" w:rsidR="00393E03" w:rsidRPr="0081146C" w:rsidRDefault="00393E03" w:rsidP="00393E03">
      <w:pPr>
        <w:pStyle w:val="paragraph"/>
      </w:pPr>
      <w:r w:rsidRPr="0081146C">
        <w:tab/>
        <w:t>(e)</w:t>
      </w:r>
      <w:r w:rsidRPr="0081146C">
        <w:tab/>
        <w:t>the interest of a mortgagee;</w:t>
      </w:r>
    </w:p>
    <w:p w14:paraId="2F0D09D1" w14:textId="77777777" w:rsidR="00393E03" w:rsidRPr="0081146C" w:rsidRDefault="00393E03" w:rsidP="00393E03">
      <w:pPr>
        <w:pStyle w:val="paragraph"/>
      </w:pPr>
      <w:r w:rsidRPr="0081146C">
        <w:tab/>
        <w:t>(f)</w:t>
      </w:r>
      <w:r w:rsidRPr="0081146C">
        <w:tab/>
        <w:t>a leasehold interest under a lease for a term (excluding options for further terms) of 30 years or less;</w:t>
      </w:r>
    </w:p>
    <w:p w14:paraId="223E5CC3" w14:textId="77777777" w:rsidR="00393E03" w:rsidRPr="0081146C" w:rsidRDefault="00393E03" w:rsidP="00393E03">
      <w:pPr>
        <w:pStyle w:val="paragraph"/>
      </w:pPr>
      <w:r w:rsidRPr="0081146C">
        <w:tab/>
        <w:t>(g)</w:t>
      </w:r>
      <w:r w:rsidRPr="0081146C">
        <w:tab/>
        <w:t>any other interest, estate, right or entitlement in land in a foreign country that is equivalent to an interest mentioned in paragraph (d), (e) or (f);</w:t>
      </w:r>
    </w:p>
    <w:p w14:paraId="4D796368" w14:textId="77777777" w:rsidR="00393E03" w:rsidRPr="0081146C" w:rsidRDefault="00393E03" w:rsidP="00393E03">
      <w:pPr>
        <w:pStyle w:val="paragraph"/>
      </w:pPr>
      <w:r w:rsidRPr="0081146C">
        <w:tab/>
        <w:t>(h)</w:t>
      </w:r>
      <w:r w:rsidRPr="0081146C">
        <w:tab/>
        <w:t>an interest prescribed by the regulations.</w:t>
      </w:r>
    </w:p>
    <w:p w14:paraId="5970E002" w14:textId="77777777" w:rsidR="00035544" w:rsidRPr="0081146C" w:rsidRDefault="00035544" w:rsidP="00035544">
      <w:pPr>
        <w:pStyle w:val="Definition"/>
      </w:pPr>
      <w:r w:rsidRPr="0081146C">
        <w:rPr>
          <w:b/>
          <w:i/>
        </w:rPr>
        <w:t>receives</w:t>
      </w:r>
      <w:r w:rsidRPr="0081146C">
        <w:t xml:space="preserve"> </w:t>
      </w:r>
      <w:r w:rsidRPr="0081146C">
        <w:rPr>
          <w:b/>
          <w:i/>
        </w:rPr>
        <w:t>a designated service</w:t>
      </w:r>
      <w:r w:rsidRPr="0081146C">
        <w:t xml:space="preserve">: if a reporting entity provides a designated service to a customer, the customer </w:t>
      </w:r>
      <w:r w:rsidRPr="0081146C">
        <w:rPr>
          <w:b/>
          <w:i/>
        </w:rPr>
        <w:t>receives</w:t>
      </w:r>
      <w:r w:rsidRPr="0081146C">
        <w:t xml:space="preserve"> the designated service from the reporting entity.</w:t>
      </w:r>
    </w:p>
    <w:p w14:paraId="5A4E93D4" w14:textId="77777777" w:rsidR="003B496B" w:rsidRPr="0081146C" w:rsidRDefault="003B496B" w:rsidP="003B496B">
      <w:pPr>
        <w:pStyle w:val="Definition"/>
      </w:pPr>
      <w:r w:rsidRPr="0081146C">
        <w:rPr>
          <w:b/>
          <w:i/>
        </w:rPr>
        <w:t>registered charity</w:t>
      </w:r>
      <w:r w:rsidRPr="0081146C">
        <w:t xml:space="preserve"> means an entity that is registered under the </w:t>
      </w:r>
      <w:r w:rsidRPr="0081146C">
        <w:rPr>
          <w:i/>
        </w:rPr>
        <w:t>Australian Charities and Not</w:t>
      </w:r>
      <w:r w:rsidR="003B7E15" w:rsidRPr="0081146C">
        <w:rPr>
          <w:i/>
        </w:rPr>
        <w:noBreakHyphen/>
      </w:r>
      <w:r w:rsidRPr="0081146C">
        <w:rPr>
          <w:i/>
        </w:rPr>
        <w:t>for</w:t>
      </w:r>
      <w:r w:rsidR="003B7E15" w:rsidRPr="0081146C">
        <w:rPr>
          <w:i/>
        </w:rPr>
        <w:noBreakHyphen/>
      </w:r>
      <w:r w:rsidRPr="0081146C">
        <w:rPr>
          <w:i/>
        </w:rPr>
        <w:t>profits Commission Act 2012</w:t>
      </w:r>
      <w:r w:rsidRPr="0081146C">
        <w:t xml:space="preserve"> as the type of entity mentioned in column 1 of </w:t>
      </w:r>
      <w:r w:rsidR="003B7E15" w:rsidRPr="0081146C">
        <w:t>item 1</w:t>
      </w:r>
      <w:r w:rsidRPr="0081146C">
        <w:t xml:space="preserve"> of the table in subsection</w:t>
      </w:r>
      <w:r w:rsidR="004F64A4" w:rsidRPr="0081146C">
        <w:t> </w:t>
      </w:r>
      <w:r w:rsidRPr="0081146C">
        <w:t>25</w:t>
      </w:r>
      <w:r w:rsidR="003B7E15" w:rsidRPr="0081146C">
        <w:noBreakHyphen/>
      </w:r>
      <w:r w:rsidRPr="0081146C">
        <w:t>5(5) of that Act.</w:t>
      </w:r>
    </w:p>
    <w:p w14:paraId="30B3785F" w14:textId="77777777" w:rsidR="005B0F12" w:rsidRPr="0081146C" w:rsidRDefault="005B0F12" w:rsidP="005B0F12">
      <w:pPr>
        <w:pStyle w:val="Definition"/>
      </w:pPr>
      <w:r w:rsidRPr="0081146C">
        <w:rPr>
          <w:b/>
          <w:i/>
        </w:rPr>
        <w:t>registered independent remittance dealer</w:t>
      </w:r>
      <w:r w:rsidRPr="0081146C">
        <w:rPr>
          <w:b/>
        </w:rPr>
        <w:t xml:space="preserve"> </w:t>
      </w:r>
      <w:r w:rsidRPr="0081146C">
        <w:t>means a person registered under section</w:t>
      </w:r>
      <w:r w:rsidR="004F64A4" w:rsidRPr="0081146C">
        <w:t> </w:t>
      </w:r>
      <w:r w:rsidRPr="0081146C">
        <w:t>75C as an independent remittance dealer.</w:t>
      </w:r>
    </w:p>
    <w:p w14:paraId="701D9852" w14:textId="77777777" w:rsidR="005B0F12" w:rsidRPr="0081146C" w:rsidRDefault="005B0F12" w:rsidP="005B0F12">
      <w:pPr>
        <w:pStyle w:val="Definition"/>
      </w:pPr>
      <w:r w:rsidRPr="0081146C">
        <w:rPr>
          <w:b/>
          <w:i/>
        </w:rPr>
        <w:t>registered remittance affiliate</w:t>
      </w:r>
      <w:r w:rsidRPr="0081146C">
        <w:t>, of a registered remittance network provider, means a person registered under section</w:t>
      </w:r>
      <w:r w:rsidR="004F64A4" w:rsidRPr="0081146C">
        <w:t> </w:t>
      </w:r>
      <w:r w:rsidRPr="0081146C">
        <w:t>75C as a remittance affiliate of the registered remittance network provider.</w:t>
      </w:r>
    </w:p>
    <w:p w14:paraId="3A696A64" w14:textId="77777777" w:rsidR="005B0F12" w:rsidRPr="0081146C" w:rsidRDefault="005B0F12" w:rsidP="005B0F12">
      <w:pPr>
        <w:pStyle w:val="Definition"/>
      </w:pPr>
      <w:r w:rsidRPr="0081146C">
        <w:rPr>
          <w:b/>
          <w:i/>
        </w:rPr>
        <w:t xml:space="preserve">registered remittance network provider </w:t>
      </w:r>
      <w:r w:rsidRPr="0081146C">
        <w:t>means a person registered under section</w:t>
      </w:r>
      <w:r w:rsidR="004F64A4" w:rsidRPr="0081146C">
        <w:t> </w:t>
      </w:r>
      <w:r w:rsidRPr="0081146C">
        <w:t>75C as a remittance network provider.</w:t>
      </w:r>
    </w:p>
    <w:p w14:paraId="08CD472A" w14:textId="77777777" w:rsidR="00610C10" w:rsidRPr="0081146C" w:rsidRDefault="00610C10" w:rsidP="00610C10">
      <w:pPr>
        <w:pStyle w:val="Definition"/>
      </w:pPr>
      <w:bookmarkStart w:id="15" w:name="_Hlk172194333"/>
      <w:r w:rsidRPr="0081146C">
        <w:rPr>
          <w:b/>
          <w:i/>
        </w:rPr>
        <w:t>registered virtual asset service provider</w:t>
      </w:r>
      <w:r w:rsidRPr="0081146C">
        <w:t xml:space="preserve"> means a person registered under section 76E as a virtual asset service provider.</w:t>
      </w:r>
    </w:p>
    <w:bookmarkEnd w:id="15"/>
    <w:p w14:paraId="0BDC5569" w14:textId="77777777" w:rsidR="00035544" w:rsidRPr="0081146C" w:rsidRDefault="00035544" w:rsidP="00035544">
      <w:pPr>
        <w:pStyle w:val="Definition"/>
      </w:pPr>
      <w:r w:rsidRPr="0081146C">
        <w:rPr>
          <w:b/>
          <w:i/>
        </w:rPr>
        <w:t>registrable details</w:t>
      </w:r>
      <w:r w:rsidRPr="0081146C">
        <w:t>, in relation to a person, means such information relating to the person as is specified in the AML/CTF Rules.</w:t>
      </w:r>
    </w:p>
    <w:p w14:paraId="1EC549CE" w14:textId="77777777" w:rsidR="00035544" w:rsidRPr="0081146C" w:rsidRDefault="00035544" w:rsidP="00035544">
      <w:pPr>
        <w:pStyle w:val="notetext"/>
      </w:pPr>
      <w:r w:rsidRPr="0081146C">
        <w:t>Note:</w:t>
      </w:r>
      <w:r w:rsidRPr="0081146C">
        <w:tab/>
        <w:t>A person’s business name and business address are examples of information that could be specified in the AML/CTF Rules.</w:t>
      </w:r>
    </w:p>
    <w:p w14:paraId="130E8AEE" w14:textId="77777777" w:rsidR="00AA6C6C" w:rsidRPr="0081146C" w:rsidRDefault="00AA6C6C" w:rsidP="00AA6C6C">
      <w:pPr>
        <w:pStyle w:val="Definition"/>
      </w:pPr>
      <w:r w:rsidRPr="0081146C">
        <w:rPr>
          <w:b/>
          <w:i/>
        </w:rPr>
        <w:t xml:space="preserve">registrable remittance network service </w:t>
      </w:r>
      <w:r w:rsidRPr="0081146C">
        <w:t>means a designated service that:</w:t>
      </w:r>
    </w:p>
    <w:p w14:paraId="2FF493B8" w14:textId="77777777" w:rsidR="00AA6C6C" w:rsidRPr="0081146C" w:rsidRDefault="00AA6C6C" w:rsidP="00AA6C6C">
      <w:pPr>
        <w:pStyle w:val="paragraph"/>
      </w:pPr>
      <w:r w:rsidRPr="0081146C">
        <w:tab/>
        <w:t>(a)</w:t>
      </w:r>
      <w:r w:rsidRPr="0081146C">
        <w:tab/>
        <w:t xml:space="preserve">is covered by </w:t>
      </w:r>
      <w:r w:rsidR="003B7E15" w:rsidRPr="0081146C">
        <w:t>item 3</w:t>
      </w:r>
      <w:r w:rsidRPr="0081146C">
        <w:t>2A of table 1 in section</w:t>
      </w:r>
      <w:r w:rsidR="004F64A4" w:rsidRPr="0081146C">
        <w:t> </w:t>
      </w:r>
      <w:r w:rsidRPr="0081146C">
        <w:t>6; and</w:t>
      </w:r>
    </w:p>
    <w:p w14:paraId="54D3C9B7" w14:textId="77777777" w:rsidR="00AA6C6C" w:rsidRPr="0081146C" w:rsidRDefault="00AA6C6C" w:rsidP="00AA6C6C">
      <w:pPr>
        <w:pStyle w:val="paragraph"/>
      </w:pPr>
      <w:r w:rsidRPr="0081146C">
        <w:tab/>
        <w:t>(b)</w:t>
      </w:r>
      <w:r w:rsidRPr="0081146C">
        <w:tab/>
        <w:t>is not of a kind specified in the AML/CTF Rules.</w:t>
      </w:r>
    </w:p>
    <w:p w14:paraId="78E4A125" w14:textId="77777777" w:rsidR="007330A4" w:rsidRPr="0081146C" w:rsidRDefault="007330A4" w:rsidP="007330A4">
      <w:pPr>
        <w:pStyle w:val="Definition"/>
      </w:pPr>
      <w:bookmarkStart w:id="16" w:name="_Hlk172194334"/>
      <w:r w:rsidRPr="0081146C">
        <w:rPr>
          <w:b/>
          <w:i/>
        </w:rPr>
        <w:t>registrable remittance service</w:t>
      </w:r>
      <w:r w:rsidRPr="0081146C">
        <w:t xml:space="preserve"> means a designated service that:</w:t>
      </w:r>
    </w:p>
    <w:p w14:paraId="7606F4B6" w14:textId="77777777" w:rsidR="007330A4" w:rsidRPr="0081146C" w:rsidRDefault="007330A4" w:rsidP="007330A4">
      <w:pPr>
        <w:pStyle w:val="paragraph"/>
      </w:pPr>
      <w:r w:rsidRPr="0081146C">
        <w:tab/>
        <w:t>(a)</w:t>
      </w:r>
      <w:r w:rsidRPr="0081146C">
        <w:tab/>
        <w:t>is covered by item 29 or 30 of table 1 in section 6; and</w:t>
      </w:r>
    </w:p>
    <w:p w14:paraId="03E6D618" w14:textId="77777777" w:rsidR="007330A4" w:rsidRPr="0081146C" w:rsidRDefault="007330A4" w:rsidP="007330A4">
      <w:pPr>
        <w:pStyle w:val="paragraph"/>
      </w:pPr>
      <w:r w:rsidRPr="0081146C">
        <w:tab/>
        <w:t>(b)</w:t>
      </w:r>
      <w:r w:rsidRPr="0081146C">
        <w:tab/>
        <w:t>is provided by a person (other than a financial institution or casino) at or through a permanent establishment of the person in Australia; and</w:t>
      </w:r>
    </w:p>
    <w:p w14:paraId="49B00074" w14:textId="77777777" w:rsidR="007330A4" w:rsidRPr="0081146C" w:rsidRDefault="007330A4" w:rsidP="007330A4">
      <w:pPr>
        <w:pStyle w:val="paragraph"/>
      </w:pPr>
      <w:r w:rsidRPr="0081146C">
        <w:tab/>
        <w:t>(c)</w:t>
      </w:r>
      <w:r w:rsidRPr="0081146C">
        <w:tab/>
        <w:t>does not involve a transfer of virtual assets; and</w:t>
      </w:r>
    </w:p>
    <w:p w14:paraId="000E42A7" w14:textId="77777777" w:rsidR="007330A4" w:rsidRPr="0081146C" w:rsidRDefault="007330A4" w:rsidP="007330A4">
      <w:pPr>
        <w:pStyle w:val="paragraph"/>
      </w:pPr>
      <w:r w:rsidRPr="0081146C">
        <w:tab/>
        <w:t>(d)</w:t>
      </w:r>
      <w:r w:rsidRPr="0081146C">
        <w:tab/>
        <w:t>is not of a kind specified in the AML/CTF Rules.</w:t>
      </w:r>
    </w:p>
    <w:p w14:paraId="4C6470A1" w14:textId="77777777" w:rsidR="00610C10" w:rsidRPr="0081146C" w:rsidRDefault="00610C10" w:rsidP="00610C10">
      <w:pPr>
        <w:pStyle w:val="Definition"/>
      </w:pPr>
      <w:r w:rsidRPr="0081146C">
        <w:rPr>
          <w:b/>
          <w:i/>
        </w:rPr>
        <w:t>registrable virtual asset service</w:t>
      </w:r>
      <w:r w:rsidRPr="0081146C">
        <w:t xml:space="preserve"> means a designated service that:</w:t>
      </w:r>
    </w:p>
    <w:p w14:paraId="4441B8B7" w14:textId="77777777" w:rsidR="00610C10" w:rsidRPr="0081146C" w:rsidRDefault="00610C10" w:rsidP="00610C10">
      <w:pPr>
        <w:pStyle w:val="paragraph"/>
      </w:pPr>
      <w:r w:rsidRPr="0081146C">
        <w:tab/>
        <w:t>(a)</w:t>
      </w:r>
      <w:r w:rsidRPr="0081146C">
        <w:tab/>
        <w:t>is either of the following:</w:t>
      </w:r>
    </w:p>
    <w:p w14:paraId="2858115C" w14:textId="77777777" w:rsidR="00610C10" w:rsidRPr="0081146C" w:rsidRDefault="00610C10" w:rsidP="00610C10">
      <w:pPr>
        <w:pStyle w:val="paragraphsub"/>
      </w:pPr>
      <w:r w:rsidRPr="0081146C">
        <w:tab/>
        <w:t>(i)</w:t>
      </w:r>
      <w:r w:rsidRPr="0081146C">
        <w:tab/>
        <w:t>a designated service covered by item 46A, 50A, 50B or 50C of table 1 in section 6;</w:t>
      </w:r>
    </w:p>
    <w:p w14:paraId="559EB7D5" w14:textId="77777777" w:rsidR="00610C10" w:rsidRPr="0081146C" w:rsidRDefault="00610C10" w:rsidP="00610C10">
      <w:pPr>
        <w:pStyle w:val="paragraphsub"/>
      </w:pPr>
      <w:r w:rsidRPr="0081146C">
        <w:tab/>
        <w:t>(ii)</w:t>
      </w:r>
      <w:r w:rsidRPr="0081146C">
        <w:tab/>
        <w:t>a designated service covered by item 29 or 30 of that table, if the transfer of value involves the transfer of a virtual asset (whether or not it also involves the transfer of money or property); and</w:t>
      </w:r>
    </w:p>
    <w:p w14:paraId="44FF562C" w14:textId="77777777" w:rsidR="00610C10" w:rsidRPr="0081146C" w:rsidRDefault="00610C10" w:rsidP="00610C10">
      <w:pPr>
        <w:pStyle w:val="paragraph"/>
      </w:pPr>
      <w:r w:rsidRPr="0081146C">
        <w:tab/>
        <w:t>(b)</w:t>
      </w:r>
      <w:r w:rsidRPr="0081146C">
        <w:tab/>
        <w:t>is not provided by a financial institution or a casino; and</w:t>
      </w:r>
    </w:p>
    <w:p w14:paraId="1299B020" w14:textId="77777777" w:rsidR="00610C10" w:rsidRPr="0081146C" w:rsidRDefault="00610C10" w:rsidP="00610C10">
      <w:pPr>
        <w:pStyle w:val="paragraph"/>
      </w:pPr>
      <w:r w:rsidRPr="0081146C">
        <w:tab/>
        <w:t>(c)</w:t>
      </w:r>
      <w:r w:rsidRPr="0081146C">
        <w:tab/>
        <w:t>is not of a kind specified in the AML/CTF Rules.</w:t>
      </w:r>
    </w:p>
    <w:bookmarkEnd w:id="16"/>
    <w:p w14:paraId="5BEE6372" w14:textId="77777777" w:rsidR="0049002F" w:rsidRPr="0081146C" w:rsidRDefault="0049002F" w:rsidP="0049002F">
      <w:pPr>
        <w:pStyle w:val="Definition"/>
      </w:pPr>
      <w:r w:rsidRPr="0081146C">
        <w:rPr>
          <w:b/>
          <w:i/>
        </w:rPr>
        <w:t xml:space="preserve">registration </w:t>
      </w:r>
      <w:r w:rsidRPr="0081146C">
        <w:t>means:</w:t>
      </w:r>
    </w:p>
    <w:p w14:paraId="6369F0D1" w14:textId="77777777" w:rsidR="0049002F" w:rsidRPr="0081146C" w:rsidRDefault="0049002F" w:rsidP="0049002F">
      <w:pPr>
        <w:pStyle w:val="paragraph"/>
      </w:pPr>
      <w:r w:rsidRPr="0081146C">
        <w:tab/>
        <w:t>(a)</w:t>
      </w:r>
      <w:r w:rsidRPr="0081146C">
        <w:tab/>
        <w:t>in, or in relation to, Part</w:t>
      </w:r>
      <w:r w:rsidR="004F64A4" w:rsidRPr="0081146C">
        <w:t> </w:t>
      </w:r>
      <w:r w:rsidRPr="0081146C">
        <w:t>6—registration as any of the following:</w:t>
      </w:r>
    </w:p>
    <w:p w14:paraId="72486B0C" w14:textId="77777777" w:rsidR="0049002F" w:rsidRPr="0081146C" w:rsidRDefault="0049002F" w:rsidP="0049002F">
      <w:pPr>
        <w:pStyle w:val="paragraphsub"/>
      </w:pPr>
      <w:r w:rsidRPr="0081146C">
        <w:tab/>
        <w:t>(i)</w:t>
      </w:r>
      <w:r w:rsidRPr="0081146C">
        <w:tab/>
        <w:t>a remittance network provider;</w:t>
      </w:r>
    </w:p>
    <w:p w14:paraId="5F3FA57E" w14:textId="77777777" w:rsidR="0049002F" w:rsidRPr="0081146C" w:rsidRDefault="0049002F" w:rsidP="0049002F">
      <w:pPr>
        <w:pStyle w:val="paragraphsub"/>
      </w:pPr>
      <w:r w:rsidRPr="0081146C">
        <w:tab/>
        <w:t>(ii)</w:t>
      </w:r>
      <w:r w:rsidRPr="0081146C">
        <w:tab/>
        <w:t>an independent remittance dealer;</w:t>
      </w:r>
    </w:p>
    <w:p w14:paraId="27BCAF9D" w14:textId="77777777" w:rsidR="0049002F" w:rsidRPr="0081146C" w:rsidRDefault="0049002F" w:rsidP="0049002F">
      <w:pPr>
        <w:pStyle w:val="paragraphsub"/>
      </w:pPr>
      <w:r w:rsidRPr="0081146C">
        <w:tab/>
        <w:t>(iii)</w:t>
      </w:r>
      <w:r w:rsidRPr="0081146C">
        <w:tab/>
        <w:t>a remittance affiliate of a registered remittance network provider; or</w:t>
      </w:r>
    </w:p>
    <w:p w14:paraId="0CA9CF8A" w14:textId="0D91AADE" w:rsidR="0049002F" w:rsidRPr="0081146C" w:rsidRDefault="0049002F" w:rsidP="0049002F">
      <w:pPr>
        <w:pStyle w:val="paragraph"/>
      </w:pPr>
      <w:r w:rsidRPr="0081146C">
        <w:tab/>
        <w:t>(b)</w:t>
      </w:r>
      <w:r w:rsidRPr="0081146C">
        <w:tab/>
        <w:t>in, or in relation to, Part</w:t>
      </w:r>
      <w:r w:rsidR="004F64A4" w:rsidRPr="0081146C">
        <w:t> </w:t>
      </w:r>
      <w:r w:rsidRPr="0081146C">
        <w:t xml:space="preserve">6A—registration as a </w:t>
      </w:r>
      <w:bookmarkStart w:id="17" w:name="_Hlk172194335"/>
      <w:r w:rsidR="00610C10" w:rsidRPr="0081146C">
        <w:t>virtual asset service</w:t>
      </w:r>
      <w:bookmarkEnd w:id="17"/>
      <w:r w:rsidRPr="0081146C">
        <w:t xml:space="preserve"> provider.</w:t>
      </w:r>
    </w:p>
    <w:p w14:paraId="290ACAC7" w14:textId="77777777" w:rsidR="00886169" w:rsidRPr="0081146C" w:rsidRDefault="00886169" w:rsidP="00886169">
      <w:pPr>
        <w:pStyle w:val="Definition"/>
      </w:pPr>
      <w:r w:rsidRPr="0081146C">
        <w:rPr>
          <w:b/>
          <w:i/>
        </w:rPr>
        <w:t xml:space="preserve">Remittance Sector Register </w:t>
      </w:r>
      <w:r w:rsidRPr="0081146C">
        <w:t>has the meaning given by section</w:t>
      </w:r>
      <w:r w:rsidR="004F64A4" w:rsidRPr="0081146C">
        <w:t> </w:t>
      </w:r>
      <w:r w:rsidRPr="0081146C">
        <w:t>75.</w:t>
      </w:r>
    </w:p>
    <w:p w14:paraId="79E43B45" w14:textId="77777777" w:rsidR="00970B77" w:rsidRPr="0081146C" w:rsidRDefault="00970B77" w:rsidP="00970B77">
      <w:pPr>
        <w:pStyle w:val="Definition"/>
      </w:pPr>
      <w:r w:rsidRPr="0081146C">
        <w:rPr>
          <w:b/>
          <w:i/>
        </w:rPr>
        <w:t>reporting entity</w:t>
      </w:r>
      <w:r w:rsidRPr="0081146C">
        <w:t xml:space="preserve"> means:</w:t>
      </w:r>
    </w:p>
    <w:p w14:paraId="43C2B27D" w14:textId="77777777" w:rsidR="00970B77" w:rsidRPr="0081146C" w:rsidRDefault="00970B77" w:rsidP="00970B77">
      <w:pPr>
        <w:pStyle w:val="paragraph"/>
      </w:pPr>
      <w:r w:rsidRPr="0081146C">
        <w:tab/>
        <w:t>(a)</w:t>
      </w:r>
      <w:r w:rsidRPr="0081146C">
        <w:tab/>
        <w:t>a person who provides a designated service; or</w:t>
      </w:r>
    </w:p>
    <w:p w14:paraId="1F4638F5" w14:textId="77777777" w:rsidR="00970B77" w:rsidRPr="0081146C" w:rsidRDefault="00970B77" w:rsidP="00970B77">
      <w:pPr>
        <w:pStyle w:val="paragraph"/>
      </w:pPr>
      <w:r w:rsidRPr="0081146C">
        <w:tab/>
        <w:t>(b)</w:t>
      </w:r>
      <w:r w:rsidRPr="0081146C">
        <w:tab/>
        <w:t>the lead entity of a reporting group.</w:t>
      </w:r>
    </w:p>
    <w:p w14:paraId="357B829C" w14:textId="77777777" w:rsidR="00035544" w:rsidRPr="0081146C" w:rsidRDefault="00035544" w:rsidP="00035544">
      <w:pPr>
        <w:pStyle w:val="Definition"/>
      </w:pPr>
      <w:r w:rsidRPr="0081146C">
        <w:rPr>
          <w:b/>
          <w:i/>
        </w:rPr>
        <w:t>reporting entity business premises</w:t>
      </w:r>
      <w:r w:rsidRPr="0081146C">
        <w:t xml:space="preserve"> means:</w:t>
      </w:r>
    </w:p>
    <w:p w14:paraId="5E4E79C1" w14:textId="77777777" w:rsidR="00035544" w:rsidRPr="0081146C" w:rsidRDefault="00035544" w:rsidP="00035544">
      <w:pPr>
        <w:pStyle w:val="paragraph"/>
      </w:pPr>
      <w:r w:rsidRPr="0081146C">
        <w:tab/>
        <w:t>(a)</w:t>
      </w:r>
      <w:r w:rsidRPr="0081146C">
        <w:tab/>
        <w:t>premises, or a part of premises, used wholly or partly for the purposes of the business operations of:</w:t>
      </w:r>
    </w:p>
    <w:p w14:paraId="03A1CE36" w14:textId="77777777" w:rsidR="00035544" w:rsidRPr="0081146C" w:rsidRDefault="00035544" w:rsidP="00035544">
      <w:pPr>
        <w:pStyle w:val="paragraphsub"/>
      </w:pPr>
      <w:r w:rsidRPr="0081146C">
        <w:tab/>
        <w:t>(i)</w:t>
      </w:r>
      <w:r w:rsidRPr="0081146C">
        <w:tab/>
        <w:t>a reporting entity; or</w:t>
      </w:r>
    </w:p>
    <w:p w14:paraId="7170B313" w14:textId="77777777" w:rsidR="00035544" w:rsidRPr="0081146C" w:rsidRDefault="00035544" w:rsidP="00035544">
      <w:pPr>
        <w:pStyle w:val="paragraphsub"/>
      </w:pPr>
      <w:r w:rsidRPr="0081146C">
        <w:tab/>
        <w:t>(ii)</w:t>
      </w:r>
      <w:r w:rsidRPr="0081146C">
        <w:tab/>
        <w:t>an agent of a reporting entity; or</w:t>
      </w:r>
    </w:p>
    <w:p w14:paraId="0B92C85B" w14:textId="77777777" w:rsidR="00035544" w:rsidRPr="0081146C" w:rsidRDefault="00035544" w:rsidP="00035544">
      <w:pPr>
        <w:pStyle w:val="paragraph"/>
      </w:pPr>
      <w:r w:rsidRPr="0081146C">
        <w:tab/>
        <w:t>(b)</w:t>
      </w:r>
      <w:r w:rsidRPr="0081146C">
        <w:tab/>
        <w:t>premises, or a part of premises, used wholly or partly for the purposes of the storage (whether in electronic form or otherwise) of records relating to the business operations of:</w:t>
      </w:r>
    </w:p>
    <w:p w14:paraId="191D06A1" w14:textId="77777777" w:rsidR="00035544" w:rsidRPr="0081146C" w:rsidRDefault="00035544" w:rsidP="00035544">
      <w:pPr>
        <w:pStyle w:val="paragraphsub"/>
      </w:pPr>
      <w:r w:rsidRPr="0081146C">
        <w:tab/>
        <w:t>(i)</w:t>
      </w:r>
      <w:r w:rsidRPr="0081146C">
        <w:tab/>
        <w:t>a reporting entity; or</w:t>
      </w:r>
    </w:p>
    <w:p w14:paraId="0994117A" w14:textId="77777777" w:rsidR="00035544" w:rsidRPr="0081146C" w:rsidRDefault="00035544" w:rsidP="00035544">
      <w:pPr>
        <w:pStyle w:val="paragraphsub"/>
      </w:pPr>
      <w:r w:rsidRPr="0081146C">
        <w:tab/>
        <w:t>(ii)</w:t>
      </w:r>
      <w:r w:rsidRPr="0081146C">
        <w:tab/>
        <w:t>an agent of a reporting entity;</w:t>
      </w:r>
    </w:p>
    <w:p w14:paraId="106F37A3" w14:textId="77777777" w:rsidR="00035544" w:rsidRPr="0081146C" w:rsidRDefault="00035544" w:rsidP="00035544">
      <w:pPr>
        <w:pStyle w:val="paragraph"/>
      </w:pPr>
      <w:r w:rsidRPr="0081146C">
        <w:tab/>
      </w:r>
      <w:r w:rsidRPr="0081146C">
        <w:tab/>
        <w:t>where the occupier of the premises, or the part of premises, carries on a business of storing records at the premises or the part of premises.</w:t>
      </w:r>
    </w:p>
    <w:p w14:paraId="0D7D89A6" w14:textId="77777777" w:rsidR="00970B77" w:rsidRPr="0081146C" w:rsidRDefault="00970B77" w:rsidP="00970B77">
      <w:pPr>
        <w:pStyle w:val="Definition"/>
      </w:pPr>
      <w:r w:rsidRPr="0081146C">
        <w:rPr>
          <w:b/>
          <w:i/>
        </w:rPr>
        <w:t>reporting group</w:t>
      </w:r>
      <w:r w:rsidRPr="0081146C">
        <w:t>: see subsection 10A(1).</w:t>
      </w:r>
    </w:p>
    <w:p w14:paraId="28585C81" w14:textId="77777777" w:rsidR="00064C94" w:rsidRPr="0081146C" w:rsidRDefault="00064C94" w:rsidP="00064C94">
      <w:pPr>
        <w:pStyle w:val="Definition"/>
      </w:pPr>
      <w:r w:rsidRPr="0081146C">
        <w:rPr>
          <w:b/>
          <w:i/>
        </w:rPr>
        <w:t>representative office</w:t>
      </w:r>
      <w:r w:rsidRPr="0081146C">
        <w:rPr>
          <w:i/>
        </w:rPr>
        <w:t>,</w:t>
      </w:r>
      <w:r w:rsidRPr="0081146C">
        <w:rPr>
          <w:b/>
          <w:i/>
        </w:rPr>
        <w:t xml:space="preserve"> </w:t>
      </w:r>
      <w:r w:rsidRPr="0081146C">
        <w:t>of a foreign bank, is an office of the foreign bank in Australia in respect of which the foreign bank has written consent to establish the representative office in Australia for the purposes of section 67 of the </w:t>
      </w:r>
      <w:r w:rsidRPr="0081146C">
        <w:rPr>
          <w:i/>
        </w:rPr>
        <w:t>Banking Act 1959</w:t>
      </w:r>
      <w:r w:rsidRPr="0081146C">
        <w:t>.</w:t>
      </w:r>
    </w:p>
    <w:p w14:paraId="04E41767" w14:textId="77777777" w:rsidR="00035544" w:rsidRPr="0081146C" w:rsidRDefault="00035544" w:rsidP="00035544">
      <w:pPr>
        <w:pStyle w:val="Definition"/>
        <w:tabs>
          <w:tab w:val="left" w:pos="2860"/>
        </w:tabs>
      </w:pPr>
      <w:r w:rsidRPr="0081146C">
        <w:rPr>
          <w:b/>
          <w:i/>
        </w:rPr>
        <w:t>resident</w:t>
      </w:r>
      <w:r w:rsidRPr="0081146C">
        <w:t xml:space="preserve"> of a country has the meaning given by </w:t>
      </w:r>
      <w:r w:rsidR="003B7E15" w:rsidRPr="0081146C">
        <w:t>section 1</w:t>
      </w:r>
      <w:r w:rsidRPr="0081146C">
        <w:t>4.</w:t>
      </w:r>
    </w:p>
    <w:p w14:paraId="3D626FBC" w14:textId="77777777" w:rsidR="00120057" w:rsidRPr="0081146C" w:rsidRDefault="00120057" w:rsidP="00120057">
      <w:pPr>
        <w:pStyle w:val="Definition"/>
      </w:pPr>
      <w:r w:rsidRPr="0081146C">
        <w:rPr>
          <w:b/>
          <w:i/>
        </w:rPr>
        <w:t>reviewable decision</w:t>
      </w:r>
      <w:r w:rsidRPr="0081146C">
        <w:t xml:space="preserve"> has the meaning given by section</w:t>
      </w:r>
      <w:r w:rsidR="004F64A4" w:rsidRPr="0081146C">
        <w:t> </w:t>
      </w:r>
      <w:r w:rsidRPr="0081146C">
        <w:t>233B.</w:t>
      </w:r>
    </w:p>
    <w:p w14:paraId="0465444F" w14:textId="77777777" w:rsidR="00035544" w:rsidRPr="0081146C" w:rsidRDefault="00035544" w:rsidP="00035544">
      <w:pPr>
        <w:pStyle w:val="Definition"/>
      </w:pPr>
      <w:r w:rsidRPr="0081146C">
        <w:rPr>
          <w:b/>
          <w:i/>
        </w:rPr>
        <w:t>RSA</w:t>
      </w:r>
      <w:r w:rsidRPr="0081146C">
        <w:t xml:space="preserve"> (short for retirement savings account) has the same meaning as in the </w:t>
      </w:r>
      <w:r w:rsidRPr="0081146C">
        <w:rPr>
          <w:i/>
        </w:rPr>
        <w:t>Retirement Savings Accounts Act 1997</w:t>
      </w:r>
      <w:r w:rsidRPr="0081146C">
        <w:t>.</w:t>
      </w:r>
    </w:p>
    <w:p w14:paraId="3BFA4957" w14:textId="77777777" w:rsidR="00035544" w:rsidRPr="0081146C" w:rsidRDefault="00035544" w:rsidP="00035544">
      <w:pPr>
        <w:pStyle w:val="Definition"/>
      </w:pPr>
      <w:r w:rsidRPr="0081146C">
        <w:rPr>
          <w:b/>
          <w:i/>
        </w:rPr>
        <w:t>RSA provider</w:t>
      </w:r>
      <w:r w:rsidRPr="0081146C">
        <w:t xml:space="preserve"> (short for retirement savings account provider) has the same meaning as in the </w:t>
      </w:r>
      <w:r w:rsidRPr="0081146C">
        <w:rPr>
          <w:i/>
        </w:rPr>
        <w:t>Retirement Savings Accounts Act 1997</w:t>
      </w:r>
      <w:r w:rsidRPr="0081146C">
        <w:t>.</w:t>
      </w:r>
    </w:p>
    <w:p w14:paraId="492548B1" w14:textId="77777777" w:rsidR="00035544" w:rsidRPr="0081146C" w:rsidRDefault="00035544" w:rsidP="00035544">
      <w:pPr>
        <w:pStyle w:val="Definition"/>
      </w:pPr>
      <w:r w:rsidRPr="0081146C">
        <w:rPr>
          <w:b/>
          <w:i/>
        </w:rPr>
        <w:t>Secretary</w:t>
      </w:r>
      <w:r w:rsidRPr="0081146C">
        <w:t xml:space="preserve"> means the Secretary of the Department.</w:t>
      </w:r>
    </w:p>
    <w:p w14:paraId="41BE998A" w14:textId="77777777" w:rsidR="00064C94" w:rsidRPr="0081146C" w:rsidRDefault="00064C94" w:rsidP="00064C94">
      <w:pPr>
        <w:pStyle w:val="Definition"/>
      </w:pPr>
      <w:r w:rsidRPr="0081146C">
        <w:rPr>
          <w:b/>
          <w:i/>
        </w:rPr>
        <w:t>security</w:t>
      </w:r>
      <w:r w:rsidRPr="0081146C">
        <w:t>: see subsections 7A(1) and (2).</w:t>
      </w:r>
    </w:p>
    <w:p w14:paraId="263C81A8" w14:textId="77777777" w:rsidR="00035544" w:rsidRPr="0081146C" w:rsidRDefault="00035544" w:rsidP="00035544">
      <w:pPr>
        <w:pStyle w:val="Definition"/>
      </w:pPr>
      <w:r w:rsidRPr="0081146C">
        <w:rPr>
          <w:b/>
          <w:i/>
        </w:rPr>
        <w:t>self managed superannuation fund</w:t>
      </w:r>
      <w:r w:rsidRPr="0081146C">
        <w:t xml:space="preserve"> has the same meaning as in the </w:t>
      </w:r>
      <w:r w:rsidRPr="0081146C">
        <w:rPr>
          <w:i/>
        </w:rPr>
        <w:t>Superannuation Industry (Supervision) Act 1993</w:t>
      </w:r>
      <w:r w:rsidRPr="0081146C">
        <w:t>.</w:t>
      </w:r>
    </w:p>
    <w:p w14:paraId="7A46CFC9" w14:textId="77777777" w:rsidR="00035544" w:rsidRPr="0081146C" w:rsidRDefault="00035544" w:rsidP="00035544">
      <w:pPr>
        <w:pStyle w:val="Definition"/>
      </w:pPr>
      <w:r w:rsidRPr="0081146C">
        <w:rPr>
          <w:b/>
          <w:i/>
        </w:rPr>
        <w:t>send</w:t>
      </w:r>
      <w:r w:rsidRPr="0081146C">
        <w:t xml:space="preserve">, in relation to </w:t>
      </w:r>
      <w:r w:rsidR="000639B5" w:rsidRPr="0081146C">
        <w:t>a monetary instrument</w:t>
      </w:r>
      <w:r w:rsidRPr="0081146C">
        <w:t>, includes send through the post.</w:t>
      </w:r>
    </w:p>
    <w:p w14:paraId="3E2E872D" w14:textId="77777777" w:rsidR="00970B77" w:rsidRPr="0081146C" w:rsidRDefault="00970B77" w:rsidP="00970B77">
      <w:pPr>
        <w:pStyle w:val="Definition"/>
      </w:pPr>
      <w:r w:rsidRPr="0081146C">
        <w:rPr>
          <w:b/>
          <w:i/>
        </w:rPr>
        <w:t>senior manager</w:t>
      </w:r>
      <w:r w:rsidRPr="0081146C">
        <w:t xml:space="preserve"> of a reporting entity means an individual who makes, or participates in making, decisions that affect the whole, or a substantial part, of the business of the reporting entity.</w:t>
      </w:r>
    </w:p>
    <w:p w14:paraId="55EF72CD" w14:textId="77777777" w:rsidR="00064C94" w:rsidRPr="0081146C" w:rsidRDefault="00064C94" w:rsidP="00064C94">
      <w:pPr>
        <w:pStyle w:val="Definition"/>
      </w:pPr>
      <w:r w:rsidRPr="0081146C">
        <w:rPr>
          <w:b/>
          <w:i/>
        </w:rPr>
        <w:t>senior member</w:t>
      </w:r>
      <w:r w:rsidRPr="0081146C">
        <w:t xml:space="preserve"> of an agency: see subsection 39B(3).</w:t>
      </w:r>
    </w:p>
    <w:p w14:paraId="08998550" w14:textId="77777777" w:rsidR="00064C94" w:rsidRPr="0081146C" w:rsidRDefault="00064C94" w:rsidP="00064C94">
      <w:pPr>
        <w:pStyle w:val="Definition"/>
      </w:pPr>
      <w:r w:rsidRPr="0081146C">
        <w:rPr>
          <w:b/>
          <w:i/>
        </w:rPr>
        <w:t>serious offence</w:t>
      </w:r>
      <w:r w:rsidRPr="0081146C">
        <w:t>: see subsection 39B(2).</w:t>
      </w:r>
    </w:p>
    <w:p w14:paraId="1A633F6B" w14:textId="16BF2847" w:rsidR="00035544" w:rsidRPr="0081146C" w:rsidRDefault="00035544" w:rsidP="00035544">
      <w:pPr>
        <w:pStyle w:val="Definition"/>
      </w:pPr>
      <w:r w:rsidRPr="0081146C">
        <w:rPr>
          <w:b/>
          <w:i/>
        </w:rPr>
        <w:t>shell bank</w:t>
      </w:r>
      <w:r w:rsidRPr="0081146C">
        <w:t xml:space="preserve"> has the meaning given by </w:t>
      </w:r>
      <w:r w:rsidR="00970B77" w:rsidRPr="0081146C">
        <w:t>section 94A</w:t>
      </w:r>
      <w:r w:rsidRPr="0081146C">
        <w:t>.</w:t>
      </w:r>
    </w:p>
    <w:p w14:paraId="6C84B05A" w14:textId="77777777" w:rsidR="0049002F" w:rsidRPr="0081146C" w:rsidRDefault="0049002F" w:rsidP="0049002F">
      <w:pPr>
        <w:pStyle w:val="Definition"/>
      </w:pPr>
      <w:r w:rsidRPr="0081146C">
        <w:rPr>
          <w:b/>
          <w:i/>
        </w:rPr>
        <w:t>signatory</w:t>
      </w:r>
      <w:r w:rsidRPr="0081146C">
        <w:t>, in relation to an account with an account provider, means the account holder or a person authorised by the account holder to manage or exercise effective control of the account, whether alone or jointly with one or more other persons.</w:t>
      </w:r>
    </w:p>
    <w:p w14:paraId="396E6DA6" w14:textId="77777777" w:rsidR="00035544" w:rsidRPr="0081146C" w:rsidRDefault="00035544" w:rsidP="00035544">
      <w:pPr>
        <w:pStyle w:val="Definition"/>
      </w:pPr>
      <w:r w:rsidRPr="0081146C">
        <w:rPr>
          <w:b/>
          <w:i/>
        </w:rPr>
        <w:t>sinking fund policy</w:t>
      </w:r>
      <w:r w:rsidRPr="0081146C">
        <w:t xml:space="preserve"> has the same meaning as in the </w:t>
      </w:r>
      <w:r w:rsidRPr="0081146C">
        <w:rPr>
          <w:i/>
        </w:rPr>
        <w:t>Life Insurance Act 1995</w:t>
      </w:r>
      <w:r w:rsidRPr="0081146C">
        <w:t>.</w:t>
      </w:r>
    </w:p>
    <w:p w14:paraId="42EC049B" w14:textId="77777777" w:rsidR="00895996" w:rsidRPr="0081146C" w:rsidRDefault="00895996" w:rsidP="00895996">
      <w:pPr>
        <w:pStyle w:val="Definition"/>
      </w:pPr>
      <w:r w:rsidRPr="0081146C">
        <w:rPr>
          <w:b/>
          <w:i/>
        </w:rPr>
        <w:t>spouse</w:t>
      </w:r>
      <w:r w:rsidRPr="0081146C">
        <w:t xml:space="preserve"> of a person includes a de facto partner of the person within the meaning of the </w:t>
      </w:r>
      <w:r w:rsidRPr="0081146C">
        <w:rPr>
          <w:i/>
        </w:rPr>
        <w:t>Acts Interpretation Act 1901</w:t>
      </w:r>
      <w:r w:rsidRPr="0081146C">
        <w:t>.</w:t>
      </w:r>
    </w:p>
    <w:p w14:paraId="4D5D1293" w14:textId="77777777" w:rsidR="008F343A" w:rsidRPr="0081146C" w:rsidRDefault="008F343A" w:rsidP="008F343A">
      <w:pPr>
        <w:pStyle w:val="Definition"/>
      </w:pPr>
      <w:r w:rsidRPr="0081146C">
        <w:rPr>
          <w:b/>
          <w:i/>
        </w:rPr>
        <w:t>statement</w:t>
      </w:r>
      <w:r w:rsidRPr="0081146C">
        <w:t>, in relation to an examination under Division 3 of Part 14, includes a question asked, an answer given, and any other comment or remark made, at the examination.</w:t>
      </w:r>
    </w:p>
    <w:p w14:paraId="533C9803" w14:textId="77777777" w:rsidR="00035544" w:rsidRPr="0081146C" w:rsidRDefault="00035544" w:rsidP="00035544">
      <w:pPr>
        <w:pStyle w:val="Definition"/>
      </w:pPr>
      <w:r w:rsidRPr="0081146C">
        <w:rPr>
          <w:b/>
          <w:i/>
        </w:rPr>
        <w:t>state of mind</w:t>
      </w:r>
      <w:r w:rsidRPr="0081146C">
        <w:t xml:space="preserve"> of a person includes:</w:t>
      </w:r>
    </w:p>
    <w:p w14:paraId="56A07A5D" w14:textId="77777777" w:rsidR="00035544" w:rsidRPr="0081146C" w:rsidRDefault="00035544" w:rsidP="00035544">
      <w:pPr>
        <w:pStyle w:val="paragraph"/>
      </w:pPr>
      <w:r w:rsidRPr="0081146C">
        <w:tab/>
        <w:t>(a)</w:t>
      </w:r>
      <w:r w:rsidRPr="0081146C">
        <w:tab/>
        <w:t>the knowledge, intention, opinion, suspicion, belief or purpose of the person; and</w:t>
      </w:r>
    </w:p>
    <w:p w14:paraId="658330C1" w14:textId="77777777" w:rsidR="00035544" w:rsidRPr="0081146C" w:rsidRDefault="00035544" w:rsidP="00035544">
      <w:pPr>
        <w:pStyle w:val="paragraph"/>
      </w:pPr>
      <w:r w:rsidRPr="0081146C">
        <w:tab/>
        <w:t>(b)</w:t>
      </w:r>
      <w:r w:rsidRPr="0081146C">
        <w:tab/>
        <w:t>the person’s reasons for the intention, opinion, belief or purpose.</w:t>
      </w:r>
    </w:p>
    <w:p w14:paraId="74F23653" w14:textId="77777777" w:rsidR="00035544" w:rsidRPr="0081146C" w:rsidRDefault="00035544" w:rsidP="00035544">
      <w:pPr>
        <w:pStyle w:val="Definition"/>
      </w:pPr>
      <w:r w:rsidRPr="0081146C">
        <w:rPr>
          <w:b/>
          <w:i/>
        </w:rPr>
        <w:t>State/Territory Royal Commission</w:t>
      </w:r>
      <w:r w:rsidRPr="0081146C">
        <w:t xml:space="preserve"> means:</w:t>
      </w:r>
    </w:p>
    <w:p w14:paraId="0B1B02AB" w14:textId="77777777" w:rsidR="00035544" w:rsidRPr="0081146C" w:rsidRDefault="00035544" w:rsidP="00035544">
      <w:pPr>
        <w:pStyle w:val="paragraph"/>
      </w:pPr>
      <w:r w:rsidRPr="0081146C">
        <w:tab/>
        <w:t>(a)</w:t>
      </w:r>
      <w:r w:rsidRPr="0081146C">
        <w:tab/>
        <w:t>a Royal Commission of a State or Territory; or</w:t>
      </w:r>
    </w:p>
    <w:p w14:paraId="26421EFB" w14:textId="77777777" w:rsidR="00035544" w:rsidRPr="0081146C" w:rsidRDefault="00035544" w:rsidP="00035544">
      <w:pPr>
        <w:pStyle w:val="paragraph"/>
      </w:pPr>
      <w:r w:rsidRPr="0081146C">
        <w:tab/>
        <w:t>(b)</w:t>
      </w:r>
      <w:r w:rsidRPr="0081146C">
        <w:tab/>
        <w:t>a commission of inquiry of a State or Territory.</w:t>
      </w:r>
    </w:p>
    <w:p w14:paraId="79DA5C2B" w14:textId="77777777" w:rsidR="00610C10" w:rsidRPr="0081146C" w:rsidRDefault="00610C10" w:rsidP="00610C10">
      <w:pPr>
        <w:pStyle w:val="Definition"/>
      </w:pPr>
      <w:r w:rsidRPr="0081146C">
        <w:rPr>
          <w:b/>
          <w:i/>
        </w:rPr>
        <w:t>stored value card</w:t>
      </w:r>
      <w:r w:rsidRPr="0081146C">
        <w:t xml:space="preserve"> means a thing (whether real or virtual):</w:t>
      </w:r>
    </w:p>
    <w:p w14:paraId="490ED6C8" w14:textId="77777777" w:rsidR="00610C10" w:rsidRPr="0081146C" w:rsidRDefault="00610C10" w:rsidP="00610C10">
      <w:pPr>
        <w:pStyle w:val="paragraph"/>
      </w:pPr>
      <w:r w:rsidRPr="0081146C">
        <w:tab/>
        <w:t>(a)</w:t>
      </w:r>
      <w:r w:rsidRPr="0081146C">
        <w:tab/>
        <w:t>that stores monetary value other than physical currency; or</w:t>
      </w:r>
    </w:p>
    <w:p w14:paraId="5952858E" w14:textId="77777777" w:rsidR="00610C10" w:rsidRPr="0081146C" w:rsidRDefault="00610C10" w:rsidP="00610C10">
      <w:pPr>
        <w:pStyle w:val="paragraph"/>
      </w:pPr>
      <w:r w:rsidRPr="0081146C">
        <w:tab/>
        <w:t>(b)</w:t>
      </w:r>
      <w:r w:rsidRPr="0081146C">
        <w:tab/>
        <w:t>that gives access to monetary value stored in a form other than physical currency; or</w:t>
      </w:r>
    </w:p>
    <w:p w14:paraId="4DDA7CB1" w14:textId="77777777" w:rsidR="00610C10" w:rsidRPr="0081146C" w:rsidRDefault="00610C10" w:rsidP="00610C10">
      <w:pPr>
        <w:pStyle w:val="paragraph"/>
      </w:pPr>
      <w:r w:rsidRPr="0081146C">
        <w:tab/>
        <w:t>(c)</w:t>
      </w:r>
      <w:r w:rsidRPr="0081146C">
        <w:tab/>
        <w:t>that is prescribed by the AML/CTF Rules;</w:t>
      </w:r>
    </w:p>
    <w:p w14:paraId="51EE5F8D" w14:textId="77777777" w:rsidR="00610C10" w:rsidRPr="0081146C" w:rsidRDefault="00610C10" w:rsidP="00610C10">
      <w:pPr>
        <w:pStyle w:val="subsection2"/>
      </w:pPr>
      <w:r w:rsidRPr="0081146C">
        <w:t>but does not include:</w:t>
      </w:r>
    </w:p>
    <w:p w14:paraId="40D4887A" w14:textId="77777777" w:rsidR="00610C10" w:rsidRPr="0081146C" w:rsidRDefault="00610C10" w:rsidP="00610C10">
      <w:pPr>
        <w:pStyle w:val="paragraph"/>
      </w:pPr>
      <w:r w:rsidRPr="0081146C">
        <w:tab/>
        <w:t>(d)</w:t>
      </w:r>
      <w:r w:rsidRPr="0081146C">
        <w:tab/>
        <w:t>a debit card or a credit card; or</w:t>
      </w:r>
    </w:p>
    <w:p w14:paraId="34848B82" w14:textId="77777777" w:rsidR="00610C10" w:rsidRPr="0081146C" w:rsidRDefault="00610C10" w:rsidP="00610C10">
      <w:pPr>
        <w:pStyle w:val="paragraph"/>
      </w:pPr>
      <w:r w:rsidRPr="0081146C">
        <w:tab/>
        <w:t>(e)</w:t>
      </w:r>
      <w:r w:rsidRPr="0081146C">
        <w:tab/>
        <w:t>an account for the purposes of items 1 to 3 of table 1 in section 6 or items 11 to 13 of table 3 in section 6; or</w:t>
      </w:r>
    </w:p>
    <w:p w14:paraId="5BE8D63D" w14:textId="77777777" w:rsidR="00610C10" w:rsidRPr="0081146C" w:rsidRDefault="00610C10" w:rsidP="00610C10">
      <w:pPr>
        <w:pStyle w:val="paragraph"/>
      </w:pPr>
      <w:r w:rsidRPr="0081146C">
        <w:tab/>
        <w:t>(f)</w:t>
      </w:r>
      <w:r w:rsidRPr="0081146C">
        <w:tab/>
        <w:t>unless prescribed by the AML/CTF Rules for the purposes of paragraph (c):</w:t>
      </w:r>
    </w:p>
    <w:p w14:paraId="0E6FBE1A" w14:textId="77777777" w:rsidR="00610C10" w:rsidRPr="0081146C" w:rsidRDefault="00610C10" w:rsidP="00610C10">
      <w:pPr>
        <w:pStyle w:val="paragraphsub"/>
      </w:pPr>
      <w:r w:rsidRPr="0081146C">
        <w:tab/>
        <w:t>(i)</w:t>
      </w:r>
      <w:r w:rsidRPr="0081146C">
        <w:tab/>
        <w:t>a thing that is intended to give access to monetary value in a debit card or credit card account; or</w:t>
      </w:r>
    </w:p>
    <w:p w14:paraId="6FDC9A0C" w14:textId="77777777" w:rsidR="00610C10" w:rsidRPr="0081146C" w:rsidRDefault="00610C10" w:rsidP="00610C10">
      <w:pPr>
        <w:pStyle w:val="paragraphsub"/>
      </w:pPr>
      <w:r w:rsidRPr="0081146C">
        <w:tab/>
        <w:t>(ii)</w:t>
      </w:r>
      <w:r w:rsidRPr="0081146C">
        <w:tab/>
        <w:t>a gaming chip or token, or a betting instrument; or</w:t>
      </w:r>
    </w:p>
    <w:p w14:paraId="7D0EBDCF" w14:textId="77777777" w:rsidR="00610C10" w:rsidRPr="0081146C" w:rsidRDefault="00610C10" w:rsidP="00610C10">
      <w:pPr>
        <w:pStyle w:val="paragraphsub"/>
      </w:pPr>
      <w:r w:rsidRPr="0081146C">
        <w:tab/>
        <w:t>(iii)</w:t>
      </w:r>
      <w:r w:rsidRPr="0081146C">
        <w:tab/>
        <w:t>a virtual asset (whether or not pegged to any currency); or</w:t>
      </w:r>
    </w:p>
    <w:p w14:paraId="3994AD5A" w14:textId="77777777" w:rsidR="00610C10" w:rsidRPr="0081146C" w:rsidRDefault="00610C10" w:rsidP="00610C10">
      <w:pPr>
        <w:pStyle w:val="paragraphsub"/>
      </w:pPr>
      <w:r w:rsidRPr="0081146C">
        <w:tab/>
        <w:t>(iv)</w:t>
      </w:r>
      <w:r w:rsidRPr="0081146C">
        <w:tab/>
        <w:t>a thing that stores, or gives access to, virtual assets (whether or not pegged to any currency); or</w:t>
      </w:r>
    </w:p>
    <w:p w14:paraId="17CB38FA" w14:textId="77777777" w:rsidR="00610C10" w:rsidRPr="0081146C" w:rsidRDefault="00610C10" w:rsidP="00610C10">
      <w:pPr>
        <w:pStyle w:val="paragraphsub"/>
      </w:pPr>
      <w:r w:rsidRPr="0081146C">
        <w:tab/>
        <w:t>(v)</w:t>
      </w:r>
      <w:r w:rsidRPr="0081146C">
        <w:tab/>
        <w:t>a card or other thing that is only used to store or access monetary value for the purposes of purchasing an entry into a lottery or redeeming winnings in respect of a lottery, where the monetary value is denominated in a currency, or is pegged by its issuer to a currency, stored in a form other than physical currency; or</w:t>
      </w:r>
    </w:p>
    <w:p w14:paraId="6A559C25" w14:textId="77777777" w:rsidR="00610C10" w:rsidRPr="0081146C" w:rsidRDefault="00610C10" w:rsidP="00610C10">
      <w:pPr>
        <w:pStyle w:val="paragraph"/>
      </w:pPr>
      <w:r w:rsidRPr="0081146C">
        <w:tab/>
        <w:t>(g)</w:t>
      </w:r>
      <w:r w:rsidRPr="0081146C">
        <w:tab/>
        <w:t>a thing that, under the AML/CTF Rules, is taken not to be a stored value card.</w:t>
      </w:r>
    </w:p>
    <w:p w14:paraId="1C703FE0" w14:textId="77777777" w:rsidR="00393E03" w:rsidRPr="0081146C" w:rsidRDefault="00393E03" w:rsidP="00393E03">
      <w:pPr>
        <w:pStyle w:val="Definition"/>
      </w:pPr>
      <w:r w:rsidRPr="0081146C">
        <w:rPr>
          <w:b/>
          <w:i/>
        </w:rPr>
        <w:t>subdivision arrangement</w:t>
      </w:r>
      <w:r w:rsidRPr="0081146C">
        <w:t xml:space="preserve"> means:</w:t>
      </w:r>
    </w:p>
    <w:p w14:paraId="194F460D" w14:textId="77777777" w:rsidR="00393E03" w:rsidRPr="0081146C" w:rsidRDefault="00393E03" w:rsidP="00393E03">
      <w:pPr>
        <w:pStyle w:val="paragraph"/>
      </w:pPr>
      <w:r w:rsidRPr="0081146C">
        <w:tab/>
        <w:t>(a)</w:t>
      </w:r>
      <w:r w:rsidRPr="0081146C">
        <w:tab/>
        <w:t>an arrangement:</w:t>
      </w:r>
    </w:p>
    <w:p w14:paraId="113F13C1" w14:textId="77777777" w:rsidR="00393E03" w:rsidRPr="0081146C" w:rsidRDefault="00393E03" w:rsidP="00393E03">
      <w:pPr>
        <w:pStyle w:val="paragraphsub"/>
      </w:pPr>
      <w:r w:rsidRPr="0081146C">
        <w:tab/>
        <w:t>(i)</w:t>
      </w:r>
      <w:r w:rsidRPr="0081146C">
        <w:tab/>
        <w:t>under which the title (whether freehold or leasehold) to a portion of land is subdivided into separate freehold or leasehold titles relating to smaller portions of land within the first</w:t>
      </w:r>
      <w:r w:rsidRPr="0081146C">
        <w:noBreakHyphen/>
        <w:t>mentioned portion; and</w:t>
      </w:r>
    </w:p>
    <w:p w14:paraId="3BE57AFA" w14:textId="77777777" w:rsidR="00393E03" w:rsidRPr="0081146C" w:rsidRDefault="00393E03" w:rsidP="00393E03">
      <w:pPr>
        <w:pStyle w:val="paragraphsub"/>
      </w:pPr>
      <w:r w:rsidRPr="0081146C">
        <w:tab/>
        <w:t>(ii)</w:t>
      </w:r>
      <w:r w:rsidRPr="0081146C">
        <w:tab/>
        <w:t>under which property that is common between the owners or occupiers of the smaller portions is owned or managed by a single body corporate (however described); and</w:t>
      </w:r>
    </w:p>
    <w:p w14:paraId="6DAB9492" w14:textId="77777777" w:rsidR="00393E03" w:rsidRPr="0081146C" w:rsidRDefault="00393E03" w:rsidP="00393E03">
      <w:pPr>
        <w:pStyle w:val="paragraphsub"/>
      </w:pPr>
      <w:r w:rsidRPr="0081146C">
        <w:tab/>
        <w:t>(iii)</w:t>
      </w:r>
      <w:r w:rsidRPr="0081146C">
        <w:tab/>
        <w:t>that exists under a law, of the State or Territory in which the land is located, relating to “strata titles”, “community titles”, “unit titles”, “cluster titles” or something referred to by another term reflecting the features referred to in subparagraphs (i) and (ii); or</w:t>
      </w:r>
    </w:p>
    <w:p w14:paraId="6A6F9761" w14:textId="77777777" w:rsidR="00393E03" w:rsidRPr="0081146C" w:rsidRDefault="00393E03" w:rsidP="00393E03">
      <w:pPr>
        <w:pStyle w:val="paragraph"/>
      </w:pPr>
      <w:r w:rsidRPr="0081146C">
        <w:tab/>
        <w:t>(b)</w:t>
      </w:r>
      <w:r w:rsidRPr="0081146C">
        <w:tab/>
        <w:t>an arrangement under which:</w:t>
      </w:r>
    </w:p>
    <w:p w14:paraId="560F4545" w14:textId="77777777" w:rsidR="00393E03" w:rsidRPr="0081146C" w:rsidRDefault="00393E03" w:rsidP="00393E03">
      <w:pPr>
        <w:pStyle w:val="paragraphsub"/>
      </w:pPr>
      <w:r w:rsidRPr="0081146C">
        <w:tab/>
        <w:t>(i)</w:t>
      </w:r>
      <w:r w:rsidRPr="0081146C">
        <w:tab/>
        <w:t>a body corporate owns an interest (whether freehold or leasehold) in land; and</w:t>
      </w:r>
    </w:p>
    <w:p w14:paraId="22E14A86" w14:textId="77777777" w:rsidR="00393E03" w:rsidRPr="0081146C" w:rsidRDefault="00393E03" w:rsidP="00393E03">
      <w:pPr>
        <w:pStyle w:val="paragraphsub"/>
      </w:pPr>
      <w:r w:rsidRPr="0081146C">
        <w:tab/>
        <w:t>(ii)</w:t>
      </w:r>
      <w:r w:rsidRPr="0081146C">
        <w:tab/>
        <w:t>under the constitution of the body corporate, a holder of shares in the body has, or may be granted, a right to occupy or use some or all of the land, whether the right is by way of a lease or licence or otherwise; or</w:t>
      </w:r>
    </w:p>
    <w:p w14:paraId="37F4C415" w14:textId="77777777" w:rsidR="00393E03" w:rsidRPr="0081146C" w:rsidRDefault="00393E03" w:rsidP="00393E03">
      <w:pPr>
        <w:pStyle w:val="paragraph"/>
      </w:pPr>
      <w:r w:rsidRPr="0081146C">
        <w:tab/>
        <w:t>(c)</w:t>
      </w:r>
      <w:r w:rsidRPr="0081146C">
        <w:tab/>
        <w:t>an arrangement in relation to which all of the following subparagraphs apply:</w:t>
      </w:r>
    </w:p>
    <w:p w14:paraId="44132575" w14:textId="77777777" w:rsidR="00393E03" w:rsidRPr="0081146C" w:rsidRDefault="00393E03" w:rsidP="00393E03">
      <w:pPr>
        <w:pStyle w:val="paragraphsub"/>
      </w:pPr>
      <w:r w:rsidRPr="0081146C">
        <w:tab/>
        <w:t>(i)</w:t>
      </w:r>
      <w:r w:rsidRPr="0081146C">
        <w:tab/>
        <w:t>under the arrangement, an interest (whether freehold or leasehold) in land is held on trust;</w:t>
      </w:r>
    </w:p>
    <w:p w14:paraId="2D90CC73" w14:textId="77777777" w:rsidR="00393E03" w:rsidRPr="0081146C" w:rsidRDefault="00393E03" w:rsidP="00393E03">
      <w:pPr>
        <w:pStyle w:val="paragraphsub"/>
      </w:pPr>
      <w:r w:rsidRPr="0081146C">
        <w:tab/>
        <w:t>(ii)</w:t>
      </w:r>
      <w:r w:rsidRPr="0081146C">
        <w:tab/>
        <w:t>under the terms of the trust, a holder of an interest in the trust has, or may be granted, a right to occupy or use part of the land, whether the right is by way of a lease or licence or otherwise;</w:t>
      </w:r>
    </w:p>
    <w:p w14:paraId="2700348A" w14:textId="77777777" w:rsidR="00393E03" w:rsidRPr="0081146C" w:rsidRDefault="00393E03" w:rsidP="00393E03">
      <w:pPr>
        <w:pStyle w:val="paragraphsub"/>
      </w:pPr>
      <w:r w:rsidRPr="0081146C">
        <w:tab/>
        <w:t>(iii)</w:t>
      </w:r>
      <w:r w:rsidRPr="0081146C">
        <w:tab/>
        <w:t>the trustee of the trust is a body corporate;</w:t>
      </w:r>
    </w:p>
    <w:p w14:paraId="4DEC6707" w14:textId="77777777" w:rsidR="00393E03" w:rsidRPr="0081146C" w:rsidRDefault="00393E03" w:rsidP="00393E03">
      <w:pPr>
        <w:pStyle w:val="paragraphsub"/>
      </w:pPr>
      <w:r w:rsidRPr="0081146C">
        <w:tab/>
        <w:t>(iv)</w:t>
      </w:r>
      <w:r w:rsidRPr="0081146C">
        <w:tab/>
        <w:t>there are at least 2 distinct parts of the land for which subparagraph (ii) is satisfied.</w:t>
      </w:r>
    </w:p>
    <w:p w14:paraId="3DE29963" w14:textId="77777777" w:rsidR="00035544" w:rsidRPr="0081146C" w:rsidRDefault="00035544" w:rsidP="00035544">
      <w:pPr>
        <w:pStyle w:val="Definition"/>
      </w:pPr>
      <w:r w:rsidRPr="0081146C">
        <w:rPr>
          <w:b/>
          <w:i/>
        </w:rPr>
        <w:t>subject to a requirement</w:t>
      </w:r>
      <w:r w:rsidRPr="0081146C">
        <w:t xml:space="preserve"> includes subject to a prohibition.</w:t>
      </w:r>
    </w:p>
    <w:p w14:paraId="3923379E" w14:textId="77777777" w:rsidR="00035544" w:rsidRPr="0081146C" w:rsidRDefault="00035544" w:rsidP="00035544">
      <w:pPr>
        <w:pStyle w:val="Definition"/>
      </w:pPr>
      <w:r w:rsidRPr="0081146C">
        <w:rPr>
          <w:b/>
          <w:i/>
        </w:rPr>
        <w:t>subsidiary</w:t>
      </w:r>
      <w:r w:rsidRPr="0081146C">
        <w:t xml:space="preserve"> has the same meaning as in the </w:t>
      </w:r>
      <w:r w:rsidRPr="0081146C">
        <w:rPr>
          <w:i/>
        </w:rPr>
        <w:t>Corporations Act 2001</w:t>
      </w:r>
      <w:r w:rsidRPr="0081146C">
        <w:t>.</w:t>
      </w:r>
    </w:p>
    <w:p w14:paraId="17197B46" w14:textId="77777777" w:rsidR="00035544" w:rsidRPr="0081146C" w:rsidRDefault="00035544" w:rsidP="00035544">
      <w:pPr>
        <w:pStyle w:val="Definition"/>
      </w:pPr>
      <w:r w:rsidRPr="0081146C">
        <w:rPr>
          <w:b/>
          <w:i/>
        </w:rPr>
        <w:t>superannuation fund</w:t>
      </w:r>
      <w:r w:rsidRPr="0081146C">
        <w:t xml:space="preserve"> has the same meaning as in the </w:t>
      </w:r>
      <w:r w:rsidRPr="0081146C">
        <w:rPr>
          <w:i/>
        </w:rPr>
        <w:t>Superannuation Industry (Supervision) Act 1993</w:t>
      </w:r>
      <w:r w:rsidRPr="0081146C">
        <w:t>.</w:t>
      </w:r>
    </w:p>
    <w:p w14:paraId="479ADBDC" w14:textId="77777777" w:rsidR="00035544" w:rsidRPr="0081146C" w:rsidRDefault="00035544" w:rsidP="00035544">
      <w:pPr>
        <w:pStyle w:val="Definition"/>
      </w:pPr>
      <w:r w:rsidRPr="0081146C">
        <w:rPr>
          <w:b/>
          <w:i/>
        </w:rPr>
        <w:t>suspicious matter reporting obligation</w:t>
      </w:r>
      <w:r w:rsidRPr="0081146C">
        <w:t xml:space="preserve"> has the meaning given by subsection</w:t>
      </w:r>
      <w:r w:rsidR="004F64A4" w:rsidRPr="0081146C">
        <w:t> </w:t>
      </w:r>
      <w:r w:rsidRPr="0081146C">
        <w:t>41(1).</w:t>
      </w:r>
    </w:p>
    <w:p w14:paraId="1AF15FF0" w14:textId="77777777" w:rsidR="00035544" w:rsidRPr="0081146C" w:rsidRDefault="00035544" w:rsidP="00035544">
      <w:pPr>
        <w:pStyle w:val="Definition"/>
      </w:pPr>
      <w:r w:rsidRPr="0081146C">
        <w:rPr>
          <w:b/>
          <w:i/>
        </w:rPr>
        <w:t>taxation law</w:t>
      </w:r>
      <w:r w:rsidRPr="0081146C">
        <w:t xml:space="preserve"> has the same meaning as in the </w:t>
      </w:r>
      <w:r w:rsidRPr="0081146C">
        <w:rPr>
          <w:i/>
        </w:rPr>
        <w:t>Taxation Administration Act 1953</w:t>
      </w:r>
      <w:r w:rsidRPr="0081146C">
        <w:t>.</w:t>
      </w:r>
    </w:p>
    <w:p w14:paraId="38FA4BEF" w14:textId="77777777" w:rsidR="00035544" w:rsidRPr="0081146C" w:rsidRDefault="00035544" w:rsidP="00035544">
      <w:pPr>
        <w:pStyle w:val="Definition"/>
      </w:pPr>
      <w:r w:rsidRPr="0081146C">
        <w:rPr>
          <w:b/>
          <w:i/>
        </w:rPr>
        <w:t>taxation officer</w:t>
      </w:r>
      <w:r w:rsidRPr="0081146C">
        <w:t xml:space="preserve"> means:</w:t>
      </w:r>
    </w:p>
    <w:p w14:paraId="753FF02E" w14:textId="77777777" w:rsidR="00035544" w:rsidRPr="0081146C" w:rsidRDefault="00035544" w:rsidP="00035544">
      <w:pPr>
        <w:pStyle w:val="paragraph"/>
      </w:pPr>
      <w:r w:rsidRPr="0081146C">
        <w:tab/>
        <w:t>(a)</w:t>
      </w:r>
      <w:r w:rsidRPr="0081146C">
        <w:tab/>
        <w:t>a Second Commissioner of Taxation; or</w:t>
      </w:r>
    </w:p>
    <w:p w14:paraId="30EE052E" w14:textId="77777777" w:rsidR="00035544" w:rsidRPr="0081146C" w:rsidRDefault="00035544" w:rsidP="00035544">
      <w:pPr>
        <w:pStyle w:val="paragraph"/>
      </w:pPr>
      <w:r w:rsidRPr="0081146C">
        <w:tab/>
        <w:t>(b)</w:t>
      </w:r>
      <w:r w:rsidRPr="0081146C">
        <w:tab/>
        <w:t>a Deputy Commissioner of Taxation; or</w:t>
      </w:r>
    </w:p>
    <w:p w14:paraId="364981EA" w14:textId="77777777" w:rsidR="00035544" w:rsidRPr="0081146C" w:rsidRDefault="00035544" w:rsidP="00035544">
      <w:pPr>
        <w:pStyle w:val="paragraph"/>
      </w:pPr>
      <w:r w:rsidRPr="0081146C">
        <w:tab/>
        <w:t>(c)</w:t>
      </w:r>
      <w:r w:rsidRPr="0081146C">
        <w:tab/>
        <w:t xml:space="preserve">a person appointed or engaged under the </w:t>
      </w:r>
      <w:r w:rsidRPr="0081146C">
        <w:rPr>
          <w:i/>
        </w:rPr>
        <w:t>Public Service Act 1999</w:t>
      </w:r>
      <w:r w:rsidRPr="0081146C">
        <w:t xml:space="preserve"> and performing duties in the Australian Taxation Office.</w:t>
      </w:r>
    </w:p>
    <w:p w14:paraId="3D09BD6F" w14:textId="77777777" w:rsidR="00035544" w:rsidRPr="0081146C" w:rsidRDefault="00035544" w:rsidP="00035544">
      <w:pPr>
        <w:pStyle w:val="Definition"/>
      </w:pPr>
      <w:r w:rsidRPr="0081146C">
        <w:rPr>
          <w:b/>
          <w:i/>
        </w:rPr>
        <w:t>threshold transaction</w:t>
      </w:r>
      <w:r w:rsidRPr="0081146C">
        <w:t xml:space="preserve"> means:</w:t>
      </w:r>
    </w:p>
    <w:p w14:paraId="39B5137B" w14:textId="77777777" w:rsidR="00035544" w:rsidRPr="0081146C" w:rsidRDefault="00035544" w:rsidP="00035544">
      <w:pPr>
        <w:pStyle w:val="paragraph"/>
      </w:pPr>
      <w:r w:rsidRPr="0081146C">
        <w:tab/>
        <w:t>(a)</w:t>
      </w:r>
      <w:r w:rsidRPr="0081146C">
        <w:tab/>
        <w:t>a transaction involving the transfer of physical currency, where the total amount of physical currency transferred is not less than $10,000; or</w:t>
      </w:r>
    </w:p>
    <w:p w14:paraId="72B92C73" w14:textId="77777777" w:rsidR="00035544" w:rsidRPr="0081146C" w:rsidRDefault="00035544" w:rsidP="00035544">
      <w:pPr>
        <w:pStyle w:val="paragraph"/>
      </w:pPr>
      <w:r w:rsidRPr="0081146C">
        <w:tab/>
        <w:t>(c)</w:t>
      </w:r>
      <w:r w:rsidRPr="0081146C">
        <w:tab/>
        <w:t>if:</w:t>
      </w:r>
    </w:p>
    <w:p w14:paraId="44EB1EA7" w14:textId="77777777" w:rsidR="00035544" w:rsidRPr="0081146C" w:rsidRDefault="00035544" w:rsidP="00035544">
      <w:pPr>
        <w:pStyle w:val="paragraphsub"/>
      </w:pPr>
      <w:r w:rsidRPr="0081146C">
        <w:tab/>
        <w:t>(i)</w:t>
      </w:r>
      <w:r w:rsidRPr="0081146C">
        <w:tab/>
        <w:t>the regulations provide that this definition applies to a specified transaction involving money; and</w:t>
      </w:r>
    </w:p>
    <w:p w14:paraId="0B03D5A5" w14:textId="77777777" w:rsidR="00035544" w:rsidRPr="0081146C" w:rsidRDefault="00035544" w:rsidP="00035544">
      <w:pPr>
        <w:pStyle w:val="paragraphsub"/>
      </w:pPr>
      <w:r w:rsidRPr="0081146C">
        <w:tab/>
        <w:t>(ii)</w:t>
      </w:r>
      <w:r w:rsidRPr="0081146C">
        <w:tab/>
        <w:t>the regulations provide that a specified amount is the transaction threshold for the specified transaction;</w:t>
      </w:r>
    </w:p>
    <w:p w14:paraId="2D27E0C7" w14:textId="77777777" w:rsidR="00035544" w:rsidRPr="0081146C" w:rsidRDefault="00035544" w:rsidP="00035544">
      <w:pPr>
        <w:pStyle w:val="paragraph"/>
      </w:pPr>
      <w:r w:rsidRPr="0081146C">
        <w:tab/>
      </w:r>
      <w:r w:rsidRPr="0081146C">
        <w:tab/>
        <w:t>the specified transaction, where the total amount transferred is not less than the transaction threshold for the transaction; or</w:t>
      </w:r>
    </w:p>
    <w:p w14:paraId="6DE6F0DB" w14:textId="77777777" w:rsidR="0049002F" w:rsidRPr="0081146C" w:rsidRDefault="0049002F" w:rsidP="0049002F">
      <w:pPr>
        <w:pStyle w:val="paragraph"/>
      </w:pPr>
      <w:r w:rsidRPr="0081146C">
        <w:tab/>
        <w:t>(ca)</w:t>
      </w:r>
      <w:r w:rsidRPr="0081146C">
        <w:tab/>
        <w:t>if:</w:t>
      </w:r>
    </w:p>
    <w:p w14:paraId="4FB2F519" w14:textId="43E8F2F0" w:rsidR="0049002F" w:rsidRPr="0081146C" w:rsidRDefault="0049002F" w:rsidP="0049002F">
      <w:pPr>
        <w:pStyle w:val="paragraphsub"/>
      </w:pPr>
      <w:r w:rsidRPr="0081146C">
        <w:tab/>
        <w:t>(i)</w:t>
      </w:r>
      <w:r w:rsidRPr="0081146C">
        <w:tab/>
        <w:t xml:space="preserve">the regulations provide that this definition applies to a specified transaction involving </w:t>
      </w:r>
      <w:r w:rsidR="00610C10" w:rsidRPr="0081146C">
        <w:t>a virtual asset</w:t>
      </w:r>
      <w:r w:rsidRPr="0081146C">
        <w:t>; and</w:t>
      </w:r>
    </w:p>
    <w:p w14:paraId="1F719D85" w14:textId="11CB9485" w:rsidR="0049002F" w:rsidRPr="0081146C" w:rsidRDefault="0049002F" w:rsidP="0049002F">
      <w:pPr>
        <w:pStyle w:val="paragraphsub"/>
      </w:pPr>
      <w:r w:rsidRPr="0081146C">
        <w:tab/>
        <w:t>(ii)</w:t>
      </w:r>
      <w:r w:rsidRPr="0081146C">
        <w:tab/>
        <w:t xml:space="preserve">the regulations provide that a specified amount </w:t>
      </w:r>
      <w:bookmarkStart w:id="18" w:name="_Hlk184824098"/>
      <w:r w:rsidR="008B3D55">
        <w:t xml:space="preserve">or value </w:t>
      </w:r>
      <w:bookmarkEnd w:id="18"/>
      <w:r w:rsidRPr="0081146C">
        <w:t>is the transaction threshold for the specified transaction;</w:t>
      </w:r>
    </w:p>
    <w:p w14:paraId="64B4BE32" w14:textId="2BF168F2" w:rsidR="0049002F" w:rsidRPr="0081146C" w:rsidRDefault="0049002F" w:rsidP="0049002F">
      <w:pPr>
        <w:pStyle w:val="paragraph"/>
      </w:pPr>
      <w:r w:rsidRPr="0081146C">
        <w:tab/>
      </w:r>
      <w:r w:rsidRPr="0081146C">
        <w:tab/>
        <w:t>the specified transaction, where the total amount</w:t>
      </w:r>
      <w:r w:rsidR="00610C10" w:rsidRPr="0081146C">
        <w:t xml:space="preserve"> or value</w:t>
      </w:r>
      <w:r w:rsidRPr="0081146C">
        <w:t xml:space="preserve"> transferred is not less than the transaction threshold for the transaction; or</w:t>
      </w:r>
    </w:p>
    <w:p w14:paraId="04F17DED" w14:textId="77777777" w:rsidR="00035544" w:rsidRPr="0081146C" w:rsidRDefault="00035544" w:rsidP="007155A5">
      <w:pPr>
        <w:pStyle w:val="paragraph"/>
        <w:keepNext/>
      </w:pPr>
      <w:r w:rsidRPr="0081146C">
        <w:tab/>
        <w:t>(d)</w:t>
      </w:r>
      <w:r w:rsidRPr="0081146C">
        <w:tab/>
        <w:t>if:</w:t>
      </w:r>
    </w:p>
    <w:p w14:paraId="3F78A6F1" w14:textId="77777777" w:rsidR="00035544" w:rsidRPr="0081146C" w:rsidRDefault="00035544" w:rsidP="00035544">
      <w:pPr>
        <w:pStyle w:val="paragraphsub"/>
      </w:pPr>
      <w:r w:rsidRPr="0081146C">
        <w:tab/>
        <w:t>(i)</w:t>
      </w:r>
      <w:r w:rsidRPr="0081146C">
        <w:tab/>
        <w:t>the regulations provide that this definition applies to a specified transaction involving the transfer of property; and</w:t>
      </w:r>
    </w:p>
    <w:p w14:paraId="12A94E16" w14:textId="77777777" w:rsidR="00035544" w:rsidRPr="0081146C" w:rsidRDefault="00035544" w:rsidP="00035544">
      <w:pPr>
        <w:pStyle w:val="paragraphsub"/>
      </w:pPr>
      <w:r w:rsidRPr="0081146C">
        <w:tab/>
        <w:t>(ii)</w:t>
      </w:r>
      <w:r w:rsidRPr="0081146C">
        <w:tab/>
        <w:t>the regulations provide that a specified amount is the transaction threshold for the specified transaction;</w:t>
      </w:r>
    </w:p>
    <w:p w14:paraId="04255001" w14:textId="77777777" w:rsidR="00035544" w:rsidRPr="0081146C" w:rsidRDefault="00035544" w:rsidP="00035544">
      <w:pPr>
        <w:pStyle w:val="paragraph"/>
      </w:pPr>
      <w:r w:rsidRPr="0081146C">
        <w:tab/>
      </w:r>
      <w:r w:rsidRPr="0081146C">
        <w:tab/>
        <w:t>the specified transaction, where the total value transferred is not less than the transaction threshold for the transaction.</w:t>
      </w:r>
    </w:p>
    <w:p w14:paraId="267AD7B5" w14:textId="77777777" w:rsidR="00035544" w:rsidRPr="0081146C" w:rsidRDefault="004F64A4" w:rsidP="00035544">
      <w:pPr>
        <w:pStyle w:val="subsection2"/>
      </w:pPr>
      <w:r w:rsidRPr="0081146C">
        <w:t>Paragraph (</w:t>
      </w:r>
      <w:r w:rsidR="00A75130" w:rsidRPr="0081146C">
        <w:t>a) does</w:t>
      </w:r>
      <w:r w:rsidR="00035544" w:rsidRPr="0081146C">
        <w:t xml:space="preserve"> not limit </w:t>
      </w:r>
      <w:r w:rsidRPr="0081146C">
        <w:t>paragraph (</w:t>
      </w:r>
      <w:r w:rsidR="00035544" w:rsidRPr="0081146C">
        <w:t>c).</w:t>
      </w:r>
    </w:p>
    <w:p w14:paraId="51B20E13" w14:textId="77777777" w:rsidR="00035544" w:rsidRPr="0081146C" w:rsidRDefault="00035544" w:rsidP="00035544">
      <w:pPr>
        <w:pStyle w:val="notetext"/>
      </w:pPr>
      <w:r w:rsidRPr="0081146C">
        <w:t>Note 1:</w:t>
      </w:r>
      <w:r w:rsidRPr="0081146C">
        <w:tab/>
        <w:t xml:space="preserve">See also </w:t>
      </w:r>
      <w:r w:rsidR="003B7E15" w:rsidRPr="0081146C">
        <w:t>section 1</w:t>
      </w:r>
      <w:r w:rsidRPr="0081146C">
        <w:t>8 (translation of foreign currency to Australian currency).</w:t>
      </w:r>
    </w:p>
    <w:p w14:paraId="36D2C825" w14:textId="62AD4AF4" w:rsidR="00035544" w:rsidRPr="0081146C" w:rsidRDefault="00035544" w:rsidP="00035544">
      <w:pPr>
        <w:pStyle w:val="notetext"/>
      </w:pPr>
      <w:r w:rsidRPr="0081146C">
        <w:t>Note 2:</w:t>
      </w:r>
      <w:r w:rsidRPr="0081146C">
        <w:tab/>
        <w:t xml:space="preserve">See also </w:t>
      </w:r>
      <w:r w:rsidR="003B7E15" w:rsidRPr="0081146C">
        <w:t>section 1</w:t>
      </w:r>
      <w:r w:rsidRPr="0081146C">
        <w:t xml:space="preserve">9 (translation of </w:t>
      </w:r>
      <w:r w:rsidR="00610C10" w:rsidRPr="0081146C">
        <w:t>virtual assets</w:t>
      </w:r>
      <w:r w:rsidRPr="0081146C">
        <w:t xml:space="preserve"> to Australian currency).</w:t>
      </w:r>
    </w:p>
    <w:p w14:paraId="4F54F3BB" w14:textId="77777777" w:rsidR="00035544" w:rsidRPr="0081146C" w:rsidRDefault="00035544" w:rsidP="00035544">
      <w:pPr>
        <w:pStyle w:val="notetext"/>
      </w:pPr>
      <w:r w:rsidRPr="0081146C">
        <w:t>Note 3:</w:t>
      </w:r>
      <w:r w:rsidRPr="0081146C">
        <w:tab/>
        <w:t>For specification by class, see sub</w:t>
      </w:r>
      <w:r w:rsidR="003B7E15" w:rsidRPr="0081146C">
        <w:t>section 1</w:t>
      </w:r>
      <w:r w:rsidRPr="0081146C">
        <w:t xml:space="preserve">3(3) of the </w:t>
      </w:r>
      <w:r w:rsidR="00750389" w:rsidRPr="0081146C">
        <w:rPr>
          <w:i/>
        </w:rPr>
        <w:t>Legislation Act 2003</w:t>
      </w:r>
      <w:r w:rsidRPr="0081146C">
        <w:t>.</w:t>
      </w:r>
    </w:p>
    <w:p w14:paraId="6D1504BF" w14:textId="77777777" w:rsidR="00064C94" w:rsidRPr="0081146C" w:rsidRDefault="00064C94" w:rsidP="00064C94">
      <w:pPr>
        <w:pStyle w:val="Definition"/>
      </w:pPr>
      <w:r w:rsidRPr="0081146C">
        <w:rPr>
          <w:b/>
          <w:i/>
        </w:rPr>
        <w:t xml:space="preserve">totalisator agency board </w:t>
      </w:r>
      <w:r w:rsidRPr="0081146C">
        <w:t>means a board or authority established, or a company holding a licence, under a law of a State or Territory for purposes that include the purpose of operating a betting service.</w:t>
      </w:r>
    </w:p>
    <w:p w14:paraId="575715B0" w14:textId="77777777" w:rsidR="00035544" w:rsidRPr="0081146C" w:rsidRDefault="00035544" w:rsidP="00035544">
      <w:pPr>
        <w:pStyle w:val="Definition"/>
      </w:pPr>
      <w:r w:rsidRPr="0081146C">
        <w:rPr>
          <w:b/>
          <w:i/>
        </w:rPr>
        <w:t>transaction</w:t>
      </w:r>
      <w:r w:rsidRPr="0081146C">
        <w:t xml:space="preserve"> includes a transaction of a non</w:t>
      </w:r>
      <w:r w:rsidR="003B7E15" w:rsidRPr="0081146C">
        <w:noBreakHyphen/>
      </w:r>
      <w:r w:rsidRPr="0081146C">
        <w:t>commercial nature.</w:t>
      </w:r>
    </w:p>
    <w:p w14:paraId="42E7E8DD" w14:textId="77777777" w:rsidR="00035544" w:rsidRPr="0081146C" w:rsidRDefault="00035544" w:rsidP="00035544">
      <w:pPr>
        <w:pStyle w:val="Definition"/>
      </w:pPr>
      <w:r w:rsidRPr="0081146C">
        <w:rPr>
          <w:b/>
          <w:i/>
        </w:rPr>
        <w:t>transfer</w:t>
      </w:r>
      <w:r w:rsidRPr="0081146C">
        <w:t xml:space="preserve"> includes any act or thing, or any series or combination of acts or things, that may reasonably be regarded as the economic equivalent of a transfer (for example, debiting an amount from a person’s account and crediting an equivalent amount to another person’s account).</w:t>
      </w:r>
    </w:p>
    <w:p w14:paraId="236501A9" w14:textId="77777777" w:rsidR="007330A4" w:rsidRPr="0081146C" w:rsidRDefault="007330A4" w:rsidP="007330A4">
      <w:pPr>
        <w:pStyle w:val="Definition"/>
      </w:pPr>
      <w:r w:rsidRPr="0081146C">
        <w:rPr>
          <w:b/>
          <w:i/>
        </w:rPr>
        <w:t>transfer message</w:t>
      </w:r>
      <w:r w:rsidRPr="0081146C">
        <w:t>, for a transfer of value, means a message that contains information relating to the content of the payer’s instruction for the transfer of value, but does not include a message of a kind specified in the AML/CTF Rules.</w:t>
      </w:r>
    </w:p>
    <w:p w14:paraId="627172B1" w14:textId="77777777" w:rsidR="007330A4" w:rsidRPr="0081146C" w:rsidRDefault="007330A4" w:rsidP="007330A4">
      <w:pPr>
        <w:pStyle w:val="Definition"/>
      </w:pPr>
      <w:r w:rsidRPr="0081146C">
        <w:rPr>
          <w:b/>
          <w:i/>
        </w:rPr>
        <w:t xml:space="preserve">transfer of value </w:t>
      </w:r>
      <w:r w:rsidRPr="0081146C">
        <w:t>means a transfer of money, virtual assets or property, but does not include:</w:t>
      </w:r>
    </w:p>
    <w:p w14:paraId="3549E21E" w14:textId="77777777" w:rsidR="007330A4" w:rsidRPr="0081146C" w:rsidRDefault="007330A4" w:rsidP="007330A4">
      <w:pPr>
        <w:pStyle w:val="paragraph"/>
      </w:pPr>
      <w:r w:rsidRPr="0081146C">
        <w:tab/>
        <w:t>(a)</w:t>
      </w:r>
      <w:r w:rsidRPr="0081146C">
        <w:tab/>
        <w:t>a transfer of physical currency or other tangible property; or</w:t>
      </w:r>
    </w:p>
    <w:p w14:paraId="6E746F5D" w14:textId="77777777" w:rsidR="007330A4" w:rsidRPr="0081146C" w:rsidRDefault="007330A4" w:rsidP="007330A4">
      <w:pPr>
        <w:pStyle w:val="paragraph"/>
      </w:pPr>
      <w:r w:rsidRPr="0081146C">
        <w:tab/>
        <w:t>(b)</w:t>
      </w:r>
      <w:r w:rsidRPr="0081146C">
        <w:tab/>
        <w:t>a transfer of a kind specified in the AML/CTF Rules.</w:t>
      </w:r>
    </w:p>
    <w:p w14:paraId="23930191" w14:textId="77777777" w:rsidR="00035544" w:rsidRPr="0081146C" w:rsidRDefault="00035544" w:rsidP="00035544">
      <w:pPr>
        <w:pStyle w:val="Definition"/>
      </w:pPr>
      <w:r w:rsidRPr="0081146C">
        <w:rPr>
          <w:b/>
          <w:i/>
        </w:rPr>
        <w:t>trust</w:t>
      </w:r>
      <w:r w:rsidRPr="0081146C">
        <w:t xml:space="preserve"> means a person in the capacity of trustee or, as the case requires, a trust estate.</w:t>
      </w:r>
    </w:p>
    <w:p w14:paraId="59AFDF9B" w14:textId="77777777" w:rsidR="00035544" w:rsidRPr="0081146C" w:rsidRDefault="00035544" w:rsidP="00035544">
      <w:pPr>
        <w:pStyle w:val="Definition"/>
      </w:pPr>
      <w:r w:rsidRPr="0081146C">
        <w:rPr>
          <w:b/>
          <w:i/>
        </w:rPr>
        <w:t>trustee</w:t>
      </w:r>
      <w:r w:rsidRPr="0081146C">
        <w:t xml:space="preserve"> has the same meaning as in the </w:t>
      </w:r>
      <w:r w:rsidRPr="0081146C">
        <w:rPr>
          <w:i/>
        </w:rPr>
        <w:t>Income Tax Assessment Act 1997</w:t>
      </w:r>
      <w:r w:rsidRPr="0081146C">
        <w:t>.</w:t>
      </w:r>
    </w:p>
    <w:p w14:paraId="4B222589" w14:textId="77777777" w:rsidR="00035544" w:rsidRPr="0081146C" w:rsidRDefault="00035544" w:rsidP="00035544">
      <w:pPr>
        <w:pStyle w:val="Definition"/>
      </w:pPr>
      <w:r w:rsidRPr="0081146C">
        <w:rPr>
          <w:b/>
          <w:i/>
        </w:rPr>
        <w:t>trust estate</w:t>
      </w:r>
      <w:r w:rsidRPr="0081146C">
        <w:t xml:space="preserve"> has the same meaning as in the </w:t>
      </w:r>
      <w:r w:rsidRPr="0081146C">
        <w:rPr>
          <w:i/>
        </w:rPr>
        <w:t>Income Tax Assessment Act 1997</w:t>
      </w:r>
      <w:r w:rsidRPr="0081146C">
        <w:t>.</w:t>
      </w:r>
    </w:p>
    <w:p w14:paraId="36D932B8" w14:textId="77777777" w:rsidR="00035544" w:rsidRPr="0081146C" w:rsidRDefault="00035544" w:rsidP="00035544">
      <w:pPr>
        <w:pStyle w:val="Definition"/>
      </w:pPr>
      <w:r w:rsidRPr="0081146C">
        <w:rPr>
          <w:b/>
          <w:i/>
        </w:rPr>
        <w:t>unincorporated association</w:t>
      </w:r>
      <w:r w:rsidRPr="0081146C">
        <w:t xml:space="preserve"> means an unincorporated association or body of persons.</w:t>
      </w:r>
    </w:p>
    <w:p w14:paraId="11B2837D" w14:textId="77777777" w:rsidR="00035544" w:rsidRPr="0081146C" w:rsidRDefault="00035544" w:rsidP="00035544">
      <w:pPr>
        <w:pStyle w:val="Definition"/>
      </w:pPr>
      <w:r w:rsidRPr="0081146C">
        <w:rPr>
          <w:b/>
          <w:i/>
        </w:rPr>
        <w:t>value</w:t>
      </w:r>
      <w:r w:rsidRPr="0081146C">
        <w:t>,</w:t>
      </w:r>
      <w:r w:rsidRPr="0081146C">
        <w:rPr>
          <w:b/>
          <w:i/>
        </w:rPr>
        <w:t xml:space="preserve"> </w:t>
      </w:r>
      <w:r w:rsidRPr="0081146C">
        <w:t>in relation to transferred property, means the market value of the property as at the time of the transfer. In working out the market value of the property, disregard anything that would prevent or restrict conversion of the property to money.</w:t>
      </w:r>
    </w:p>
    <w:p w14:paraId="67AF24CA" w14:textId="77777777" w:rsidR="007330A4" w:rsidRPr="0081146C" w:rsidRDefault="007330A4" w:rsidP="007330A4">
      <w:pPr>
        <w:pStyle w:val="Definition"/>
      </w:pPr>
      <w:r w:rsidRPr="0081146C">
        <w:rPr>
          <w:b/>
          <w:i/>
        </w:rPr>
        <w:t>value transfer chain</w:t>
      </w:r>
      <w:r w:rsidRPr="0081146C">
        <w:t>: see subsection 63A(11).</w:t>
      </w:r>
    </w:p>
    <w:p w14:paraId="086B0CDC" w14:textId="77777777" w:rsidR="00E60DA8" w:rsidRPr="0081146C" w:rsidRDefault="00E60DA8" w:rsidP="00E60DA8">
      <w:pPr>
        <w:pStyle w:val="Definition"/>
      </w:pPr>
      <w:r w:rsidRPr="0081146C">
        <w:rPr>
          <w:b/>
          <w:i/>
        </w:rPr>
        <w:t>verification request</w:t>
      </w:r>
      <w:r w:rsidRPr="0081146C">
        <w:t>, in relation to an individual, means a request made by a reporting entity under paragraph</w:t>
      </w:r>
      <w:r w:rsidR="004F64A4" w:rsidRPr="0081146C">
        <w:t> </w:t>
      </w:r>
      <w:r w:rsidRPr="0081146C">
        <w:t>35A(1)(b) for an assessment in relation to the individual.</w:t>
      </w:r>
    </w:p>
    <w:p w14:paraId="3D20A79C" w14:textId="77777777" w:rsidR="00610C10" w:rsidRPr="0081146C" w:rsidRDefault="00610C10" w:rsidP="00610C10">
      <w:pPr>
        <w:pStyle w:val="Definition"/>
      </w:pPr>
      <w:r w:rsidRPr="0081146C">
        <w:rPr>
          <w:b/>
          <w:i/>
        </w:rPr>
        <w:t>virtual asset</w:t>
      </w:r>
      <w:r w:rsidRPr="0081146C">
        <w:t xml:space="preserve"> has the meaning given by section 5B.</w:t>
      </w:r>
    </w:p>
    <w:p w14:paraId="28CAD40E" w14:textId="77777777" w:rsidR="00610C10" w:rsidRPr="0081146C" w:rsidRDefault="00610C10" w:rsidP="00610C10">
      <w:pPr>
        <w:pStyle w:val="Definition"/>
      </w:pPr>
      <w:r w:rsidRPr="0081146C">
        <w:rPr>
          <w:b/>
          <w:i/>
        </w:rPr>
        <w:t>virtual asset safekeeping service</w:t>
      </w:r>
      <w:r w:rsidRPr="0081146C">
        <w:t>:</w:t>
      </w:r>
    </w:p>
    <w:p w14:paraId="0835E266" w14:textId="77777777" w:rsidR="00610C10" w:rsidRPr="0081146C" w:rsidRDefault="00610C10" w:rsidP="00610C10">
      <w:pPr>
        <w:pStyle w:val="paragraph"/>
      </w:pPr>
      <w:r w:rsidRPr="0081146C">
        <w:tab/>
        <w:t>(a)</w:t>
      </w:r>
      <w:r w:rsidRPr="0081146C">
        <w:tab/>
        <w:t xml:space="preserve">means a service in which virtual assets or private keys are controlled or managed for or on behalf of a person (the </w:t>
      </w:r>
      <w:r w:rsidRPr="0081146C">
        <w:rPr>
          <w:b/>
          <w:i/>
        </w:rPr>
        <w:t>customer</w:t>
      </w:r>
      <w:r w:rsidRPr="0081146C">
        <w:t>) or another person nominated by the customer under an arrangement between the provider of the service and the customer, or between the provider of the service and another person with whom the customer has an arrangement (whether or not there are also other parties to any such arrangement); but</w:t>
      </w:r>
    </w:p>
    <w:p w14:paraId="163B1735" w14:textId="77777777" w:rsidR="00610C10" w:rsidRPr="0081146C" w:rsidRDefault="00610C10" w:rsidP="00610C10">
      <w:pPr>
        <w:pStyle w:val="paragraph"/>
      </w:pPr>
      <w:r w:rsidRPr="0081146C">
        <w:tab/>
        <w:t>(b)</w:t>
      </w:r>
      <w:r w:rsidRPr="0081146C">
        <w:tab/>
        <w:t>does not include a service of a kind prescribed by the AML/CTF Rules.</w:t>
      </w:r>
    </w:p>
    <w:p w14:paraId="73F60FE9" w14:textId="77777777" w:rsidR="00610C10" w:rsidRPr="0081146C" w:rsidRDefault="00610C10" w:rsidP="00610C10">
      <w:pPr>
        <w:pStyle w:val="Definition"/>
      </w:pPr>
      <w:r w:rsidRPr="0081146C">
        <w:rPr>
          <w:b/>
          <w:i/>
        </w:rPr>
        <w:t>Virtual Asset Service Provider Register</w:t>
      </w:r>
      <w:r w:rsidRPr="0081146C">
        <w:t xml:space="preserve"> has the meaning given by section 76B.</w:t>
      </w:r>
    </w:p>
    <w:p w14:paraId="0DD8FB1D" w14:textId="77777777" w:rsidR="00035544" w:rsidRPr="0081146C" w:rsidRDefault="00035544" w:rsidP="00035544">
      <w:pPr>
        <w:pStyle w:val="Definition"/>
      </w:pPr>
      <w:r w:rsidRPr="0081146C">
        <w:rPr>
          <w:b/>
          <w:i/>
        </w:rPr>
        <w:t>warrant premises</w:t>
      </w:r>
      <w:r w:rsidRPr="0081146C">
        <w:t>, in relation to a monitoring warrant, means the premises to which the warrant relates.</w:t>
      </w:r>
    </w:p>
    <w:p w14:paraId="6A0721AF" w14:textId="77777777" w:rsidR="008F343A" w:rsidRPr="0081146C" w:rsidRDefault="008F343A" w:rsidP="008F343A">
      <w:pPr>
        <w:pStyle w:val="Definition"/>
      </w:pPr>
      <w:bookmarkStart w:id="19" w:name="_Toc176444406"/>
      <w:bookmarkStart w:id="20" w:name="_Toc184034027"/>
      <w:r w:rsidRPr="0081146C">
        <w:rPr>
          <w:b/>
          <w:i/>
        </w:rPr>
        <w:t>written record</w:t>
      </w:r>
      <w:r w:rsidRPr="0081146C">
        <w:t>, in relation to an examination under Division 3 of Part 14, means:</w:t>
      </w:r>
    </w:p>
    <w:p w14:paraId="2EA42ADD" w14:textId="77777777" w:rsidR="008F343A" w:rsidRPr="0081146C" w:rsidRDefault="008F343A" w:rsidP="008F343A">
      <w:pPr>
        <w:pStyle w:val="paragraph"/>
      </w:pPr>
      <w:r w:rsidRPr="0081146C">
        <w:tab/>
        <w:t>(a)</w:t>
      </w:r>
      <w:r w:rsidRPr="0081146C">
        <w:tab/>
        <w:t>a record of the examination:</w:t>
      </w:r>
    </w:p>
    <w:p w14:paraId="6B0D3686" w14:textId="77777777" w:rsidR="008F343A" w:rsidRPr="0081146C" w:rsidRDefault="008F343A" w:rsidP="008F343A">
      <w:pPr>
        <w:pStyle w:val="paragraphsub"/>
      </w:pPr>
      <w:r w:rsidRPr="0081146C">
        <w:tab/>
        <w:t>(i)</w:t>
      </w:r>
      <w:r w:rsidRPr="0081146C">
        <w:tab/>
        <w:t>that is made in writing; or</w:t>
      </w:r>
    </w:p>
    <w:p w14:paraId="74F1B580" w14:textId="77777777" w:rsidR="008F343A" w:rsidRPr="0081146C" w:rsidRDefault="008F343A" w:rsidP="008F343A">
      <w:pPr>
        <w:pStyle w:val="paragraphsub"/>
      </w:pPr>
      <w:r w:rsidRPr="0081146C">
        <w:rPr>
          <w:color w:val="000000"/>
        </w:rPr>
        <w:tab/>
        <w:t>(ii)</w:t>
      </w:r>
      <w:r w:rsidRPr="0081146C">
        <w:rPr>
          <w:color w:val="000000"/>
        </w:rPr>
        <w:tab/>
        <w:t>as reduced to writing; or</w:t>
      </w:r>
    </w:p>
    <w:p w14:paraId="77CCF565" w14:textId="77777777" w:rsidR="008F343A" w:rsidRPr="0081146C" w:rsidRDefault="008F343A" w:rsidP="008F343A">
      <w:pPr>
        <w:pStyle w:val="paragraph"/>
      </w:pPr>
      <w:r w:rsidRPr="0081146C">
        <w:tab/>
        <w:t>(b)</w:t>
      </w:r>
      <w:r w:rsidRPr="0081146C">
        <w:tab/>
        <w:t>a part of such a record.</w:t>
      </w:r>
    </w:p>
    <w:p w14:paraId="75C92B8E" w14:textId="77777777" w:rsidR="00393E03" w:rsidRPr="0081146C" w:rsidRDefault="00393E03" w:rsidP="00393E03">
      <w:pPr>
        <w:pStyle w:val="ActHead5"/>
      </w:pPr>
      <w:bookmarkStart w:id="21" w:name="_Toc185415705"/>
      <w:r w:rsidRPr="0081146C">
        <w:rPr>
          <w:rStyle w:val="CharSectno"/>
        </w:rPr>
        <w:t>5A</w:t>
      </w:r>
      <w:r w:rsidRPr="0081146C">
        <w:t xml:space="preserve">  Precious metal, precious stones and precious products</w:t>
      </w:r>
      <w:bookmarkEnd w:id="19"/>
      <w:bookmarkEnd w:id="20"/>
      <w:bookmarkEnd w:id="21"/>
    </w:p>
    <w:p w14:paraId="4198DB66" w14:textId="77777777" w:rsidR="00393E03" w:rsidRPr="0081146C" w:rsidRDefault="00393E03" w:rsidP="00393E03">
      <w:pPr>
        <w:pStyle w:val="SubsectionHead"/>
      </w:pPr>
      <w:r w:rsidRPr="0081146C">
        <w:t>Precious metal</w:t>
      </w:r>
    </w:p>
    <w:p w14:paraId="2025B8CA" w14:textId="77777777" w:rsidR="00393E03" w:rsidRPr="0081146C" w:rsidRDefault="00393E03" w:rsidP="00393E03">
      <w:pPr>
        <w:pStyle w:val="subsection"/>
      </w:pPr>
      <w:r w:rsidRPr="0081146C">
        <w:tab/>
        <w:t>(1)</w:t>
      </w:r>
      <w:r w:rsidRPr="0081146C">
        <w:tab/>
        <w:t xml:space="preserve">Each of the following substances is a </w:t>
      </w:r>
      <w:r w:rsidRPr="0081146C">
        <w:rPr>
          <w:b/>
          <w:i/>
        </w:rPr>
        <w:t>precious metal</w:t>
      </w:r>
      <w:r w:rsidRPr="0081146C">
        <w:t>:</w:t>
      </w:r>
    </w:p>
    <w:p w14:paraId="622EE3F7" w14:textId="77777777" w:rsidR="00393E03" w:rsidRPr="0081146C" w:rsidRDefault="00393E03" w:rsidP="00393E03">
      <w:pPr>
        <w:pStyle w:val="paragraph"/>
      </w:pPr>
      <w:r w:rsidRPr="0081146C">
        <w:tab/>
        <w:t>(a)</w:t>
      </w:r>
      <w:r w:rsidRPr="0081146C">
        <w:tab/>
        <w:t>gold;</w:t>
      </w:r>
    </w:p>
    <w:p w14:paraId="3BEC589E" w14:textId="77777777" w:rsidR="00393E03" w:rsidRPr="0081146C" w:rsidRDefault="00393E03" w:rsidP="00393E03">
      <w:pPr>
        <w:pStyle w:val="paragraph"/>
      </w:pPr>
      <w:r w:rsidRPr="0081146C">
        <w:tab/>
        <w:t>(b)</w:t>
      </w:r>
      <w:r w:rsidRPr="0081146C">
        <w:tab/>
        <w:t>silver;</w:t>
      </w:r>
    </w:p>
    <w:p w14:paraId="75106FB9" w14:textId="77777777" w:rsidR="00393E03" w:rsidRPr="0081146C" w:rsidRDefault="00393E03" w:rsidP="00393E03">
      <w:pPr>
        <w:pStyle w:val="paragraph"/>
      </w:pPr>
      <w:r w:rsidRPr="0081146C">
        <w:tab/>
        <w:t>(c)</w:t>
      </w:r>
      <w:r w:rsidRPr="0081146C">
        <w:tab/>
        <w:t>platinum;</w:t>
      </w:r>
    </w:p>
    <w:p w14:paraId="129B139B" w14:textId="77777777" w:rsidR="00393E03" w:rsidRPr="0081146C" w:rsidRDefault="00393E03" w:rsidP="00393E03">
      <w:pPr>
        <w:pStyle w:val="paragraph"/>
      </w:pPr>
      <w:r w:rsidRPr="0081146C">
        <w:tab/>
        <w:t>(d)</w:t>
      </w:r>
      <w:r w:rsidRPr="0081146C">
        <w:tab/>
        <w:t>iridium;</w:t>
      </w:r>
    </w:p>
    <w:p w14:paraId="624BDD79" w14:textId="77777777" w:rsidR="00393E03" w:rsidRPr="0081146C" w:rsidRDefault="00393E03" w:rsidP="00393E03">
      <w:pPr>
        <w:pStyle w:val="paragraph"/>
      </w:pPr>
      <w:r w:rsidRPr="0081146C">
        <w:tab/>
        <w:t>(e)</w:t>
      </w:r>
      <w:r w:rsidRPr="0081146C">
        <w:tab/>
        <w:t>osmium;</w:t>
      </w:r>
    </w:p>
    <w:p w14:paraId="137C65B1" w14:textId="77777777" w:rsidR="00393E03" w:rsidRPr="0081146C" w:rsidRDefault="00393E03" w:rsidP="00393E03">
      <w:pPr>
        <w:pStyle w:val="paragraph"/>
      </w:pPr>
      <w:r w:rsidRPr="0081146C">
        <w:tab/>
        <w:t>(f)</w:t>
      </w:r>
      <w:r w:rsidRPr="0081146C">
        <w:tab/>
        <w:t>palladium;</w:t>
      </w:r>
    </w:p>
    <w:p w14:paraId="2655FF02" w14:textId="77777777" w:rsidR="00393E03" w:rsidRPr="0081146C" w:rsidRDefault="00393E03" w:rsidP="00393E03">
      <w:pPr>
        <w:pStyle w:val="paragraph"/>
      </w:pPr>
      <w:r w:rsidRPr="0081146C">
        <w:tab/>
        <w:t>(g)</w:t>
      </w:r>
      <w:r w:rsidRPr="0081146C">
        <w:tab/>
        <w:t>rhodium;</w:t>
      </w:r>
    </w:p>
    <w:p w14:paraId="4C24C30C" w14:textId="77777777" w:rsidR="00393E03" w:rsidRPr="0081146C" w:rsidRDefault="00393E03" w:rsidP="00393E03">
      <w:pPr>
        <w:pStyle w:val="paragraph"/>
      </w:pPr>
      <w:r w:rsidRPr="0081146C">
        <w:tab/>
        <w:t>(h)</w:t>
      </w:r>
      <w:r w:rsidRPr="0081146C">
        <w:tab/>
        <w:t>ruthenium;</w:t>
      </w:r>
    </w:p>
    <w:p w14:paraId="395B7C9A" w14:textId="77777777" w:rsidR="00393E03" w:rsidRPr="0081146C" w:rsidRDefault="00393E03" w:rsidP="00393E03">
      <w:pPr>
        <w:pStyle w:val="paragraph"/>
      </w:pPr>
      <w:r w:rsidRPr="0081146C">
        <w:tab/>
        <w:t>(i)</w:t>
      </w:r>
      <w:r w:rsidRPr="0081146C">
        <w:tab/>
        <w:t>a substance prescribed by the AML/CTF Rules;</w:t>
      </w:r>
    </w:p>
    <w:p w14:paraId="05C7E03D" w14:textId="77777777" w:rsidR="00393E03" w:rsidRPr="0081146C" w:rsidRDefault="00393E03" w:rsidP="00393E03">
      <w:pPr>
        <w:pStyle w:val="paragraph"/>
      </w:pPr>
      <w:r w:rsidRPr="0081146C">
        <w:tab/>
        <w:t>(j)</w:t>
      </w:r>
      <w:r w:rsidRPr="0081146C">
        <w:tab/>
        <w:t>an alloy substance with at least 2% in weight of any of the substances mentioned in paragraphs (a) to (i).</w:t>
      </w:r>
    </w:p>
    <w:p w14:paraId="5FF231CA" w14:textId="77777777" w:rsidR="00393E03" w:rsidRPr="0081146C" w:rsidRDefault="00393E03" w:rsidP="00393E03">
      <w:pPr>
        <w:pStyle w:val="subsection"/>
      </w:pPr>
      <w:r w:rsidRPr="0081146C">
        <w:tab/>
        <w:t>(2)</w:t>
      </w:r>
      <w:r w:rsidRPr="0081146C">
        <w:tab/>
        <w:t>For the purposes of subsection (1), it is immaterial whether the substance is in a manufactured or unmanufactured state.</w:t>
      </w:r>
    </w:p>
    <w:p w14:paraId="696D03F9" w14:textId="77777777" w:rsidR="00393E03" w:rsidRPr="0081146C" w:rsidRDefault="00393E03" w:rsidP="00393E03">
      <w:pPr>
        <w:pStyle w:val="SubsectionHead"/>
      </w:pPr>
      <w:r w:rsidRPr="0081146C">
        <w:t>Precious stones</w:t>
      </w:r>
    </w:p>
    <w:p w14:paraId="163E4F63" w14:textId="77777777" w:rsidR="00393E03" w:rsidRPr="0081146C" w:rsidRDefault="00393E03" w:rsidP="00393E03">
      <w:pPr>
        <w:pStyle w:val="subsection"/>
      </w:pPr>
      <w:r w:rsidRPr="0081146C">
        <w:tab/>
        <w:t>(3)</w:t>
      </w:r>
      <w:r w:rsidRPr="0081146C">
        <w:tab/>
        <w:t xml:space="preserve">A </w:t>
      </w:r>
      <w:r w:rsidRPr="0081146C">
        <w:rPr>
          <w:b/>
          <w:i/>
        </w:rPr>
        <w:t>precious stone</w:t>
      </w:r>
      <w:r w:rsidRPr="0081146C">
        <w:t xml:space="preserve"> is a substance that:</w:t>
      </w:r>
    </w:p>
    <w:p w14:paraId="6F7839F7" w14:textId="77777777" w:rsidR="00393E03" w:rsidRPr="0081146C" w:rsidRDefault="00393E03" w:rsidP="00393E03">
      <w:pPr>
        <w:pStyle w:val="paragraph"/>
      </w:pPr>
      <w:r w:rsidRPr="0081146C">
        <w:tab/>
        <w:t>(a)</w:t>
      </w:r>
      <w:r w:rsidRPr="0081146C">
        <w:tab/>
        <w:t>has gem quality; and</w:t>
      </w:r>
    </w:p>
    <w:p w14:paraId="7254B0FD" w14:textId="77777777" w:rsidR="00393E03" w:rsidRPr="0081146C" w:rsidRDefault="00393E03" w:rsidP="00393E03">
      <w:pPr>
        <w:pStyle w:val="paragraph"/>
      </w:pPr>
      <w:r w:rsidRPr="0081146C">
        <w:tab/>
        <w:t>(b)</w:t>
      </w:r>
      <w:r w:rsidRPr="0081146C">
        <w:tab/>
        <w:t>has market</w:t>
      </w:r>
      <w:r w:rsidRPr="0081146C">
        <w:noBreakHyphen/>
        <w:t>recognised beauty, rarity and value.</w:t>
      </w:r>
    </w:p>
    <w:p w14:paraId="3616C848" w14:textId="77777777" w:rsidR="00393E03" w:rsidRPr="0081146C" w:rsidRDefault="00393E03" w:rsidP="00393E03">
      <w:pPr>
        <w:pStyle w:val="subsection"/>
      </w:pPr>
      <w:r w:rsidRPr="0081146C">
        <w:tab/>
        <w:t>(4)</w:t>
      </w:r>
      <w:r w:rsidRPr="0081146C">
        <w:tab/>
        <w:t>For the purposes of subsection (3), it is immaterial whether the substance is natural, synthetic or reconstructed.</w:t>
      </w:r>
    </w:p>
    <w:p w14:paraId="230E3B10" w14:textId="77777777" w:rsidR="00393E03" w:rsidRPr="0081146C" w:rsidRDefault="00393E03" w:rsidP="00393E03">
      <w:pPr>
        <w:pStyle w:val="subsection"/>
      </w:pPr>
      <w:r w:rsidRPr="0081146C">
        <w:tab/>
        <w:t>(5)</w:t>
      </w:r>
      <w:r w:rsidRPr="0081146C">
        <w:tab/>
        <w:t xml:space="preserve">Without limiting subsection (3), each of the following substances is a kind of </w:t>
      </w:r>
      <w:r w:rsidRPr="0081146C">
        <w:rPr>
          <w:b/>
          <w:i/>
        </w:rPr>
        <w:t>precious stone</w:t>
      </w:r>
      <w:r w:rsidRPr="0081146C">
        <w:t>:</w:t>
      </w:r>
    </w:p>
    <w:p w14:paraId="73FCA489" w14:textId="77777777" w:rsidR="00393E03" w:rsidRPr="0081146C" w:rsidRDefault="00393E03" w:rsidP="00393E03">
      <w:pPr>
        <w:pStyle w:val="paragraph"/>
      </w:pPr>
      <w:r w:rsidRPr="0081146C">
        <w:tab/>
        <w:t>(a)</w:t>
      </w:r>
      <w:r w:rsidRPr="0081146C">
        <w:tab/>
        <w:t>beryl;</w:t>
      </w:r>
    </w:p>
    <w:p w14:paraId="3E40FFCD" w14:textId="77777777" w:rsidR="00393E03" w:rsidRPr="0081146C" w:rsidRDefault="00393E03" w:rsidP="00393E03">
      <w:pPr>
        <w:pStyle w:val="paragraph"/>
      </w:pPr>
      <w:r w:rsidRPr="0081146C">
        <w:tab/>
        <w:t>(b)</w:t>
      </w:r>
      <w:r w:rsidRPr="0081146C">
        <w:tab/>
        <w:t>corundum;</w:t>
      </w:r>
    </w:p>
    <w:p w14:paraId="5EA221D4" w14:textId="77777777" w:rsidR="00393E03" w:rsidRPr="0081146C" w:rsidRDefault="00393E03" w:rsidP="00393E03">
      <w:pPr>
        <w:pStyle w:val="paragraph"/>
      </w:pPr>
      <w:r w:rsidRPr="0081146C">
        <w:tab/>
        <w:t>(c)</w:t>
      </w:r>
      <w:r w:rsidRPr="0081146C">
        <w:tab/>
        <w:t>diamond;</w:t>
      </w:r>
    </w:p>
    <w:p w14:paraId="0CF8B15D" w14:textId="77777777" w:rsidR="00393E03" w:rsidRPr="0081146C" w:rsidRDefault="00393E03" w:rsidP="00393E03">
      <w:pPr>
        <w:pStyle w:val="paragraph"/>
      </w:pPr>
      <w:r w:rsidRPr="0081146C">
        <w:tab/>
        <w:t>(d)</w:t>
      </w:r>
      <w:r w:rsidRPr="0081146C">
        <w:tab/>
        <w:t>garnet;</w:t>
      </w:r>
    </w:p>
    <w:p w14:paraId="3BB8ED1D" w14:textId="77777777" w:rsidR="00393E03" w:rsidRPr="0081146C" w:rsidRDefault="00393E03" w:rsidP="00393E03">
      <w:pPr>
        <w:pStyle w:val="paragraph"/>
      </w:pPr>
      <w:r w:rsidRPr="0081146C">
        <w:tab/>
        <w:t>(e)</w:t>
      </w:r>
      <w:r w:rsidRPr="0081146C">
        <w:tab/>
        <w:t>jadeite jade;</w:t>
      </w:r>
    </w:p>
    <w:p w14:paraId="406D5172" w14:textId="77777777" w:rsidR="00393E03" w:rsidRPr="0081146C" w:rsidRDefault="00393E03" w:rsidP="00393E03">
      <w:pPr>
        <w:pStyle w:val="paragraph"/>
      </w:pPr>
      <w:r w:rsidRPr="0081146C">
        <w:tab/>
        <w:t>(f)</w:t>
      </w:r>
      <w:r w:rsidRPr="0081146C">
        <w:tab/>
        <w:t>opal;</w:t>
      </w:r>
    </w:p>
    <w:p w14:paraId="3CDA4912" w14:textId="77777777" w:rsidR="00393E03" w:rsidRPr="0081146C" w:rsidRDefault="00393E03" w:rsidP="00393E03">
      <w:pPr>
        <w:pStyle w:val="paragraph"/>
      </w:pPr>
      <w:r w:rsidRPr="0081146C">
        <w:tab/>
        <w:t>(g)</w:t>
      </w:r>
      <w:r w:rsidRPr="0081146C">
        <w:tab/>
        <w:t>pearl;</w:t>
      </w:r>
    </w:p>
    <w:p w14:paraId="1D321C65" w14:textId="77777777" w:rsidR="00393E03" w:rsidRPr="0081146C" w:rsidRDefault="00393E03" w:rsidP="00393E03">
      <w:pPr>
        <w:pStyle w:val="paragraph"/>
      </w:pPr>
      <w:r w:rsidRPr="0081146C">
        <w:tab/>
        <w:t>(h)</w:t>
      </w:r>
      <w:r w:rsidRPr="0081146C">
        <w:tab/>
        <w:t>topaz;</w:t>
      </w:r>
    </w:p>
    <w:p w14:paraId="267814E7" w14:textId="77777777" w:rsidR="00393E03" w:rsidRPr="0081146C" w:rsidRDefault="00393E03" w:rsidP="00393E03">
      <w:pPr>
        <w:pStyle w:val="paragraph"/>
      </w:pPr>
      <w:r w:rsidRPr="0081146C">
        <w:tab/>
        <w:t>(i)</w:t>
      </w:r>
      <w:r w:rsidRPr="0081146C">
        <w:tab/>
        <w:t>a substance prescribed by the AML/CTF Rules.</w:t>
      </w:r>
    </w:p>
    <w:p w14:paraId="67C69CF6" w14:textId="77777777" w:rsidR="00393E03" w:rsidRPr="0081146C" w:rsidRDefault="00393E03" w:rsidP="00393E03">
      <w:pPr>
        <w:pStyle w:val="SubsectionHead"/>
      </w:pPr>
      <w:r w:rsidRPr="0081146C">
        <w:t>Precious products</w:t>
      </w:r>
    </w:p>
    <w:p w14:paraId="4980684D" w14:textId="77777777" w:rsidR="00393E03" w:rsidRPr="0081146C" w:rsidRDefault="00393E03" w:rsidP="00393E03">
      <w:pPr>
        <w:pStyle w:val="subsection"/>
      </w:pPr>
      <w:r w:rsidRPr="0081146C">
        <w:tab/>
        <w:t>(6)</w:t>
      </w:r>
      <w:r w:rsidRPr="0081146C">
        <w:tab/>
        <w:t xml:space="preserve">A </w:t>
      </w:r>
      <w:r w:rsidRPr="0081146C">
        <w:rPr>
          <w:b/>
          <w:i/>
        </w:rPr>
        <w:t>precious product</w:t>
      </w:r>
      <w:r w:rsidRPr="0081146C">
        <w:t xml:space="preserve"> is any of the following that is made up of, containing or having attached to it, any precious metal or precious stone, or both:</w:t>
      </w:r>
    </w:p>
    <w:p w14:paraId="5E2E3121" w14:textId="77777777" w:rsidR="00393E03" w:rsidRPr="0081146C" w:rsidRDefault="00393E03" w:rsidP="00393E03">
      <w:pPr>
        <w:pStyle w:val="paragraph"/>
      </w:pPr>
      <w:r w:rsidRPr="0081146C">
        <w:tab/>
        <w:t>(a)</w:t>
      </w:r>
      <w:r w:rsidRPr="0081146C">
        <w:tab/>
        <w:t>jewellery;</w:t>
      </w:r>
    </w:p>
    <w:p w14:paraId="2D1FB30E" w14:textId="77777777" w:rsidR="00393E03" w:rsidRPr="0081146C" w:rsidRDefault="00393E03" w:rsidP="00393E03">
      <w:pPr>
        <w:pStyle w:val="paragraph"/>
      </w:pPr>
      <w:r w:rsidRPr="0081146C">
        <w:tab/>
        <w:t>(b)</w:t>
      </w:r>
      <w:r w:rsidRPr="0081146C">
        <w:tab/>
        <w:t>a watch;</w:t>
      </w:r>
    </w:p>
    <w:p w14:paraId="3424E16D" w14:textId="77777777" w:rsidR="00393E03" w:rsidRPr="0081146C" w:rsidRDefault="00393E03" w:rsidP="00393E03">
      <w:pPr>
        <w:pStyle w:val="paragraph"/>
      </w:pPr>
      <w:r w:rsidRPr="0081146C">
        <w:tab/>
        <w:t>(c)</w:t>
      </w:r>
      <w:r w:rsidRPr="0081146C">
        <w:tab/>
        <w:t>an object of personal adornment not otherwise covered by paragraph (a) or (b);</w:t>
      </w:r>
    </w:p>
    <w:p w14:paraId="05E8D510" w14:textId="77777777" w:rsidR="00393E03" w:rsidRPr="0081146C" w:rsidRDefault="00393E03" w:rsidP="00393E03">
      <w:pPr>
        <w:pStyle w:val="paragraph"/>
      </w:pPr>
      <w:r w:rsidRPr="0081146C">
        <w:tab/>
        <w:t>(d)</w:t>
      </w:r>
      <w:r w:rsidRPr="0081146C">
        <w:tab/>
        <w:t>an article of goldsmiths’ or silversmiths’ wares.</w:t>
      </w:r>
    </w:p>
    <w:p w14:paraId="50427EB5" w14:textId="77777777" w:rsidR="00393E03" w:rsidRPr="0081146C" w:rsidRDefault="00393E03" w:rsidP="00393E03">
      <w:pPr>
        <w:pStyle w:val="notetext"/>
      </w:pPr>
      <w:r w:rsidRPr="0081146C">
        <w:t>Examples:</w:t>
      </w:r>
      <w:r w:rsidRPr="0081146C">
        <w:tab/>
        <w:t>A stainless steel watch with rubies set on the watch face, a platinum tie bar or a gold and pearl necklace.</w:t>
      </w:r>
    </w:p>
    <w:p w14:paraId="2203D2ED" w14:textId="77777777" w:rsidR="00393E03" w:rsidRPr="0081146C" w:rsidRDefault="00393E03" w:rsidP="00393E03">
      <w:pPr>
        <w:pStyle w:val="subsection"/>
      </w:pPr>
      <w:r w:rsidRPr="0081146C">
        <w:tab/>
        <w:t>(7)</w:t>
      </w:r>
      <w:r w:rsidRPr="0081146C">
        <w:tab/>
        <w:t>In subsection (6):</w:t>
      </w:r>
    </w:p>
    <w:p w14:paraId="07BF9A87" w14:textId="77777777" w:rsidR="00393E03" w:rsidRPr="0081146C" w:rsidRDefault="00393E03" w:rsidP="00393E03">
      <w:pPr>
        <w:pStyle w:val="Definition"/>
      </w:pPr>
      <w:r w:rsidRPr="0081146C">
        <w:rPr>
          <w:b/>
          <w:i/>
        </w:rPr>
        <w:t>goldsmiths’ or silversmiths’ wares</w:t>
      </w:r>
      <w:r w:rsidRPr="0081146C">
        <w:t xml:space="preserve"> include such articles as ornaments, tableware, smokers’ requisites and other articles of personal, household, office or religious use.</w:t>
      </w:r>
    </w:p>
    <w:p w14:paraId="778DB1CA" w14:textId="77777777" w:rsidR="00610C10" w:rsidRPr="0081146C" w:rsidRDefault="00610C10" w:rsidP="00610C10">
      <w:pPr>
        <w:pStyle w:val="ActHead5"/>
      </w:pPr>
      <w:bookmarkStart w:id="22" w:name="_Toc176444426"/>
      <w:bookmarkStart w:id="23" w:name="_Toc184034047"/>
      <w:bookmarkStart w:id="24" w:name="_Toc185415706"/>
      <w:bookmarkStart w:id="25" w:name="_Hlk172194336"/>
      <w:r w:rsidRPr="0081146C">
        <w:rPr>
          <w:rStyle w:val="CharSectno"/>
        </w:rPr>
        <w:t>5B</w:t>
      </w:r>
      <w:r w:rsidRPr="0081146C">
        <w:t xml:space="preserve">  Meaning of </w:t>
      </w:r>
      <w:r w:rsidRPr="0081146C">
        <w:rPr>
          <w:i/>
        </w:rPr>
        <w:t>virtual asset</w:t>
      </w:r>
      <w:bookmarkEnd w:id="22"/>
      <w:bookmarkEnd w:id="23"/>
      <w:bookmarkEnd w:id="24"/>
    </w:p>
    <w:p w14:paraId="11EA97AF" w14:textId="77777777" w:rsidR="00610C10" w:rsidRPr="0081146C" w:rsidRDefault="00610C10" w:rsidP="00610C10">
      <w:pPr>
        <w:pStyle w:val="subsection"/>
      </w:pPr>
      <w:r w:rsidRPr="0081146C">
        <w:tab/>
        <w:t>(1)</w:t>
      </w:r>
      <w:r w:rsidRPr="0081146C">
        <w:tab/>
        <w:t xml:space="preserve">A </w:t>
      </w:r>
      <w:r w:rsidRPr="0081146C">
        <w:rPr>
          <w:b/>
          <w:i/>
        </w:rPr>
        <w:t>virtual asset</w:t>
      </w:r>
      <w:r w:rsidRPr="0081146C">
        <w:t xml:space="preserve"> is a digital representation of value that:</w:t>
      </w:r>
    </w:p>
    <w:p w14:paraId="6FC9CD71" w14:textId="77777777" w:rsidR="00610C10" w:rsidRPr="0081146C" w:rsidRDefault="00610C10" w:rsidP="00610C10">
      <w:pPr>
        <w:pStyle w:val="paragraph"/>
      </w:pPr>
      <w:r w:rsidRPr="0081146C">
        <w:tab/>
        <w:t>(a)</w:t>
      </w:r>
      <w:r w:rsidRPr="0081146C">
        <w:tab/>
        <w:t>functions as any of the following:</w:t>
      </w:r>
    </w:p>
    <w:p w14:paraId="2BDB6316" w14:textId="77777777" w:rsidR="00610C10" w:rsidRPr="0081146C" w:rsidRDefault="00610C10" w:rsidP="00610C10">
      <w:pPr>
        <w:pStyle w:val="paragraphsub"/>
      </w:pPr>
      <w:r w:rsidRPr="0081146C">
        <w:tab/>
        <w:t>(i)</w:t>
      </w:r>
      <w:r w:rsidRPr="0081146C">
        <w:tab/>
        <w:t>a medium of exchange;</w:t>
      </w:r>
    </w:p>
    <w:p w14:paraId="1A75005C" w14:textId="77777777" w:rsidR="00610C10" w:rsidRPr="0081146C" w:rsidRDefault="00610C10" w:rsidP="00610C10">
      <w:pPr>
        <w:pStyle w:val="paragraphsub"/>
      </w:pPr>
      <w:r w:rsidRPr="0081146C">
        <w:tab/>
        <w:t>(ii)</w:t>
      </w:r>
      <w:r w:rsidRPr="0081146C">
        <w:tab/>
        <w:t>a store of economic value;</w:t>
      </w:r>
    </w:p>
    <w:p w14:paraId="159B9A33" w14:textId="77777777" w:rsidR="00610C10" w:rsidRPr="0081146C" w:rsidRDefault="00610C10" w:rsidP="00610C10">
      <w:pPr>
        <w:pStyle w:val="paragraphsub"/>
      </w:pPr>
      <w:r w:rsidRPr="0081146C">
        <w:tab/>
        <w:t>(iii)</w:t>
      </w:r>
      <w:r w:rsidRPr="0081146C">
        <w:tab/>
        <w:t>a unit of account;</w:t>
      </w:r>
    </w:p>
    <w:p w14:paraId="0D7742AA" w14:textId="77777777" w:rsidR="00610C10" w:rsidRPr="0081146C" w:rsidRDefault="00610C10" w:rsidP="00610C10">
      <w:pPr>
        <w:pStyle w:val="paragraphsub"/>
      </w:pPr>
      <w:r w:rsidRPr="0081146C">
        <w:tab/>
        <w:t>(iv)</w:t>
      </w:r>
      <w:r w:rsidRPr="0081146C">
        <w:tab/>
        <w:t>an investment; and</w:t>
      </w:r>
    </w:p>
    <w:p w14:paraId="334526B6" w14:textId="77777777" w:rsidR="00610C10" w:rsidRPr="0081146C" w:rsidRDefault="00610C10" w:rsidP="00610C10">
      <w:pPr>
        <w:pStyle w:val="paragraph"/>
      </w:pPr>
      <w:r w:rsidRPr="0081146C">
        <w:tab/>
        <w:t>(b)</w:t>
      </w:r>
      <w:r w:rsidRPr="0081146C">
        <w:tab/>
        <w:t>is not issued by or under the authority of a government body; and</w:t>
      </w:r>
    </w:p>
    <w:p w14:paraId="7EEADB5F" w14:textId="77777777" w:rsidR="00610C10" w:rsidRPr="0081146C" w:rsidRDefault="00610C10" w:rsidP="00610C10">
      <w:pPr>
        <w:pStyle w:val="paragraph"/>
      </w:pPr>
      <w:r w:rsidRPr="0081146C">
        <w:tab/>
        <w:t>(c)</w:t>
      </w:r>
      <w:r w:rsidRPr="0081146C">
        <w:tab/>
        <w:t>may be transferred, stored or traded electronically.</w:t>
      </w:r>
    </w:p>
    <w:p w14:paraId="12EEC1C0" w14:textId="77777777" w:rsidR="00610C10" w:rsidRPr="0081146C" w:rsidRDefault="00610C10" w:rsidP="00610C10">
      <w:pPr>
        <w:pStyle w:val="subsection"/>
      </w:pPr>
      <w:r w:rsidRPr="0081146C">
        <w:tab/>
        <w:t>(2)</w:t>
      </w:r>
      <w:r w:rsidRPr="0081146C">
        <w:tab/>
        <w:t xml:space="preserve">A </w:t>
      </w:r>
      <w:r w:rsidRPr="0081146C">
        <w:rPr>
          <w:b/>
          <w:i/>
        </w:rPr>
        <w:t>virtual asset</w:t>
      </w:r>
      <w:r w:rsidRPr="0081146C">
        <w:t xml:space="preserve"> is a digital representation of value that:</w:t>
      </w:r>
    </w:p>
    <w:p w14:paraId="6C8BAE80" w14:textId="77777777" w:rsidR="00610C10" w:rsidRPr="0081146C" w:rsidRDefault="00610C10" w:rsidP="00610C10">
      <w:pPr>
        <w:pStyle w:val="paragraph"/>
      </w:pPr>
      <w:r w:rsidRPr="0081146C">
        <w:tab/>
        <w:t>(a)</w:t>
      </w:r>
      <w:r w:rsidRPr="0081146C">
        <w:tab/>
        <w:t>enables a person to vote on the management, administration or governance of arrangements connected with a digital representation of value; and</w:t>
      </w:r>
    </w:p>
    <w:p w14:paraId="45B256D7" w14:textId="77777777" w:rsidR="00610C10" w:rsidRPr="0081146C" w:rsidRDefault="00610C10" w:rsidP="00610C10">
      <w:pPr>
        <w:pStyle w:val="paragraph"/>
      </w:pPr>
      <w:r w:rsidRPr="0081146C">
        <w:tab/>
        <w:t>(b)</w:t>
      </w:r>
      <w:r w:rsidRPr="0081146C">
        <w:tab/>
        <w:t>is not issued by or under the authority of a government body; and</w:t>
      </w:r>
    </w:p>
    <w:p w14:paraId="65BA5723" w14:textId="77777777" w:rsidR="00610C10" w:rsidRPr="0081146C" w:rsidRDefault="00610C10" w:rsidP="00610C10">
      <w:pPr>
        <w:pStyle w:val="paragraph"/>
      </w:pPr>
      <w:r w:rsidRPr="0081146C">
        <w:tab/>
        <w:t>(c)</w:t>
      </w:r>
      <w:r w:rsidRPr="0081146C">
        <w:tab/>
        <w:t>may be transferred, stored or traded electronically.</w:t>
      </w:r>
    </w:p>
    <w:p w14:paraId="38ADBC2C" w14:textId="77777777" w:rsidR="00610C10" w:rsidRPr="0081146C" w:rsidRDefault="00610C10" w:rsidP="00610C10">
      <w:pPr>
        <w:pStyle w:val="subsection"/>
      </w:pPr>
      <w:r w:rsidRPr="0081146C">
        <w:tab/>
        <w:t>(3)</w:t>
      </w:r>
      <w:r w:rsidRPr="0081146C">
        <w:tab/>
        <w:t xml:space="preserve">A </w:t>
      </w:r>
      <w:r w:rsidRPr="0081146C">
        <w:rPr>
          <w:b/>
          <w:i/>
        </w:rPr>
        <w:t>virtual asset</w:t>
      </w:r>
      <w:r w:rsidRPr="0081146C">
        <w:t xml:space="preserve"> is a digital representation of value of a kind prescribed by the AML/CTF Rules.</w:t>
      </w:r>
    </w:p>
    <w:p w14:paraId="7C18B162" w14:textId="77777777" w:rsidR="00610C10" w:rsidRPr="0081146C" w:rsidRDefault="00610C10" w:rsidP="00610C10">
      <w:pPr>
        <w:pStyle w:val="subsection"/>
      </w:pPr>
      <w:r w:rsidRPr="0081146C">
        <w:tab/>
        <w:t>(4)</w:t>
      </w:r>
      <w:r w:rsidRPr="0081146C">
        <w:tab/>
        <w:t xml:space="preserve">However, the following are not </w:t>
      </w:r>
      <w:r w:rsidRPr="0081146C">
        <w:rPr>
          <w:b/>
          <w:i/>
        </w:rPr>
        <w:t>virtual assets</w:t>
      </w:r>
      <w:r w:rsidRPr="0081146C">
        <w:t>:</w:t>
      </w:r>
    </w:p>
    <w:p w14:paraId="5A59EECA" w14:textId="77777777" w:rsidR="00610C10" w:rsidRPr="0081146C" w:rsidRDefault="00610C10" w:rsidP="00610C10">
      <w:pPr>
        <w:pStyle w:val="paragraph"/>
        <w:rPr>
          <w:i/>
        </w:rPr>
      </w:pPr>
      <w:r w:rsidRPr="0081146C">
        <w:tab/>
        <w:t>(a)</w:t>
      </w:r>
      <w:r w:rsidRPr="0081146C">
        <w:tab/>
        <w:t>money;</w:t>
      </w:r>
    </w:p>
    <w:p w14:paraId="472AB4B1" w14:textId="77777777" w:rsidR="00610C10" w:rsidRPr="0081146C" w:rsidRDefault="00610C10" w:rsidP="00610C10">
      <w:pPr>
        <w:pStyle w:val="paragraph"/>
      </w:pPr>
      <w:r w:rsidRPr="0081146C">
        <w:tab/>
        <w:t>(b)</w:t>
      </w:r>
      <w:r w:rsidRPr="0081146C">
        <w:tab/>
        <w:t>a digital representation of value used exclusively within an electronic game;</w:t>
      </w:r>
    </w:p>
    <w:p w14:paraId="4C62C710" w14:textId="77777777" w:rsidR="00610C10" w:rsidRPr="0081146C" w:rsidRDefault="00610C10" w:rsidP="00610C10">
      <w:pPr>
        <w:pStyle w:val="paragraph"/>
      </w:pPr>
      <w:r w:rsidRPr="0081146C">
        <w:tab/>
        <w:t>(c)</w:t>
      </w:r>
      <w:r w:rsidRPr="0081146C">
        <w:tab/>
        <w:t>customer loyalty or reward points;</w:t>
      </w:r>
    </w:p>
    <w:p w14:paraId="047B85B6" w14:textId="77777777" w:rsidR="00610C10" w:rsidRPr="0081146C" w:rsidRDefault="00610C10" w:rsidP="00610C10">
      <w:pPr>
        <w:pStyle w:val="paragraph"/>
      </w:pPr>
      <w:r w:rsidRPr="0081146C">
        <w:tab/>
        <w:t>(d)</w:t>
      </w:r>
      <w:r w:rsidRPr="0081146C">
        <w:tab/>
        <w:t>a digital representation of value that is:</w:t>
      </w:r>
    </w:p>
    <w:p w14:paraId="11C542E1" w14:textId="77777777" w:rsidR="00610C10" w:rsidRPr="0081146C" w:rsidRDefault="00610C10" w:rsidP="00610C10">
      <w:pPr>
        <w:pStyle w:val="paragraphsub"/>
      </w:pPr>
      <w:r w:rsidRPr="0081146C">
        <w:tab/>
        <w:t>(i)</w:t>
      </w:r>
      <w:r w:rsidRPr="0081146C">
        <w:tab/>
        <w:t>similar to a thing mentioned in paragraph (b) or (c); and</w:t>
      </w:r>
    </w:p>
    <w:p w14:paraId="57A36836" w14:textId="77777777" w:rsidR="00610C10" w:rsidRPr="0081146C" w:rsidRDefault="00610C10" w:rsidP="00610C10">
      <w:pPr>
        <w:pStyle w:val="paragraphsub"/>
      </w:pPr>
      <w:r w:rsidRPr="0081146C">
        <w:tab/>
        <w:t>(ii)</w:t>
      </w:r>
      <w:r w:rsidRPr="0081146C">
        <w:tab/>
        <w:t>not intended by the issuer to be convertible into another digital representation of value or money;</w:t>
      </w:r>
    </w:p>
    <w:p w14:paraId="32E1BB7B" w14:textId="77777777" w:rsidR="00610C10" w:rsidRPr="0081146C" w:rsidRDefault="00610C10" w:rsidP="00610C10">
      <w:pPr>
        <w:pStyle w:val="paragraph"/>
      </w:pPr>
      <w:r w:rsidRPr="0081146C">
        <w:tab/>
        <w:t>(e)</w:t>
      </w:r>
      <w:r w:rsidRPr="0081146C">
        <w:tab/>
        <w:t>a digital representation of value prescribed by the AML/CTF Rules.</w:t>
      </w:r>
    </w:p>
    <w:p w14:paraId="58263AEF" w14:textId="77777777" w:rsidR="00035544" w:rsidRPr="0081146C" w:rsidRDefault="00035544" w:rsidP="003F448A">
      <w:pPr>
        <w:pStyle w:val="ActHead5"/>
      </w:pPr>
      <w:bookmarkStart w:id="26" w:name="_Toc185415707"/>
      <w:bookmarkEnd w:id="25"/>
      <w:r w:rsidRPr="0081146C">
        <w:rPr>
          <w:rStyle w:val="CharSectno"/>
        </w:rPr>
        <w:t>6</w:t>
      </w:r>
      <w:r w:rsidRPr="0081146C">
        <w:t xml:space="preserve">  Designated services</w:t>
      </w:r>
      <w:bookmarkEnd w:id="26"/>
    </w:p>
    <w:p w14:paraId="4DAFD3E4" w14:textId="77777777" w:rsidR="00035544" w:rsidRPr="0081146C" w:rsidRDefault="00035544" w:rsidP="003F448A">
      <w:pPr>
        <w:pStyle w:val="subsection"/>
        <w:keepNext/>
        <w:keepLines/>
      </w:pPr>
      <w:r w:rsidRPr="0081146C">
        <w:tab/>
        <w:t>(1)</w:t>
      </w:r>
      <w:r w:rsidRPr="0081146C">
        <w:tab/>
        <w:t>For the purposes of this Act, the following tables define:</w:t>
      </w:r>
    </w:p>
    <w:p w14:paraId="6D60AF56" w14:textId="77777777" w:rsidR="00035544" w:rsidRPr="0081146C" w:rsidRDefault="00035544" w:rsidP="003F448A">
      <w:pPr>
        <w:pStyle w:val="paragraph"/>
        <w:keepNext/>
        <w:keepLines/>
      </w:pPr>
      <w:r w:rsidRPr="0081146C">
        <w:tab/>
        <w:t>(a)</w:t>
      </w:r>
      <w:r w:rsidRPr="0081146C">
        <w:tab/>
        <w:t xml:space="preserve">the provision of a </w:t>
      </w:r>
      <w:r w:rsidRPr="0081146C">
        <w:rPr>
          <w:b/>
          <w:i/>
        </w:rPr>
        <w:t>designated service</w:t>
      </w:r>
      <w:r w:rsidRPr="0081146C">
        <w:t>; and</w:t>
      </w:r>
    </w:p>
    <w:p w14:paraId="31336A75" w14:textId="77777777" w:rsidR="00035544" w:rsidRPr="0081146C" w:rsidRDefault="00035544" w:rsidP="003F448A">
      <w:pPr>
        <w:pStyle w:val="paragraph"/>
        <w:keepNext/>
        <w:keepLines/>
      </w:pPr>
      <w:r w:rsidRPr="0081146C">
        <w:tab/>
        <w:t>(b)</w:t>
      </w:r>
      <w:r w:rsidRPr="0081146C">
        <w:tab/>
        <w:t xml:space="preserve">the person (the </w:t>
      </w:r>
      <w:r w:rsidRPr="0081146C">
        <w:rPr>
          <w:b/>
          <w:i/>
        </w:rPr>
        <w:t>customer</w:t>
      </w:r>
      <w:r w:rsidRPr="0081146C">
        <w:t>) to whom the designated service is provided.</w:t>
      </w:r>
    </w:p>
    <w:p w14:paraId="1C87D9DB" w14:textId="77777777" w:rsidR="00035544" w:rsidRPr="0081146C" w:rsidRDefault="00035544" w:rsidP="003F448A">
      <w:pPr>
        <w:pStyle w:val="SubsectionHead"/>
      </w:pPr>
      <w:r w:rsidRPr="0081146C">
        <w:t>Table 1—Financial services</w:t>
      </w:r>
    </w:p>
    <w:p w14:paraId="22BD67C0" w14:textId="77777777" w:rsidR="00035544" w:rsidRPr="0081146C" w:rsidRDefault="00035544" w:rsidP="003F448A">
      <w:pPr>
        <w:pStyle w:val="subsection"/>
        <w:keepNext/>
        <w:keepLines/>
      </w:pPr>
      <w:r w:rsidRPr="0081146C">
        <w:tab/>
        <w:t>(2)</w:t>
      </w:r>
      <w:r w:rsidRPr="0081146C">
        <w:tab/>
        <w:t>Table 1 is as follows:</w:t>
      </w:r>
    </w:p>
    <w:p w14:paraId="5741E546" w14:textId="77777777" w:rsidR="00035544" w:rsidRPr="0081146C" w:rsidRDefault="00035544" w:rsidP="003F448A">
      <w:pPr>
        <w:pStyle w:val="Tabletext"/>
        <w:keepNext/>
        <w:keepLines/>
      </w:pPr>
    </w:p>
    <w:tbl>
      <w:tblPr>
        <w:tblW w:w="7086"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9"/>
        <w:gridCol w:w="3107"/>
        <w:gridCol w:w="3262"/>
      </w:tblGrid>
      <w:tr w:rsidR="00035544" w:rsidRPr="0081146C" w14:paraId="6F2F5AE1" w14:textId="77777777" w:rsidTr="008B3D55">
        <w:trPr>
          <w:tblHeader/>
        </w:trPr>
        <w:tc>
          <w:tcPr>
            <w:tcW w:w="7086" w:type="dxa"/>
            <w:gridSpan w:val="4"/>
            <w:tcBorders>
              <w:top w:val="single" w:sz="12" w:space="0" w:color="auto"/>
              <w:bottom w:val="single" w:sz="6" w:space="0" w:color="auto"/>
            </w:tcBorders>
            <w:shd w:val="clear" w:color="auto" w:fill="auto"/>
          </w:tcPr>
          <w:p w14:paraId="160594EF" w14:textId="77777777" w:rsidR="00035544" w:rsidRPr="0081146C" w:rsidRDefault="00035544" w:rsidP="00C72BA2">
            <w:pPr>
              <w:pStyle w:val="TableHeading"/>
            </w:pPr>
            <w:r w:rsidRPr="0081146C">
              <w:t>Table 1—Financial services</w:t>
            </w:r>
          </w:p>
        </w:tc>
      </w:tr>
      <w:tr w:rsidR="00035544" w:rsidRPr="0081146C" w14:paraId="1C82C7DB" w14:textId="77777777" w:rsidTr="008B3D55">
        <w:trPr>
          <w:tblHeader/>
        </w:trPr>
        <w:tc>
          <w:tcPr>
            <w:tcW w:w="717" w:type="dxa"/>
            <w:gridSpan w:val="2"/>
            <w:tcBorders>
              <w:top w:val="single" w:sz="6" w:space="0" w:color="auto"/>
              <w:bottom w:val="single" w:sz="12" w:space="0" w:color="auto"/>
            </w:tcBorders>
            <w:shd w:val="clear" w:color="auto" w:fill="auto"/>
          </w:tcPr>
          <w:p w14:paraId="06BE6393" w14:textId="77777777" w:rsidR="00035544" w:rsidRPr="0081146C" w:rsidRDefault="00035544" w:rsidP="00035544">
            <w:pPr>
              <w:pStyle w:val="Tabletext"/>
              <w:keepNext/>
              <w:rPr>
                <w:b/>
              </w:rPr>
            </w:pPr>
            <w:r w:rsidRPr="0081146C">
              <w:rPr>
                <w:b/>
              </w:rPr>
              <w:t>Item</w:t>
            </w:r>
          </w:p>
        </w:tc>
        <w:tc>
          <w:tcPr>
            <w:tcW w:w="3107" w:type="dxa"/>
            <w:tcBorders>
              <w:top w:val="single" w:sz="6" w:space="0" w:color="auto"/>
              <w:bottom w:val="single" w:sz="12" w:space="0" w:color="auto"/>
            </w:tcBorders>
            <w:shd w:val="clear" w:color="auto" w:fill="auto"/>
          </w:tcPr>
          <w:p w14:paraId="50FEBF5D" w14:textId="77777777" w:rsidR="00035544" w:rsidRPr="0081146C" w:rsidRDefault="00035544" w:rsidP="00035544">
            <w:pPr>
              <w:pStyle w:val="Tabletext"/>
              <w:keepNext/>
              <w:rPr>
                <w:b/>
              </w:rPr>
            </w:pPr>
            <w:r w:rsidRPr="0081146C">
              <w:rPr>
                <w:b/>
              </w:rPr>
              <w:t>Provision of a designated service</w:t>
            </w:r>
          </w:p>
        </w:tc>
        <w:tc>
          <w:tcPr>
            <w:tcW w:w="3262" w:type="dxa"/>
            <w:tcBorders>
              <w:top w:val="single" w:sz="6" w:space="0" w:color="auto"/>
              <w:bottom w:val="single" w:sz="12" w:space="0" w:color="auto"/>
            </w:tcBorders>
            <w:shd w:val="clear" w:color="auto" w:fill="auto"/>
          </w:tcPr>
          <w:p w14:paraId="58003F21" w14:textId="77777777" w:rsidR="00035544" w:rsidRPr="0081146C" w:rsidRDefault="00035544" w:rsidP="00035544">
            <w:pPr>
              <w:pStyle w:val="Tabletext"/>
              <w:keepNext/>
              <w:rPr>
                <w:b/>
              </w:rPr>
            </w:pPr>
            <w:r w:rsidRPr="0081146C">
              <w:rPr>
                <w:b/>
              </w:rPr>
              <w:t>Customer of the designated service</w:t>
            </w:r>
          </w:p>
        </w:tc>
      </w:tr>
      <w:tr w:rsidR="00035544" w:rsidRPr="0081146C" w14:paraId="50A218B8" w14:textId="77777777" w:rsidTr="008B3D55">
        <w:tc>
          <w:tcPr>
            <w:tcW w:w="717" w:type="dxa"/>
            <w:gridSpan w:val="2"/>
            <w:tcBorders>
              <w:top w:val="single" w:sz="12" w:space="0" w:color="auto"/>
              <w:bottom w:val="single" w:sz="4" w:space="0" w:color="auto"/>
            </w:tcBorders>
            <w:shd w:val="clear" w:color="auto" w:fill="auto"/>
          </w:tcPr>
          <w:p w14:paraId="6039E17E" w14:textId="77777777" w:rsidR="00035544" w:rsidRPr="0081146C" w:rsidRDefault="00035544" w:rsidP="00035544">
            <w:pPr>
              <w:pStyle w:val="Tabletext"/>
            </w:pPr>
            <w:r w:rsidRPr="0081146C">
              <w:t>1</w:t>
            </w:r>
          </w:p>
        </w:tc>
        <w:tc>
          <w:tcPr>
            <w:tcW w:w="3107" w:type="dxa"/>
            <w:tcBorders>
              <w:top w:val="single" w:sz="12" w:space="0" w:color="auto"/>
              <w:bottom w:val="single" w:sz="4" w:space="0" w:color="auto"/>
            </w:tcBorders>
            <w:shd w:val="clear" w:color="auto" w:fill="auto"/>
          </w:tcPr>
          <w:p w14:paraId="278C7CCF" w14:textId="77777777" w:rsidR="00035544" w:rsidRPr="0081146C" w:rsidRDefault="00035544" w:rsidP="00035544">
            <w:pPr>
              <w:pStyle w:val="Tabletext"/>
            </w:pPr>
            <w:r w:rsidRPr="0081146C">
              <w:t>in the capacity of account provider, opening an account, where the account provider is:</w:t>
            </w:r>
          </w:p>
          <w:p w14:paraId="539CE977" w14:textId="77777777" w:rsidR="00035544" w:rsidRPr="0081146C" w:rsidRDefault="00035544" w:rsidP="00035544">
            <w:pPr>
              <w:pStyle w:val="Tablea"/>
            </w:pPr>
            <w:r w:rsidRPr="0081146C">
              <w:t>(a) an ADI; or</w:t>
            </w:r>
          </w:p>
          <w:p w14:paraId="45B55305" w14:textId="77777777" w:rsidR="00035544" w:rsidRPr="0081146C" w:rsidRDefault="00035544" w:rsidP="00035544">
            <w:pPr>
              <w:pStyle w:val="Tablea"/>
            </w:pPr>
            <w:r w:rsidRPr="0081146C">
              <w:t>(b) a bank; or</w:t>
            </w:r>
          </w:p>
          <w:p w14:paraId="583ECA05" w14:textId="77777777" w:rsidR="00035544" w:rsidRPr="0081146C" w:rsidRDefault="00035544" w:rsidP="00035544">
            <w:pPr>
              <w:pStyle w:val="Tablea"/>
            </w:pPr>
            <w:r w:rsidRPr="0081146C">
              <w:t>(c) a building society; or</w:t>
            </w:r>
          </w:p>
          <w:p w14:paraId="7BD90E89" w14:textId="77777777" w:rsidR="00035544" w:rsidRPr="0081146C" w:rsidRDefault="00035544" w:rsidP="00035544">
            <w:pPr>
              <w:pStyle w:val="Tablea"/>
            </w:pPr>
            <w:r w:rsidRPr="0081146C">
              <w:t>(d) a credit union; or</w:t>
            </w:r>
          </w:p>
          <w:p w14:paraId="2EA60DDE" w14:textId="77777777" w:rsidR="00064C94" w:rsidRPr="0081146C" w:rsidRDefault="00064C94" w:rsidP="00064C94">
            <w:pPr>
              <w:pStyle w:val="Tablea"/>
            </w:pPr>
            <w:r w:rsidRPr="0081146C">
              <w:t>(e) a credit card issuer; or</w:t>
            </w:r>
          </w:p>
          <w:p w14:paraId="336EC01C" w14:textId="77777777" w:rsidR="00064C94" w:rsidRPr="0081146C" w:rsidRDefault="00064C94" w:rsidP="00064C94">
            <w:pPr>
              <w:pStyle w:val="Tablea"/>
            </w:pPr>
            <w:r w:rsidRPr="0081146C">
              <w:t>(f) a credit card acquirer; or</w:t>
            </w:r>
          </w:p>
          <w:p w14:paraId="510F8D1D" w14:textId="3ACBF3AD" w:rsidR="00035544" w:rsidRPr="0081146C" w:rsidRDefault="00064C94" w:rsidP="00FC0525">
            <w:pPr>
              <w:pStyle w:val="Tablea"/>
            </w:pPr>
            <w:r w:rsidRPr="0081146C">
              <w:t>(g) a person specified in the AML/CTF Rules</w:t>
            </w:r>
          </w:p>
        </w:tc>
        <w:tc>
          <w:tcPr>
            <w:tcW w:w="3262" w:type="dxa"/>
            <w:tcBorders>
              <w:top w:val="single" w:sz="12" w:space="0" w:color="auto"/>
              <w:bottom w:val="single" w:sz="4" w:space="0" w:color="auto"/>
            </w:tcBorders>
            <w:shd w:val="clear" w:color="auto" w:fill="auto"/>
          </w:tcPr>
          <w:p w14:paraId="5CA56860" w14:textId="77777777" w:rsidR="00035544" w:rsidRPr="0081146C" w:rsidRDefault="00035544" w:rsidP="00035544">
            <w:pPr>
              <w:pStyle w:val="Tabletext"/>
            </w:pPr>
            <w:r w:rsidRPr="0081146C">
              <w:t>the holder of the account</w:t>
            </w:r>
          </w:p>
        </w:tc>
      </w:tr>
      <w:tr w:rsidR="00035544" w:rsidRPr="0081146C" w14:paraId="22628CF8" w14:textId="77777777" w:rsidTr="008B3D55">
        <w:tc>
          <w:tcPr>
            <w:tcW w:w="717" w:type="dxa"/>
            <w:gridSpan w:val="2"/>
            <w:tcBorders>
              <w:top w:val="single" w:sz="4" w:space="0" w:color="auto"/>
              <w:bottom w:val="single" w:sz="4" w:space="0" w:color="auto"/>
            </w:tcBorders>
            <w:shd w:val="clear" w:color="auto" w:fill="auto"/>
          </w:tcPr>
          <w:p w14:paraId="759B2F9F" w14:textId="77777777" w:rsidR="00035544" w:rsidRPr="0081146C" w:rsidRDefault="00035544" w:rsidP="00F539A7">
            <w:pPr>
              <w:pStyle w:val="Tabletext"/>
            </w:pPr>
            <w:r w:rsidRPr="0081146C">
              <w:t>2</w:t>
            </w:r>
          </w:p>
        </w:tc>
        <w:tc>
          <w:tcPr>
            <w:tcW w:w="3107" w:type="dxa"/>
            <w:tcBorders>
              <w:top w:val="single" w:sz="4" w:space="0" w:color="auto"/>
              <w:bottom w:val="single" w:sz="4" w:space="0" w:color="auto"/>
            </w:tcBorders>
            <w:shd w:val="clear" w:color="auto" w:fill="auto"/>
          </w:tcPr>
          <w:p w14:paraId="5D7ECC5D" w14:textId="77777777" w:rsidR="00035544" w:rsidRPr="0081146C" w:rsidRDefault="00035544" w:rsidP="00F539A7">
            <w:pPr>
              <w:pStyle w:val="Tabletext"/>
              <w:keepNext/>
            </w:pPr>
            <w:r w:rsidRPr="0081146C">
              <w:t>in the capacity of account provider for a new or existing account, allowing a person to become a signatory to the account, where the account provider is:</w:t>
            </w:r>
          </w:p>
          <w:p w14:paraId="6472F150" w14:textId="77777777" w:rsidR="00035544" w:rsidRPr="0081146C" w:rsidRDefault="00035544" w:rsidP="00F539A7">
            <w:pPr>
              <w:pStyle w:val="Tablea"/>
              <w:keepNext/>
            </w:pPr>
            <w:r w:rsidRPr="0081146C">
              <w:t>(a) an ADI; or</w:t>
            </w:r>
          </w:p>
          <w:p w14:paraId="28A068A0" w14:textId="77777777" w:rsidR="00035544" w:rsidRPr="0081146C" w:rsidRDefault="00035544" w:rsidP="00F539A7">
            <w:pPr>
              <w:pStyle w:val="Tablea"/>
              <w:keepNext/>
            </w:pPr>
            <w:r w:rsidRPr="0081146C">
              <w:t>(b) a bank; or</w:t>
            </w:r>
          </w:p>
          <w:p w14:paraId="2CDA7E72" w14:textId="77777777" w:rsidR="00035544" w:rsidRPr="0081146C" w:rsidRDefault="00035544" w:rsidP="00F539A7">
            <w:pPr>
              <w:pStyle w:val="Tablea"/>
              <w:keepNext/>
            </w:pPr>
            <w:r w:rsidRPr="0081146C">
              <w:t>(c) a building society; or</w:t>
            </w:r>
          </w:p>
          <w:p w14:paraId="5531975B" w14:textId="77777777" w:rsidR="00035544" w:rsidRPr="0081146C" w:rsidRDefault="00035544" w:rsidP="00F539A7">
            <w:pPr>
              <w:pStyle w:val="Tablea"/>
              <w:keepNext/>
            </w:pPr>
            <w:r w:rsidRPr="0081146C">
              <w:t>(d) a credit union; or</w:t>
            </w:r>
          </w:p>
          <w:p w14:paraId="5CFB48D7" w14:textId="77777777" w:rsidR="00064C94" w:rsidRPr="0081146C" w:rsidRDefault="00064C94" w:rsidP="00064C94">
            <w:pPr>
              <w:pStyle w:val="Tablea"/>
            </w:pPr>
            <w:r w:rsidRPr="0081146C">
              <w:t>(e) a credit card issuer; or</w:t>
            </w:r>
          </w:p>
          <w:p w14:paraId="2F2652F9" w14:textId="77777777" w:rsidR="00064C94" w:rsidRPr="0081146C" w:rsidRDefault="00064C94" w:rsidP="00064C94">
            <w:pPr>
              <w:pStyle w:val="Tablea"/>
            </w:pPr>
            <w:r w:rsidRPr="0081146C">
              <w:t>(f) a credit card acquirer; or</w:t>
            </w:r>
          </w:p>
          <w:p w14:paraId="6A8863E2" w14:textId="28778B03" w:rsidR="00035544" w:rsidRPr="0081146C" w:rsidRDefault="00064C94" w:rsidP="00A2453E">
            <w:pPr>
              <w:pStyle w:val="Tablea"/>
            </w:pPr>
            <w:r w:rsidRPr="0081146C">
              <w:t>(g) a person specified in the AML/CTF Rules</w:t>
            </w:r>
          </w:p>
        </w:tc>
        <w:tc>
          <w:tcPr>
            <w:tcW w:w="3262" w:type="dxa"/>
            <w:tcBorders>
              <w:top w:val="single" w:sz="4" w:space="0" w:color="auto"/>
              <w:bottom w:val="single" w:sz="4" w:space="0" w:color="auto"/>
            </w:tcBorders>
            <w:shd w:val="clear" w:color="auto" w:fill="auto"/>
          </w:tcPr>
          <w:p w14:paraId="0D6CCF8A" w14:textId="77777777" w:rsidR="00035544" w:rsidRPr="0081146C" w:rsidRDefault="00035544" w:rsidP="00F539A7">
            <w:pPr>
              <w:pStyle w:val="Tabletext"/>
              <w:keepNext/>
            </w:pPr>
            <w:r w:rsidRPr="0081146C">
              <w:t>the signatory</w:t>
            </w:r>
          </w:p>
        </w:tc>
      </w:tr>
      <w:tr w:rsidR="00035544" w:rsidRPr="0081146C" w14:paraId="6E4A77D0" w14:textId="77777777" w:rsidTr="008B3D55">
        <w:trPr>
          <w:cantSplit/>
        </w:trPr>
        <w:tc>
          <w:tcPr>
            <w:tcW w:w="717" w:type="dxa"/>
            <w:gridSpan w:val="2"/>
            <w:tcBorders>
              <w:bottom w:val="single" w:sz="4" w:space="0" w:color="auto"/>
            </w:tcBorders>
            <w:shd w:val="clear" w:color="auto" w:fill="auto"/>
          </w:tcPr>
          <w:p w14:paraId="39C6C389" w14:textId="77777777" w:rsidR="00035544" w:rsidRPr="0081146C" w:rsidRDefault="00035544" w:rsidP="00035544">
            <w:pPr>
              <w:pStyle w:val="Tabletext"/>
            </w:pPr>
            <w:r w:rsidRPr="0081146C">
              <w:t>3</w:t>
            </w:r>
          </w:p>
        </w:tc>
        <w:tc>
          <w:tcPr>
            <w:tcW w:w="3107" w:type="dxa"/>
            <w:tcBorders>
              <w:bottom w:val="single" w:sz="4" w:space="0" w:color="auto"/>
            </w:tcBorders>
            <w:shd w:val="clear" w:color="auto" w:fill="auto"/>
          </w:tcPr>
          <w:p w14:paraId="19483683" w14:textId="77777777" w:rsidR="00035544" w:rsidRPr="0081146C" w:rsidRDefault="00035544" w:rsidP="00035544">
            <w:pPr>
              <w:pStyle w:val="Tabletext"/>
            </w:pPr>
            <w:r w:rsidRPr="0081146C">
              <w:t>in the capacity of account provider for an account, allowing a transaction to be conducted in relation to the account, where the account provider is:</w:t>
            </w:r>
          </w:p>
          <w:p w14:paraId="02600DF8" w14:textId="77777777" w:rsidR="00035544" w:rsidRPr="0081146C" w:rsidRDefault="00035544" w:rsidP="00035544">
            <w:pPr>
              <w:pStyle w:val="Tablea"/>
            </w:pPr>
            <w:r w:rsidRPr="0081146C">
              <w:t>(a) an ADI; or</w:t>
            </w:r>
          </w:p>
          <w:p w14:paraId="3A04966C" w14:textId="77777777" w:rsidR="00035544" w:rsidRPr="0081146C" w:rsidRDefault="00035544" w:rsidP="00035544">
            <w:pPr>
              <w:pStyle w:val="Tablea"/>
            </w:pPr>
            <w:r w:rsidRPr="0081146C">
              <w:t>(b) a bank; or</w:t>
            </w:r>
          </w:p>
          <w:p w14:paraId="5D0B70F8" w14:textId="77777777" w:rsidR="00035544" w:rsidRPr="0081146C" w:rsidRDefault="00035544" w:rsidP="00035544">
            <w:pPr>
              <w:pStyle w:val="Tablea"/>
            </w:pPr>
            <w:r w:rsidRPr="0081146C">
              <w:t>(c) a building society; or</w:t>
            </w:r>
          </w:p>
          <w:p w14:paraId="1AF9D2BB" w14:textId="77777777" w:rsidR="00035544" w:rsidRPr="0081146C" w:rsidRDefault="00035544" w:rsidP="00035544">
            <w:pPr>
              <w:pStyle w:val="Tablea"/>
            </w:pPr>
            <w:r w:rsidRPr="0081146C">
              <w:t>(d) a credit union; or</w:t>
            </w:r>
          </w:p>
          <w:p w14:paraId="5CC76EE6" w14:textId="77777777" w:rsidR="00064C94" w:rsidRPr="0081146C" w:rsidRDefault="00064C94" w:rsidP="00064C94">
            <w:pPr>
              <w:pStyle w:val="Tablea"/>
            </w:pPr>
            <w:r w:rsidRPr="0081146C">
              <w:t>(e) a credit card issuer; or</w:t>
            </w:r>
          </w:p>
          <w:p w14:paraId="69F649B7" w14:textId="77777777" w:rsidR="00064C94" w:rsidRPr="0081146C" w:rsidRDefault="00064C94" w:rsidP="00064C94">
            <w:pPr>
              <w:pStyle w:val="Tablea"/>
            </w:pPr>
            <w:r w:rsidRPr="0081146C">
              <w:t>(f) a credit card acquirer; or</w:t>
            </w:r>
          </w:p>
          <w:p w14:paraId="7D161457" w14:textId="152CE973" w:rsidR="00035544" w:rsidRPr="0081146C" w:rsidRDefault="00064C94" w:rsidP="00A2453E">
            <w:pPr>
              <w:pStyle w:val="Tablea"/>
            </w:pPr>
            <w:r w:rsidRPr="0081146C">
              <w:t>(g) a person specified in the AML/CTF Rules</w:t>
            </w:r>
          </w:p>
        </w:tc>
        <w:tc>
          <w:tcPr>
            <w:tcW w:w="3262" w:type="dxa"/>
            <w:tcBorders>
              <w:bottom w:val="single" w:sz="4" w:space="0" w:color="auto"/>
            </w:tcBorders>
            <w:shd w:val="clear" w:color="auto" w:fill="auto"/>
          </w:tcPr>
          <w:p w14:paraId="53174796" w14:textId="77777777" w:rsidR="00035544" w:rsidRPr="0081146C" w:rsidRDefault="00035544" w:rsidP="00035544">
            <w:pPr>
              <w:pStyle w:val="Tabletext"/>
            </w:pPr>
            <w:r w:rsidRPr="0081146C">
              <w:t>both:</w:t>
            </w:r>
          </w:p>
          <w:p w14:paraId="3F223A9B" w14:textId="77777777" w:rsidR="00035544" w:rsidRPr="0081146C" w:rsidRDefault="00035544" w:rsidP="00035544">
            <w:pPr>
              <w:pStyle w:val="Tablea"/>
            </w:pPr>
            <w:r w:rsidRPr="0081146C">
              <w:t>(a) the holder of the account; and</w:t>
            </w:r>
          </w:p>
          <w:p w14:paraId="1F2F227A" w14:textId="77777777" w:rsidR="00035544" w:rsidRPr="0081146C" w:rsidRDefault="00035544" w:rsidP="00035544">
            <w:pPr>
              <w:pStyle w:val="Tablea"/>
            </w:pPr>
            <w:r w:rsidRPr="0081146C">
              <w:t>(b) each other signatory to the account</w:t>
            </w:r>
          </w:p>
        </w:tc>
      </w:tr>
      <w:tr w:rsidR="00035544" w:rsidRPr="0081146C" w14:paraId="37EBF91F" w14:textId="77777777" w:rsidTr="008B3D55">
        <w:tc>
          <w:tcPr>
            <w:tcW w:w="717" w:type="dxa"/>
            <w:gridSpan w:val="2"/>
            <w:tcBorders>
              <w:top w:val="single" w:sz="4" w:space="0" w:color="auto"/>
            </w:tcBorders>
            <w:shd w:val="clear" w:color="auto" w:fill="auto"/>
          </w:tcPr>
          <w:p w14:paraId="39E34A11" w14:textId="77777777" w:rsidR="00035544" w:rsidRPr="0081146C" w:rsidRDefault="00035544" w:rsidP="00035544">
            <w:pPr>
              <w:pStyle w:val="Tabletext"/>
            </w:pPr>
            <w:r w:rsidRPr="0081146C">
              <w:t>4</w:t>
            </w:r>
          </w:p>
        </w:tc>
        <w:tc>
          <w:tcPr>
            <w:tcW w:w="3107" w:type="dxa"/>
            <w:tcBorders>
              <w:top w:val="single" w:sz="4" w:space="0" w:color="auto"/>
            </w:tcBorders>
            <w:shd w:val="clear" w:color="auto" w:fill="auto"/>
          </w:tcPr>
          <w:p w14:paraId="5F9D5068" w14:textId="77777777" w:rsidR="00035544" w:rsidRPr="0081146C" w:rsidRDefault="00035544" w:rsidP="00035544">
            <w:pPr>
              <w:pStyle w:val="Tabletext"/>
            </w:pPr>
            <w:r w:rsidRPr="0081146C">
              <w:t>accepting money on deposit (otherwise than by way of deposit to an account), where the deposit</w:t>
            </w:r>
            <w:r w:rsidR="003B7E15" w:rsidRPr="0081146C">
              <w:noBreakHyphen/>
            </w:r>
            <w:r w:rsidRPr="0081146C">
              <w:t>taker is:</w:t>
            </w:r>
          </w:p>
          <w:p w14:paraId="312284A4" w14:textId="77777777" w:rsidR="00035544" w:rsidRPr="0081146C" w:rsidRDefault="00035544" w:rsidP="00035544">
            <w:pPr>
              <w:pStyle w:val="Tablea"/>
            </w:pPr>
            <w:r w:rsidRPr="0081146C">
              <w:t>(a) an ADI; or</w:t>
            </w:r>
          </w:p>
          <w:p w14:paraId="14475FC6" w14:textId="77777777" w:rsidR="00035544" w:rsidRPr="0081146C" w:rsidRDefault="00035544" w:rsidP="00035544">
            <w:pPr>
              <w:pStyle w:val="Tablea"/>
            </w:pPr>
            <w:r w:rsidRPr="0081146C">
              <w:t>(b) a bank; or</w:t>
            </w:r>
          </w:p>
          <w:p w14:paraId="1131DA64" w14:textId="77777777" w:rsidR="00035544" w:rsidRPr="0081146C" w:rsidRDefault="00035544" w:rsidP="00035544">
            <w:pPr>
              <w:pStyle w:val="Tablea"/>
            </w:pPr>
            <w:r w:rsidRPr="0081146C">
              <w:t>(c) a building society; or</w:t>
            </w:r>
          </w:p>
          <w:p w14:paraId="4093EF4B" w14:textId="77777777" w:rsidR="00035544" w:rsidRPr="0081146C" w:rsidRDefault="00035544" w:rsidP="00035544">
            <w:pPr>
              <w:pStyle w:val="Tablea"/>
            </w:pPr>
            <w:r w:rsidRPr="0081146C">
              <w:t>(d) a credit union; or</w:t>
            </w:r>
          </w:p>
          <w:p w14:paraId="064FD63C" w14:textId="77777777" w:rsidR="00035544" w:rsidRPr="0081146C" w:rsidRDefault="00035544" w:rsidP="00035544">
            <w:pPr>
              <w:pStyle w:val="Tablea"/>
            </w:pPr>
            <w:r w:rsidRPr="0081146C">
              <w:t>(e) a person specified in the AML/CTF Rules</w:t>
            </w:r>
          </w:p>
        </w:tc>
        <w:tc>
          <w:tcPr>
            <w:tcW w:w="3262" w:type="dxa"/>
            <w:tcBorders>
              <w:top w:val="single" w:sz="4" w:space="0" w:color="auto"/>
            </w:tcBorders>
            <w:shd w:val="clear" w:color="auto" w:fill="auto"/>
          </w:tcPr>
          <w:p w14:paraId="3FDA61F0" w14:textId="77777777" w:rsidR="00035544" w:rsidRPr="0081146C" w:rsidRDefault="00035544" w:rsidP="00035544">
            <w:pPr>
              <w:pStyle w:val="Tabletext"/>
            </w:pPr>
            <w:r w:rsidRPr="0081146C">
              <w:t>the person in whose name the deposit is held</w:t>
            </w:r>
          </w:p>
        </w:tc>
      </w:tr>
      <w:tr w:rsidR="00035544" w:rsidRPr="0081146C" w14:paraId="03DEE114" w14:textId="77777777" w:rsidTr="008B3D55">
        <w:tc>
          <w:tcPr>
            <w:tcW w:w="717" w:type="dxa"/>
            <w:gridSpan w:val="2"/>
            <w:tcBorders>
              <w:bottom w:val="single" w:sz="4" w:space="0" w:color="auto"/>
            </w:tcBorders>
            <w:shd w:val="clear" w:color="auto" w:fill="auto"/>
          </w:tcPr>
          <w:p w14:paraId="72C0F84B" w14:textId="77777777" w:rsidR="00035544" w:rsidRPr="0081146C" w:rsidRDefault="00035544" w:rsidP="00606538">
            <w:pPr>
              <w:pStyle w:val="Tabletext"/>
            </w:pPr>
            <w:r w:rsidRPr="0081146C">
              <w:t>5</w:t>
            </w:r>
          </w:p>
        </w:tc>
        <w:tc>
          <w:tcPr>
            <w:tcW w:w="3107" w:type="dxa"/>
            <w:tcBorders>
              <w:bottom w:val="single" w:sz="4" w:space="0" w:color="auto"/>
            </w:tcBorders>
            <w:shd w:val="clear" w:color="auto" w:fill="auto"/>
          </w:tcPr>
          <w:p w14:paraId="700253DF" w14:textId="77777777" w:rsidR="00035544" w:rsidRPr="0081146C" w:rsidRDefault="00035544" w:rsidP="00606538">
            <w:pPr>
              <w:pStyle w:val="Tabletext"/>
            </w:pPr>
            <w:r w:rsidRPr="0081146C">
              <w:t>in the capacity of deposit</w:t>
            </w:r>
            <w:r w:rsidR="003B7E15" w:rsidRPr="0081146C">
              <w:noBreakHyphen/>
            </w:r>
            <w:r w:rsidRPr="0081146C">
              <w:t>taker for a deposit, allowing a transaction to be conducted in relation to the deposit, where the deposit</w:t>
            </w:r>
            <w:r w:rsidR="003B7E15" w:rsidRPr="0081146C">
              <w:noBreakHyphen/>
            </w:r>
            <w:r w:rsidRPr="0081146C">
              <w:t>taker is:</w:t>
            </w:r>
          </w:p>
          <w:p w14:paraId="24589151" w14:textId="77777777" w:rsidR="00035544" w:rsidRPr="0081146C" w:rsidRDefault="00035544" w:rsidP="00606538">
            <w:pPr>
              <w:pStyle w:val="Tablea"/>
            </w:pPr>
            <w:r w:rsidRPr="0081146C">
              <w:t>(a) an ADI; or</w:t>
            </w:r>
          </w:p>
          <w:p w14:paraId="74CB9B47" w14:textId="77777777" w:rsidR="00035544" w:rsidRPr="0081146C" w:rsidRDefault="00035544" w:rsidP="00606538">
            <w:pPr>
              <w:pStyle w:val="Tablea"/>
            </w:pPr>
            <w:r w:rsidRPr="0081146C">
              <w:t>(b) a bank; or</w:t>
            </w:r>
          </w:p>
          <w:p w14:paraId="4210DE3E" w14:textId="77777777" w:rsidR="00035544" w:rsidRPr="0081146C" w:rsidRDefault="00035544" w:rsidP="00606538">
            <w:pPr>
              <w:pStyle w:val="Tablea"/>
            </w:pPr>
            <w:r w:rsidRPr="0081146C">
              <w:t>(c) a building society; or</w:t>
            </w:r>
          </w:p>
          <w:p w14:paraId="1C2AB649" w14:textId="77777777" w:rsidR="00035544" w:rsidRPr="0081146C" w:rsidRDefault="00035544" w:rsidP="00606538">
            <w:pPr>
              <w:pStyle w:val="Tablea"/>
            </w:pPr>
            <w:r w:rsidRPr="0081146C">
              <w:t>(d) a credit union; or</w:t>
            </w:r>
          </w:p>
          <w:p w14:paraId="2D9FC61E" w14:textId="77777777" w:rsidR="00035544" w:rsidRPr="0081146C" w:rsidRDefault="00035544" w:rsidP="00606538">
            <w:pPr>
              <w:pStyle w:val="Tablea"/>
            </w:pPr>
            <w:r w:rsidRPr="0081146C">
              <w:t>(e) a person specified in the AML/CTF Rules</w:t>
            </w:r>
          </w:p>
        </w:tc>
        <w:tc>
          <w:tcPr>
            <w:tcW w:w="3262" w:type="dxa"/>
            <w:tcBorders>
              <w:bottom w:val="single" w:sz="4" w:space="0" w:color="auto"/>
            </w:tcBorders>
            <w:shd w:val="clear" w:color="auto" w:fill="auto"/>
          </w:tcPr>
          <w:p w14:paraId="65803E32" w14:textId="77777777" w:rsidR="00035544" w:rsidRPr="0081146C" w:rsidRDefault="00035544" w:rsidP="00606538">
            <w:pPr>
              <w:pStyle w:val="Tabletext"/>
            </w:pPr>
            <w:r w:rsidRPr="0081146C">
              <w:t>the person in whose name the deposit is held</w:t>
            </w:r>
          </w:p>
        </w:tc>
      </w:tr>
      <w:tr w:rsidR="00035544" w:rsidRPr="0081146C" w14:paraId="5CFC72A4" w14:textId="77777777" w:rsidTr="008B3D55">
        <w:tc>
          <w:tcPr>
            <w:tcW w:w="717" w:type="dxa"/>
            <w:gridSpan w:val="2"/>
            <w:tcBorders>
              <w:bottom w:val="single" w:sz="4" w:space="0" w:color="auto"/>
            </w:tcBorders>
            <w:shd w:val="clear" w:color="auto" w:fill="auto"/>
          </w:tcPr>
          <w:p w14:paraId="186D78BC" w14:textId="77777777" w:rsidR="00035544" w:rsidRPr="0081146C" w:rsidRDefault="00035544" w:rsidP="00606538">
            <w:pPr>
              <w:pStyle w:val="Tabletext"/>
              <w:keepNext/>
            </w:pPr>
            <w:r w:rsidRPr="0081146C">
              <w:t>6</w:t>
            </w:r>
          </w:p>
        </w:tc>
        <w:tc>
          <w:tcPr>
            <w:tcW w:w="3107" w:type="dxa"/>
            <w:tcBorders>
              <w:bottom w:val="single" w:sz="4" w:space="0" w:color="auto"/>
            </w:tcBorders>
            <w:shd w:val="clear" w:color="auto" w:fill="auto"/>
          </w:tcPr>
          <w:p w14:paraId="3ABD8E2D" w14:textId="77777777" w:rsidR="00035544" w:rsidRPr="0081146C" w:rsidRDefault="00035544" w:rsidP="00606538">
            <w:pPr>
              <w:pStyle w:val="Tabletext"/>
              <w:keepNext/>
            </w:pPr>
            <w:r w:rsidRPr="0081146C">
              <w:t>making a loan, where the loan is made in the course of carrying on a loans business</w:t>
            </w:r>
          </w:p>
        </w:tc>
        <w:tc>
          <w:tcPr>
            <w:tcW w:w="3262" w:type="dxa"/>
            <w:tcBorders>
              <w:bottom w:val="single" w:sz="4" w:space="0" w:color="auto"/>
            </w:tcBorders>
            <w:shd w:val="clear" w:color="auto" w:fill="auto"/>
          </w:tcPr>
          <w:p w14:paraId="150431F0" w14:textId="77777777" w:rsidR="00035544" w:rsidRPr="0081146C" w:rsidRDefault="00035544" w:rsidP="00606538">
            <w:pPr>
              <w:pStyle w:val="Tabletext"/>
              <w:keepNext/>
            </w:pPr>
            <w:r w:rsidRPr="0081146C">
              <w:t>the borrower</w:t>
            </w:r>
          </w:p>
        </w:tc>
      </w:tr>
      <w:tr w:rsidR="00035544" w:rsidRPr="0081146C" w14:paraId="50C582B5" w14:textId="77777777" w:rsidTr="008B3D55">
        <w:trPr>
          <w:cantSplit/>
        </w:trPr>
        <w:tc>
          <w:tcPr>
            <w:tcW w:w="717" w:type="dxa"/>
            <w:gridSpan w:val="2"/>
            <w:tcBorders>
              <w:top w:val="single" w:sz="4" w:space="0" w:color="auto"/>
              <w:bottom w:val="single" w:sz="4" w:space="0" w:color="auto"/>
            </w:tcBorders>
            <w:shd w:val="clear" w:color="auto" w:fill="auto"/>
          </w:tcPr>
          <w:p w14:paraId="5BC6EF18" w14:textId="77777777" w:rsidR="00035544" w:rsidRPr="0081146C" w:rsidRDefault="00035544" w:rsidP="00035544">
            <w:pPr>
              <w:pStyle w:val="Tabletext"/>
            </w:pPr>
            <w:r w:rsidRPr="0081146C">
              <w:t>7</w:t>
            </w:r>
          </w:p>
        </w:tc>
        <w:tc>
          <w:tcPr>
            <w:tcW w:w="3107" w:type="dxa"/>
            <w:tcBorders>
              <w:top w:val="single" w:sz="4" w:space="0" w:color="auto"/>
              <w:bottom w:val="single" w:sz="4" w:space="0" w:color="auto"/>
            </w:tcBorders>
            <w:shd w:val="clear" w:color="auto" w:fill="auto"/>
          </w:tcPr>
          <w:p w14:paraId="79CF4CAC" w14:textId="77777777" w:rsidR="00035544" w:rsidRPr="0081146C" w:rsidRDefault="00035544" w:rsidP="00035544">
            <w:pPr>
              <w:pStyle w:val="Tabletext"/>
            </w:pPr>
            <w:r w:rsidRPr="0081146C">
              <w:t>in the capacity of:</w:t>
            </w:r>
          </w:p>
          <w:p w14:paraId="20BD6456" w14:textId="77777777" w:rsidR="00035544" w:rsidRPr="0081146C" w:rsidRDefault="00035544" w:rsidP="00035544">
            <w:pPr>
              <w:pStyle w:val="Tablea"/>
            </w:pPr>
            <w:r w:rsidRPr="0081146C">
              <w:t>(a) lender for a loan; or</w:t>
            </w:r>
          </w:p>
          <w:p w14:paraId="1CBF08D7" w14:textId="77777777" w:rsidR="00035544" w:rsidRPr="0081146C" w:rsidRDefault="00035544" w:rsidP="00035544">
            <w:pPr>
              <w:pStyle w:val="Tablea"/>
            </w:pPr>
            <w:r w:rsidRPr="0081146C">
              <w:t>(b) assignee (whether immediate or otherwise) of the lender for a loan;</w:t>
            </w:r>
          </w:p>
          <w:p w14:paraId="67C2F286" w14:textId="77777777" w:rsidR="00035544" w:rsidRPr="0081146C" w:rsidRDefault="00035544" w:rsidP="00035544">
            <w:pPr>
              <w:pStyle w:val="Tabletext"/>
            </w:pPr>
            <w:r w:rsidRPr="0081146C">
              <w:t>allowing the borrower to conduct a transaction in relation to the loan, where the loan was made in the course of carrying on a loans business</w:t>
            </w:r>
          </w:p>
        </w:tc>
        <w:tc>
          <w:tcPr>
            <w:tcW w:w="3262" w:type="dxa"/>
            <w:tcBorders>
              <w:top w:val="single" w:sz="4" w:space="0" w:color="auto"/>
              <w:bottom w:val="single" w:sz="4" w:space="0" w:color="auto"/>
            </w:tcBorders>
            <w:shd w:val="clear" w:color="auto" w:fill="auto"/>
          </w:tcPr>
          <w:p w14:paraId="3CDEF764" w14:textId="77777777" w:rsidR="00035544" w:rsidRPr="0081146C" w:rsidRDefault="00035544" w:rsidP="00035544">
            <w:pPr>
              <w:pStyle w:val="Tabletext"/>
            </w:pPr>
            <w:r w:rsidRPr="0081146C">
              <w:t>the borrower</w:t>
            </w:r>
          </w:p>
        </w:tc>
      </w:tr>
      <w:tr w:rsidR="00035544" w:rsidRPr="0081146C" w14:paraId="52A5C196" w14:textId="77777777" w:rsidTr="008B3D55">
        <w:tc>
          <w:tcPr>
            <w:tcW w:w="717" w:type="dxa"/>
            <w:gridSpan w:val="2"/>
            <w:tcBorders>
              <w:top w:val="single" w:sz="4" w:space="0" w:color="auto"/>
            </w:tcBorders>
            <w:shd w:val="clear" w:color="auto" w:fill="auto"/>
          </w:tcPr>
          <w:p w14:paraId="44342941" w14:textId="77777777" w:rsidR="00035544" w:rsidRPr="0081146C" w:rsidRDefault="00035544" w:rsidP="00035544">
            <w:pPr>
              <w:pStyle w:val="Tabletext"/>
            </w:pPr>
            <w:r w:rsidRPr="0081146C">
              <w:t>8</w:t>
            </w:r>
          </w:p>
        </w:tc>
        <w:tc>
          <w:tcPr>
            <w:tcW w:w="3107" w:type="dxa"/>
            <w:tcBorders>
              <w:top w:val="single" w:sz="4" w:space="0" w:color="auto"/>
            </w:tcBorders>
            <w:shd w:val="clear" w:color="auto" w:fill="auto"/>
          </w:tcPr>
          <w:p w14:paraId="201F71BD" w14:textId="77777777" w:rsidR="00035544" w:rsidRPr="0081146C" w:rsidRDefault="00035544" w:rsidP="00035544">
            <w:pPr>
              <w:pStyle w:val="Tabletext"/>
            </w:pPr>
            <w:r w:rsidRPr="0081146C">
              <w:t>factoring a receivable, where the receivable is factored in the course of carrying on a factoring business</w:t>
            </w:r>
          </w:p>
        </w:tc>
        <w:tc>
          <w:tcPr>
            <w:tcW w:w="3262" w:type="dxa"/>
            <w:tcBorders>
              <w:top w:val="single" w:sz="4" w:space="0" w:color="auto"/>
            </w:tcBorders>
            <w:shd w:val="clear" w:color="auto" w:fill="auto"/>
          </w:tcPr>
          <w:p w14:paraId="715B324E" w14:textId="77777777" w:rsidR="00035544" w:rsidRPr="0081146C" w:rsidRDefault="00035544" w:rsidP="00035544">
            <w:pPr>
              <w:pStyle w:val="Tabletext"/>
            </w:pPr>
            <w:r w:rsidRPr="0081146C">
              <w:t>the person whose receivable is factored</w:t>
            </w:r>
          </w:p>
        </w:tc>
      </w:tr>
      <w:tr w:rsidR="00035544" w:rsidRPr="0081146C" w14:paraId="050D91D9" w14:textId="77777777" w:rsidTr="008B3D55">
        <w:tc>
          <w:tcPr>
            <w:tcW w:w="717" w:type="dxa"/>
            <w:gridSpan w:val="2"/>
            <w:tcBorders>
              <w:bottom w:val="single" w:sz="4" w:space="0" w:color="auto"/>
            </w:tcBorders>
            <w:shd w:val="clear" w:color="auto" w:fill="auto"/>
          </w:tcPr>
          <w:p w14:paraId="3C007D05" w14:textId="77777777" w:rsidR="00035544" w:rsidRPr="0081146C" w:rsidRDefault="00035544" w:rsidP="00035544">
            <w:pPr>
              <w:pStyle w:val="Tabletext"/>
            </w:pPr>
            <w:r w:rsidRPr="0081146C">
              <w:t>9</w:t>
            </w:r>
          </w:p>
        </w:tc>
        <w:tc>
          <w:tcPr>
            <w:tcW w:w="3107" w:type="dxa"/>
            <w:tcBorders>
              <w:bottom w:val="single" w:sz="4" w:space="0" w:color="auto"/>
            </w:tcBorders>
            <w:shd w:val="clear" w:color="auto" w:fill="auto"/>
          </w:tcPr>
          <w:p w14:paraId="79C9075F" w14:textId="77777777" w:rsidR="00035544" w:rsidRPr="0081146C" w:rsidRDefault="00035544" w:rsidP="00035544">
            <w:pPr>
              <w:pStyle w:val="Tabletext"/>
            </w:pPr>
            <w:r w:rsidRPr="0081146C">
              <w:t>forfaiting:</w:t>
            </w:r>
          </w:p>
          <w:p w14:paraId="302CD08F" w14:textId="77777777" w:rsidR="00035544" w:rsidRPr="0081146C" w:rsidRDefault="00035544" w:rsidP="00035544">
            <w:pPr>
              <w:pStyle w:val="Tablea"/>
            </w:pPr>
            <w:r w:rsidRPr="0081146C">
              <w:t>(a) a bill of exchange; or</w:t>
            </w:r>
          </w:p>
          <w:p w14:paraId="4249B9F8" w14:textId="77777777" w:rsidR="00035544" w:rsidRPr="0081146C" w:rsidRDefault="00035544" w:rsidP="00035544">
            <w:pPr>
              <w:pStyle w:val="Tablea"/>
            </w:pPr>
            <w:r w:rsidRPr="0081146C">
              <w:t>(b) a promissory note;</w:t>
            </w:r>
          </w:p>
          <w:p w14:paraId="21702587" w14:textId="77777777" w:rsidR="00035544" w:rsidRPr="0081146C" w:rsidRDefault="00035544" w:rsidP="00035544">
            <w:pPr>
              <w:pStyle w:val="Tabletext"/>
            </w:pPr>
            <w:r w:rsidRPr="0081146C">
              <w:t>where the bill or note is forfaited in the course of carrying on a forfaiting business</w:t>
            </w:r>
          </w:p>
        </w:tc>
        <w:tc>
          <w:tcPr>
            <w:tcW w:w="3262" w:type="dxa"/>
            <w:tcBorders>
              <w:bottom w:val="single" w:sz="4" w:space="0" w:color="auto"/>
            </w:tcBorders>
            <w:shd w:val="clear" w:color="auto" w:fill="auto"/>
          </w:tcPr>
          <w:p w14:paraId="665C7BFD" w14:textId="77777777" w:rsidR="00035544" w:rsidRPr="0081146C" w:rsidRDefault="00035544" w:rsidP="00035544">
            <w:pPr>
              <w:pStyle w:val="Tabletext"/>
            </w:pPr>
            <w:r w:rsidRPr="0081146C">
              <w:t>the person whose bill or note is forfaited</w:t>
            </w:r>
          </w:p>
        </w:tc>
      </w:tr>
      <w:tr w:rsidR="00035544" w:rsidRPr="0081146C" w14:paraId="3BC2BD19" w14:textId="77777777" w:rsidTr="008B3D55">
        <w:tc>
          <w:tcPr>
            <w:tcW w:w="717" w:type="dxa"/>
            <w:gridSpan w:val="2"/>
            <w:tcBorders>
              <w:bottom w:val="single" w:sz="4" w:space="0" w:color="auto"/>
            </w:tcBorders>
            <w:shd w:val="clear" w:color="auto" w:fill="auto"/>
          </w:tcPr>
          <w:p w14:paraId="74A0EBC0" w14:textId="77777777" w:rsidR="00035544" w:rsidRPr="0081146C" w:rsidRDefault="00035544" w:rsidP="00F539A7">
            <w:pPr>
              <w:pStyle w:val="Tabletext"/>
            </w:pPr>
            <w:r w:rsidRPr="0081146C">
              <w:t>10</w:t>
            </w:r>
          </w:p>
        </w:tc>
        <w:tc>
          <w:tcPr>
            <w:tcW w:w="3107" w:type="dxa"/>
            <w:tcBorders>
              <w:bottom w:val="single" w:sz="4" w:space="0" w:color="auto"/>
            </w:tcBorders>
            <w:shd w:val="clear" w:color="auto" w:fill="auto"/>
          </w:tcPr>
          <w:p w14:paraId="5C810E3F" w14:textId="77777777" w:rsidR="00035544" w:rsidRPr="0081146C" w:rsidRDefault="00035544" w:rsidP="007A28A1">
            <w:pPr>
              <w:pStyle w:val="Tabletext"/>
              <w:keepNext/>
            </w:pPr>
            <w:r w:rsidRPr="0081146C">
              <w:t>supplying goods by way of lease under a finance lease, where:</w:t>
            </w:r>
          </w:p>
          <w:p w14:paraId="5E0C7D7F" w14:textId="77777777" w:rsidR="00035544" w:rsidRPr="0081146C" w:rsidRDefault="00035544" w:rsidP="007A28A1">
            <w:pPr>
              <w:pStyle w:val="Tablea"/>
              <w:keepNext/>
            </w:pPr>
            <w:r w:rsidRPr="0081146C">
              <w:t>(a) the goods are not acquired by a consumer (within the meaning of section</w:t>
            </w:r>
            <w:r w:rsidR="004F64A4" w:rsidRPr="0081146C">
              <w:t> </w:t>
            </w:r>
            <w:r w:rsidRPr="0081146C">
              <w:t xml:space="preserve">4B of the </w:t>
            </w:r>
            <w:r w:rsidR="005C21AA" w:rsidRPr="0081146C">
              <w:rPr>
                <w:i/>
              </w:rPr>
              <w:t>Competition and Consumer Act 2010</w:t>
            </w:r>
            <w:r w:rsidRPr="0081146C">
              <w:t>); and</w:t>
            </w:r>
          </w:p>
          <w:p w14:paraId="20375F95" w14:textId="77777777" w:rsidR="00035544" w:rsidRPr="0081146C" w:rsidRDefault="00035544" w:rsidP="007A28A1">
            <w:pPr>
              <w:pStyle w:val="Tablea"/>
              <w:keepNext/>
            </w:pPr>
            <w:r w:rsidRPr="0081146C">
              <w:t>(b) the supply is in the course of carrying on a finance leasing business</w:t>
            </w:r>
          </w:p>
        </w:tc>
        <w:tc>
          <w:tcPr>
            <w:tcW w:w="3262" w:type="dxa"/>
            <w:tcBorders>
              <w:bottom w:val="single" w:sz="4" w:space="0" w:color="auto"/>
            </w:tcBorders>
            <w:shd w:val="clear" w:color="auto" w:fill="auto"/>
          </w:tcPr>
          <w:p w14:paraId="075AA6EE" w14:textId="77777777" w:rsidR="00035544" w:rsidRPr="0081146C" w:rsidRDefault="00035544" w:rsidP="007A28A1">
            <w:pPr>
              <w:pStyle w:val="Tabletext"/>
              <w:keepNext/>
            </w:pPr>
            <w:r w:rsidRPr="0081146C">
              <w:t>the lessee</w:t>
            </w:r>
          </w:p>
        </w:tc>
      </w:tr>
      <w:tr w:rsidR="00035544" w:rsidRPr="0081146C" w14:paraId="5AC8C18E" w14:textId="77777777" w:rsidTr="008B3D55">
        <w:trPr>
          <w:cantSplit/>
        </w:trPr>
        <w:tc>
          <w:tcPr>
            <w:tcW w:w="717" w:type="dxa"/>
            <w:gridSpan w:val="2"/>
            <w:tcBorders>
              <w:top w:val="single" w:sz="4" w:space="0" w:color="auto"/>
              <w:bottom w:val="single" w:sz="4" w:space="0" w:color="auto"/>
            </w:tcBorders>
            <w:shd w:val="clear" w:color="auto" w:fill="auto"/>
          </w:tcPr>
          <w:p w14:paraId="38DD2A3F" w14:textId="77777777" w:rsidR="00035544" w:rsidRPr="0081146C" w:rsidRDefault="00035544" w:rsidP="00035544">
            <w:pPr>
              <w:pStyle w:val="Tabletext"/>
            </w:pPr>
            <w:r w:rsidRPr="0081146C">
              <w:t>11</w:t>
            </w:r>
          </w:p>
        </w:tc>
        <w:tc>
          <w:tcPr>
            <w:tcW w:w="3107" w:type="dxa"/>
            <w:tcBorders>
              <w:top w:val="single" w:sz="4" w:space="0" w:color="auto"/>
              <w:bottom w:val="single" w:sz="4" w:space="0" w:color="auto"/>
            </w:tcBorders>
            <w:shd w:val="clear" w:color="auto" w:fill="auto"/>
          </w:tcPr>
          <w:p w14:paraId="17AA7547" w14:textId="77777777" w:rsidR="00035544" w:rsidRPr="0081146C" w:rsidRDefault="00035544" w:rsidP="00035544">
            <w:pPr>
              <w:pStyle w:val="Tabletext"/>
            </w:pPr>
            <w:r w:rsidRPr="0081146C">
              <w:t>in the capacity of lessor under a finance lease, allowing the lessee to conduct a transaction in relation to the lease, where:</w:t>
            </w:r>
          </w:p>
          <w:p w14:paraId="0161D5BA" w14:textId="77777777" w:rsidR="00035544" w:rsidRPr="0081146C" w:rsidRDefault="00035544" w:rsidP="00035544">
            <w:pPr>
              <w:pStyle w:val="Tablea"/>
            </w:pPr>
            <w:r w:rsidRPr="0081146C">
              <w:t>(a) the goods were not acquired by a consumer (within the meaning of section</w:t>
            </w:r>
            <w:r w:rsidR="004F64A4" w:rsidRPr="0081146C">
              <w:t> </w:t>
            </w:r>
            <w:r w:rsidRPr="0081146C">
              <w:t xml:space="preserve">4B of the </w:t>
            </w:r>
            <w:r w:rsidR="005C21AA" w:rsidRPr="0081146C">
              <w:rPr>
                <w:i/>
              </w:rPr>
              <w:t>Competition and Consumer Act 2010</w:t>
            </w:r>
            <w:r w:rsidRPr="0081146C">
              <w:t>); and</w:t>
            </w:r>
          </w:p>
          <w:p w14:paraId="2150E523" w14:textId="77777777" w:rsidR="00035544" w:rsidRPr="0081146C" w:rsidRDefault="00035544" w:rsidP="00035544">
            <w:pPr>
              <w:pStyle w:val="Tablea"/>
            </w:pPr>
            <w:r w:rsidRPr="0081146C">
              <w:t>(b) the supply was in the course of carrying on a finance leasing business</w:t>
            </w:r>
          </w:p>
        </w:tc>
        <w:tc>
          <w:tcPr>
            <w:tcW w:w="3262" w:type="dxa"/>
            <w:tcBorders>
              <w:top w:val="single" w:sz="4" w:space="0" w:color="auto"/>
              <w:bottom w:val="single" w:sz="4" w:space="0" w:color="auto"/>
            </w:tcBorders>
            <w:shd w:val="clear" w:color="auto" w:fill="auto"/>
          </w:tcPr>
          <w:p w14:paraId="37733BC5" w14:textId="77777777" w:rsidR="00035544" w:rsidRPr="0081146C" w:rsidRDefault="00035544" w:rsidP="00035544">
            <w:pPr>
              <w:pStyle w:val="Tabletext"/>
            </w:pPr>
            <w:r w:rsidRPr="0081146C">
              <w:t>the lessee</w:t>
            </w:r>
          </w:p>
        </w:tc>
      </w:tr>
      <w:tr w:rsidR="00035544" w:rsidRPr="0081146C" w14:paraId="3491D476" w14:textId="77777777" w:rsidTr="008B3D55">
        <w:tc>
          <w:tcPr>
            <w:tcW w:w="717" w:type="dxa"/>
            <w:gridSpan w:val="2"/>
            <w:tcBorders>
              <w:bottom w:val="single" w:sz="4" w:space="0" w:color="auto"/>
            </w:tcBorders>
            <w:shd w:val="clear" w:color="auto" w:fill="auto"/>
          </w:tcPr>
          <w:p w14:paraId="62B64398" w14:textId="77777777" w:rsidR="00035544" w:rsidRPr="0081146C" w:rsidRDefault="00035544" w:rsidP="00035544">
            <w:pPr>
              <w:pStyle w:val="Tabletext"/>
            </w:pPr>
            <w:r w:rsidRPr="0081146C">
              <w:t>12</w:t>
            </w:r>
          </w:p>
        </w:tc>
        <w:tc>
          <w:tcPr>
            <w:tcW w:w="3107" w:type="dxa"/>
            <w:tcBorders>
              <w:bottom w:val="single" w:sz="4" w:space="0" w:color="auto"/>
            </w:tcBorders>
            <w:shd w:val="clear" w:color="auto" w:fill="auto"/>
          </w:tcPr>
          <w:p w14:paraId="054C045A" w14:textId="77777777" w:rsidR="00035544" w:rsidRPr="0081146C" w:rsidRDefault="00035544" w:rsidP="00035544">
            <w:pPr>
              <w:pStyle w:val="Tabletext"/>
            </w:pPr>
            <w:r w:rsidRPr="0081146C">
              <w:t>supplying goods to a person by way of hire</w:t>
            </w:r>
            <w:r w:rsidR="003B7E15" w:rsidRPr="0081146C">
              <w:noBreakHyphen/>
            </w:r>
            <w:r w:rsidRPr="0081146C">
              <w:t>purchase, where:</w:t>
            </w:r>
          </w:p>
          <w:p w14:paraId="504F93E9" w14:textId="77777777" w:rsidR="00035544" w:rsidRPr="0081146C" w:rsidRDefault="00035544" w:rsidP="00035544">
            <w:pPr>
              <w:pStyle w:val="Tablea"/>
            </w:pPr>
            <w:r w:rsidRPr="0081146C">
              <w:t>(a) the goods are not acquired by a consumer (within the meaning of section</w:t>
            </w:r>
            <w:r w:rsidR="004F64A4" w:rsidRPr="0081146C">
              <w:t> </w:t>
            </w:r>
            <w:r w:rsidRPr="0081146C">
              <w:t xml:space="preserve">4B of the </w:t>
            </w:r>
            <w:r w:rsidR="005C21AA" w:rsidRPr="0081146C">
              <w:rPr>
                <w:i/>
              </w:rPr>
              <w:t>Competition and Consumer Act 2010</w:t>
            </w:r>
            <w:r w:rsidRPr="0081146C">
              <w:t>); and</w:t>
            </w:r>
          </w:p>
          <w:p w14:paraId="17EA39B9" w14:textId="77777777" w:rsidR="00035544" w:rsidRPr="0081146C" w:rsidRDefault="00035544" w:rsidP="00035544">
            <w:pPr>
              <w:pStyle w:val="Tablea"/>
            </w:pPr>
            <w:r w:rsidRPr="0081146C">
              <w:t>(b) the supply is in the course of carrying on a business of supplying goods</w:t>
            </w:r>
          </w:p>
        </w:tc>
        <w:tc>
          <w:tcPr>
            <w:tcW w:w="3262" w:type="dxa"/>
            <w:tcBorders>
              <w:bottom w:val="single" w:sz="4" w:space="0" w:color="auto"/>
            </w:tcBorders>
            <w:shd w:val="clear" w:color="auto" w:fill="auto"/>
          </w:tcPr>
          <w:p w14:paraId="0FB52D26" w14:textId="77777777" w:rsidR="00035544" w:rsidRPr="0081146C" w:rsidRDefault="00035544" w:rsidP="00035544">
            <w:pPr>
              <w:pStyle w:val="Tabletext"/>
            </w:pPr>
            <w:r w:rsidRPr="0081146C">
              <w:t>the person</w:t>
            </w:r>
          </w:p>
        </w:tc>
      </w:tr>
      <w:tr w:rsidR="00035544" w:rsidRPr="0081146C" w14:paraId="440F4AFF" w14:textId="77777777" w:rsidTr="008B3D55">
        <w:tc>
          <w:tcPr>
            <w:tcW w:w="717" w:type="dxa"/>
            <w:gridSpan w:val="2"/>
            <w:tcBorders>
              <w:top w:val="single" w:sz="4" w:space="0" w:color="auto"/>
              <w:bottom w:val="single" w:sz="4" w:space="0" w:color="auto"/>
            </w:tcBorders>
            <w:shd w:val="clear" w:color="auto" w:fill="auto"/>
          </w:tcPr>
          <w:p w14:paraId="59907B8C" w14:textId="77777777" w:rsidR="00035544" w:rsidRPr="0081146C" w:rsidRDefault="00035544" w:rsidP="00F71231">
            <w:pPr>
              <w:pStyle w:val="Tabletext"/>
            </w:pPr>
            <w:r w:rsidRPr="0081146C">
              <w:t>13</w:t>
            </w:r>
          </w:p>
        </w:tc>
        <w:tc>
          <w:tcPr>
            <w:tcW w:w="3107" w:type="dxa"/>
            <w:tcBorders>
              <w:top w:val="single" w:sz="4" w:space="0" w:color="auto"/>
              <w:bottom w:val="single" w:sz="4" w:space="0" w:color="auto"/>
            </w:tcBorders>
            <w:shd w:val="clear" w:color="auto" w:fill="auto"/>
          </w:tcPr>
          <w:p w14:paraId="16E08B0B" w14:textId="77777777" w:rsidR="00035544" w:rsidRPr="0081146C" w:rsidRDefault="00035544" w:rsidP="00F71231">
            <w:pPr>
              <w:pStyle w:val="Tabletext"/>
            </w:pPr>
            <w:r w:rsidRPr="0081146C">
              <w:t>in the capacity of supplier of goods to a person by way of hire</w:t>
            </w:r>
            <w:r w:rsidR="003B7E15" w:rsidRPr="0081146C">
              <w:noBreakHyphen/>
            </w:r>
            <w:r w:rsidRPr="0081146C">
              <w:t>purchase, allowing the person to conduct a transaction in relation to the hire</w:t>
            </w:r>
            <w:r w:rsidR="003B7E15" w:rsidRPr="0081146C">
              <w:noBreakHyphen/>
            </w:r>
            <w:r w:rsidRPr="0081146C">
              <w:t>purchase agreement concerned, where:</w:t>
            </w:r>
          </w:p>
          <w:p w14:paraId="3F42EF07" w14:textId="77777777" w:rsidR="00035544" w:rsidRPr="0081146C" w:rsidRDefault="00035544" w:rsidP="00F71231">
            <w:pPr>
              <w:pStyle w:val="Tablea"/>
            </w:pPr>
            <w:r w:rsidRPr="0081146C">
              <w:t>(a) the goods were not acquired by a consumer (within the meaning of section</w:t>
            </w:r>
            <w:r w:rsidR="004F64A4" w:rsidRPr="0081146C">
              <w:t> </w:t>
            </w:r>
            <w:r w:rsidRPr="0081146C">
              <w:t xml:space="preserve">4B of the </w:t>
            </w:r>
            <w:r w:rsidR="005C21AA" w:rsidRPr="0081146C">
              <w:rPr>
                <w:i/>
              </w:rPr>
              <w:t>Competition and Consumer Act 2010</w:t>
            </w:r>
            <w:r w:rsidRPr="0081146C">
              <w:t>); and</w:t>
            </w:r>
          </w:p>
          <w:p w14:paraId="05D8A4B5" w14:textId="77777777" w:rsidR="00035544" w:rsidRPr="0081146C" w:rsidRDefault="00035544" w:rsidP="00F71231">
            <w:pPr>
              <w:pStyle w:val="Tablea"/>
            </w:pPr>
            <w:r w:rsidRPr="0081146C">
              <w:t>(b) the supply was in the course of carrying on a business of supplying goods</w:t>
            </w:r>
          </w:p>
        </w:tc>
        <w:tc>
          <w:tcPr>
            <w:tcW w:w="3262" w:type="dxa"/>
            <w:tcBorders>
              <w:top w:val="single" w:sz="4" w:space="0" w:color="auto"/>
              <w:bottom w:val="single" w:sz="4" w:space="0" w:color="auto"/>
            </w:tcBorders>
            <w:shd w:val="clear" w:color="auto" w:fill="auto"/>
          </w:tcPr>
          <w:p w14:paraId="633359F7" w14:textId="77777777" w:rsidR="00035544" w:rsidRPr="0081146C" w:rsidRDefault="00035544" w:rsidP="00F71231">
            <w:pPr>
              <w:pStyle w:val="Tabletext"/>
            </w:pPr>
            <w:r w:rsidRPr="0081146C">
              <w:t>the person</w:t>
            </w:r>
          </w:p>
        </w:tc>
      </w:tr>
      <w:tr w:rsidR="00035544" w:rsidRPr="0081146C" w14:paraId="0A279831" w14:textId="77777777" w:rsidTr="008B3D55">
        <w:trPr>
          <w:cantSplit/>
        </w:trPr>
        <w:tc>
          <w:tcPr>
            <w:tcW w:w="717" w:type="dxa"/>
            <w:gridSpan w:val="2"/>
            <w:tcBorders>
              <w:top w:val="single" w:sz="4" w:space="0" w:color="auto"/>
              <w:bottom w:val="single" w:sz="4" w:space="0" w:color="auto"/>
            </w:tcBorders>
            <w:shd w:val="clear" w:color="auto" w:fill="auto"/>
          </w:tcPr>
          <w:p w14:paraId="19BCF28E" w14:textId="77777777" w:rsidR="00035544" w:rsidRPr="0081146C" w:rsidRDefault="00035544" w:rsidP="00035544">
            <w:pPr>
              <w:pStyle w:val="Tabletext"/>
            </w:pPr>
            <w:r w:rsidRPr="0081146C">
              <w:t>14</w:t>
            </w:r>
          </w:p>
        </w:tc>
        <w:tc>
          <w:tcPr>
            <w:tcW w:w="3107" w:type="dxa"/>
            <w:tcBorders>
              <w:top w:val="single" w:sz="4" w:space="0" w:color="auto"/>
              <w:bottom w:val="single" w:sz="4" w:space="0" w:color="auto"/>
            </w:tcBorders>
            <w:shd w:val="clear" w:color="auto" w:fill="auto"/>
          </w:tcPr>
          <w:p w14:paraId="00B1E3DE" w14:textId="77777777" w:rsidR="00035544" w:rsidRPr="0081146C" w:rsidRDefault="00035544" w:rsidP="00035544">
            <w:pPr>
              <w:pStyle w:val="Tabletext"/>
            </w:pPr>
            <w:r w:rsidRPr="0081146C">
              <w:t>in the capacity of account provider for an account, providing a chequebook, or a similar facility, that enables the holder of the account to draw a cheque on the account</w:t>
            </w:r>
          </w:p>
        </w:tc>
        <w:tc>
          <w:tcPr>
            <w:tcW w:w="3262" w:type="dxa"/>
            <w:tcBorders>
              <w:top w:val="single" w:sz="4" w:space="0" w:color="auto"/>
              <w:bottom w:val="single" w:sz="4" w:space="0" w:color="auto"/>
            </w:tcBorders>
            <w:shd w:val="clear" w:color="auto" w:fill="auto"/>
          </w:tcPr>
          <w:p w14:paraId="437F6A8E" w14:textId="77777777" w:rsidR="00035544" w:rsidRPr="0081146C" w:rsidRDefault="00035544" w:rsidP="00035544">
            <w:pPr>
              <w:pStyle w:val="Tabletext"/>
            </w:pPr>
            <w:r w:rsidRPr="0081146C">
              <w:t>the holder of the account</w:t>
            </w:r>
          </w:p>
        </w:tc>
      </w:tr>
      <w:tr w:rsidR="00035544" w:rsidRPr="0081146C" w14:paraId="4FEF535C" w14:textId="77777777" w:rsidTr="008B3D55">
        <w:tc>
          <w:tcPr>
            <w:tcW w:w="717" w:type="dxa"/>
            <w:gridSpan w:val="2"/>
            <w:tcBorders>
              <w:bottom w:val="single" w:sz="4" w:space="0" w:color="auto"/>
            </w:tcBorders>
            <w:shd w:val="clear" w:color="auto" w:fill="auto"/>
          </w:tcPr>
          <w:p w14:paraId="2C063D22" w14:textId="77777777" w:rsidR="00035544" w:rsidRPr="0081146C" w:rsidRDefault="00035544" w:rsidP="00035544">
            <w:pPr>
              <w:pStyle w:val="Tabletext"/>
            </w:pPr>
            <w:r w:rsidRPr="0081146C">
              <w:t>15</w:t>
            </w:r>
          </w:p>
        </w:tc>
        <w:tc>
          <w:tcPr>
            <w:tcW w:w="3107" w:type="dxa"/>
            <w:tcBorders>
              <w:bottom w:val="single" w:sz="4" w:space="0" w:color="auto"/>
            </w:tcBorders>
            <w:shd w:val="clear" w:color="auto" w:fill="auto"/>
          </w:tcPr>
          <w:p w14:paraId="06641713" w14:textId="77777777" w:rsidR="00035544" w:rsidRPr="0081146C" w:rsidRDefault="00035544" w:rsidP="00035544">
            <w:pPr>
              <w:pStyle w:val="Tabletext"/>
            </w:pPr>
            <w:r w:rsidRPr="0081146C">
              <w:t>in the capacity of building society or credit union, providing a chequebook, or a similar facility, that enables the holder of an account with the building society or credit union to draw a cheque on an account held by the building society or credit union</w:t>
            </w:r>
          </w:p>
        </w:tc>
        <w:tc>
          <w:tcPr>
            <w:tcW w:w="3262" w:type="dxa"/>
            <w:tcBorders>
              <w:bottom w:val="single" w:sz="4" w:space="0" w:color="auto"/>
            </w:tcBorders>
            <w:shd w:val="clear" w:color="auto" w:fill="auto"/>
          </w:tcPr>
          <w:p w14:paraId="48D5DF96" w14:textId="77777777" w:rsidR="00035544" w:rsidRPr="0081146C" w:rsidRDefault="00035544" w:rsidP="00035544">
            <w:pPr>
              <w:pStyle w:val="Tabletext"/>
            </w:pPr>
            <w:r w:rsidRPr="0081146C">
              <w:t>the holder of the account with the building society or credit union</w:t>
            </w:r>
          </w:p>
        </w:tc>
      </w:tr>
      <w:tr w:rsidR="00035544" w:rsidRPr="0081146C" w14:paraId="5CB13789" w14:textId="77777777" w:rsidTr="008B3D55">
        <w:tc>
          <w:tcPr>
            <w:tcW w:w="717" w:type="dxa"/>
            <w:gridSpan w:val="2"/>
            <w:tcBorders>
              <w:top w:val="single" w:sz="4" w:space="0" w:color="auto"/>
              <w:bottom w:val="single" w:sz="4" w:space="0" w:color="auto"/>
            </w:tcBorders>
            <w:shd w:val="clear" w:color="auto" w:fill="auto"/>
          </w:tcPr>
          <w:p w14:paraId="2B5DD068" w14:textId="77777777" w:rsidR="00035544" w:rsidRPr="0081146C" w:rsidRDefault="00035544" w:rsidP="00035544">
            <w:pPr>
              <w:pStyle w:val="Tabletext"/>
            </w:pPr>
            <w:r w:rsidRPr="0081146C">
              <w:t>16</w:t>
            </w:r>
          </w:p>
        </w:tc>
        <w:tc>
          <w:tcPr>
            <w:tcW w:w="3107" w:type="dxa"/>
            <w:tcBorders>
              <w:top w:val="single" w:sz="4" w:space="0" w:color="auto"/>
              <w:bottom w:val="single" w:sz="4" w:space="0" w:color="auto"/>
            </w:tcBorders>
            <w:shd w:val="clear" w:color="auto" w:fill="auto"/>
          </w:tcPr>
          <w:p w14:paraId="4910F368" w14:textId="77777777" w:rsidR="00035544" w:rsidRPr="0081146C" w:rsidRDefault="00035544" w:rsidP="00035544">
            <w:pPr>
              <w:pStyle w:val="Tabletext"/>
            </w:pPr>
            <w:r w:rsidRPr="0081146C">
              <w:t>in the capacity of trustee or manager of a trust, providing a chequebook, or a similar facility, that enables the holder of a beneficial interest in the trust to draw a cheque on an account held by the trustee or manager of the trust</w:t>
            </w:r>
          </w:p>
        </w:tc>
        <w:tc>
          <w:tcPr>
            <w:tcW w:w="3262" w:type="dxa"/>
            <w:tcBorders>
              <w:top w:val="single" w:sz="4" w:space="0" w:color="auto"/>
              <w:bottom w:val="single" w:sz="4" w:space="0" w:color="auto"/>
            </w:tcBorders>
            <w:shd w:val="clear" w:color="auto" w:fill="auto"/>
          </w:tcPr>
          <w:p w14:paraId="2A56BD84" w14:textId="77777777" w:rsidR="00035544" w:rsidRPr="0081146C" w:rsidRDefault="00035544" w:rsidP="00035544">
            <w:pPr>
              <w:pStyle w:val="Tabletext"/>
            </w:pPr>
            <w:r w:rsidRPr="0081146C">
              <w:t>the holder of the beneficial interest in the trust</w:t>
            </w:r>
          </w:p>
        </w:tc>
      </w:tr>
      <w:tr w:rsidR="00035544" w:rsidRPr="0081146C" w14:paraId="5196AD60" w14:textId="77777777" w:rsidTr="008B3D55">
        <w:tc>
          <w:tcPr>
            <w:tcW w:w="717" w:type="dxa"/>
            <w:gridSpan w:val="2"/>
            <w:tcBorders>
              <w:top w:val="single" w:sz="4" w:space="0" w:color="auto"/>
              <w:bottom w:val="single" w:sz="4" w:space="0" w:color="auto"/>
            </w:tcBorders>
            <w:shd w:val="clear" w:color="auto" w:fill="auto"/>
          </w:tcPr>
          <w:p w14:paraId="15AC60A8" w14:textId="77777777" w:rsidR="00035544" w:rsidRPr="0081146C" w:rsidRDefault="00035544" w:rsidP="00F539A7">
            <w:pPr>
              <w:pStyle w:val="Tabletext"/>
            </w:pPr>
            <w:r w:rsidRPr="0081146C">
              <w:t>17</w:t>
            </w:r>
          </w:p>
        </w:tc>
        <w:tc>
          <w:tcPr>
            <w:tcW w:w="3107" w:type="dxa"/>
            <w:tcBorders>
              <w:top w:val="single" w:sz="4" w:space="0" w:color="auto"/>
              <w:bottom w:val="single" w:sz="4" w:space="0" w:color="auto"/>
            </w:tcBorders>
            <w:shd w:val="clear" w:color="auto" w:fill="auto"/>
          </w:tcPr>
          <w:p w14:paraId="1104D75D" w14:textId="77777777" w:rsidR="00035544" w:rsidRPr="0081146C" w:rsidRDefault="00035544" w:rsidP="007A28A1">
            <w:pPr>
              <w:pStyle w:val="Tabletext"/>
              <w:keepNext/>
            </w:pPr>
            <w:r w:rsidRPr="0081146C">
              <w:t>issuing:</w:t>
            </w:r>
          </w:p>
          <w:p w14:paraId="01C6C575" w14:textId="77777777" w:rsidR="00035544" w:rsidRPr="0081146C" w:rsidRDefault="00035544" w:rsidP="007A28A1">
            <w:pPr>
              <w:pStyle w:val="Tablea"/>
              <w:keepNext/>
            </w:pPr>
            <w:r w:rsidRPr="0081146C">
              <w:t>(a) a bill of exchange; or</w:t>
            </w:r>
          </w:p>
          <w:p w14:paraId="4191D599" w14:textId="77777777" w:rsidR="00035544" w:rsidRPr="0081146C" w:rsidRDefault="00035544" w:rsidP="007A28A1">
            <w:pPr>
              <w:pStyle w:val="Tablea"/>
              <w:keepNext/>
            </w:pPr>
            <w:r w:rsidRPr="0081146C">
              <w:t>(b) a promissory note; or</w:t>
            </w:r>
          </w:p>
          <w:p w14:paraId="12BC1BFD" w14:textId="77777777" w:rsidR="00035544" w:rsidRPr="0081146C" w:rsidRDefault="00035544" w:rsidP="007A28A1">
            <w:pPr>
              <w:pStyle w:val="Tablea"/>
              <w:keepNext/>
            </w:pPr>
            <w:r w:rsidRPr="0081146C">
              <w:t>(c) a letter of credit;</w:t>
            </w:r>
          </w:p>
          <w:p w14:paraId="558A7560" w14:textId="77777777" w:rsidR="00035544" w:rsidRPr="0081146C" w:rsidRDefault="00035544" w:rsidP="007A28A1">
            <w:pPr>
              <w:pStyle w:val="Tabletext"/>
              <w:keepNext/>
            </w:pPr>
            <w:r w:rsidRPr="0081146C">
              <w:t>to a person, where the bill, note or letter is issued by:</w:t>
            </w:r>
          </w:p>
          <w:p w14:paraId="3BC5D41E" w14:textId="77777777" w:rsidR="00035544" w:rsidRPr="0081146C" w:rsidRDefault="00035544" w:rsidP="007A28A1">
            <w:pPr>
              <w:pStyle w:val="Tablea"/>
              <w:keepNext/>
            </w:pPr>
            <w:r w:rsidRPr="0081146C">
              <w:t>(d) an ADI; or</w:t>
            </w:r>
          </w:p>
          <w:p w14:paraId="2F67607C" w14:textId="77777777" w:rsidR="00035544" w:rsidRPr="0081146C" w:rsidRDefault="00035544" w:rsidP="007A28A1">
            <w:pPr>
              <w:pStyle w:val="Tablea"/>
              <w:keepNext/>
            </w:pPr>
            <w:r w:rsidRPr="0081146C">
              <w:t>(e) a bank; or</w:t>
            </w:r>
          </w:p>
          <w:p w14:paraId="2BED49DE" w14:textId="77777777" w:rsidR="00035544" w:rsidRPr="0081146C" w:rsidRDefault="00035544" w:rsidP="007A28A1">
            <w:pPr>
              <w:pStyle w:val="Tablea"/>
              <w:keepNext/>
            </w:pPr>
            <w:r w:rsidRPr="0081146C">
              <w:t>(f) a building society; or</w:t>
            </w:r>
          </w:p>
          <w:p w14:paraId="493794CD" w14:textId="77777777" w:rsidR="00035544" w:rsidRPr="0081146C" w:rsidRDefault="00035544" w:rsidP="007A28A1">
            <w:pPr>
              <w:pStyle w:val="Tablea"/>
              <w:keepNext/>
            </w:pPr>
            <w:r w:rsidRPr="0081146C">
              <w:t>(g) a credit union; or</w:t>
            </w:r>
          </w:p>
          <w:p w14:paraId="74545D6D" w14:textId="77777777" w:rsidR="00035544" w:rsidRPr="0081146C" w:rsidRDefault="00035544" w:rsidP="007A28A1">
            <w:pPr>
              <w:pStyle w:val="Tablea"/>
              <w:keepNext/>
            </w:pPr>
            <w:r w:rsidRPr="0081146C">
              <w:t>(h) a person specified in the AML/CTF Rules</w:t>
            </w:r>
          </w:p>
        </w:tc>
        <w:tc>
          <w:tcPr>
            <w:tcW w:w="3262" w:type="dxa"/>
            <w:tcBorders>
              <w:top w:val="single" w:sz="4" w:space="0" w:color="auto"/>
              <w:bottom w:val="single" w:sz="4" w:space="0" w:color="auto"/>
            </w:tcBorders>
            <w:shd w:val="clear" w:color="auto" w:fill="auto"/>
          </w:tcPr>
          <w:p w14:paraId="63912072" w14:textId="77777777" w:rsidR="00035544" w:rsidRPr="0081146C" w:rsidRDefault="00035544" w:rsidP="007A28A1">
            <w:pPr>
              <w:pStyle w:val="Tabletext"/>
              <w:keepNext/>
            </w:pPr>
            <w:r w:rsidRPr="0081146C">
              <w:t>the person</w:t>
            </w:r>
          </w:p>
        </w:tc>
      </w:tr>
      <w:tr w:rsidR="00035544" w:rsidRPr="0081146C" w14:paraId="4A68B645" w14:textId="77777777" w:rsidTr="008B3D55">
        <w:trPr>
          <w:cantSplit/>
        </w:trPr>
        <w:tc>
          <w:tcPr>
            <w:tcW w:w="717" w:type="dxa"/>
            <w:gridSpan w:val="2"/>
            <w:tcBorders>
              <w:bottom w:val="single" w:sz="4" w:space="0" w:color="auto"/>
            </w:tcBorders>
            <w:shd w:val="clear" w:color="auto" w:fill="auto"/>
          </w:tcPr>
          <w:p w14:paraId="1C860E4C" w14:textId="77777777" w:rsidR="00035544" w:rsidRPr="0081146C" w:rsidRDefault="00035544" w:rsidP="00035544">
            <w:pPr>
              <w:pStyle w:val="Tabletext"/>
            </w:pPr>
            <w:r w:rsidRPr="0081146C">
              <w:t>18</w:t>
            </w:r>
          </w:p>
        </w:tc>
        <w:tc>
          <w:tcPr>
            <w:tcW w:w="3107" w:type="dxa"/>
            <w:tcBorders>
              <w:bottom w:val="single" w:sz="4" w:space="0" w:color="auto"/>
            </w:tcBorders>
            <w:shd w:val="clear" w:color="auto" w:fill="auto"/>
          </w:tcPr>
          <w:p w14:paraId="5DDF4BF4" w14:textId="77777777" w:rsidR="00AE641E" w:rsidRPr="0081146C" w:rsidRDefault="00AE641E" w:rsidP="00AE641E">
            <w:pPr>
              <w:pStyle w:val="Tabletext"/>
            </w:pPr>
            <w:r w:rsidRPr="0081146C">
              <w:t>issuing a debit card that enables the holder of an account to debit the account, where the account provider is:</w:t>
            </w:r>
          </w:p>
          <w:p w14:paraId="5A71C161" w14:textId="77777777" w:rsidR="00AE641E" w:rsidRPr="0081146C" w:rsidRDefault="00AE641E" w:rsidP="00AE641E">
            <w:pPr>
              <w:pStyle w:val="Tablea"/>
            </w:pPr>
            <w:r w:rsidRPr="0081146C">
              <w:t>(a) an ADI; or</w:t>
            </w:r>
          </w:p>
          <w:p w14:paraId="59149C19" w14:textId="77777777" w:rsidR="00AE641E" w:rsidRPr="0081146C" w:rsidRDefault="00AE641E" w:rsidP="00AE641E">
            <w:pPr>
              <w:pStyle w:val="Tablea"/>
            </w:pPr>
            <w:r w:rsidRPr="0081146C">
              <w:t>(b) a bank; or</w:t>
            </w:r>
          </w:p>
          <w:p w14:paraId="06B56093" w14:textId="77777777" w:rsidR="00AE641E" w:rsidRPr="0081146C" w:rsidRDefault="00AE641E" w:rsidP="00AE641E">
            <w:pPr>
              <w:pStyle w:val="Tablea"/>
            </w:pPr>
            <w:r w:rsidRPr="0081146C">
              <w:t>(c) a building society; or</w:t>
            </w:r>
          </w:p>
          <w:p w14:paraId="774693AF" w14:textId="77777777" w:rsidR="00AE641E" w:rsidRPr="0081146C" w:rsidRDefault="00AE641E" w:rsidP="00AE641E">
            <w:pPr>
              <w:pStyle w:val="Tablea"/>
            </w:pPr>
            <w:r w:rsidRPr="0081146C">
              <w:t>(d) a credit union; or</w:t>
            </w:r>
          </w:p>
          <w:p w14:paraId="699C87D3" w14:textId="77777777" w:rsidR="00035544" w:rsidRPr="0081146C" w:rsidRDefault="00AE641E" w:rsidP="00264196">
            <w:pPr>
              <w:pStyle w:val="Tablea"/>
            </w:pPr>
            <w:r w:rsidRPr="0081146C">
              <w:t>(e) a person specified in the AML/CTF Rules</w:t>
            </w:r>
          </w:p>
        </w:tc>
        <w:tc>
          <w:tcPr>
            <w:tcW w:w="3262" w:type="dxa"/>
            <w:tcBorders>
              <w:bottom w:val="single" w:sz="4" w:space="0" w:color="auto"/>
            </w:tcBorders>
            <w:shd w:val="clear" w:color="auto" w:fill="auto"/>
          </w:tcPr>
          <w:p w14:paraId="35138F2E" w14:textId="77777777" w:rsidR="00035544" w:rsidRPr="0081146C" w:rsidRDefault="00035544" w:rsidP="00035544">
            <w:pPr>
              <w:pStyle w:val="Tabletext"/>
            </w:pPr>
            <w:r w:rsidRPr="0081146C">
              <w:t>the holder of the account</w:t>
            </w:r>
          </w:p>
        </w:tc>
      </w:tr>
      <w:tr w:rsidR="00AE641E" w:rsidRPr="0081146C" w14:paraId="2F8F107A" w14:textId="77777777" w:rsidTr="008B3D55">
        <w:tc>
          <w:tcPr>
            <w:tcW w:w="717" w:type="dxa"/>
            <w:gridSpan w:val="2"/>
            <w:tcBorders>
              <w:top w:val="single" w:sz="4" w:space="0" w:color="auto"/>
              <w:bottom w:val="single" w:sz="4" w:space="0" w:color="auto"/>
            </w:tcBorders>
            <w:shd w:val="clear" w:color="auto" w:fill="auto"/>
          </w:tcPr>
          <w:p w14:paraId="2E2557C0" w14:textId="77777777" w:rsidR="00AE641E" w:rsidRPr="0081146C" w:rsidRDefault="00AE641E" w:rsidP="00035544">
            <w:pPr>
              <w:pStyle w:val="Tabletext"/>
            </w:pPr>
            <w:r w:rsidRPr="0081146C">
              <w:t>18A</w:t>
            </w:r>
          </w:p>
        </w:tc>
        <w:tc>
          <w:tcPr>
            <w:tcW w:w="3107" w:type="dxa"/>
            <w:tcBorders>
              <w:top w:val="single" w:sz="4" w:space="0" w:color="auto"/>
              <w:bottom w:val="single" w:sz="4" w:space="0" w:color="auto"/>
            </w:tcBorders>
            <w:shd w:val="clear" w:color="auto" w:fill="auto"/>
          </w:tcPr>
          <w:p w14:paraId="69A41CB1" w14:textId="77777777" w:rsidR="00AE641E" w:rsidRPr="0081146C" w:rsidRDefault="00AE641E" w:rsidP="00AE641E">
            <w:pPr>
              <w:pStyle w:val="Tabletext"/>
            </w:pPr>
            <w:r w:rsidRPr="0081146C">
              <w:t>issuing a debit card that enables a signatory to an account (other than the holder of the account) to debit the account, where the account provider is:</w:t>
            </w:r>
          </w:p>
          <w:p w14:paraId="57ED9821" w14:textId="77777777" w:rsidR="00AE641E" w:rsidRPr="0081146C" w:rsidRDefault="00AE641E" w:rsidP="00AE641E">
            <w:pPr>
              <w:pStyle w:val="Tablea"/>
            </w:pPr>
            <w:r w:rsidRPr="0081146C">
              <w:t>(a) an ADI; or</w:t>
            </w:r>
          </w:p>
          <w:p w14:paraId="50F1FE0F" w14:textId="77777777" w:rsidR="00AE641E" w:rsidRPr="0081146C" w:rsidRDefault="00AE641E" w:rsidP="00AE641E">
            <w:pPr>
              <w:pStyle w:val="Tablea"/>
            </w:pPr>
            <w:r w:rsidRPr="0081146C">
              <w:t>(b) a bank; or</w:t>
            </w:r>
          </w:p>
          <w:p w14:paraId="6EAC57A5" w14:textId="77777777" w:rsidR="00AE641E" w:rsidRPr="0081146C" w:rsidRDefault="00AE641E" w:rsidP="00AE641E">
            <w:pPr>
              <w:pStyle w:val="Tablea"/>
            </w:pPr>
            <w:r w:rsidRPr="0081146C">
              <w:t>(c) a building society; or</w:t>
            </w:r>
          </w:p>
          <w:p w14:paraId="64AB38BE" w14:textId="77777777" w:rsidR="00AE641E" w:rsidRPr="0081146C" w:rsidRDefault="00AE641E" w:rsidP="00AE641E">
            <w:pPr>
              <w:pStyle w:val="Tablea"/>
            </w:pPr>
            <w:r w:rsidRPr="0081146C">
              <w:t>(d) a credit union; or</w:t>
            </w:r>
          </w:p>
          <w:p w14:paraId="17ACCF21" w14:textId="77777777" w:rsidR="00AE641E" w:rsidRPr="0081146C" w:rsidRDefault="00AE641E" w:rsidP="006647FF">
            <w:pPr>
              <w:pStyle w:val="Tablea"/>
            </w:pPr>
            <w:r w:rsidRPr="0081146C">
              <w:t>(e) a person specified in the AML/CTF Rules</w:t>
            </w:r>
          </w:p>
        </w:tc>
        <w:tc>
          <w:tcPr>
            <w:tcW w:w="3262" w:type="dxa"/>
            <w:tcBorders>
              <w:top w:val="single" w:sz="4" w:space="0" w:color="auto"/>
              <w:bottom w:val="single" w:sz="4" w:space="0" w:color="auto"/>
            </w:tcBorders>
            <w:shd w:val="clear" w:color="auto" w:fill="auto"/>
          </w:tcPr>
          <w:p w14:paraId="5B92F35D" w14:textId="77777777" w:rsidR="00AE641E" w:rsidRPr="0081146C" w:rsidRDefault="00AE641E" w:rsidP="00035544">
            <w:pPr>
              <w:pStyle w:val="Tabletext"/>
            </w:pPr>
            <w:r w:rsidRPr="0081146C">
              <w:t>the signatory</w:t>
            </w:r>
          </w:p>
        </w:tc>
      </w:tr>
      <w:tr w:rsidR="00035544" w:rsidRPr="0081146C" w14:paraId="47473117" w14:textId="77777777" w:rsidTr="008B3D55">
        <w:tc>
          <w:tcPr>
            <w:tcW w:w="717" w:type="dxa"/>
            <w:gridSpan w:val="2"/>
            <w:tcBorders>
              <w:top w:val="single" w:sz="4" w:space="0" w:color="auto"/>
              <w:bottom w:val="single" w:sz="4" w:space="0" w:color="auto"/>
            </w:tcBorders>
            <w:shd w:val="clear" w:color="auto" w:fill="auto"/>
          </w:tcPr>
          <w:p w14:paraId="1E77DC0F" w14:textId="77777777" w:rsidR="00035544" w:rsidRPr="0081146C" w:rsidRDefault="00035544" w:rsidP="00F539A7">
            <w:pPr>
              <w:pStyle w:val="Tabletext"/>
            </w:pPr>
            <w:r w:rsidRPr="0081146C">
              <w:t>19</w:t>
            </w:r>
          </w:p>
        </w:tc>
        <w:tc>
          <w:tcPr>
            <w:tcW w:w="3107" w:type="dxa"/>
            <w:tcBorders>
              <w:top w:val="single" w:sz="4" w:space="0" w:color="auto"/>
              <w:bottom w:val="single" w:sz="4" w:space="0" w:color="auto"/>
            </w:tcBorders>
            <w:shd w:val="clear" w:color="auto" w:fill="auto"/>
          </w:tcPr>
          <w:p w14:paraId="7741E6B7" w14:textId="77777777" w:rsidR="00AE641E" w:rsidRPr="0081146C" w:rsidRDefault="00AE641E" w:rsidP="007A28A1">
            <w:pPr>
              <w:pStyle w:val="Tabletext"/>
              <w:keepNext/>
            </w:pPr>
            <w:r w:rsidRPr="0081146C">
              <w:t>in the capacity of building society or credit union, issuing a debit card that enables the holder of an account with the building society or credit union to debit an account held by the building society or credit union, where the account provider of the last</w:t>
            </w:r>
            <w:r w:rsidR="003B7E15" w:rsidRPr="0081146C">
              <w:noBreakHyphen/>
            </w:r>
            <w:r w:rsidRPr="0081146C">
              <w:t>mentioned account is:</w:t>
            </w:r>
          </w:p>
          <w:p w14:paraId="363CEE52" w14:textId="77777777" w:rsidR="00AE641E" w:rsidRPr="0081146C" w:rsidRDefault="00AE641E" w:rsidP="007A28A1">
            <w:pPr>
              <w:pStyle w:val="Tablea"/>
              <w:keepNext/>
            </w:pPr>
            <w:r w:rsidRPr="0081146C">
              <w:t>(a) an ADI; or</w:t>
            </w:r>
          </w:p>
          <w:p w14:paraId="5A8F92BC" w14:textId="77777777" w:rsidR="00AE641E" w:rsidRPr="0081146C" w:rsidRDefault="00AE641E" w:rsidP="007A28A1">
            <w:pPr>
              <w:pStyle w:val="Tablea"/>
              <w:keepNext/>
            </w:pPr>
            <w:r w:rsidRPr="0081146C">
              <w:t>(b) a bank; or</w:t>
            </w:r>
          </w:p>
          <w:p w14:paraId="50FD130F" w14:textId="77777777" w:rsidR="00035544" w:rsidRPr="0081146C" w:rsidRDefault="00AE641E" w:rsidP="007A28A1">
            <w:pPr>
              <w:pStyle w:val="Tablea"/>
              <w:keepNext/>
            </w:pPr>
            <w:r w:rsidRPr="0081146C">
              <w:t>(c) a person specified in the AML/CTF Rules</w:t>
            </w:r>
          </w:p>
        </w:tc>
        <w:tc>
          <w:tcPr>
            <w:tcW w:w="3262" w:type="dxa"/>
            <w:tcBorders>
              <w:top w:val="single" w:sz="4" w:space="0" w:color="auto"/>
              <w:bottom w:val="single" w:sz="4" w:space="0" w:color="auto"/>
            </w:tcBorders>
            <w:shd w:val="clear" w:color="auto" w:fill="auto"/>
          </w:tcPr>
          <w:p w14:paraId="17D0FB59" w14:textId="77777777" w:rsidR="00035544" w:rsidRPr="0081146C" w:rsidRDefault="00035544" w:rsidP="007A28A1">
            <w:pPr>
              <w:pStyle w:val="Tabletext"/>
              <w:keepNext/>
            </w:pPr>
            <w:r w:rsidRPr="0081146C">
              <w:t>the holder of the account with building society or credit union</w:t>
            </w:r>
          </w:p>
        </w:tc>
      </w:tr>
      <w:tr w:rsidR="00AE641E" w:rsidRPr="0081146C" w14:paraId="0BCD7483" w14:textId="77777777" w:rsidTr="008B3D55">
        <w:trPr>
          <w:cantSplit/>
        </w:trPr>
        <w:tc>
          <w:tcPr>
            <w:tcW w:w="717" w:type="dxa"/>
            <w:gridSpan w:val="2"/>
            <w:tcBorders>
              <w:bottom w:val="single" w:sz="4" w:space="0" w:color="auto"/>
            </w:tcBorders>
            <w:shd w:val="clear" w:color="auto" w:fill="auto"/>
          </w:tcPr>
          <w:p w14:paraId="11331C32" w14:textId="77777777" w:rsidR="00AE641E" w:rsidRPr="0081146C" w:rsidRDefault="00AE641E" w:rsidP="00035544">
            <w:pPr>
              <w:pStyle w:val="Tabletext"/>
            </w:pPr>
            <w:r w:rsidRPr="0081146C">
              <w:t>19A</w:t>
            </w:r>
          </w:p>
        </w:tc>
        <w:tc>
          <w:tcPr>
            <w:tcW w:w="3107" w:type="dxa"/>
            <w:tcBorders>
              <w:bottom w:val="single" w:sz="4" w:space="0" w:color="auto"/>
            </w:tcBorders>
            <w:shd w:val="clear" w:color="auto" w:fill="auto"/>
          </w:tcPr>
          <w:p w14:paraId="70CD5FA9" w14:textId="77777777" w:rsidR="00AE641E" w:rsidRPr="0081146C" w:rsidRDefault="00AE641E" w:rsidP="00AE641E">
            <w:pPr>
              <w:pStyle w:val="Tabletext"/>
            </w:pPr>
            <w:r w:rsidRPr="0081146C">
              <w:t>in the capacity of building society or credit union, issuing a debit card that enables a signatory to an account with the building society or credit union (other than the holder of the account with the building society or credit union) to debit an account held by the building society or credit union, where the account provider of the last</w:t>
            </w:r>
            <w:r w:rsidR="003B7E15" w:rsidRPr="0081146C">
              <w:noBreakHyphen/>
            </w:r>
            <w:r w:rsidRPr="0081146C">
              <w:t>mentioned account is:</w:t>
            </w:r>
          </w:p>
          <w:p w14:paraId="11DBCAC3" w14:textId="77777777" w:rsidR="00AE641E" w:rsidRPr="0081146C" w:rsidRDefault="00AE641E" w:rsidP="00AE641E">
            <w:pPr>
              <w:pStyle w:val="Tablea"/>
            </w:pPr>
            <w:r w:rsidRPr="0081146C">
              <w:t>(a) an ADI; or</w:t>
            </w:r>
          </w:p>
          <w:p w14:paraId="37FE51C3" w14:textId="77777777" w:rsidR="00AE641E" w:rsidRPr="0081146C" w:rsidRDefault="00AE641E" w:rsidP="00AE641E">
            <w:pPr>
              <w:pStyle w:val="Tablea"/>
            </w:pPr>
            <w:r w:rsidRPr="0081146C">
              <w:t>(b) a bank; or</w:t>
            </w:r>
          </w:p>
          <w:p w14:paraId="32938526" w14:textId="77777777" w:rsidR="00AE641E" w:rsidRPr="0081146C" w:rsidRDefault="00AE641E" w:rsidP="006647FF">
            <w:pPr>
              <w:pStyle w:val="Tablea"/>
            </w:pPr>
            <w:r w:rsidRPr="0081146C">
              <w:t>(c) a person specified in the AML/CTF Rules</w:t>
            </w:r>
          </w:p>
        </w:tc>
        <w:tc>
          <w:tcPr>
            <w:tcW w:w="3262" w:type="dxa"/>
            <w:tcBorders>
              <w:bottom w:val="single" w:sz="4" w:space="0" w:color="auto"/>
            </w:tcBorders>
            <w:shd w:val="clear" w:color="auto" w:fill="auto"/>
          </w:tcPr>
          <w:p w14:paraId="6067DE71" w14:textId="77777777" w:rsidR="00AE641E" w:rsidRPr="0081146C" w:rsidRDefault="00AE641E" w:rsidP="00035544">
            <w:pPr>
              <w:pStyle w:val="Tabletext"/>
            </w:pPr>
            <w:r w:rsidRPr="0081146C">
              <w:t>the signatory</w:t>
            </w:r>
          </w:p>
        </w:tc>
      </w:tr>
      <w:tr w:rsidR="00035544" w:rsidRPr="0081146C" w14:paraId="1F75C1A9" w14:textId="77777777" w:rsidTr="008B3D55">
        <w:tc>
          <w:tcPr>
            <w:tcW w:w="717" w:type="dxa"/>
            <w:gridSpan w:val="2"/>
            <w:tcBorders>
              <w:top w:val="single" w:sz="4" w:space="0" w:color="auto"/>
              <w:bottom w:val="single" w:sz="4" w:space="0" w:color="auto"/>
            </w:tcBorders>
            <w:shd w:val="clear" w:color="auto" w:fill="auto"/>
          </w:tcPr>
          <w:p w14:paraId="63FB88CC" w14:textId="77777777" w:rsidR="00035544" w:rsidRPr="0081146C" w:rsidRDefault="00035544" w:rsidP="00F539A7">
            <w:pPr>
              <w:pStyle w:val="Tabletext"/>
            </w:pPr>
            <w:r w:rsidRPr="0081146C">
              <w:t>20</w:t>
            </w:r>
          </w:p>
        </w:tc>
        <w:tc>
          <w:tcPr>
            <w:tcW w:w="3107" w:type="dxa"/>
            <w:tcBorders>
              <w:top w:val="single" w:sz="4" w:space="0" w:color="auto"/>
              <w:bottom w:val="single" w:sz="4" w:space="0" w:color="auto"/>
            </w:tcBorders>
            <w:shd w:val="clear" w:color="auto" w:fill="auto"/>
          </w:tcPr>
          <w:p w14:paraId="43BBF7B0" w14:textId="77777777" w:rsidR="00AE641E" w:rsidRPr="0081146C" w:rsidRDefault="00AE641E" w:rsidP="007A28A1">
            <w:pPr>
              <w:pStyle w:val="Tabletext"/>
              <w:keepNext/>
            </w:pPr>
            <w:r w:rsidRPr="0081146C">
              <w:t>in the capacity of trustee or manager of a trust, issuing a debit card that enables the holder of a beneficial interest in the trust to debit an account held by the trustee or manager of the trust, where the account provider is:</w:t>
            </w:r>
          </w:p>
          <w:p w14:paraId="1D1A0543" w14:textId="77777777" w:rsidR="00AE641E" w:rsidRPr="0081146C" w:rsidRDefault="00AE641E" w:rsidP="007A28A1">
            <w:pPr>
              <w:pStyle w:val="Tablea"/>
              <w:keepNext/>
            </w:pPr>
            <w:r w:rsidRPr="0081146C">
              <w:t>(a) an ADI; or</w:t>
            </w:r>
          </w:p>
          <w:p w14:paraId="0A48AB84" w14:textId="77777777" w:rsidR="00AE641E" w:rsidRPr="0081146C" w:rsidRDefault="00AE641E" w:rsidP="007A28A1">
            <w:pPr>
              <w:pStyle w:val="Tablea"/>
              <w:keepNext/>
            </w:pPr>
            <w:r w:rsidRPr="0081146C">
              <w:t>(b) a bank; or</w:t>
            </w:r>
          </w:p>
          <w:p w14:paraId="20E8A811" w14:textId="77777777" w:rsidR="00AE641E" w:rsidRPr="0081146C" w:rsidRDefault="00AE641E" w:rsidP="007A28A1">
            <w:pPr>
              <w:pStyle w:val="Tablea"/>
              <w:keepNext/>
            </w:pPr>
            <w:r w:rsidRPr="0081146C">
              <w:t>(c) a building society; or</w:t>
            </w:r>
          </w:p>
          <w:p w14:paraId="18846819" w14:textId="77777777" w:rsidR="00AE641E" w:rsidRPr="0081146C" w:rsidRDefault="00AE641E" w:rsidP="007A28A1">
            <w:pPr>
              <w:pStyle w:val="Tablea"/>
              <w:keepNext/>
            </w:pPr>
            <w:r w:rsidRPr="0081146C">
              <w:t>(d) a credit union; or</w:t>
            </w:r>
          </w:p>
          <w:p w14:paraId="2A9A4B58" w14:textId="77777777" w:rsidR="00035544" w:rsidRPr="0081146C" w:rsidRDefault="00AE641E" w:rsidP="007A28A1">
            <w:pPr>
              <w:pStyle w:val="Tablea"/>
              <w:keepNext/>
            </w:pPr>
            <w:r w:rsidRPr="0081146C">
              <w:t>(e) a person specified in the AML/CTF Rules</w:t>
            </w:r>
          </w:p>
        </w:tc>
        <w:tc>
          <w:tcPr>
            <w:tcW w:w="3262" w:type="dxa"/>
            <w:tcBorders>
              <w:top w:val="single" w:sz="4" w:space="0" w:color="auto"/>
              <w:bottom w:val="single" w:sz="4" w:space="0" w:color="auto"/>
            </w:tcBorders>
            <w:shd w:val="clear" w:color="auto" w:fill="auto"/>
          </w:tcPr>
          <w:p w14:paraId="7C4934A6" w14:textId="77777777" w:rsidR="00035544" w:rsidRPr="0081146C" w:rsidRDefault="00035544" w:rsidP="007A28A1">
            <w:pPr>
              <w:pStyle w:val="Tabletext"/>
              <w:keepNext/>
            </w:pPr>
            <w:r w:rsidRPr="0081146C">
              <w:t>the holder of the beneficial interest in the trust</w:t>
            </w:r>
          </w:p>
        </w:tc>
      </w:tr>
      <w:tr w:rsidR="00AE641E" w:rsidRPr="0081146C" w14:paraId="0F60B2A0" w14:textId="77777777" w:rsidTr="008B3D55">
        <w:trPr>
          <w:cantSplit/>
        </w:trPr>
        <w:tc>
          <w:tcPr>
            <w:tcW w:w="717" w:type="dxa"/>
            <w:gridSpan w:val="2"/>
            <w:tcBorders>
              <w:top w:val="single" w:sz="4" w:space="0" w:color="auto"/>
              <w:bottom w:val="single" w:sz="4" w:space="0" w:color="auto"/>
            </w:tcBorders>
            <w:shd w:val="clear" w:color="auto" w:fill="auto"/>
          </w:tcPr>
          <w:p w14:paraId="039345E4" w14:textId="77777777" w:rsidR="00AE641E" w:rsidRPr="0081146C" w:rsidRDefault="00AE641E" w:rsidP="00035544">
            <w:pPr>
              <w:pStyle w:val="Tabletext"/>
            </w:pPr>
            <w:r w:rsidRPr="0081146C">
              <w:t>20A</w:t>
            </w:r>
          </w:p>
        </w:tc>
        <w:tc>
          <w:tcPr>
            <w:tcW w:w="3107" w:type="dxa"/>
            <w:tcBorders>
              <w:top w:val="single" w:sz="4" w:space="0" w:color="auto"/>
              <w:bottom w:val="single" w:sz="4" w:space="0" w:color="auto"/>
            </w:tcBorders>
            <w:shd w:val="clear" w:color="auto" w:fill="auto"/>
          </w:tcPr>
          <w:p w14:paraId="43ECF8F8" w14:textId="77777777" w:rsidR="00AE641E" w:rsidRPr="0081146C" w:rsidRDefault="00AE641E" w:rsidP="00AE641E">
            <w:pPr>
              <w:pStyle w:val="Tabletext"/>
            </w:pPr>
            <w:r w:rsidRPr="0081146C">
              <w:t>in the capacity of trustee or manager of a trust, issuing a debit card that enables a signatory authorised by the holder of a beneficial interest in the trust to debit an account held by the trustee or manager of the trust, where the account provider is:</w:t>
            </w:r>
          </w:p>
          <w:p w14:paraId="75182452" w14:textId="77777777" w:rsidR="00AE641E" w:rsidRPr="0081146C" w:rsidRDefault="00AE641E" w:rsidP="00AE641E">
            <w:pPr>
              <w:pStyle w:val="Tablea"/>
            </w:pPr>
            <w:r w:rsidRPr="0081146C">
              <w:t>(a) an ADI; or</w:t>
            </w:r>
          </w:p>
          <w:p w14:paraId="3A366303" w14:textId="77777777" w:rsidR="00AE641E" w:rsidRPr="0081146C" w:rsidRDefault="00AE641E" w:rsidP="00AE641E">
            <w:pPr>
              <w:pStyle w:val="Tablea"/>
            </w:pPr>
            <w:r w:rsidRPr="0081146C">
              <w:t>(b) a bank; or</w:t>
            </w:r>
          </w:p>
          <w:p w14:paraId="5381426E" w14:textId="77777777" w:rsidR="00AE641E" w:rsidRPr="0081146C" w:rsidRDefault="00AE641E" w:rsidP="00AE641E">
            <w:pPr>
              <w:pStyle w:val="Tablea"/>
            </w:pPr>
            <w:r w:rsidRPr="0081146C">
              <w:t>(c) a building society; or</w:t>
            </w:r>
          </w:p>
          <w:p w14:paraId="20DE55B9" w14:textId="77777777" w:rsidR="00AE641E" w:rsidRPr="0081146C" w:rsidRDefault="00AE641E" w:rsidP="00AE641E">
            <w:pPr>
              <w:pStyle w:val="Tablea"/>
            </w:pPr>
            <w:r w:rsidRPr="0081146C">
              <w:t>(d) a credit union; or</w:t>
            </w:r>
          </w:p>
          <w:p w14:paraId="0C8B52EE" w14:textId="77777777" w:rsidR="00AE641E" w:rsidRPr="0081146C" w:rsidRDefault="00AE641E" w:rsidP="006647FF">
            <w:pPr>
              <w:pStyle w:val="Tablea"/>
            </w:pPr>
            <w:r w:rsidRPr="0081146C">
              <w:t>(e) a person specified in the AML/CTF Rules</w:t>
            </w:r>
          </w:p>
        </w:tc>
        <w:tc>
          <w:tcPr>
            <w:tcW w:w="3262" w:type="dxa"/>
            <w:tcBorders>
              <w:top w:val="single" w:sz="4" w:space="0" w:color="auto"/>
              <w:bottom w:val="single" w:sz="4" w:space="0" w:color="auto"/>
            </w:tcBorders>
            <w:shd w:val="clear" w:color="auto" w:fill="auto"/>
          </w:tcPr>
          <w:p w14:paraId="57F93B31" w14:textId="77777777" w:rsidR="00AE641E" w:rsidRPr="0081146C" w:rsidRDefault="00AE641E" w:rsidP="00035544">
            <w:pPr>
              <w:pStyle w:val="Tabletext"/>
            </w:pPr>
            <w:r w:rsidRPr="0081146C">
              <w:t>the signatory</w:t>
            </w:r>
          </w:p>
        </w:tc>
      </w:tr>
      <w:tr w:rsidR="00035544" w:rsidRPr="0081146C" w14:paraId="2D759B0C" w14:textId="77777777" w:rsidTr="008B3D55">
        <w:tc>
          <w:tcPr>
            <w:tcW w:w="717" w:type="dxa"/>
            <w:gridSpan w:val="2"/>
            <w:tcBorders>
              <w:bottom w:val="single" w:sz="4" w:space="0" w:color="auto"/>
            </w:tcBorders>
            <w:shd w:val="clear" w:color="auto" w:fill="auto"/>
          </w:tcPr>
          <w:p w14:paraId="0BB16637" w14:textId="77777777" w:rsidR="00035544" w:rsidRPr="0081146C" w:rsidRDefault="00035544" w:rsidP="00F539A7">
            <w:pPr>
              <w:pStyle w:val="Tabletext"/>
            </w:pPr>
            <w:r w:rsidRPr="0081146C">
              <w:t>21</w:t>
            </w:r>
          </w:p>
        </w:tc>
        <w:tc>
          <w:tcPr>
            <w:tcW w:w="3107" w:type="dxa"/>
            <w:tcBorders>
              <w:bottom w:val="single" w:sz="4" w:space="0" w:color="auto"/>
            </w:tcBorders>
            <w:shd w:val="clear" w:color="auto" w:fill="auto"/>
          </w:tcPr>
          <w:p w14:paraId="2FAB0766" w14:textId="77777777" w:rsidR="00035544" w:rsidRPr="0081146C" w:rsidRDefault="00035544" w:rsidP="007A28A1">
            <w:pPr>
              <w:pStyle w:val="Tabletext"/>
              <w:keepNext/>
            </w:pPr>
            <w:r w:rsidRPr="0081146C">
              <w:t>issuing a stored value card to a person, where:</w:t>
            </w:r>
          </w:p>
          <w:p w14:paraId="4F47AF77" w14:textId="77777777" w:rsidR="00035544" w:rsidRPr="0081146C" w:rsidRDefault="00035544" w:rsidP="007A28A1">
            <w:pPr>
              <w:pStyle w:val="Tablea"/>
              <w:keepNext/>
            </w:pPr>
            <w:r w:rsidRPr="0081146C">
              <w:t xml:space="preserve">(a) the whole or a part of the monetary value </w:t>
            </w:r>
            <w:r w:rsidR="00A34E49" w:rsidRPr="0081146C">
              <w:t>stored in connection with</w:t>
            </w:r>
            <w:r w:rsidRPr="0081146C">
              <w:t xml:space="preserve"> the card may be withdrawn in cash; and</w:t>
            </w:r>
          </w:p>
          <w:p w14:paraId="0C235927" w14:textId="77777777" w:rsidR="00035544" w:rsidRPr="0081146C" w:rsidRDefault="00035544" w:rsidP="007A28A1">
            <w:pPr>
              <w:pStyle w:val="Tablea"/>
              <w:keepNext/>
            </w:pPr>
            <w:r w:rsidRPr="0081146C">
              <w:t xml:space="preserve">(b) the monetary value </w:t>
            </w:r>
            <w:r w:rsidR="00A43597" w:rsidRPr="0081146C">
              <w:t>stored in connection with</w:t>
            </w:r>
            <w:r w:rsidRPr="0081146C">
              <w:t xml:space="preserve"> the card is not less than:</w:t>
            </w:r>
          </w:p>
          <w:p w14:paraId="431FD661" w14:textId="77777777" w:rsidR="00035544" w:rsidRPr="0081146C" w:rsidRDefault="00035544" w:rsidP="007A28A1">
            <w:pPr>
              <w:pStyle w:val="Tablei"/>
              <w:keepNext/>
            </w:pPr>
            <w:r w:rsidRPr="0081146C">
              <w:t>(i) $1,000; or</w:t>
            </w:r>
          </w:p>
          <w:p w14:paraId="37701D55" w14:textId="77777777" w:rsidR="00035544" w:rsidRPr="0081146C" w:rsidRDefault="00035544" w:rsidP="007A28A1">
            <w:pPr>
              <w:pStyle w:val="Tablei"/>
              <w:keepNext/>
            </w:pPr>
            <w:r w:rsidRPr="0081146C">
              <w:t>(ii) if another amount is specified in the regulations—that other amount</w:t>
            </w:r>
          </w:p>
        </w:tc>
        <w:tc>
          <w:tcPr>
            <w:tcW w:w="3262" w:type="dxa"/>
            <w:tcBorders>
              <w:bottom w:val="single" w:sz="4" w:space="0" w:color="auto"/>
            </w:tcBorders>
            <w:shd w:val="clear" w:color="auto" w:fill="auto"/>
          </w:tcPr>
          <w:p w14:paraId="63221467" w14:textId="77777777" w:rsidR="00035544" w:rsidRPr="0081146C" w:rsidRDefault="00035544" w:rsidP="007A28A1">
            <w:pPr>
              <w:pStyle w:val="Tabletext"/>
              <w:keepNext/>
            </w:pPr>
            <w:r w:rsidRPr="0081146C">
              <w:t>the person</w:t>
            </w:r>
          </w:p>
        </w:tc>
      </w:tr>
      <w:tr w:rsidR="00035544" w:rsidRPr="0081146C" w14:paraId="542BC5EF" w14:textId="77777777" w:rsidTr="008B3D55">
        <w:trPr>
          <w:cantSplit/>
        </w:trPr>
        <w:tc>
          <w:tcPr>
            <w:tcW w:w="717" w:type="dxa"/>
            <w:gridSpan w:val="2"/>
            <w:tcBorders>
              <w:top w:val="single" w:sz="4" w:space="0" w:color="auto"/>
              <w:bottom w:val="single" w:sz="4" w:space="0" w:color="auto"/>
            </w:tcBorders>
            <w:shd w:val="clear" w:color="auto" w:fill="auto"/>
          </w:tcPr>
          <w:p w14:paraId="13C9D6DB" w14:textId="77777777" w:rsidR="00035544" w:rsidRPr="0081146C" w:rsidRDefault="00035544" w:rsidP="00035544">
            <w:pPr>
              <w:pStyle w:val="Tabletext"/>
            </w:pPr>
            <w:r w:rsidRPr="0081146C">
              <w:t>22</w:t>
            </w:r>
          </w:p>
        </w:tc>
        <w:tc>
          <w:tcPr>
            <w:tcW w:w="3107" w:type="dxa"/>
            <w:tcBorders>
              <w:top w:val="single" w:sz="4" w:space="0" w:color="auto"/>
              <w:bottom w:val="single" w:sz="4" w:space="0" w:color="auto"/>
            </w:tcBorders>
            <w:shd w:val="clear" w:color="auto" w:fill="auto"/>
          </w:tcPr>
          <w:p w14:paraId="41444B94" w14:textId="77777777" w:rsidR="00035544" w:rsidRPr="0081146C" w:rsidRDefault="00035544" w:rsidP="00035544">
            <w:pPr>
              <w:pStyle w:val="Tabletext"/>
            </w:pPr>
            <w:r w:rsidRPr="0081146C">
              <w:t xml:space="preserve">increasing the monetary value </w:t>
            </w:r>
            <w:r w:rsidR="00A34E49" w:rsidRPr="0081146C">
              <w:t>stored in connection with</w:t>
            </w:r>
            <w:r w:rsidRPr="0081146C">
              <w:t xml:space="preserve"> a stored value card held by a person, where:</w:t>
            </w:r>
          </w:p>
          <w:p w14:paraId="74143332" w14:textId="77777777" w:rsidR="00035544" w:rsidRPr="0081146C" w:rsidRDefault="00035544" w:rsidP="00035544">
            <w:pPr>
              <w:pStyle w:val="Tablea"/>
            </w:pPr>
            <w:r w:rsidRPr="0081146C">
              <w:t xml:space="preserve">(a) the whole or a part of the monetary value </w:t>
            </w:r>
            <w:r w:rsidR="00D6165F" w:rsidRPr="0081146C">
              <w:t>stored in connection with</w:t>
            </w:r>
            <w:r w:rsidRPr="0081146C">
              <w:t xml:space="preserve"> the card may be withdrawn in cash; and</w:t>
            </w:r>
          </w:p>
          <w:p w14:paraId="45FCFB7A" w14:textId="77777777" w:rsidR="00035544" w:rsidRPr="0081146C" w:rsidRDefault="00035544" w:rsidP="00035544">
            <w:pPr>
              <w:pStyle w:val="Tablea"/>
            </w:pPr>
            <w:r w:rsidRPr="0081146C">
              <w:t>(b) the increased monetary value is not less than:</w:t>
            </w:r>
          </w:p>
          <w:p w14:paraId="154849F8" w14:textId="77777777" w:rsidR="00035544" w:rsidRPr="0081146C" w:rsidRDefault="00035544" w:rsidP="00035544">
            <w:pPr>
              <w:pStyle w:val="Tablei"/>
            </w:pPr>
            <w:r w:rsidRPr="0081146C">
              <w:t>(i) $1,000; or</w:t>
            </w:r>
          </w:p>
          <w:p w14:paraId="114A6FFC" w14:textId="77777777" w:rsidR="00035544" w:rsidRPr="0081146C" w:rsidRDefault="00035544" w:rsidP="00035544">
            <w:pPr>
              <w:pStyle w:val="Tablei"/>
            </w:pPr>
            <w:r w:rsidRPr="0081146C">
              <w:t>(ii) if another amount is specified in the regulations—that other amount</w:t>
            </w:r>
          </w:p>
        </w:tc>
        <w:tc>
          <w:tcPr>
            <w:tcW w:w="3262" w:type="dxa"/>
            <w:tcBorders>
              <w:top w:val="single" w:sz="4" w:space="0" w:color="auto"/>
              <w:bottom w:val="single" w:sz="4" w:space="0" w:color="auto"/>
            </w:tcBorders>
            <w:shd w:val="clear" w:color="auto" w:fill="auto"/>
          </w:tcPr>
          <w:p w14:paraId="6FB6D58F" w14:textId="77777777" w:rsidR="00035544" w:rsidRPr="0081146C" w:rsidRDefault="00035544" w:rsidP="00035544">
            <w:pPr>
              <w:pStyle w:val="Tabletext"/>
            </w:pPr>
            <w:r w:rsidRPr="0081146C">
              <w:t>the person</w:t>
            </w:r>
          </w:p>
        </w:tc>
      </w:tr>
      <w:tr w:rsidR="00035544" w:rsidRPr="0081146C" w14:paraId="5D4D8AD1" w14:textId="77777777" w:rsidTr="008B3D55">
        <w:tc>
          <w:tcPr>
            <w:tcW w:w="717" w:type="dxa"/>
            <w:gridSpan w:val="2"/>
            <w:tcBorders>
              <w:bottom w:val="single" w:sz="4" w:space="0" w:color="auto"/>
            </w:tcBorders>
            <w:shd w:val="clear" w:color="auto" w:fill="auto"/>
          </w:tcPr>
          <w:p w14:paraId="2E554CC0" w14:textId="77777777" w:rsidR="00035544" w:rsidRPr="0081146C" w:rsidRDefault="00035544" w:rsidP="00035544">
            <w:pPr>
              <w:pStyle w:val="Tabletext"/>
            </w:pPr>
            <w:r w:rsidRPr="0081146C">
              <w:t>23</w:t>
            </w:r>
          </w:p>
        </w:tc>
        <w:tc>
          <w:tcPr>
            <w:tcW w:w="3107" w:type="dxa"/>
            <w:tcBorders>
              <w:bottom w:val="single" w:sz="4" w:space="0" w:color="auto"/>
            </w:tcBorders>
            <w:shd w:val="clear" w:color="auto" w:fill="auto"/>
          </w:tcPr>
          <w:p w14:paraId="196E1CF2" w14:textId="77777777" w:rsidR="00035544" w:rsidRPr="0081146C" w:rsidRDefault="00035544" w:rsidP="00035544">
            <w:pPr>
              <w:pStyle w:val="Tabletext"/>
            </w:pPr>
            <w:r w:rsidRPr="0081146C">
              <w:t>issuing a stored value card to a person, where:</w:t>
            </w:r>
          </w:p>
          <w:p w14:paraId="3059366C" w14:textId="77777777" w:rsidR="00035544" w:rsidRPr="0081146C" w:rsidRDefault="00035544" w:rsidP="00035544">
            <w:pPr>
              <w:pStyle w:val="Tablea"/>
            </w:pPr>
            <w:r w:rsidRPr="0081146C">
              <w:t xml:space="preserve">(a) no part of the monetary value </w:t>
            </w:r>
            <w:r w:rsidR="008D1392" w:rsidRPr="0081146C">
              <w:t>stored in connection with</w:t>
            </w:r>
            <w:r w:rsidRPr="0081146C">
              <w:t xml:space="preserve"> the card may be withdrawn in cash; and</w:t>
            </w:r>
          </w:p>
          <w:p w14:paraId="6989A426" w14:textId="77777777" w:rsidR="00035544" w:rsidRPr="0081146C" w:rsidRDefault="00035544" w:rsidP="00035544">
            <w:pPr>
              <w:pStyle w:val="Tablea"/>
            </w:pPr>
            <w:r w:rsidRPr="0081146C">
              <w:t xml:space="preserve">(b) the monetary value </w:t>
            </w:r>
            <w:r w:rsidR="00A34E49" w:rsidRPr="0081146C">
              <w:t>stored in connection with</w:t>
            </w:r>
            <w:r w:rsidRPr="0081146C">
              <w:t xml:space="preserve"> the card is not less than:</w:t>
            </w:r>
          </w:p>
          <w:p w14:paraId="606B3A9E" w14:textId="77777777" w:rsidR="00035544" w:rsidRPr="0081146C" w:rsidRDefault="00035544" w:rsidP="00035544">
            <w:pPr>
              <w:pStyle w:val="Tablei"/>
            </w:pPr>
            <w:r w:rsidRPr="0081146C">
              <w:t>(i) $5,000; or</w:t>
            </w:r>
          </w:p>
          <w:p w14:paraId="0CB4A00F" w14:textId="77777777" w:rsidR="00035544" w:rsidRPr="0081146C" w:rsidRDefault="00035544" w:rsidP="00035544">
            <w:pPr>
              <w:pStyle w:val="Tablei"/>
            </w:pPr>
            <w:r w:rsidRPr="0081146C">
              <w:t>(ii) if another amount is specified in the regulations—that other amount</w:t>
            </w:r>
          </w:p>
        </w:tc>
        <w:tc>
          <w:tcPr>
            <w:tcW w:w="3262" w:type="dxa"/>
            <w:tcBorders>
              <w:bottom w:val="single" w:sz="4" w:space="0" w:color="auto"/>
            </w:tcBorders>
            <w:shd w:val="clear" w:color="auto" w:fill="auto"/>
          </w:tcPr>
          <w:p w14:paraId="086D1F11" w14:textId="77777777" w:rsidR="00035544" w:rsidRPr="0081146C" w:rsidRDefault="00035544" w:rsidP="00035544">
            <w:pPr>
              <w:pStyle w:val="Tabletext"/>
            </w:pPr>
            <w:r w:rsidRPr="0081146C">
              <w:t>the person</w:t>
            </w:r>
          </w:p>
        </w:tc>
      </w:tr>
      <w:tr w:rsidR="00035544" w:rsidRPr="0081146C" w14:paraId="107D9934" w14:textId="77777777" w:rsidTr="008B3D55">
        <w:trPr>
          <w:cantSplit/>
        </w:trPr>
        <w:tc>
          <w:tcPr>
            <w:tcW w:w="717" w:type="dxa"/>
            <w:gridSpan w:val="2"/>
            <w:tcBorders>
              <w:top w:val="single" w:sz="4" w:space="0" w:color="auto"/>
            </w:tcBorders>
            <w:shd w:val="clear" w:color="auto" w:fill="auto"/>
          </w:tcPr>
          <w:p w14:paraId="02D3643F" w14:textId="77777777" w:rsidR="00035544" w:rsidRPr="0081146C" w:rsidRDefault="00035544" w:rsidP="00606538">
            <w:pPr>
              <w:pStyle w:val="Tabletext"/>
            </w:pPr>
            <w:r w:rsidRPr="0081146C">
              <w:t>24</w:t>
            </w:r>
          </w:p>
        </w:tc>
        <w:tc>
          <w:tcPr>
            <w:tcW w:w="3107" w:type="dxa"/>
            <w:tcBorders>
              <w:top w:val="single" w:sz="4" w:space="0" w:color="auto"/>
            </w:tcBorders>
            <w:shd w:val="clear" w:color="auto" w:fill="auto"/>
          </w:tcPr>
          <w:p w14:paraId="02B98315" w14:textId="77777777" w:rsidR="00035544" w:rsidRPr="0081146C" w:rsidRDefault="00035544" w:rsidP="00606538">
            <w:pPr>
              <w:pStyle w:val="Tabletext"/>
            </w:pPr>
            <w:r w:rsidRPr="0081146C">
              <w:t xml:space="preserve">increasing the monetary value </w:t>
            </w:r>
            <w:r w:rsidR="00D555FF" w:rsidRPr="0081146C">
              <w:t>stored in connection with</w:t>
            </w:r>
            <w:r w:rsidRPr="0081146C">
              <w:t xml:space="preserve"> a stored value card held by a person, where:</w:t>
            </w:r>
          </w:p>
          <w:p w14:paraId="21E666F8" w14:textId="77777777" w:rsidR="00035544" w:rsidRPr="0081146C" w:rsidRDefault="00035544" w:rsidP="00606538">
            <w:pPr>
              <w:pStyle w:val="Tablea"/>
            </w:pPr>
            <w:r w:rsidRPr="0081146C">
              <w:t xml:space="preserve">(a) no part of the monetary value </w:t>
            </w:r>
            <w:r w:rsidR="00A34E49" w:rsidRPr="0081146C">
              <w:t>stored in connection with</w:t>
            </w:r>
            <w:r w:rsidRPr="0081146C">
              <w:t xml:space="preserve"> the card may be withdrawn in cash; and</w:t>
            </w:r>
          </w:p>
          <w:p w14:paraId="1F08F442" w14:textId="77777777" w:rsidR="00035544" w:rsidRPr="0081146C" w:rsidRDefault="00035544" w:rsidP="00606538">
            <w:pPr>
              <w:pStyle w:val="Tablea"/>
            </w:pPr>
            <w:r w:rsidRPr="0081146C">
              <w:t>(b) the increased monetary value is not less than:</w:t>
            </w:r>
          </w:p>
          <w:p w14:paraId="358F54B4" w14:textId="77777777" w:rsidR="00035544" w:rsidRPr="0081146C" w:rsidRDefault="00035544" w:rsidP="00606538">
            <w:pPr>
              <w:pStyle w:val="Tablei"/>
            </w:pPr>
            <w:r w:rsidRPr="0081146C">
              <w:t>(i) $5,000; or</w:t>
            </w:r>
          </w:p>
          <w:p w14:paraId="56B1573B" w14:textId="77777777" w:rsidR="00035544" w:rsidRPr="0081146C" w:rsidRDefault="00035544" w:rsidP="00606538">
            <w:pPr>
              <w:pStyle w:val="Tablei"/>
            </w:pPr>
            <w:r w:rsidRPr="0081146C">
              <w:t>(ii) if another amount is specified in the regulations—that other amount</w:t>
            </w:r>
          </w:p>
        </w:tc>
        <w:tc>
          <w:tcPr>
            <w:tcW w:w="3262" w:type="dxa"/>
            <w:tcBorders>
              <w:top w:val="single" w:sz="4" w:space="0" w:color="auto"/>
            </w:tcBorders>
            <w:shd w:val="clear" w:color="auto" w:fill="auto"/>
          </w:tcPr>
          <w:p w14:paraId="6C6C441A" w14:textId="77777777" w:rsidR="00035544" w:rsidRPr="0081146C" w:rsidRDefault="00035544" w:rsidP="00606538">
            <w:pPr>
              <w:pStyle w:val="Tabletext"/>
            </w:pPr>
            <w:r w:rsidRPr="0081146C">
              <w:t>the person</w:t>
            </w:r>
          </w:p>
        </w:tc>
      </w:tr>
      <w:tr w:rsidR="00035544" w:rsidRPr="0081146C" w14:paraId="12F7CD37" w14:textId="77777777" w:rsidTr="008B3D55">
        <w:tc>
          <w:tcPr>
            <w:tcW w:w="717" w:type="dxa"/>
            <w:gridSpan w:val="2"/>
            <w:tcBorders>
              <w:bottom w:val="single" w:sz="4" w:space="0" w:color="auto"/>
            </w:tcBorders>
            <w:shd w:val="clear" w:color="auto" w:fill="auto"/>
          </w:tcPr>
          <w:p w14:paraId="3D6B07D4" w14:textId="77777777" w:rsidR="00035544" w:rsidRPr="0081146C" w:rsidRDefault="00035544" w:rsidP="00035544">
            <w:pPr>
              <w:pStyle w:val="Tabletext"/>
            </w:pPr>
            <w:r w:rsidRPr="0081146C">
              <w:t>25</w:t>
            </w:r>
          </w:p>
        </w:tc>
        <w:tc>
          <w:tcPr>
            <w:tcW w:w="3107" w:type="dxa"/>
            <w:tcBorders>
              <w:bottom w:val="single" w:sz="4" w:space="0" w:color="auto"/>
            </w:tcBorders>
            <w:shd w:val="clear" w:color="auto" w:fill="auto"/>
          </w:tcPr>
          <w:p w14:paraId="4E1822BC" w14:textId="77777777" w:rsidR="00035544" w:rsidRPr="0081146C" w:rsidRDefault="00035544" w:rsidP="00035544">
            <w:pPr>
              <w:pStyle w:val="Tabletext"/>
            </w:pPr>
            <w:r w:rsidRPr="0081146C">
              <w:t>issuing a traveller’s cheque to a person</w:t>
            </w:r>
          </w:p>
        </w:tc>
        <w:tc>
          <w:tcPr>
            <w:tcW w:w="3262" w:type="dxa"/>
            <w:tcBorders>
              <w:bottom w:val="single" w:sz="4" w:space="0" w:color="auto"/>
            </w:tcBorders>
            <w:shd w:val="clear" w:color="auto" w:fill="auto"/>
          </w:tcPr>
          <w:p w14:paraId="0EF97485" w14:textId="77777777" w:rsidR="00035544" w:rsidRPr="0081146C" w:rsidRDefault="00035544" w:rsidP="00035544">
            <w:pPr>
              <w:pStyle w:val="Tabletext"/>
            </w:pPr>
            <w:r w:rsidRPr="0081146C">
              <w:t>the person</w:t>
            </w:r>
          </w:p>
        </w:tc>
      </w:tr>
      <w:tr w:rsidR="00035544" w:rsidRPr="0081146C" w14:paraId="0444BFF6" w14:textId="77777777" w:rsidTr="008B3D55">
        <w:tc>
          <w:tcPr>
            <w:tcW w:w="717" w:type="dxa"/>
            <w:gridSpan w:val="2"/>
            <w:tcBorders>
              <w:bottom w:val="single" w:sz="4" w:space="0" w:color="auto"/>
            </w:tcBorders>
            <w:shd w:val="clear" w:color="auto" w:fill="auto"/>
          </w:tcPr>
          <w:p w14:paraId="4788619D" w14:textId="77777777" w:rsidR="00035544" w:rsidRPr="0081146C" w:rsidRDefault="00035544" w:rsidP="00035544">
            <w:pPr>
              <w:pStyle w:val="Tabletext"/>
            </w:pPr>
            <w:r w:rsidRPr="0081146C">
              <w:t>26</w:t>
            </w:r>
          </w:p>
        </w:tc>
        <w:tc>
          <w:tcPr>
            <w:tcW w:w="3107" w:type="dxa"/>
            <w:tcBorders>
              <w:bottom w:val="single" w:sz="4" w:space="0" w:color="auto"/>
            </w:tcBorders>
            <w:shd w:val="clear" w:color="auto" w:fill="auto"/>
          </w:tcPr>
          <w:p w14:paraId="5615AB6F" w14:textId="77777777" w:rsidR="00035544" w:rsidRPr="0081146C" w:rsidRDefault="00035544" w:rsidP="00035544">
            <w:pPr>
              <w:pStyle w:val="Tabletext"/>
            </w:pPr>
            <w:r w:rsidRPr="0081146C">
              <w:t>in the capacity of issuer of a traveller’s cheque, cashing or redeeming a traveller’s cheque held by a person</w:t>
            </w:r>
          </w:p>
        </w:tc>
        <w:tc>
          <w:tcPr>
            <w:tcW w:w="3262" w:type="dxa"/>
            <w:tcBorders>
              <w:bottom w:val="single" w:sz="4" w:space="0" w:color="auto"/>
            </w:tcBorders>
            <w:shd w:val="clear" w:color="auto" w:fill="auto"/>
          </w:tcPr>
          <w:p w14:paraId="185EB4A4" w14:textId="77777777" w:rsidR="00035544" w:rsidRPr="0081146C" w:rsidRDefault="00035544" w:rsidP="00035544">
            <w:pPr>
              <w:pStyle w:val="Tabletext"/>
            </w:pPr>
            <w:r w:rsidRPr="0081146C">
              <w:t>the person</w:t>
            </w:r>
          </w:p>
        </w:tc>
      </w:tr>
      <w:tr w:rsidR="00035544" w:rsidRPr="0081146C" w14:paraId="79ACF198" w14:textId="77777777" w:rsidTr="008B3D55">
        <w:trPr>
          <w:cantSplit/>
        </w:trPr>
        <w:tc>
          <w:tcPr>
            <w:tcW w:w="717" w:type="dxa"/>
            <w:gridSpan w:val="2"/>
            <w:tcBorders>
              <w:top w:val="single" w:sz="4" w:space="0" w:color="auto"/>
              <w:bottom w:val="single" w:sz="4" w:space="0" w:color="auto"/>
            </w:tcBorders>
            <w:shd w:val="clear" w:color="auto" w:fill="auto"/>
          </w:tcPr>
          <w:p w14:paraId="5C8505AD" w14:textId="77777777" w:rsidR="00035544" w:rsidRPr="0081146C" w:rsidRDefault="00035544" w:rsidP="00E40ED2">
            <w:pPr>
              <w:pStyle w:val="Tabletext"/>
            </w:pPr>
            <w:r w:rsidRPr="0081146C">
              <w:t>27</w:t>
            </w:r>
          </w:p>
        </w:tc>
        <w:tc>
          <w:tcPr>
            <w:tcW w:w="3107" w:type="dxa"/>
            <w:tcBorders>
              <w:top w:val="single" w:sz="4" w:space="0" w:color="auto"/>
              <w:bottom w:val="single" w:sz="4" w:space="0" w:color="auto"/>
            </w:tcBorders>
            <w:shd w:val="clear" w:color="auto" w:fill="auto"/>
          </w:tcPr>
          <w:p w14:paraId="7637985C" w14:textId="77777777" w:rsidR="00035544" w:rsidRPr="0081146C" w:rsidRDefault="00035544" w:rsidP="00035544">
            <w:pPr>
              <w:pStyle w:val="Tabletext"/>
            </w:pPr>
            <w:r w:rsidRPr="0081146C">
              <w:t>issuing a money order, postal order or similar order to a person, where the face value of the order is not less than:</w:t>
            </w:r>
          </w:p>
          <w:p w14:paraId="4DDCEB72" w14:textId="77777777" w:rsidR="00035544" w:rsidRPr="0081146C" w:rsidRDefault="00035544" w:rsidP="00035544">
            <w:pPr>
              <w:pStyle w:val="Tablea"/>
            </w:pPr>
            <w:r w:rsidRPr="0081146C">
              <w:t>(a) $1,000; or</w:t>
            </w:r>
          </w:p>
          <w:p w14:paraId="2F414F27" w14:textId="77777777" w:rsidR="00035544" w:rsidRPr="0081146C" w:rsidRDefault="00035544" w:rsidP="00035544">
            <w:pPr>
              <w:pStyle w:val="Tablea"/>
            </w:pPr>
            <w:r w:rsidRPr="0081146C">
              <w:t>(b) if another amount is specified in the regulations—that other amount</w:t>
            </w:r>
          </w:p>
        </w:tc>
        <w:tc>
          <w:tcPr>
            <w:tcW w:w="3262" w:type="dxa"/>
            <w:tcBorders>
              <w:top w:val="single" w:sz="4" w:space="0" w:color="auto"/>
              <w:bottom w:val="single" w:sz="4" w:space="0" w:color="auto"/>
            </w:tcBorders>
            <w:shd w:val="clear" w:color="auto" w:fill="auto"/>
          </w:tcPr>
          <w:p w14:paraId="778663BB" w14:textId="77777777" w:rsidR="00035544" w:rsidRPr="0081146C" w:rsidRDefault="00035544" w:rsidP="00035544">
            <w:pPr>
              <w:pStyle w:val="Tabletext"/>
            </w:pPr>
            <w:r w:rsidRPr="0081146C">
              <w:t>the person</w:t>
            </w:r>
          </w:p>
        </w:tc>
      </w:tr>
      <w:tr w:rsidR="00035544" w:rsidRPr="0081146C" w14:paraId="4A6B035B" w14:textId="77777777" w:rsidTr="008B3D55">
        <w:trPr>
          <w:cantSplit/>
        </w:trPr>
        <w:tc>
          <w:tcPr>
            <w:tcW w:w="717" w:type="dxa"/>
            <w:gridSpan w:val="2"/>
            <w:tcBorders>
              <w:top w:val="single" w:sz="4" w:space="0" w:color="auto"/>
            </w:tcBorders>
            <w:shd w:val="clear" w:color="auto" w:fill="auto"/>
          </w:tcPr>
          <w:p w14:paraId="7ABD4D60" w14:textId="77777777" w:rsidR="00035544" w:rsidRPr="0081146C" w:rsidRDefault="00035544" w:rsidP="00035544">
            <w:pPr>
              <w:pStyle w:val="Tabletext"/>
            </w:pPr>
            <w:r w:rsidRPr="0081146C">
              <w:t>28</w:t>
            </w:r>
          </w:p>
        </w:tc>
        <w:tc>
          <w:tcPr>
            <w:tcW w:w="3107" w:type="dxa"/>
            <w:tcBorders>
              <w:top w:val="single" w:sz="4" w:space="0" w:color="auto"/>
            </w:tcBorders>
            <w:shd w:val="clear" w:color="auto" w:fill="auto"/>
          </w:tcPr>
          <w:p w14:paraId="4B4E5123" w14:textId="77777777" w:rsidR="00035544" w:rsidRPr="0081146C" w:rsidRDefault="00035544" w:rsidP="00035544">
            <w:pPr>
              <w:pStyle w:val="Tabletext"/>
            </w:pPr>
            <w:r w:rsidRPr="0081146C">
              <w:t>in the capacity of issuer of a money order, postal order or similar order, cashing or redeeming a money order, postal order or similar order held by a person, where the face value of the order is not less than:</w:t>
            </w:r>
          </w:p>
          <w:p w14:paraId="168B8FE6" w14:textId="77777777" w:rsidR="00035544" w:rsidRPr="0081146C" w:rsidRDefault="00035544" w:rsidP="00035544">
            <w:pPr>
              <w:pStyle w:val="Tablea"/>
            </w:pPr>
            <w:r w:rsidRPr="0081146C">
              <w:t>(a) $1,000; or</w:t>
            </w:r>
          </w:p>
          <w:p w14:paraId="031C186A" w14:textId="77777777" w:rsidR="00035544" w:rsidRPr="0081146C" w:rsidRDefault="00035544" w:rsidP="00035544">
            <w:pPr>
              <w:pStyle w:val="Tablea"/>
            </w:pPr>
            <w:r w:rsidRPr="0081146C">
              <w:t>(b) if another amount is specified in the regulations—that other amount</w:t>
            </w:r>
          </w:p>
        </w:tc>
        <w:tc>
          <w:tcPr>
            <w:tcW w:w="3262" w:type="dxa"/>
            <w:tcBorders>
              <w:top w:val="single" w:sz="4" w:space="0" w:color="auto"/>
            </w:tcBorders>
            <w:shd w:val="clear" w:color="auto" w:fill="auto"/>
          </w:tcPr>
          <w:p w14:paraId="67E15447" w14:textId="77777777" w:rsidR="00035544" w:rsidRPr="0081146C" w:rsidRDefault="00035544" w:rsidP="00035544">
            <w:pPr>
              <w:pStyle w:val="Tabletext"/>
            </w:pPr>
            <w:r w:rsidRPr="0081146C">
              <w:t>the person</w:t>
            </w:r>
          </w:p>
        </w:tc>
      </w:tr>
      <w:tr w:rsidR="008B74F4" w:rsidRPr="0081146C" w14:paraId="704677A0" w14:textId="77777777" w:rsidTr="008B3D55">
        <w:tc>
          <w:tcPr>
            <w:tcW w:w="717" w:type="dxa"/>
            <w:gridSpan w:val="2"/>
            <w:tcBorders>
              <w:top w:val="single" w:sz="4" w:space="0" w:color="auto"/>
              <w:bottom w:val="single" w:sz="4" w:space="0" w:color="auto"/>
            </w:tcBorders>
            <w:shd w:val="clear" w:color="auto" w:fill="auto"/>
          </w:tcPr>
          <w:p w14:paraId="4A1D940D" w14:textId="1F7EAC38" w:rsidR="007330A4" w:rsidRPr="0081146C" w:rsidRDefault="007330A4" w:rsidP="007330A4">
            <w:pPr>
              <w:pStyle w:val="Tabletext"/>
            </w:pPr>
            <w:r w:rsidRPr="0081146C">
              <w:t>29</w:t>
            </w:r>
          </w:p>
        </w:tc>
        <w:tc>
          <w:tcPr>
            <w:tcW w:w="3107" w:type="dxa"/>
            <w:tcBorders>
              <w:top w:val="single" w:sz="4" w:space="0" w:color="auto"/>
              <w:bottom w:val="single" w:sz="4" w:space="0" w:color="auto"/>
            </w:tcBorders>
            <w:shd w:val="clear" w:color="auto" w:fill="auto"/>
          </w:tcPr>
          <w:p w14:paraId="6BC587B8" w14:textId="59A19EC2" w:rsidR="007330A4" w:rsidRPr="0081146C" w:rsidRDefault="007330A4" w:rsidP="007330A4">
            <w:pPr>
              <w:pStyle w:val="Tabletext"/>
            </w:pPr>
            <w:r w:rsidRPr="0081146C">
              <w:t>in the capacity of ordering institution, accepting an instruction for the transfer of value on behalf of a payer</w:t>
            </w:r>
          </w:p>
        </w:tc>
        <w:tc>
          <w:tcPr>
            <w:tcW w:w="3262" w:type="dxa"/>
            <w:tcBorders>
              <w:top w:val="single" w:sz="4" w:space="0" w:color="auto"/>
              <w:bottom w:val="single" w:sz="4" w:space="0" w:color="auto"/>
            </w:tcBorders>
            <w:shd w:val="clear" w:color="auto" w:fill="auto"/>
          </w:tcPr>
          <w:p w14:paraId="13F4853F" w14:textId="28545E15" w:rsidR="007330A4" w:rsidRPr="0081146C" w:rsidRDefault="007330A4" w:rsidP="007330A4">
            <w:pPr>
              <w:pStyle w:val="Tabletext"/>
            </w:pPr>
            <w:r w:rsidRPr="0081146C">
              <w:t>the payer</w:t>
            </w:r>
          </w:p>
        </w:tc>
      </w:tr>
      <w:tr w:rsidR="008B74F4" w:rsidRPr="0081146C" w14:paraId="1467A15C" w14:textId="77777777" w:rsidTr="008B3D55">
        <w:tc>
          <w:tcPr>
            <w:tcW w:w="717" w:type="dxa"/>
            <w:gridSpan w:val="2"/>
            <w:tcBorders>
              <w:top w:val="single" w:sz="4" w:space="0" w:color="auto"/>
              <w:bottom w:val="single" w:sz="4" w:space="0" w:color="auto"/>
            </w:tcBorders>
            <w:shd w:val="clear" w:color="auto" w:fill="auto"/>
          </w:tcPr>
          <w:p w14:paraId="6570974F" w14:textId="47AA0ACB" w:rsidR="007330A4" w:rsidRPr="0081146C" w:rsidRDefault="007330A4" w:rsidP="007330A4">
            <w:pPr>
              <w:pStyle w:val="Tabletext"/>
            </w:pPr>
            <w:r w:rsidRPr="0081146C">
              <w:t>30</w:t>
            </w:r>
          </w:p>
        </w:tc>
        <w:tc>
          <w:tcPr>
            <w:tcW w:w="3107" w:type="dxa"/>
            <w:tcBorders>
              <w:top w:val="single" w:sz="4" w:space="0" w:color="auto"/>
              <w:bottom w:val="single" w:sz="4" w:space="0" w:color="auto"/>
            </w:tcBorders>
            <w:shd w:val="clear" w:color="auto" w:fill="auto"/>
          </w:tcPr>
          <w:p w14:paraId="2B69907C" w14:textId="616CEC4E" w:rsidR="007330A4" w:rsidRPr="0081146C" w:rsidRDefault="007330A4" w:rsidP="007330A4">
            <w:pPr>
              <w:pStyle w:val="Tabletext"/>
            </w:pPr>
            <w:r w:rsidRPr="0081146C">
              <w:t>in the capacity of beneficiary institution, in relation to a transfer of value, making the transferred value available to a payee</w:t>
            </w:r>
          </w:p>
        </w:tc>
        <w:tc>
          <w:tcPr>
            <w:tcW w:w="3262" w:type="dxa"/>
            <w:tcBorders>
              <w:top w:val="single" w:sz="4" w:space="0" w:color="auto"/>
              <w:bottom w:val="single" w:sz="4" w:space="0" w:color="auto"/>
            </w:tcBorders>
            <w:shd w:val="clear" w:color="auto" w:fill="auto"/>
          </w:tcPr>
          <w:p w14:paraId="0BD8B646" w14:textId="2AB24F05" w:rsidR="007330A4" w:rsidRPr="0081146C" w:rsidRDefault="007330A4" w:rsidP="007330A4">
            <w:pPr>
              <w:pStyle w:val="Tabletext"/>
            </w:pPr>
            <w:r w:rsidRPr="0081146C">
              <w:t>the payee</w:t>
            </w:r>
          </w:p>
        </w:tc>
      </w:tr>
      <w:tr w:rsidR="008B74F4" w:rsidRPr="0081146C" w14:paraId="57A2E637" w14:textId="77777777" w:rsidTr="008B3D55">
        <w:tc>
          <w:tcPr>
            <w:tcW w:w="717" w:type="dxa"/>
            <w:gridSpan w:val="2"/>
            <w:tcBorders>
              <w:top w:val="single" w:sz="4" w:space="0" w:color="auto"/>
              <w:bottom w:val="single" w:sz="4" w:space="0" w:color="auto"/>
            </w:tcBorders>
            <w:shd w:val="clear" w:color="auto" w:fill="auto"/>
          </w:tcPr>
          <w:p w14:paraId="6F862833" w14:textId="158E2EC3" w:rsidR="007330A4" w:rsidRPr="0081146C" w:rsidRDefault="007330A4" w:rsidP="007330A4">
            <w:pPr>
              <w:pStyle w:val="Tabletext"/>
            </w:pPr>
            <w:r w:rsidRPr="0081146C">
              <w:t>31</w:t>
            </w:r>
          </w:p>
        </w:tc>
        <w:tc>
          <w:tcPr>
            <w:tcW w:w="3107" w:type="dxa"/>
            <w:tcBorders>
              <w:top w:val="single" w:sz="4" w:space="0" w:color="auto"/>
              <w:bottom w:val="single" w:sz="4" w:space="0" w:color="auto"/>
            </w:tcBorders>
            <w:shd w:val="clear" w:color="auto" w:fill="auto"/>
          </w:tcPr>
          <w:p w14:paraId="08C1173B" w14:textId="0AA4AE4F" w:rsidR="007330A4" w:rsidRPr="0081146C" w:rsidRDefault="007330A4" w:rsidP="007330A4">
            <w:pPr>
              <w:pStyle w:val="Tabletext"/>
            </w:pPr>
            <w:r w:rsidRPr="0081146C">
              <w:t>in the capacity of intermediary institution, passing on a transfer message for a transfer of value in a value transfer chain to another intermediary institution or to the beneficiary institution</w:t>
            </w:r>
          </w:p>
        </w:tc>
        <w:tc>
          <w:tcPr>
            <w:tcW w:w="3262" w:type="dxa"/>
            <w:tcBorders>
              <w:top w:val="single" w:sz="4" w:space="0" w:color="auto"/>
              <w:bottom w:val="single" w:sz="4" w:space="0" w:color="auto"/>
            </w:tcBorders>
            <w:shd w:val="clear" w:color="auto" w:fill="auto"/>
          </w:tcPr>
          <w:p w14:paraId="72A4D8B8" w14:textId="6ABFBA67" w:rsidR="007330A4" w:rsidRPr="0081146C" w:rsidRDefault="007330A4" w:rsidP="007330A4">
            <w:pPr>
              <w:pStyle w:val="Tabletext"/>
            </w:pPr>
            <w:r w:rsidRPr="0081146C">
              <w:t>the ordering institution or intermediary institution from which the transfer message is received (as the case may be)</w:t>
            </w:r>
          </w:p>
        </w:tc>
      </w:tr>
      <w:tr w:rsidR="00015B50" w:rsidRPr="0081146C" w14:paraId="6E9A4BCA" w14:textId="77777777" w:rsidTr="008B3D55">
        <w:trPr>
          <w:cantSplit/>
        </w:trPr>
        <w:tc>
          <w:tcPr>
            <w:tcW w:w="717" w:type="dxa"/>
            <w:gridSpan w:val="2"/>
            <w:tcBorders>
              <w:top w:val="single" w:sz="4" w:space="0" w:color="auto"/>
              <w:bottom w:val="single" w:sz="4" w:space="0" w:color="auto"/>
            </w:tcBorders>
            <w:shd w:val="clear" w:color="auto" w:fill="auto"/>
          </w:tcPr>
          <w:p w14:paraId="5531243A" w14:textId="77777777" w:rsidR="00015B50" w:rsidRPr="0081146C" w:rsidRDefault="00015B50" w:rsidP="00035544">
            <w:pPr>
              <w:pStyle w:val="Tabletext"/>
            </w:pPr>
            <w:r w:rsidRPr="0081146C">
              <w:t>32A</w:t>
            </w:r>
          </w:p>
        </w:tc>
        <w:tc>
          <w:tcPr>
            <w:tcW w:w="3107" w:type="dxa"/>
            <w:tcBorders>
              <w:top w:val="single" w:sz="4" w:space="0" w:color="auto"/>
              <w:bottom w:val="single" w:sz="4" w:space="0" w:color="auto"/>
            </w:tcBorders>
            <w:shd w:val="clear" w:color="auto" w:fill="auto"/>
          </w:tcPr>
          <w:p w14:paraId="59479BD6" w14:textId="77777777" w:rsidR="00015B50" w:rsidRPr="0081146C" w:rsidRDefault="00015B50" w:rsidP="00015B50">
            <w:pPr>
              <w:pStyle w:val="Tabletext"/>
            </w:pPr>
            <w:r w:rsidRPr="0081146C">
              <w:t>operating a network of persons by providing a platform or operating system (however described), where:</w:t>
            </w:r>
          </w:p>
          <w:p w14:paraId="2B32479F" w14:textId="334C385B" w:rsidR="00015B50" w:rsidRPr="0081146C" w:rsidRDefault="00015B50" w:rsidP="00015B50">
            <w:pPr>
              <w:pStyle w:val="Tablea"/>
            </w:pPr>
            <w:r w:rsidRPr="0081146C">
              <w:t xml:space="preserve">(a) the persons in the network provide a designated service referred to in </w:t>
            </w:r>
            <w:r w:rsidR="003B7E15" w:rsidRPr="0081146C">
              <w:t>item </w:t>
            </w:r>
            <w:r w:rsidR="007330A4" w:rsidRPr="0081146C">
              <w:t>29 or 30</w:t>
            </w:r>
            <w:r w:rsidRPr="0081146C">
              <w:t xml:space="preserve"> by means of the platform or operating system; and</w:t>
            </w:r>
          </w:p>
          <w:p w14:paraId="42F2614C" w14:textId="57A3AE74" w:rsidR="00015B50" w:rsidRPr="0081146C" w:rsidRDefault="00015B50" w:rsidP="00015B50">
            <w:pPr>
              <w:pStyle w:val="Tablea"/>
            </w:pPr>
            <w:r w:rsidRPr="0081146C">
              <w:t xml:space="preserve">(b) the operator is </w:t>
            </w:r>
            <w:r w:rsidR="007330A4" w:rsidRPr="0081146C">
              <w:t>not a financial institution</w:t>
            </w:r>
            <w:r w:rsidRPr="0081146C">
              <w:t>.</w:t>
            </w:r>
          </w:p>
        </w:tc>
        <w:tc>
          <w:tcPr>
            <w:tcW w:w="3262" w:type="dxa"/>
            <w:tcBorders>
              <w:top w:val="single" w:sz="4" w:space="0" w:color="auto"/>
              <w:bottom w:val="single" w:sz="4" w:space="0" w:color="auto"/>
            </w:tcBorders>
            <w:shd w:val="clear" w:color="auto" w:fill="auto"/>
          </w:tcPr>
          <w:p w14:paraId="678B85D6" w14:textId="77777777" w:rsidR="00015B50" w:rsidRPr="0081146C" w:rsidRDefault="00015B50" w:rsidP="00035544">
            <w:pPr>
              <w:pStyle w:val="Tabletext"/>
            </w:pPr>
            <w:r w:rsidRPr="0081146C">
              <w:t>the person who provides designated services as part of the network</w:t>
            </w:r>
          </w:p>
        </w:tc>
      </w:tr>
      <w:tr w:rsidR="00035544" w:rsidRPr="0081146C" w14:paraId="4E2CB674" w14:textId="77777777" w:rsidTr="008B3D55">
        <w:tc>
          <w:tcPr>
            <w:tcW w:w="717" w:type="dxa"/>
            <w:gridSpan w:val="2"/>
            <w:tcBorders>
              <w:bottom w:val="single" w:sz="4" w:space="0" w:color="auto"/>
            </w:tcBorders>
            <w:shd w:val="clear" w:color="auto" w:fill="auto"/>
          </w:tcPr>
          <w:p w14:paraId="305A778D" w14:textId="77777777" w:rsidR="00035544" w:rsidRPr="0081146C" w:rsidRDefault="00035544" w:rsidP="00035544">
            <w:pPr>
              <w:pStyle w:val="Tabletext"/>
            </w:pPr>
            <w:r w:rsidRPr="0081146C">
              <w:t>33</w:t>
            </w:r>
          </w:p>
        </w:tc>
        <w:tc>
          <w:tcPr>
            <w:tcW w:w="3107" w:type="dxa"/>
            <w:tcBorders>
              <w:bottom w:val="single" w:sz="4" w:space="0" w:color="auto"/>
            </w:tcBorders>
            <w:shd w:val="clear" w:color="auto" w:fill="auto"/>
          </w:tcPr>
          <w:p w14:paraId="19A916BF" w14:textId="77777777" w:rsidR="00035544" w:rsidRPr="0081146C" w:rsidRDefault="00035544" w:rsidP="00035544">
            <w:pPr>
              <w:pStyle w:val="Tabletext"/>
            </w:pPr>
            <w:r w:rsidRPr="0081146C">
              <w:t>in the capacity of agent of a person, acquiring or disposing of:</w:t>
            </w:r>
          </w:p>
          <w:p w14:paraId="06DA4B8C" w14:textId="77777777" w:rsidR="00035544" w:rsidRPr="0081146C" w:rsidRDefault="00035544" w:rsidP="00035544">
            <w:pPr>
              <w:pStyle w:val="Tablea"/>
            </w:pPr>
            <w:r w:rsidRPr="0081146C">
              <w:t>(a) a security; or</w:t>
            </w:r>
          </w:p>
          <w:p w14:paraId="7F90E923" w14:textId="77777777" w:rsidR="00035544" w:rsidRPr="0081146C" w:rsidRDefault="00035544" w:rsidP="00035544">
            <w:pPr>
              <w:pStyle w:val="Tablea"/>
            </w:pPr>
            <w:r w:rsidRPr="0081146C">
              <w:t>(b) a derivative; or</w:t>
            </w:r>
          </w:p>
          <w:p w14:paraId="754CD527" w14:textId="77777777" w:rsidR="006C208D" w:rsidRPr="0081146C" w:rsidRDefault="006C208D" w:rsidP="006C208D">
            <w:pPr>
              <w:pStyle w:val="Tablea"/>
            </w:pPr>
            <w:r w:rsidRPr="0081146C">
              <w:t>(ba) an Australian carbon credit unit; or</w:t>
            </w:r>
          </w:p>
          <w:p w14:paraId="1F9A39AC" w14:textId="77777777" w:rsidR="006C208D" w:rsidRPr="0081146C" w:rsidRDefault="006C208D" w:rsidP="006C208D">
            <w:pPr>
              <w:pStyle w:val="Tablea"/>
            </w:pPr>
            <w:r w:rsidRPr="0081146C">
              <w:t>(bb) an eligible international emissions unit; or</w:t>
            </w:r>
          </w:p>
          <w:p w14:paraId="7AA342BD" w14:textId="77777777" w:rsidR="00035544" w:rsidRPr="0081146C" w:rsidRDefault="00035544" w:rsidP="006C208D">
            <w:pPr>
              <w:pStyle w:val="Tablea"/>
            </w:pPr>
            <w:r w:rsidRPr="0081146C">
              <w:t>(c) a foreign exchange contract;</w:t>
            </w:r>
          </w:p>
          <w:p w14:paraId="644442E5" w14:textId="77777777" w:rsidR="00035544" w:rsidRPr="0081146C" w:rsidRDefault="00035544" w:rsidP="00035544">
            <w:pPr>
              <w:pStyle w:val="Tabletext"/>
            </w:pPr>
            <w:r w:rsidRPr="0081146C">
              <w:t>on behalf of the person, where:</w:t>
            </w:r>
          </w:p>
          <w:p w14:paraId="29C73D4F" w14:textId="77777777" w:rsidR="00035544" w:rsidRPr="0081146C" w:rsidRDefault="00035544" w:rsidP="00035544">
            <w:pPr>
              <w:pStyle w:val="Tablea"/>
            </w:pPr>
            <w:r w:rsidRPr="0081146C">
              <w:t>(d) the acquisition or disposal is in the course of carrying on a business of acquiring or disposing of securities, derivatives</w:t>
            </w:r>
            <w:r w:rsidR="0055233A" w:rsidRPr="0081146C">
              <w:t>, Australian carbon credit units, eligible international emissions units</w:t>
            </w:r>
            <w:r w:rsidRPr="0081146C">
              <w:t xml:space="preserve"> or foreign exchange contracts in the capacity of agent; and</w:t>
            </w:r>
          </w:p>
          <w:p w14:paraId="5B87CBAD" w14:textId="77777777" w:rsidR="00035544" w:rsidRPr="0081146C" w:rsidRDefault="00035544" w:rsidP="00035544">
            <w:pPr>
              <w:pStyle w:val="Tablea"/>
              <w:rPr>
                <w:i/>
              </w:rPr>
            </w:pPr>
            <w:r w:rsidRPr="0081146C">
              <w:t>(e) the service is not specified in the AML/CTF Rules</w:t>
            </w:r>
          </w:p>
        </w:tc>
        <w:tc>
          <w:tcPr>
            <w:tcW w:w="3262" w:type="dxa"/>
            <w:tcBorders>
              <w:bottom w:val="single" w:sz="4" w:space="0" w:color="auto"/>
            </w:tcBorders>
            <w:shd w:val="clear" w:color="auto" w:fill="auto"/>
          </w:tcPr>
          <w:p w14:paraId="039D8CBC" w14:textId="77777777" w:rsidR="00035544" w:rsidRPr="0081146C" w:rsidRDefault="00035544" w:rsidP="00035544">
            <w:pPr>
              <w:pStyle w:val="Tabletext"/>
            </w:pPr>
            <w:r w:rsidRPr="0081146C">
              <w:t>the person</w:t>
            </w:r>
          </w:p>
        </w:tc>
      </w:tr>
      <w:tr w:rsidR="00035544" w:rsidRPr="0081146C" w14:paraId="0B8B919D" w14:textId="77777777" w:rsidTr="008B3D55">
        <w:trPr>
          <w:cantSplit/>
        </w:trPr>
        <w:tc>
          <w:tcPr>
            <w:tcW w:w="717" w:type="dxa"/>
            <w:gridSpan w:val="2"/>
            <w:tcBorders>
              <w:top w:val="single" w:sz="4" w:space="0" w:color="auto"/>
              <w:bottom w:val="single" w:sz="4" w:space="0" w:color="auto"/>
            </w:tcBorders>
            <w:shd w:val="clear" w:color="auto" w:fill="auto"/>
          </w:tcPr>
          <w:p w14:paraId="246055C9" w14:textId="77777777" w:rsidR="00035544" w:rsidRPr="0081146C" w:rsidRDefault="00035544" w:rsidP="00F539A7">
            <w:pPr>
              <w:pStyle w:val="Tabletext"/>
            </w:pPr>
            <w:r w:rsidRPr="0081146C">
              <w:t>34</w:t>
            </w:r>
          </w:p>
        </w:tc>
        <w:tc>
          <w:tcPr>
            <w:tcW w:w="3107" w:type="dxa"/>
            <w:tcBorders>
              <w:top w:val="single" w:sz="4" w:space="0" w:color="auto"/>
              <w:bottom w:val="single" w:sz="4" w:space="0" w:color="auto"/>
            </w:tcBorders>
            <w:shd w:val="clear" w:color="auto" w:fill="auto"/>
          </w:tcPr>
          <w:p w14:paraId="1EC7CB1A" w14:textId="77777777" w:rsidR="00035544" w:rsidRPr="0081146C" w:rsidRDefault="00035544" w:rsidP="007A28A1">
            <w:pPr>
              <w:pStyle w:val="Tabletext"/>
              <w:keepNext/>
            </w:pPr>
            <w:r w:rsidRPr="0081146C">
              <w:t>in the capacity of agent of a person, acquiring or disposing of:</w:t>
            </w:r>
          </w:p>
          <w:p w14:paraId="71C75811" w14:textId="77777777" w:rsidR="00035544" w:rsidRPr="0081146C" w:rsidRDefault="00035544" w:rsidP="007A28A1">
            <w:pPr>
              <w:pStyle w:val="Tablea"/>
              <w:keepNext/>
            </w:pPr>
            <w:r w:rsidRPr="0081146C">
              <w:t>(a) a bill of exchange; or</w:t>
            </w:r>
          </w:p>
          <w:p w14:paraId="078A8A27" w14:textId="77777777" w:rsidR="00035544" w:rsidRPr="0081146C" w:rsidRDefault="00035544" w:rsidP="007A28A1">
            <w:pPr>
              <w:pStyle w:val="Tablea"/>
              <w:keepNext/>
            </w:pPr>
            <w:r w:rsidRPr="0081146C">
              <w:t>(b) a promissory note; or</w:t>
            </w:r>
          </w:p>
          <w:p w14:paraId="68E2A4F3" w14:textId="77777777" w:rsidR="00035544" w:rsidRPr="0081146C" w:rsidRDefault="00035544" w:rsidP="007A28A1">
            <w:pPr>
              <w:pStyle w:val="Tablea"/>
              <w:keepNext/>
            </w:pPr>
            <w:r w:rsidRPr="0081146C">
              <w:t>(c) a letter of credit;</w:t>
            </w:r>
          </w:p>
          <w:p w14:paraId="59DEF39D" w14:textId="77777777" w:rsidR="00035544" w:rsidRPr="0081146C" w:rsidRDefault="00035544" w:rsidP="007A28A1">
            <w:pPr>
              <w:pStyle w:val="Tabletext"/>
              <w:keepNext/>
            </w:pPr>
            <w:r w:rsidRPr="0081146C">
              <w:t>on behalf of the person, where:</w:t>
            </w:r>
          </w:p>
          <w:p w14:paraId="5934B91B" w14:textId="77777777" w:rsidR="00035544" w:rsidRPr="0081146C" w:rsidRDefault="00035544" w:rsidP="007A28A1">
            <w:pPr>
              <w:pStyle w:val="Tablea"/>
              <w:keepNext/>
            </w:pPr>
            <w:r w:rsidRPr="0081146C">
              <w:t>(d) the acquisition or disposal is in the course of carrying on a business of acquiring or disposing of bills of exchange, promissory notes or letters of credit in the capacity of agent; and</w:t>
            </w:r>
          </w:p>
          <w:p w14:paraId="56AE304D" w14:textId="77777777" w:rsidR="00035544" w:rsidRPr="0081146C" w:rsidRDefault="00035544" w:rsidP="007A28A1">
            <w:pPr>
              <w:pStyle w:val="Tablea"/>
              <w:keepNext/>
            </w:pPr>
            <w:r w:rsidRPr="0081146C">
              <w:t>(e) the service is not specified in the AML/CTF Rules</w:t>
            </w:r>
          </w:p>
        </w:tc>
        <w:tc>
          <w:tcPr>
            <w:tcW w:w="3262" w:type="dxa"/>
            <w:tcBorders>
              <w:top w:val="single" w:sz="4" w:space="0" w:color="auto"/>
              <w:bottom w:val="single" w:sz="4" w:space="0" w:color="auto"/>
            </w:tcBorders>
            <w:shd w:val="clear" w:color="auto" w:fill="auto"/>
          </w:tcPr>
          <w:p w14:paraId="737FDE99" w14:textId="77777777" w:rsidR="00035544" w:rsidRPr="0081146C" w:rsidRDefault="00035544" w:rsidP="007A28A1">
            <w:pPr>
              <w:pStyle w:val="Tabletext"/>
              <w:keepNext/>
            </w:pPr>
            <w:r w:rsidRPr="0081146C">
              <w:t>the person</w:t>
            </w:r>
          </w:p>
        </w:tc>
      </w:tr>
      <w:tr w:rsidR="00035544" w:rsidRPr="0081146C" w14:paraId="6E71D1AD" w14:textId="77777777" w:rsidTr="008B3D55">
        <w:tc>
          <w:tcPr>
            <w:tcW w:w="717" w:type="dxa"/>
            <w:gridSpan w:val="2"/>
            <w:tcBorders>
              <w:top w:val="single" w:sz="4" w:space="0" w:color="auto"/>
              <w:bottom w:val="single" w:sz="4" w:space="0" w:color="auto"/>
            </w:tcBorders>
            <w:shd w:val="clear" w:color="auto" w:fill="auto"/>
          </w:tcPr>
          <w:p w14:paraId="045DFB98" w14:textId="77777777" w:rsidR="00035544" w:rsidRPr="0081146C" w:rsidRDefault="00035544" w:rsidP="00606538">
            <w:pPr>
              <w:pStyle w:val="Tabletext"/>
            </w:pPr>
            <w:r w:rsidRPr="0081146C">
              <w:t>35</w:t>
            </w:r>
          </w:p>
        </w:tc>
        <w:tc>
          <w:tcPr>
            <w:tcW w:w="3107" w:type="dxa"/>
            <w:tcBorders>
              <w:top w:val="single" w:sz="4" w:space="0" w:color="auto"/>
              <w:bottom w:val="single" w:sz="4" w:space="0" w:color="auto"/>
            </w:tcBorders>
            <w:shd w:val="clear" w:color="auto" w:fill="auto"/>
          </w:tcPr>
          <w:p w14:paraId="2489BB9B" w14:textId="77777777" w:rsidR="00035544" w:rsidRPr="0081146C" w:rsidRDefault="00035544" w:rsidP="00606538">
            <w:pPr>
              <w:pStyle w:val="Tabletext"/>
            </w:pPr>
            <w:r w:rsidRPr="0081146C">
              <w:t>issuing or selling a security or derivative to a person, where:</w:t>
            </w:r>
          </w:p>
          <w:p w14:paraId="52EEE46D" w14:textId="77777777" w:rsidR="00035544" w:rsidRPr="0081146C" w:rsidRDefault="00035544" w:rsidP="00606538">
            <w:pPr>
              <w:pStyle w:val="Tablea"/>
            </w:pPr>
            <w:r w:rsidRPr="0081146C">
              <w:t>(a) the issue or sale is in the course of carrying on a business of issuing or selling securities or derivatives; and</w:t>
            </w:r>
          </w:p>
          <w:p w14:paraId="31BE0F80" w14:textId="77777777" w:rsidR="00822E40" w:rsidRPr="0081146C" w:rsidRDefault="00822E40" w:rsidP="00606538">
            <w:pPr>
              <w:pStyle w:val="Tablea"/>
            </w:pPr>
            <w:r w:rsidRPr="0081146C">
              <w:t>(b) in the case of an issue of a security or derivative—the issue does not consist of the issue by a company of either of the following:</w:t>
            </w:r>
          </w:p>
          <w:p w14:paraId="63657C89" w14:textId="77777777" w:rsidR="00822E40" w:rsidRPr="0081146C" w:rsidRDefault="00822E40" w:rsidP="00606538">
            <w:pPr>
              <w:pStyle w:val="Tablei"/>
            </w:pPr>
            <w:r w:rsidRPr="0081146C">
              <w:t>(i) a security of the company (other than an interest in a managed investment scheme); or</w:t>
            </w:r>
          </w:p>
          <w:p w14:paraId="47678835" w14:textId="77777777" w:rsidR="00822E40" w:rsidRPr="0081146C" w:rsidRDefault="00822E40" w:rsidP="00606538">
            <w:pPr>
              <w:pStyle w:val="Tablei"/>
            </w:pPr>
            <w:r w:rsidRPr="0081146C">
              <w:t>(ii) an option to acquire a security of the company (other than an option to acquire an interest in a managed investment scheme); and</w:t>
            </w:r>
          </w:p>
          <w:p w14:paraId="69E13D6E" w14:textId="77777777" w:rsidR="00AE641E" w:rsidRPr="0081146C" w:rsidRDefault="00AE641E" w:rsidP="00606538">
            <w:pPr>
              <w:pStyle w:val="Tablea"/>
            </w:pPr>
            <w:r w:rsidRPr="0081146C">
              <w:t>(ba) in the case of an issue of a security or derivative—the issue does not consist of the issue by a government body of a security of the government body or of an option to acquire a security of the government body; and</w:t>
            </w:r>
          </w:p>
          <w:p w14:paraId="00FE9F8C" w14:textId="77777777" w:rsidR="00035544" w:rsidRPr="0081146C" w:rsidRDefault="00035544" w:rsidP="00606538">
            <w:pPr>
              <w:pStyle w:val="Tablea"/>
            </w:pPr>
            <w:r w:rsidRPr="0081146C">
              <w:t>(c) in the case of an issue of a security or derivative—the issue is not an exempt financial market operator issue; and</w:t>
            </w:r>
          </w:p>
          <w:p w14:paraId="433B77A1" w14:textId="77777777" w:rsidR="00035544" w:rsidRPr="0081146C" w:rsidRDefault="00035544" w:rsidP="00606538">
            <w:pPr>
              <w:pStyle w:val="Tablea"/>
            </w:pPr>
            <w:r w:rsidRPr="0081146C">
              <w:t>(d) such other conditions (if any) as are set out in the AML/CTF Rules are satisfied</w:t>
            </w:r>
          </w:p>
        </w:tc>
        <w:tc>
          <w:tcPr>
            <w:tcW w:w="3262" w:type="dxa"/>
            <w:tcBorders>
              <w:top w:val="single" w:sz="4" w:space="0" w:color="auto"/>
              <w:bottom w:val="single" w:sz="4" w:space="0" w:color="auto"/>
            </w:tcBorders>
            <w:shd w:val="clear" w:color="auto" w:fill="auto"/>
          </w:tcPr>
          <w:p w14:paraId="5B69370D" w14:textId="77777777" w:rsidR="00035544" w:rsidRPr="0081146C" w:rsidRDefault="00035544" w:rsidP="00606538">
            <w:pPr>
              <w:pStyle w:val="Tabletext"/>
            </w:pPr>
            <w:r w:rsidRPr="0081146C">
              <w:t>the person</w:t>
            </w:r>
          </w:p>
        </w:tc>
      </w:tr>
      <w:tr w:rsidR="00035544" w:rsidRPr="0081146C" w14:paraId="399B27F7" w14:textId="77777777" w:rsidTr="008B3D55">
        <w:trPr>
          <w:cantSplit/>
        </w:trPr>
        <w:tc>
          <w:tcPr>
            <w:tcW w:w="717" w:type="dxa"/>
            <w:gridSpan w:val="2"/>
            <w:tcBorders>
              <w:bottom w:val="single" w:sz="4" w:space="0" w:color="auto"/>
            </w:tcBorders>
            <w:shd w:val="clear" w:color="auto" w:fill="auto"/>
          </w:tcPr>
          <w:p w14:paraId="1F85BF87" w14:textId="77777777" w:rsidR="00035544" w:rsidRPr="0081146C" w:rsidRDefault="00035544" w:rsidP="00E40ED2">
            <w:pPr>
              <w:pStyle w:val="Tabletext"/>
            </w:pPr>
            <w:r w:rsidRPr="0081146C">
              <w:t>36</w:t>
            </w:r>
          </w:p>
        </w:tc>
        <w:tc>
          <w:tcPr>
            <w:tcW w:w="3107" w:type="dxa"/>
            <w:tcBorders>
              <w:bottom w:val="single" w:sz="4" w:space="0" w:color="auto"/>
            </w:tcBorders>
            <w:shd w:val="clear" w:color="auto" w:fill="auto"/>
          </w:tcPr>
          <w:p w14:paraId="69116440" w14:textId="77777777" w:rsidR="00035544" w:rsidRPr="0081146C" w:rsidRDefault="00035544" w:rsidP="00035544">
            <w:pPr>
              <w:pStyle w:val="Tabletext"/>
            </w:pPr>
            <w:r w:rsidRPr="0081146C">
              <w:t>in the capacity of issuer of a bearer bond, redeeming a bearer bond</w:t>
            </w:r>
          </w:p>
        </w:tc>
        <w:tc>
          <w:tcPr>
            <w:tcW w:w="3262" w:type="dxa"/>
            <w:tcBorders>
              <w:bottom w:val="single" w:sz="4" w:space="0" w:color="auto"/>
            </w:tcBorders>
            <w:shd w:val="clear" w:color="auto" w:fill="auto"/>
          </w:tcPr>
          <w:p w14:paraId="5B3FCCA8" w14:textId="77777777" w:rsidR="00035544" w:rsidRPr="0081146C" w:rsidRDefault="00035544" w:rsidP="00035544">
            <w:pPr>
              <w:pStyle w:val="Tabletext"/>
            </w:pPr>
            <w:r w:rsidRPr="0081146C">
              <w:t>the person to whom the proceeds of the redemption are paid</w:t>
            </w:r>
          </w:p>
        </w:tc>
      </w:tr>
      <w:tr w:rsidR="00035544" w:rsidRPr="0081146C" w14:paraId="091CB4DA" w14:textId="77777777" w:rsidTr="008B3D55">
        <w:trPr>
          <w:cantSplit/>
        </w:trPr>
        <w:tc>
          <w:tcPr>
            <w:tcW w:w="717" w:type="dxa"/>
            <w:gridSpan w:val="2"/>
            <w:tcBorders>
              <w:top w:val="single" w:sz="4" w:space="0" w:color="auto"/>
            </w:tcBorders>
            <w:shd w:val="clear" w:color="auto" w:fill="auto"/>
          </w:tcPr>
          <w:p w14:paraId="10590DE5" w14:textId="77777777" w:rsidR="00035544" w:rsidRPr="0081146C" w:rsidRDefault="00035544" w:rsidP="00035544">
            <w:pPr>
              <w:pStyle w:val="Tabletext"/>
            </w:pPr>
            <w:r w:rsidRPr="0081146C">
              <w:t>37</w:t>
            </w:r>
          </w:p>
        </w:tc>
        <w:tc>
          <w:tcPr>
            <w:tcW w:w="3107" w:type="dxa"/>
            <w:tcBorders>
              <w:top w:val="single" w:sz="4" w:space="0" w:color="auto"/>
            </w:tcBorders>
            <w:shd w:val="clear" w:color="auto" w:fill="auto"/>
          </w:tcPr>
          <w:p w14:paraId="4376B187" w14:textId="77777777" w:rsidR="00035544" w:rsidRPr="0081146C" w:rsidRDefault="00035544" w:rsidP="00035544">
            <w:pPr>
              <w:pStyle w:val="Tabletext"/>
            </w:pPr>
            <w:r w:rsidRPr="0081146C">
              <w:t>issuing, or undertaking liability as the insurer under, a life policy or sinking fund policy</w:t>
            </w:r>
          </w:p>
        </w:tc>
        <w:tc>
          <w:tcPr>
            <w:tcW w:w="3262" w:type="dxa"/>
            <w:tcBorders>
              <w:top w:val="single" w:sz="4" w:space="0" w:color="auto"/>
            </w:tcBorders>
            <w:shd w:val="clear" w:color="auto" w:fill="auto"/>
          </w:tcPr>
          <w:p w14:paraId="3B856FBF" w14:textId="77777777" w:rsidR="00035544" w:rsidRPr="0081146C" w:rsidRDefault="00035544" w:rsidP="00035544">
            <w:pPr>
              <w:pStyle w:val="Tabletext"/>
            </w:pPr>
            <w:r w:rsidRPr="0081146C">
              <w:t>the holder of the policy</w:t>
            </w:r>
          </w:p>
        </w:tc>
      </w:tr>
      <w:tr w:rsidR="00035544" w:rsidRPr="0081146C" w14:paraId="273BE4ED" w14:textId="77777777" w:rsidTr="008B3D55">
        <w:tc>
          <w:tcPr>
            <w:tcW w:w="717" w:type="dxa"/>
            <w:gridSpan w:val="2"/>
            <w:shd w:val="clear" w:color="auto" w:fill="auto"/>
          </w:tcPr>
          <w:p w14:paraId="2D52C718" w14:textId="77777777" w:rsidR="00035544" w:rsidRPr="0081146C" w:rsidRDefault="00035544" w:rsidP="00035544">
            <w:pPr>
              <w:pStyle w:val="Tabletext"/>
            </w:pPr>
            <w:r w:rsidRPr="0081146C">
              <w:t>38</w:t>
            </w:r>
          </w:p>
        </w:tc>
        <w:tc>
          <w:tcPr>
            <w:tcW w:w="3107" w:type="dxa"/>
            <w:shd w:val="clear" w:color="auto" w:fill="auto"/>
          </w:tcPr>
          <w:p w14:paraId="5BACAA86" w14:textId="77777777" w:rsidR="00035544" w:rsidRPr="0081146C" w:rsidRDefault="00035544" w:rsidP="00035544">
            <w:pPr>
              <w:pStyle w:val="Tabletext"/>
            </w:pPr>
            <w:r w:rsidRPr="0081146C">
              <w:t>in the capacity of insurer for a life policy or sinking fund policy, accepting a premium in relation to the policy</w:t>
            </w:r>
          </w:p>
        </w:tc>
        <w:tc>
          <w:tcPr>
            <w:tcW w:w="3262" w:type="dxa"/>
            <w:shd w:val="clear" w:color="auto" w:fill="auto"/>
          </w:tcPr>
          <w:p w14:paraId="0A16C979" w14:textId="77777777" w:rsidR="00035544" w:rsidRPr="0081146C" w:rsidRDefault="00035544" w:rsidP="00035544">
            <w:pPr>
              <w:pStyle w:val="Tabletext"/>
            </w:pPr>
            <w:r w:rsidRPr="0081146C">
              <w:t>the holder of the policy</w:t>
            </w:r>
          </w:p>
        </w:tc>
      </w:tr>
      <w:tr w:rsidR="00035544" w:rsidRPr="0081146C" w14:paraId="4A6A13FA" w14:textId="77777777" w:rsidTr="008B3D55">
        <w:tc>
          <w:tcPr>
            <w:tcW w:w="717" w:type="dxa"/>
            <w:gridSpan w:val="2"/>
            <w:tcBorders>
              <w:bottom w:val="single" w:sz="4" w:space="0" w:color="auto"/>
            </w:tcBorders>
            <w:shd w:val="clear" w:color="auto" w:fill="auto"/>
          </w:tcPr>
          <w:p w14:paraId="3FCA13E4" w14:textId="77777777" w:rsidR="00035544" w:rsidRPr="0081146C" w:rsidRDefault="00035544" w:rsidP="00035544">
            <w:pPr>
              <w:pStyle w:val="Tabletext"/>
            </w:pPr>
            <w:r w:rsidRPr="0081146C">
              <w:t>39</w:t>
            </w:r>
          </w:p>
        </w:tc>
        <w:tc>
          <w:tcPr>
            <w:tcW w:w="3107" w:type="dxa"/>
            <w:tcBorders>
              <w:bottom w:val="single" w:sz="4" w:space="0" w:color="auto"/>
            </w:tcBorders>
            <w:shd w:val="clear" w:color="auto" w:fill="auto"/>
          </w:tcPr>
          <w:p w14:paraId="4669E9B8" w14:textId="77777777" w:rsidR="00035544" w:rsidRPr="0081146C" w:rsidRDefault="00035544" w:rsidP="00035544">
            <w:pPr>
              <w:pStyle w:val="Tabletext"/>
            </w:pPr>
            <w:r w:rsidRPr="0081146C">
              <w:t>in the capacity of insurer for a life policy or sinking fund policy, making a payment to a person under the policy</w:t>
            </w:r>
          </w:p>
        </w:tc>
        <w:tc>
          <w:tcPr>
            <w:tcW w:w="3262" w:type="dxa"/>
            <w:tcBorders>
              <w:bottom w:val="single" w:sz="4" w:space="0" w:color="auto"/>
            </w:tcBorders>
            <w:shd w:val="clear" w:color="auto" w:fill="auto"/>
          </w:tcPr>
          <w:p w14:paraId="68381427" w14:textId="77777777" w:rsidR="00035544" w:rsidRPr="0081146C" w:rsidRDefault="00035544" w:rsidP="00035544">
            <w:pPr>
              <w:pStyle w:val="Tabletext"/>
            </w:pPr>
            <w:r w:rsidRPr="0081146C">
              <w:t>the person</w:t>
            </w:r>
          </w:p>
        </w:tc>
      </w:tr>
      <w:tr w:rsidR="00035544" w:rsidRPr="0081146C" w14:paraId="3F83EC39" w14:textId="77777777" w:rsidTr="008B3D55">
        <w:tc>
          <w:tcPr>
            <w:tcW w:w="717" w:type="dxa"/>
            <w:gridSpan w:val="2"/>
            <w:tcBorders>
              <w:bottom w:val="single" w:sz="4" w:space="0" w:color="auto"/>
            </w:tcBorders>
            <w:shd w:val="clear" w:color="auto" w:fill="auto"/>
          </w:tcPr>
          <w:p w14:paraId="628D48AB" w14:textId="77777777" w:rsidR="00035544" w:rsidRPr="0081146C" w:rsidRDefault="00035544" w:rsidP="009965C1">
            <w:pPr>
              <w:pStyle w:val="Tabletext"/>
            </w:pPr>
            <w:r w:rsidRPr="0081146C">
              <w:t>40</w:t>
            </w:r>
          </w:p>
        </w:tc>
        <w:tc>
          <w:tcPr>
            <w:tcW w:w="3107" w:type="dxa"/>
            <w:tcBorders>
              <w:bottom w:val="single" w:sz="4" w:space="0" w:color="auto"/>
            </w:tcBorders>
            <w:shd w:val="clear" w:color="auto" w:fill="auto"/>
          </w:tcPr>
          <w:p w14:paraId="6129A2B5" w14:textId="77777777" w:rsidR="00035544" w:rsidRPr="0081146C" w:rsidRDefault="00035544" w:rsidP="00606538">
            <w:pPr>
              <w:pStyle w:val="Tabletext"/>
              <w:keepNext/>
            </w:pPr>
            <w:r w:rsidRPr="0081146C">
              <w:t>in the capacity of provider of a pension or annuity, accepting payment of the purchase price for a new pension or annuity, where:</w:t>
            </w:r>
          </w:p>
          <w:p w14:paraId="1553EAC0" w14:textId="77777777" w:rsidR="00035544" w:rsidRPr="0081146C" w:rsidRDefault="00035544" w:rsidP="00606538">
            <w:pPr>
              <w:pStyle w:val="Tablea"/>
              <w:keepNext/>
            </w:pPr>
            <w:r w:rsidRPr="0081146C">
              <w:t>(a) the provider is not a self managed superannuation fund; or</w:t>
            </w:r>
          </w:p>
          <w:p w14:paraId="4F6177EE" w14:textId="77777777" w:rsidR="00035544" w:rsidRPr="0081146C" w:rsidRDefault="00035544" w:rsidP="00606538">
            <w:pPr>
              <w:pStyle w:val="Tablea"/>
              <w:keepNext/>
            </w:pPr>
            <w:r w:rsidRPr="0081146C">
              <w:t>(b) the pension or annuity is provided in the course of carrying on a business of providing pensions or annuities</w:t>
            </w:r>
          </w:p>
        </w:tc>
        <w:tc>
          <w:tcPr>
            <w:tcW w:w="3262" w:type="dxa"/>
            <w:tcBorders>
              <w:bottom w:val="single" w:sz="4" w:space="0" w:color="auto"/>
            </w:tcBorders>
            <w:shd w:val="clear" w:color="auto" w:fill="auto"/>
          </w:tcPr>
          <w:p w14:paraId="6942B76E" w14:textId="77777777" w:rsidR="00035544" w:rsidRPr="0081146C" w:rsidRDefault="00035544" w:rsidP="00606538">
            <w:pPr>
              <w:pStyle w:val="Tabletext"/>
              <w:keepNext/>
            </w:pPr>
            <w:r w:rsidRPr="0081146C">
              <w:t>the person to whom the pension or annuity is to be paid</w:t>
            </w:r>
          </w:p>
        </w:tc>
      </w:tr>
      <w:tr w:rsidR="00035544" w:rsidRPr="0081146C" w14:paraId="67C75609" w14:textId="77777777" w:rsidTr="008B3D55">
        <w:trPr>
          <w:cantSplit/>
        </w:trPr>
        <w:tc>
          <w:tcPr>
            <w:tcW w:w="717" w:type="dxa"/>
            <w:gridSpan w:val="2"/>
            <w:tcBorders>
              <w:top w:val="single" w:sz="4" w:space="0" w:color="auto"/>
              <w:bottom w:val="single" w:sz="4" w:space="0" w:color="auto"/>
            </w:tcBorders>
            <w:shd w:val="clear" w:color="auto" w:fill="auto"/>
          </w:tcPr>
          <w:p w14:paraId="430A2AD0" w14:textId="77777777" w:rsidR="00035544" w:rsidRPr="0081146C" w:rsidRDefault="00035544" w:rsidP="002529E2">
            <w:pPr>
              <w:pStyle w:val="Tabletext"/>
            </w:pPr>
            <w:r w:rsidRPr="0081146C">
              <w:t>41</w:t>
            </w:r>
          </w:p>
        </w:tc>
        <w:tc>
          <w:tcPr>
            <w:tcW w:w="3107" w:type="dxa"/>
            <w:tcBorders>
              <w:top w:val="single" w:sz="4" w:space="0" w:color="auto"/>
              <w:bottom w:val="single" w:sz="4" w:space="0" w:color="auto"/>
            </w:tcBorders>
            <w:shd w:val="clear" w:color="auto" w:fill="auto"/>
          </w:tcPr>
          <w:p w14:paraId="78193ACF" w14:textId="77777777" w:rsidR="00035544" w:rsidRPr="0081146C" w:rsidRDefault="00035544" w:rsidP="00035544">
            <w:pPr>
              <w:pStyle w:val="Tabletext"/>
            </w:pPr>
            <w:r w:rsidRPr="0081146C">
              <w:t>in the capacity of provider of a pension or annuity, making a payment to a person by way of:</w:t>
            </w:r>
          </w:p>
          <w:p w14:paraId="7AF221D0" w14:textId="77777777" w:rsidR="00035544" w:rsidRPr="0081146C" w:rsidRDefault="00035544" w:rsidP="00035544">
            <w:pPr>
              <w:pStyle w:val="Tablea"/>
            </w:pPr>
            <w:r w:rsidRPr="0081146C">
              <w:t>(a) a payment of the pension or annuity; or</w:t>
            </w:r>
          </w:p>
          <w:p w14:paraId="36082A44" w14:textId="77777777" w:rsidR="00035544" w:rsidRPr="0081146C" w:rsidRDefault="00035544" w:rsidP="00035544">
            <w:pPr>
              <w:pStyle w:val="Tablea"/>
            </w:pPr>
            <w:r w:rsidRPr="0081146C">
              <w:t>(b) an amount resulting from the commutation, in whole or in part, of the pension or annuity; or</w:t>
            </w:r>
          </w:p>
          <w:p w14:paraId="724A365C" w14:textId="77777777" w:rsidR="00035544" w:rsidRPr="0081146C" w:rsidRDefault="00035544" w:rsidP="00035544">
            <w:pPr>
              <w:pStyle w:val="Tablea"/>
            </w:pPr>
            <w:r w:rsidRPr="0081146C">
              <w:t>(c) the residual capital value of the pension or annuity;</w:t>
            </w:r>
          </w:p>
          <w:p w14:paraId="24146873" w14:textId="77777777" w:rsidR="00035544" w:rsidRPr="0081146C" w:rsidRDefault="00035544" w:rsidP="00035544">
            <w:pPr>
              <w:pStyle w:val="Tabletext"/>
            </w:pPr>
            <w:r w:rsidRPr="0081146C">
              <w:t>where the provider is not a self managed superannuation fund</w:t>
            </w:r>
          </w:p>
        </w:tc>
        <w:tc>
          <w:tcPr>
            <w:tcW w:w="3262" w:type="dxa"/>
            <w:tcBorders>
              <w:top w:val="single" w:sz="4" w:space="0" w:color="auto"/>
              <w:bottom w:val="single" w:sz="4" w:space="0" w:color="auto"/>
            </w:tcBorders>
            <w:shd w:val="clear" w:color="auto" w:fill="auto"/>
          </w:tcPr>
          <w:p w14:paraId="3DF7D586" w14:textId="77777777" w:rsidR="00035544" w:rsidRPr="0081146C" w:rsidRDefault="00035544" w:rsidP="00035544">
            <w:pPr>
              <w:pStyle w:val="Tabletext"/>
            </w:pPr>
            <w:r w:rsidRPr="0081146C">
              <w:t>the person</w:t>
            </w:r>
          </w:p>
        </w:tc>
      </w:tr>
      <w:tr w:rsidR="00035544" w:rsidRPr="0081146C" w14:paraId="4D373647" w14:textId="77777777" w:rsidTr="008B3D55">
        <w:tc>
          <w:tcPr>
            <w:tcW w:w="717" w:type="dxa"/>
            <w:gridSpan w:val="2"/>
            <w:tcBorders>
              <w:top w:val="single" w:sz="4" w:space="0" w:color="auto"/>
            </w:tcBorders>
            <w:shd w:val="clear" w:color="auto" w:fill="auto"/>
          </w:tcPr>
          <w:p w14:paraId="653C87BC" w14:textId="77777777" w:rsidR="00035544" w:rsidRPr="0081146C" w:rsidRDefault="00035544" w:rsidP="00035544">
            <w:pPr>
              <w:pStyle w:val="Tabletext"/>
            </w:pPr>
            <w:r w:rsidRPr="0081146C">
              <w:t>42</w:t>
            </w:r>
          </w:p>
        </w:tc>
        <w:tc>
          <w:tcPr>
            <w:tcW w:w="3107" w:type="dxa"/>
            <w:tcBorders>
              <w:top w:val="single" w:sz="4" w:space="0" w:color="auto"/>
            </w:tcBorders>
            <w:shd w:val="clear" w:color="auto" w:fill="auto"/>
          </w:tcPr>
          <w:p w14:paraId="5E3029C9" w14:textId="77777777" w:rsidR="00035544" w:rsidRPr="0081146C" w:rsidRDefault="00035544" w:rsidP="00035544">
            <w:pPr>
              <w:pStyle w:val="Tabletext"/>
            </w:pPr>
            <w:r w:rsidRPr="0081146C">
              <w:t>in the capacity of trustee of:</w:t>
            </w:r>
          </w:p>
          <w:p w14:paraId="78BFF2D6" w14:textId="77777777" w:rsidR="00035544" w:rsidRPr="0081146C" w:rsidRDefault="00035544" w:rsidP="00035544">
            <w:pPr>
              <w:pStyle w:val="Tablea"/>
            </w:pPr>
            <w:r w:rsidRPr="0081146C">
              <w:t>(a) a superannuation fund (other than a self managed superannuation fund); or</w:t>
            </w:r>
          </w:p>
          <w:p w14:paraId="76D3EE61" w14:textId="77777777" w:rsidR="00035544" w:rsidRPr="0081146C" w:rsidRDefault="00035544" w:rsidP="00035544">
            <w:pPr>
              <w:pStyle w:val="Tablea"/>
            </w:pPr>
            <w:r w:rsidRPr="0081146C">
              <w:t>(b) an approved deposit fund;</w:t>
            </w:r>
          </w:p>
          <w:p w14:paraId="3B6CFC25" w14:textId="77777777" w:rsidR="00035544" w:rsidRPr="0081146C" w:rsidRDefault="00035544" w:rsidP="00035544">
            <w:pPr>
              <w:pStyle w:val="Tabletext"/>
            </w:pPr>
            <w:r w:rsidRPr="0081146C">
              <w:t>accepting a contribution, roll</w:t>
            </w:r>
            <w:r w:rsidR="003B7E15" w:rsidRPr="0081146C">
              <w:noBreakHyphen/>
            </w:r>
            <w:r w:rsidRPr="0081146C">
              <w:t>over or transfer in respect of a new or existing member of the fund</w:t>
            </w:r>
          </w:p>
        </w:tc>
        <w:tc>
          <w:tcPr>
            <w:tcW w:w="3262" w:type="dxa"/>
            <w:tcBorders>
              <w:top w:val="single" w:sz="4" w:space="0" w:color="auto"/>
            </w:tcBorders>
            <w:shd w:val="clear" w:color="auto" w:fill="auto"/>
          </w:tcPr>
          <w:p w14:paraId="5F11E97C" w14:textId="77777777" w:rsidR="00035544" w:rsidRPr="0081146C" w:rsidRDefault="00035544" w:rsidP="00035544">
            <w:pPr>
              <w:pStyle w:val="Tabletext"/>
            </w:pPr>
            <w:r w:rsidRPr="0081146C">
              <w:t>the member</w:t>
            </w:r>
          </w:p>
        </w:tc>
      </w:tr>
      <w:tr w:rsidR="00035544" w:rsidRPr="0081146C" w14:paraId="1035C79B" w14:textId="77777777" w:rsidTr="008B3D55">
        <w:tc>
          <w:tcPr>
            <w:tcW w:w="717" w:type="dxa"/>
            <w:gridSpan w:val="2"/>
            <w:shd w:val="clear" w:color="auto" w:fill="auto"/>
          </w:tcPr>
          <w:p w14:paraId="5A2A21C6" w14:textId="77777777" w:rsidR="00035544" w:rsidRPr="0081146C" w:rsidRDefault="00035544" w:rsidP="00E40ED2">
            <w:pPr>
              <w:pStyle w:val="Tabletext"/>
            </w:pPr>
            <w:r w:rsidRPr="0081146C">
              <w:t>43</w:t>
            </w:r>
          </w:p>
        </w:tc>
        <w:tc>
          <w:tcPr>
            <w:tcW w:w="3107" w:type="dxa"/>
            <w:shd w:val="clear" w:color="auto" w:fill="auto"/>
          </w:tcPr>
          <w:p w14:paraId="1D5E9CEC" w14:textId="77777777" w:rsidR="00035544" w:rsidRPr="0081146C" w:rsidRDefault="00035544" w:rsidP="00606538">
            <w:pPr>
              <w:pStyle w:val="Tabletext"/>
              <w:keepNext/>
            </w:pPr>
            <w:r w:rsidRPr="0081146C">
              <w:t>in the capacity of trustee of:</w:t>
            </w:r>
          </w:p>
          <w:p w14:paraId="51B6C41A" w14:textId="77777777" w:rsidR="00035544" w:rsidRPr="0081146C" w:rsidRDefault="00035544" w:rsidP="00606538">
            <w:pPr>
              <w:pStyle w:val="Tablea"/>
              <w:keepNext/>
            </w:pPr>
            <w:r w:rsidRPr="0081146C">
              <w:t>(a) a superannuation fund (other than a self managed superannuation fund); or</w:t>
            </w:r>
          </w:p>
          <w:p w14:paraId="6B8E0664" w14:textId="77777777" w:rsidR="00035544" w:rsidRPr="0081146C" w:rsidRDefault="00035544" w:rsidP="00606538">
            <w:pPr>
              <w:pStyle w:val="Tablea"/>
              <w:keepNext/>
            </w:pPr>
            <w:r w:rsidRPr="0081146C">
              <w:t>(b) an approved deposit fund;</w:t>
            </w:r>
          </w:p>
          <w:p w14:paraId="42980837" w14:textId="77777777" w:rsidR="00035544" w:rsidRPr="0081146C" w:rsidRDefault="00035544" w:rsidP="00606538">
            <w:pPr>
              <w:pStyle w:val="Tabletext"/>
              <w:keepNext/>
            </w:pPr>
            <w:r w:rsidRPr="0081146C">
              <w:t>cashing the whole or a part of an interest held by a member of the fund</w:t>
            </w:r>
          </w:p>
        </w:tc>
        <w:tc>
          <w:tcPr>
            <w:tcW w:w="3262" w:type="dxa"/>
            <w:shd w:val="clear" w:color="auto" w:fill="auto"/>
          </w:tcPr>
          <w:p w14:paraId="5D7FF062" w14:textId="77777777" w:rsidR="00035544" w:rsidRPr="0081146C" w:rsidRDefault="00035544" w:rsidP="00606538">
            <w:pPr>
              <w:pStyle w:val="Tabletext"/>
              <w:keepNext/>
            </w:pPr>
            <w:r w:rsidRPr="0081146C">
              <w:t>the member, or if the member has died, the person, or each of the persons, who receives the cashed whole or a cashed part of the relevant interest</w:t>
            </w:r>
          </w:p>
        </w:tc>
      </w:tr>
      <w:tr w:rsidR="004F2B0D" w:rsidRPr="0081146C" w14:paraId="5D31EB6F" w14:textId="77777777" w:rsidTr="008B3D55">
        <w:trPr>
          <w:cantSplit/>
        </w:trPr>
        <w:tc>
          <w:tcPr>
            <w:tcW w:w="717" w:type="dxa"/>
            <w:gridSpan w:val="2"/>
            <w:tcBorders>
              <w:bottom w:val="single" w:sz="4" w:space="0" w:color="auto"/>
            </w:tcBorders>
            <w:shd w:val="clear" w:color="auto" w:fill="auto"/>
          </w:tcPr>
          <w:p w14:paraId="7A373D47" w14:textId="77777777" w:rsidR="004F2B0D" w:rsidRPr="0081146C" w:rsidRDefault="004F2B0D" w:rsidP="00035544">
            <w:pPr>
              <w:pStyle w:val="Tabletext"/>
            </w:pPr>
            <w:r w:rsidRPr="0081146C">
              <w:t>44</w:t>
            </w:r>
          </w:p>
        </w:tc>
        <w:tc>
          <w:tcPr>
            <w:tcW w:w="3107" w:type="dxa"/>
            <w:tcBorders>
              <w:bottom w:val="single" w:sz="4" w:space="0" w:color="auto"/>
            </w:tcBorders>
            <w:shd w:val="clear" w:color="auto" w:fill="auto"/>
          </w:tcPr>
          <w:p w14:paraId="3436C0EF" w14:textId="77777777" w:rsidR="004F2B0D" w:rsidRPr="0081146C" w:rsidRDefault="004F2B0D" w:rsidP="00035544">
            <w:pPr>
              <w:pStyle w:val="Tabletext"/>
            </w:pPr>
            <w:r w:rsidRPr="0081146C">
              <w:t>in the capacity of RSA provider, accepting a contribution, roll</w:t>
            </w:r>
            <w:r w:rsidR="003B7E15" w:rsidRPr="0081146C">
              <w:noBreakHyphen/>
            </w:r>
            <w:r w:rsidRPr="0081146C">
              <w:t>over or transfer to an RSA in respect of a new or existing RSA holder</w:t>
            </w:r>
          </w:p>
        </w:tc>
        <w:tc>
          <w:tcPr>
            <w:tcW w:w="3262" w:type="dxa"/>
            <w:tcBorders>
              <w:bottom w:val="single" w:sz="4" w:space="0" w:color="auto"/>
            </w:tcBorders>
            <w:shd w:val="clear" w:color="auto" w:fill="auto"/>
          </w:tcPr>
          <w:p w14:paraId="33945948" w14:textId="77777777" w:rsidR="004F2B0D" w:rsidRPr="0081146C" w:rsidRDefault="004F2B0D" w:rsidP="00035544">
            <w:pPr>
              <w:pStyle w:val="Tabletext"/>
            </w:pPr>
            <w:r w:rsidRPr="0081146C">
              <w:t>the RSA holder</w:t>
            </w:r>
          </w:p>
        </w:tc>
      </w:tr>
      <w:tr w:rsidR="004F2B0D" w:rsidRPr="0081146C" w14:paraId="28F6EA18" w14:textId="77777777" w:rsidTr="008B3D55">
        <w:trPr>
          <w:cantSplit/>
        </w:trPr>
        <w:tc>
          <w:tcPr>
            <w:tcW w:w="717" w:type="dxa"/>
            <w:gridSpan w:val="2"/>
            <w:tcBorders>
              <w:top w:val="single" w:sz="4" w:space="0" w:color="auto"/>
              <w:bottom w:val="single" w:sz="4" w:space="0" w:color="auto"/>
            </w:tcBorders>
            <w:shd w:val="clear" w:color="auto" w:fill="auto"/>
          </w:tcPr>
          <w:p w14:paraId="5F21D7B7" w14:textId="77777777" w:rsidR="004F2B0D" w:rsidRPr="0081146C" w:rsidRDefault="004F2B0D" w:rsidP="002529E2">
            <w:pPr>
              <w:pStyle w:val="Tabletext"/>
            </w:pPr>
            <w:r w:rsidRPr="0081146C">
              <w:t>45</w:t>
            </w:r>
          </w:p>
        </w:tc>
        <w:tc>
          <w:tcPr>
            <w:tcW w:w="3107" w:type="dxa"/>
            <w:tcBorders>
              <w:top w:val="single" w:sz="4" w:space="0" w:color="auto"/>
              <w:bottom w:val="single" w:sz="4" w:space="0" w:color="auto"/>
            </w:tcBorders>
            <w:shd w:val="clear" w:color="auto" w:fill="auto"/>
          </w:tcPr>
          <w:p w14:paraId="305D71E1" w14:textId="77777777" w:rsidR="004F2B0D" w:rsidRPr="0081146C" w:rsidRDefault="004F2B0D" w:rsidP="00035544">
            <w:pPr>
              <w:pStyle w:val="Tabletext"/>
            </w:pPr>
            <w:r w:rsidRPr="0081146C">
              <w:t>in the capacity of RSA provider, cashing the whole or a part of an interest held by an RSA holder</w:t>
            </w:r>
          </w:p>
        </w:tc>
        <w:tc>
          <w:tcPr>
            <w:tcW w:w="3262" w:type="dxa"/>
            <w:tcBorders>
              <w:top w:val="single" w:sz="4" w:space="0" w:color="auto"/>
              <w:bottom w:val="single" w:sz="4" w:space="0" w:color="auto"/>
            </w:tcBorders>
            <w:shd w:val="clear" w:color="auto" w:fill="auto"/>
          </w:tcPr>
          <w:p w14:paraId="0BE69BE2" w14:textId="77777777" w:rsidR="004F2B0D" w:rsidRPr="0081146C" w:rsidRDefault="004F2B0D" w:rsidP="00035544">
            <w:pPr>
              <w:pStyle w:val="Tabletext"/>
            </w:pPr>
            <w:r w:rsidRPr="0081146C">
              <w:t>the RSA holder, or if the RSA holder has died, the person, or each of the persons, who receives the cashed whole or a cashed part of the relevant interest</w:t>
            </w:r>
          </w:p>
        </w:tc>
      </w:tr>
      <w:tr w:rsidR="004F2B0D" w:rsidRPr="0081146C" w14:paraId="5CDCF45B" w14:textId="77777777" w:rsidTr="008B3D55">
        <w:tc>
          <w:tcPr>
            <w:tcW w:w="717" w:type="dxa"/>
            <w:gridSpan w:val="2"/>
            <w:tcBorders>
              <w:top w:val="single" w:sz="4" w:space="0" w:color="auto"/>
            </w:tcBorders>
            <w:shd w:val="clear" w:color="auto" w:fill="auto"/>
          </w:tcPr>
          <w:p w14:paraId="237F6F04" w14:textId="77777777" w:rsidR="004F2B0D" w:rsidRPr="0081146C" w:rsidRDefault="004F2B0D" w:rsidP="00E40ED2">
            <w:pPr>
              <w:pStyle w:val="Tabletext"/>
            </w:pPr>
            <w:r w:rsidRPr="0081146C">
              <w:t>46</w:t>
            </w:r>
          </w:p>
        </w:tc>
        <w:tc>
          <w:tcPr>
            <w:tcW w:w="3107" w:type="dxa"/>
            <w:tcBorders>
              <w:top w:val="single" w:sz="4" w:space="0" w:color="auto"/>
            </w:tcBorders>
            <w:shd w:val="clear" w:color="auto" w:fill="auto"/>
          </w:tcPr>
          <w:p w14:paraId="6AD2AD30" w14:textId="77777777" w:rsidR="004F2B0D" w:rsidRPr="0081146C" w:rsidRDefault="004F2B0D" w:rsidP="00035544">
            <w:pPr>
              <w:pStyle w:val="Tabletext"/>
            </w:pPr>
            <w:r w:rsidRPr="0081146C">
              <w:t>providing a custodial or depository service, where:</w:t>
            </w:r>
          </w:p>
          <w:p w14:paraId="2F4B083E" w14:textId="77777777" w:rsidR="004F2B0D" w:rsidRPr="0081146C" w:rsidRDefault="004F2B0D" w:rsidP="00035544">
            <w:pPr>
              <w:pStyle w:val="Tablea"/>
            </w:pPr>
            <w:r w:rsidRPr="0081146C">
              <w:t>(a) the service is provided in the course of carrying on a business of providing custodial or depository services; and</w:t>
            </w:r>
          </w:p>
          <w:p w14:paraId="6C880B76" w14:textId="350F15FB" w:rsidR="004F2B0D" w:rsidRPr="0081146C" w:rsidRDefault="00393E03" w:rsidP="0003172B">
            <w:pPr>
              <w:pStyle w:val="Tablea"/>
            </w:pPr>
            <w:r w:rsidRPr="0081146C">
              <w:t>(b) the service is not specified in the AML/CTF Rules</w:t>
            </w:r>
          </w:p>
        </w:tc>
        <w:tc>
          <w:tcPr>
            <w:tcW w:w="3262" w:type="dxa"/>
            <w:tcBorders>
              <w:top w:val="single" w:sz="4" w:space="0" w:color="auto"/>
            </w:tcBorders>
            <w:shd w:val="clear" w:color="auto" w:fill="auto"/>
          </w:tcPr>
          <w:p w14:paraId="3A2C9F02" w14:textId="77777777" w:rsidR="004F2B0D" w:rsidRPr="0081146C" w:rsidRDefault="004F2B0D" w:rsidP="00035544">
            <w:pPr>
              <w:pStyle w:val="Tabletext"/>
            </w:pPr>
            <w:r w:rsidRPr="0081146C">
              <w:t>the client of the service</w:t>
            </w:r>
          </w:p>
        </w:tc>
      </w:tr>
      <w:tr w:rsidR="0003172B" w:rsidRPr="0081146C" w14:paraId="152A9D83" w14:textId="77777777" w:rsidTr="008B3D55">
        <w:tc>
          <w:tcPr>
            <w:tcW w:w="708" w:type="dxa"/>
            <w:tcBorders>
              <w:top w:val="single" w:sz="4" w:space="0" w:color="auto"/>
            </w:tcBorders>
            <w:shd w:val="clear" w:color="auto" w:fill="auto"/>
          </w:tcPr>
          <w:p w14:paraId="067A3E4B" w14:textId="13C76209" w:rsidR="00610C10" w:rsidRPr="0081146C" w:rsidRDefault="00610C10" w:rsidP="00610C10">
            <w:pPr>
              <w:pStyle w:val="Tabletext"/>
            </w:pPr>
            <w:r w:rsidRPr="0081146C">
              <w:t>46A</w:t>
            </w:r>
          </w:p>
        </w:tc>
        <w:tc>
          <w:tcPr>
            <w:tcW w:w="3116" w:type="dxa"/>
            <w:gridSpan w:val="2"/>
            <w:tcBorders>
              <w:top w:val="single" w:sz="4" w:space="0" w:color="auto"/>
            </w:tcBorders>
            <w:shd w:val="clear" w:color="auto" w:fill="auto"/>
          </w:tcPr>
          <w:p w14:paraId="1AB47321" w14:textId="6308B9A0" w:rsidR="00610C10" w:rsidRPr="0081146C" w:rsidRDefault="00610C10" w:rsidP="00610C10">
            <w:pPr>
              <w:pStyle w:val="Tabletext"/>
            </w:pPr>
            <w:r w:rsidRPr="0081146C">
              <w:t>providing a virtual asset safekeeping service, where the service is provided in the course of carrying on a business as a virtual asset service provider</w:t>
            </w:r>
          </w:p>
        </w:tc>
        <w:tc>
          <w:tcPr>
            <w:tcW w:w="3262" w:type="dxa"/>
            <w:tcBorders>
              <w:top w:val="single" w:sz="4" w:space="0" w:color="auto"/>
            </w:tcBorders>
            <w:shd w:val="clear" w:color="auto" w:fill="auto"/>
          </w:tcPr>
          <w:p w14:paraId="17B16F17" w14:textId="60C61E77" w:rsidR="00610C10" w:rsidRPr="0081146C" w:rsidRDefault="00610C10" w:rsidP="00610C10">
            <w:pPr>
              <w:pStyle w:val="Tabletext"/>
            </w:pPr>
            <w:r w:rsidRPr="0081146C">
              <w:t>the customer of the service</w:t>
            </w:r>
          </w:p>
        </w:tc>
      </w:tr>
      <w:tr w:rsidR="00610C10" w:rsidRPr="0081146C" w14:paraId="5B2CBDA5" w14:textId="77777777" w:rsidTr="008B3D55">
        <w:tc>
          <w:tcPr>
            <w:tcW w:w="717" w:type="dxa"/>
            <w:gridSpan w:val="2"/>
            <w:shd w:val="clear" w:color="auto" w:fill="auto"/>
          </w:tcPr>
          <w:p w14:paraId="23971EBA" w14:textId="77777777" w:rsidR="00610C10" w:rsidRPr="0081146C" w:rsidRDefault="00610C10" w:rsidP="00610C10">
            <w:pPr>
              <w:pStyle w:val="Tabletext"/>
            </w:pPr>
            <w:r w:rsidRPr="0081146C">
              <w:t>47</w:t>
            </w:r>
          </w:p>
        </w:tc>
        <w:tc>
          <w:tcPr>
            <w:tcW w:w="3107" w:type="dxa"/>
            <w:shd w:val="clear" w:color="auto" w:fill="auto"/>
          </w:tcPr>
          <w:p w14:paraId="77828CF9" w14:textId="77777777" w:rsidR="00610C10" w:rsidRPr="0081146C" w:rsidRDefault="00610C10" w:rsidP="00610C10">
            <w:pPr>
              <w:pStyle w:val="Tabletext"/>
            </w:pPr>
            <w:r w:rsidRPr="0081146C">
              <w:t>providing a safe deposit box, or similar facility, where:</w:t>
            </w:r>
          </w:p>
          <w:p w14:paraId="666730A1" w14:textId="77777777" w:rsidR="00610C10" w:rsidRPr="0081146C" w:rsidRDefault="00610C10" w:rsidP="00610C10">
            <w:pPr>
              <w:pStyle w:val="Tablea"/>
            </w:pPr>
            <w:r w:rsidRPr="0081146C">
              <w:t>(a) the service is provided in the course of carrying on a business of providing safe deposit boxes or similar facilities; and</w:t>
            </w:r>
          </w:p>
          <w:p w14:paraId="18567160" w14:textId="77777777" w:rsidR="00064C94" w:rsidRPr="0081146C" w:rsidRDefault="00064C94" w:rsidP="00064C94">
            <w:pPr>
              <w:pStyle w:val="Tablea"/>
            </w:pPr>
            <w:r w:rsidRPr="0081146C">
              <w:t>(b) the service is not provided in the course of carrying on a business that provides short</w:t>
            </w:r>
            <w:r w:rsidRPr="0081146C">
              <w:noBreakHyphen/>
              <w:t>term accommodation for travellers; and</w:t>
            </w:r>
          </w:p>
          <w:p w14:paraId="1FC17A37" w14:textId="3DE0D01E" w:rsidR="00610C10" w:rsidRPr="0081146C" w:rsidRDefault="00064C94" w:rsidP="0003172B">
            <w:pPr>
              <w:pStyle w:val="Tablea"/>
            </w:pPr>
            <w:r w:rsidRPr="0081146C">
              <w:t>(c) the service is not specified in the AML/CTF Rules</w:t>
            </w:r>
          </w:p>
        </w:tc>
        <w:tc>
          <w:tcPr>
            <w:tcW w:w="3262" w:type="dxa"/>
            <w:shd w:val="clear" w:color="auto" w:fill="auto"/>
          </w:tcPr>
          <w:p w14:paraId="5C7A4EC5" w14:textId="77777777" w:rsidR="00610C10" w:rsidRPr="0081146C" w:rsidRDefault="00610C10" w:rsidP="00610C10">
            <w:pPr>
              <w:pStyle w:val="Tabletext"/>
            </w:pPr>
            <w:r w:rsidRPr="0081146C">
              <w:t>the person who is, or each of the persons who are, authorised to lodge items in the safe deposit box or similar facility</w:t>
            </w:r>
          </w:p>
        </w:tc>
      </w:tr>
      <w:tr w:rsidR="00610C10" w:rsidRPr="0081146C" w14:paraId="6887D064" w14:textId="77777777" w:rsidTr="008B3D55">
        <w:tc>
          <w:tcPr>
            <w:tcW w:w="717" w:type="dxa"/>
            <w:gridSpan w:val="2"/>
            <w:shd w:val="clear" w:color="auto" w:fill="auto"/>
          </w:tcPr>
          <w:p w14:paraId="5E745A3A" w14:textId="77777777" w:rsidR="00610C10" w:rsidRPr="0081146C" w:rsidRDefault="00610C10" w:rsidP="00610C10">
            <w:pPr>
              <w:pStyle w:val="Tabletext"/>
            </w:pPr>
            <w:r w:rsidRPr="0081146C">
              <w:t>48</w:t>
            </w:r>
          </w:p>
        </w:tc>
        <w:tc>
          <w:tcPr>
            <w:tcW w:w="3107" w:type="dxa"/>
            <w:shd w:val="clear" w:color="auto" w:fill="auto"/>
          </w:tcPr>
          <w:p w14:paraId="30B64381" w14:textId="77777777" w:rsidR="00610C10" w:rsidRPr="0081146C" w:rsidRDefault="00610C10" w:rsidP="00610C10">
            <w:pPr>
              <w:pStyle w:val="Tabletext"/>
              <w:keepNext/>
            </w:pPr>
            <w:r w:rsidRPr="0081146C">
              <w:t>guaranteeing a loan, where the guarantee is given in the course of carrying on a business of guaranteeing loans</w:t>
            </w:r>
          </w:p>
        </w:tc>
        <w:tc>
          <w:tcPr>
            <w:tcW w:w="3262" w:type="dxa"/>
            <w:shd w:val="clear" w:color="auto" w:fill="auto"/>
          </w:tcPr>
          <w:p w14:paraId="5B487CEF" w14:textId="77777777" w:rsidR="00610C10" w:rsidRPr="0081146C" w:rsidRDefault="00610C10" w:rsidP="00610C10">
            <w:pPr>
              <w:pStyle w:val="Tabletext"/>
              <w:keepNext/>
            </w:pPr>
            <w:r w:rsidRPr="0081146C">
              <w:t>both:</w:t>
            </w:r>
          </w:p>
          <w:p w14:paraId="06EDCB33" w14:textId="77777777" w:rsidR="00610C10" w:rsidRPr="0081146C" w:rsidRDefault="00610C10" w:rsidP="00610C10">
            <w:pPr>
              <w:pStyle w:val="Tablea"/>
              <w:keepNext/>
            </w:pPr>
            <w:r w:rsidRPr="0081146C">
              <w:t>(a) the lender; and</w:t>
            </w:r>
          </w:p>
          <w:p w14:paraId="6B9905FE" w14:textId="77777777" w:rsidR="00610C10" w:rsidRPr="0081146C" w:rsidRDefault="00610C10" w:rsidP="00610C10">
            <w:pPr>
              <w:pStyle w:val="Tablea"/>
              <w:keepNext/>
            </w:pPr>
            <w:r w:rsidRPr="0081146C">
              <w:t>(b) the borrower</w:t>
            </w:r>
          </w:p>
        </w:tc>
      </w:tr>
      <w:tr w:rsidR="00610C10" w:rsidRPr="0081146C" w14:paraId="4E984CD9" w14:textId="77777777" w:rsidTr="008B3D55">
        <w:tc>
          <w:tcPr>
            <w:tcW w:w="717" w:type="dxa"/>
            <w:gridSpan w:val="2"/>
            <w:tcBorders>
              <w:bottom w:val="single" w:sz="4" w:space="0" w:color="auto"/>
            </w:tcBorders>
            <w:shd w:val="clear" w:color="auto" w:fill="auto"/>
          </w:tcPr>
          <w:p w14:paraId="3D52748E" w14:textId="77777777" w:rsidR="00610C10" w:rsidRPr="0081146C" w:rsidRDefault="00610C10" w:rsidP="00610C10">
            <w:pPr>
              <w:pStyle w:val="Tabletext"/>
            </w:pPr>
            <w:r w:rsidRPr="0081146C">
              <w:t>49</w:t>
            </w:r>
          </w:p>
        </w:tc>
        <w:tc>
          <w:tcPr>
            <w:tcW w:w="3107" w:type="dxa"/>
            <w:tcBorders>
              <w:bottom w:val="single" w:sz="4" w:space="0" w:color="auto"/>
            </w:tcBorders>
            <w:shd w:val="clear" w:color="auto" w:fill="auto"/>
          </w:tcPr>
          <w:p w14:paraId="1F4E3877" w14:textId="77777777" w:rsidR="00610C10" w:rsidRPr="0081146C" w:rsidRDefault="00610C10" w:rsidP="00610C10">
            <w:pPr>
              <w:pStyle w:val="Tabletext"/>
            </w:pPr>
            <w:r w:rsidRPr="0081146C">
              <w:t>in the capacity of guarantor of a loan, making a payment to the lender, where the guarantee was given in the course of carrying on a business of guaranteeing loans</w:t>
            </w:r>
          </w:p>
        </w:tc>
        <w:tc>
          <w:tcPr>
            <w:tcW w:w="3262" w:type="dxa"/>
            <w:tcBorders>
              <w:bottom w:val="single" w:sz="4" w:space="0" w:color="auto"/>
            </w:tcBorders>
            <w:shd w:val="clear" w:color="auto" w:fill="auto"/>
          </w:tcPr>
          <w:p w14:paraId="16D8EEA5" w14:textId="77777777" w:rsidR="00610C10" w:rsidRPr="0081146C" w:rsidRDefault="00610C10" w:rsidP="00610C10">
            <w:pPr>
              <w:pStyle w:val="Tabletext"/>
            </w:pPr>
            <w:r w:rsidRPr="0081146C">
              <w:t>both:</w:t>
            </w:r>
          </w:p>
          <w:p w14:paraId="1B47F960" w14:textId="77777777" w:rsidR="00610C10" w:rsidRPr="0081146C" w:rsidRDefault="00610C10" w:rsidP="00610C10">
            <w:pPr>
              <w:pStyle w:val="Tablea"/>
            </w:pPr>
            <w:r w:rsidRPr="0081146C">
              <w:t>(a) the lender; and</w:t>
            </w:r>
          </w:p>
          <w:p w14:paraId="33368BA7" w14:textId="77777777" w:rsidR="00610C10" w:rsidRPr="0081146C" w:rsidRDefault="00610C10" w:rsidP="00610C10">
            <w:pPr>
              <w:pStyle w:val="Tablea"/>
            </w:pPr>
            <w:r w:rsidRPr="0081146C">
              <w:t>(b) the borrower</w:t>
            </w:r>
          </w:p>
        </w:tc>
      </w:tr>
      <w:tr w:rsidR="00610C10" w:rsidRPr="0081146C" w14:paraId="07F61AF4" w14:textId="77777777" w:rsidTr="008B3D55">
        <w:trPr>
          <w:cantSplit/>
        </w:trPr>
        <w:tc>
          <w:tcPr>
            <w:tcW w:w="717" w:type="dxa"/>
            <w:gridSpan w:val="2"/>
            <w:tcBorders>
              <w:bottom w:val="single" w:sz="4" w:space="0" w:color="auto"/>
            </w:tcBorders>
            <w:shd w:val="clear" w:color="auto" w:fill="auto"/>
          </w:tcPr>
          <w:p w14:paraId="43C9101A" w14:textId="77777777" w:rsidR="00610C10" w:rsidRPr="0081146C" w:rsidRDefault="00610C10" w:rsidP="00610C10">
            <w:pPr>
              <w:pStyle w:val="Tabletext"/>
            </w:pPr>
            <w:r w:rsidRPr="0081146C">
              <w:t>50</w:t>
            </w:r>
          </w:p>
        </w:tc>
        <w:tc>
          <w:tcPr>
            <w:tcW w:w="3107" w:type="dxa"/>
            <w:tcBorders>
              <w:bottom w:val="single" w:sz="4" w:space="0" w:color="auto"/>
            </w:tcBorders>
            <w:shd w:val="clear" w:color="auto" w:fill="auto"/>
          </w:tcPr>
          <w:p w14:paraId="137B852C" w14:textId="77777777" w:rsidR="00610C10" w:rsidRPr="0081146C" w:rsidRDefault="00610C10" w:rsidP="00610C10">
            <w:pPr>
              <w:pStyle w:val="Tabletext"/>
            </w:pPr>
            <w:r w:rsidRPr="0081146C">
              <w:t>exchanging one currency (whether Australian or not) for another (whether Australian or not), where the exchange is provided in the course of carrying on a currency exchange business</w:t>
            </w:r>
          </w:p>
        </w:tc>
        <w:tc>
          <w:tcPr>
            <w:tcW w:w="3262" w:type="dxa"/>
            <w:tcBorders>
              <w:bottom w:val="single" w:sz="4" w:space="0" w:color="auto"/>
            </w:tcBorders>
            <w:shd w:val="clear" w:color="auto" w:fill="auto"/>
          </w:tcPr>
          <w:p w14:paraId="04B0A6A8" w14:textId="77777777" w:rsidR="00610C10" w:rsidRPr="0081146C" w:rsidRDefault="00610C10" w:rsidP="00610C10">
            <w:pPr>
              <w:pStyle w:val="Tabletext"/>
            </w:pPr>
            <w:r w:rsidRPr="0081146C">
              <w:t>the person whose currency is exchanged</w:t>
            </w:r>
          </w:p>
        </w:tc>
      </w:tr>
      <w:tr w:rsidR="008B3D55" w:rsidRPr="0081146C" w14:paraId="6B27C8F8" w14:textId="77777777" w:rsidTr="008B3D55">
        <w:trPr>
          <w:cantSplit/>
        </w:trPr>
        <w:tc>
          <w:tcPr>
            <w:tcW w:w="717" w:type="dxa"/>
            <w:gridSpan w:val="2"/>
            <w:tcBorders>
              <w:bottom w:val="single" w:sz="4" w:space="0" w:color="auto"/>
            </w:tcBorders>
            <w:shd w:val="clear" w:color="auto" w:fill="auto"/>
          </w:tcPr>
          <w:p w14:paraId="443F333D" w14:textId="790F4954" w:rsidR="008B3D55" w:rsidRPr="0081146C" w:rsidRDefault="008B3D55" w:rsidP="00610C10">
            <w:pPr>
              <w:pStyle w:val="Tabletext"/>
            </w:pPr>
            <w:r>
              <w:t>50A</w:t>
            </w:r>
          </w:p>
        </w:tc>
        <w:tc>
          <w:tcPr>
            <w:tcW w:w="3107" w:type="dxa"/>
            <w:tcBorders>
              <w:bottom w:val="single" w:sz="4" w:space="0" w:color="auto"/>
            </w:tcBorders>
            <w:shd w:val="clear" w:color="auto" w:fill="auto"/>
          </w:tcPr>
          <w:p w14:paraId="7A971F21" w14:textId="77777777" w:rsidR="008B3D55" w:rsidRPr="0081146C" w:rsidRDefault="008B3D55" w:rsidP="008B3D55">
            <w:pPr>
              <w:pStyle w:val="Tabletext"/>
            </w:pPr>
            <w:r w:rsidRPr="0081146C">
              <w:t>exchanging, or making arrangements for the exchange of:</w:t>
            </w:r>
          </w:p>
          <w:p w14:paraId="129228FB" w14:textId="77777777" w:rsidR="008B3D55" w:rsidRPr="0081146C" w:rsidRDefault="008B3D55" w:rsidP="008B3D55">
            <w:pPr>
              <w:pStyle w:val="Tablea"/>
            </w:pPr>
            <w:r w:rsidRPr="0081146C">
              <w:t>(a) a virtual asset for money (whether Australian or not); or</w:t>
            </w:r>
          </w:p>
          <w:p w14:paraId="0C3ADF8E" w14:textId="77777777" w:rsidR="008B3D55" w:rsidRPr="0081146C" w:rsidRDefault="008B3D55" w:rsidP="008B3D55">
            <w:pPr>
              <w:pStyle w:val="Tablea"/>
            </w:pPr>
            <w:r w:rsidRPr="0081146C">
              <w:t>(b) money (whether Australian or not) for a virtual asset;</w:t>
            </w:r>
          </w:p>
          <w:p w14:paraId="479D8DD7" w14:textId="499F112B" w:rsidR="008B3D55" w:rsidRPr="0081146C" w:rsidRDefault="008B3D55" w:rsidP="008B3D55">
            <w:pPr>
              <w:pStyle w:val="Tabletext"/>
            </w:pPr>
            <w:r w:rsidRPr="0081146C">
              <w:t>for a person, in the course of carrying on a business as a virtual asset service provider</w:t>
            </w:r>
          </w:p>
        </w:tc>
        <w:tc>
          <w:tcPr>
            <w:tcW w:w="3262" w:type="dxa"/>
            <w:tcBorders>
              <w:bottom w:val="single" w:sz="4" w:space="0" w:color="auto"/>
            </w:tcBorders>
            <w:shd w:val="clear" w:color="auto" w:fill="auto"/>
          </w:tcPr>
          <w:p w14:paraId="0257536A" w14:textId="2734C1D5" w:rsidR="008B3D55" w:rsidRPr="0081146C" w:rsidRDefault="008B3D55" w:rsidP="00610C10">
            <w:pPr>
              <w:pStyle w:val="Tabletext"/>
            </w:pPr>
            <w:r w:rsidRPr="0081146C">
              <w:t>the person whose virtual asset or money is exchanged</w:t>
            </w:r>
          </w:p>
        </w:tc>
      </w:tr>
      <w:tr w:rsidR="008B3D55" w:rsidRPr="0081146C" w14:paraId="659D5950" w14:textId="77777777" w:rsidTr="008B3D55">
        <w:trPr>
          <w:cantSplit/>
        </w:trPr>
        <w:tc>
          <w:tcPr>
            <w:tcW w:w="717" w:type="dxa"/>
            <w:gridSpan w:val="2"/>
            <w:tcBorders>
              <w:bottom w:val="single" w:sz="4" w:space="0" w:color="auto"/>
            </w:tcBorders>
            <w:shd w:val="clear" w:color="auto" w:fill="auto"/>
          </w:tcPr>
          <w:p w14:paraId="4BC471C2" w14:textId="17C3A4C2" w:rsidR="008B3D55" w:rsidRPr="0081146C" w:rsidRDefault="008B3D55" w:rsidP="00610C10">
            <w:pPr>
              <w:pStyle w:val="Tabletext"/>
            </w:pPr>
            <w:r>
              <w:t>50B</w:t>
            </w:r>
          </w:p>
        </w:tc>
        <w:tc>
          <w:tcPr>
            <w:tcW w:w="3107" w:type="dxa"/>
            <w:tcBorders>
              <w:bottom w:val="single" w:sz="4" w:space="0" w:color="auto"/>
            </w:tcBorders>
            <w:shd w:val="clear" w:color="auto" w:fill="auto"/>
          </w:tcPr>
          <w:p w14:paraId="4A4CF75E" w14:textId="47DD85DD" w:rsidR="008B3D55" w:rsidRPr="0081146C" w:rsidRDefault="008B3D55" w:rsidP="00610C10">
            <w:pPr>
              <w:pStyle w:val="Tabletext"/>
            </w:pPr>
            <w:r w:rsidRPr="0081146C">
              <w:t>exchanging, or making arrangements for the exchange of, a virtual asset for another virtual asset (whether or not of the same or a different kind) in the course of carrying on a business as a virtual asset service provider</w:t>
            </w:r>
          </w:p>
        </w:tc>
        <w:tc>
          <w:tcPr>
            <w:tcW w:w="3262" w:type="dxa"/>
            <w:tcBorders>
              <w:bottom w:val="single" w:sz="4" w:space="0" w:color="auto"/>
            </w:tcBorders>
            <w:shd w:val="clear" w:color="auto" w:fill="auto"/>
          </w:tcPr>
          <w:p w14:paraId="05BAAD77" w14:textId="6D044F62" w:rsidR="008B3D55" w:rsidRPr="0081146C" w:rsidRDefault="008B3D55" w:rsidP="00610C10">
            <w:pPr>
              <w:pStyle w:val="Tabletext"/>
            </w:pPr>
            <w:r w:rsidRPr="0081146C">
              <w:t>the person whose virtual asset is exchanged</w:t>
            </w:r>
          </w:p>
        </w:tc>
      </w:tr>
      <w:tr w:rsidR="008B3D55" w:rsidRPr="0081146C" w14:paraId="7CBBF486" w14:textId="77777777" w:rsidTr="008B3D55">
        <w:trPr>
          <w:cantSplit/>
        </w:trPr>
        <w:tc>
          <w:tcPr>
            <w:tcW w:w="717" w:type="dxa"/>
            <w:gridSpan w:val="2"/>
            <w:tcBorders>
              <w:bottom w:val="single" w:sz="4" w:space="0" w:color="auto"/>
            </w:tcBorders>
            <w:shd w:val="clear" w:color="auto" w:fill="auto"/>
          </w:tcPr>
          <w:p w14:paraId="3BB32E35" w14:textId="1284493F" w:rsidR="008B3D55" w:rsidRPr="0081146C" w:rsidRDefault="008B3D55" w:rsidP="00610C10">
            <w:pPr>
              <w:pStyle w:val="Tabletext"/>
            </w:pPr>
            <w:r>
              <w:t>50C</w:t>
            </w:r>
          </w:p>
        </w:tc>
        <w:tc>
          <w:tcPr>
            <w:tcW w:w="3107" w:type="dxa"/>
            <w:tcBorders>
              <w:bottom w:val="single" w:sz="4" w:space="0" w:color="auto"/>
            </w:tcBorders>
            <w:shd w:val="clear" w:color="auto" w:fill="auto"/>
          </w:tcPr>
          <w:p w14:paraId="64007900" w14:textId="2ADB1A94" w:rsidR="008B3D55" w:rsidRPr="0081146C" w:rsidRDefault="008B3D55" w:rsidP="00610C10">
            <w:pPr>
              <w:pStyle w:val="Tabletext"/>
            </w:pPr>
            <w:r w:rsidRPr="0081146C">
              <w:t>providing a designated service mentioned in another item of this table in connection with the offer or sale of a virtual asset, where the service is provided in the course of carrying on a business participating in the offer or sale</w:t>
            </w:r>
          </w:p>
        </w:tc>
        <w:tc>
          <w:tcPr>
            <w:tcW w:w="3262" w:type="dxa"/>
            <w:tcBorders>
              <w:bottom w:val="single" w:sz="4" w:space="0" w:color="auto"/>
            </w:tcBorders>
            <w:shd w:val="clear" w:color="auto" w:fill="auto"/>
          </w:tcPr>
          <w:p w14:paraId="012ED55D" w14:textId="6CD86287" w:rsidR="008B3D55" w:rsidRPr="0081146C" w:rsidRDefault="008B3D55" w:rsidP="00610C10">
            <w:pPr>
              <w:pStyle w:val="Tabletext"/>
            </w:pPr>
            <w:r w:rsidRPr="0081146C">
              <w:t>the customer mentioned in the item</w:t>
            </w:r>
          </w:p>
        </w:tc>
      </w:tr>
      <w:tr w:rsidR="00610C10" w:rsidRPr="0081146C" w14:paraId="39976AF3" w14:textId="77777777" w:rsidTr="008B3D55">
        <w:tc>
          <w:tcPr>
            <w:tcW w:w="717" w:type="dxa"/>
            <w:gridSpan w:val="2"/>
            <w:tcBorders>
              <w:bottom w:val="single" w:sz="4" w:space="0" w:color="auto"/>
            </w:tcBorders>
            <w:shd w:val="clear" w:color="auto" w:fill="auto"/>
          </w:tcPr>
          <w:p w14:paraId="548644C6" w14:textId="77777777" w:rsidR="00610C10" w:rsidRPr="0081146C" w:rsidRDefault="00610C10" w:rsidP="00610C10">
            <w:pPr>
              <w:pStyle w:val="Tabletext"/>
            </w:pPr>
            <w:r w:rsidRPr="0081146C">
              <w:t>52</w:t>
            </w:r>
          </w:p>
        </w:tc>
        <w:tc>
          <w:tcPr>
            <w:tcW w:w="3107" w:type="dxa"/>
            <w:tcBorders>
              <w:bottom w:val="single" w:sz="4" w:space="0" w:color="auto"/>
            </w:tcBorders>
            <w:shd w:val="clear" w:color="auto" w:fill="auto"/>
          </w:tcPr>
          <w:p w14:paraId="3E094AA1" w14:textId="77777777" w:rsidR="00610C10" w:rsidRPr="0081146C" w:rsidRDefault="00610C10" w:rsidP="00610C10">
            <w:pPr>
              <w:pStyle w:val="Tabletext"/>
            </w:pPr>
            <w:r w:rsidRPr="0081146C">
              <w:t>preparing a pay</w:t>
            </w:r>
            <w:r w:rsidRPr="0081146C">
              <w:noBreakHyphen/>
              <w:t>roll, on behalf of a person, in whole or in part from physical currency collected, where the service is provided in the course of carrying on a business of preparing pay</w:t>
            </w:r>
            <w:r w:rsidRPr="0081146C">
              <w:noBreakHyphen/>
              <w:t>rolls</w:t>
            </w:r>
          </w:p>
        </w:tc>
        <w:tc>
          <w:tcPr>
            <w:tcW w:w="3262" w:type="dxa"/>
            <w:tcBorders>
              <w:bottom w:val="single" w:sz="4" w:space="0" w:color="auto"/>
            </w:tcBorders>
            <w:shd w:val="clear" w:color="auto" w:fill="auto"/>
          </w:tcPr>
          <w:p w14:paraId="0580CF25" w14:textId="77777777" w:rsidR="00610C10" w:rsidRPr="0081146C" w:rsidRDefault="00610C10" w:rsidP="00610C10">
            <w:pPr>
              <w:pStyle w:val="Tabletext"/>
            </w:pPr>
            <w:r w:rsidRPr="0081146C">
              <w:t>the person</w:t>
            </w:r>
          </w:p>
        </w:tc>
      </w:tr>
      <w:tr w:rsidR="00610C10" w:rsidRPr="0081146C" w14:paraId="663FAAB3" w14:textId="77777777" w:rsidTr="008B3D55">
        <w:tc>
          <w:tcPr>
            <w:tcW w:w="717" w:type="dxa"/>
            <w:gridSpan w:val="2"/>
            <w:tcBorders>
              <w:bottom w:val="single" w:sz="12" w:space="0" w:color="auto"/>
            </w:tcBorders>
            <w:shd w:val="clear" w:color="auto" w:fill="auto"/>
          </w:tcPr>
          <w:p w14:paraId="00EEC213" w14:textId="77777777" w:rsidR="00610C10" w:rsidRPr="0081146C" w:rsidRDefault="00610C10" w:rsidP="00610C10">
            <w:pPr>
              <w:pStyle w:val="Tabletext"/>
            </w:pPr>
            <w:r w:rsidRPr="0081146C">
              <w:t>54</w:t>
            </w:r>
          </w:p>
        </w:tc>
        <w:tc>
          <w:tcPr>
            <w:tcW w:w="3107" w:type="dxa"/>
            <w:tcBorders>
              <w:bottom w:val="single" w:sz="12" w:space="0" w:color="auto"/>
            </w:tcBorders>
            <w:shd w:val="clear" w:color="auto" w:fill="auto"/>
          </w:tcPr>
          <w:p w14:paraId="6298058D" w14:textId="77777777" w:rsidR="00610C10" w:rsidRPr="0081146C" w:rsidRDefault="00610C10" w:rsidP="00610C10">
            <w:pPr>
              <w:pStyle w:val="Tabletext"/>
              <w:keepNext/>
            </w:pPr>
            <w:r w:rsidRPr="0081146C">
              <w:t>in the capacity of holder of an Australian financial services licence, making arrangements for a person to receive a designated service (other than a service covered by this item)</w:t>
            </w:r>
          </w:p>
        </w:tc>
        <w:tc>
          <w:tcPr>
            <w:tcW w:w="3262" w:type="dxa"/>
            <w:tcBorders>
              <w:bottom w:val="single" w:sz="12" w:space="0" w:color="auto"/>
            </w:tcBorders>
            <w:shd w:val="clear" w:color="auto" w:fill="auto"/>
          </w:tcPr>
          <w:p w14:paraId="7D19EA55" w14:textId="77777777" w:rsidR="00610C10" w:rsidRPr="0081146C" w:rsidRDefault="00610C10" w:rsidP="00610C10">
            <w:pPr>
              <w:pStyle w:val="Tabletext"/>
              <w:keepNext/>
            </w:pPr>
            <w:r w:rsidRPr="0081146C">
              <w:t>the person</w:t>
            </w:r>
          </w:p>
        </w:tc>
      </w:tr>
    </w:tbl>
    <w:p w14:paraId="33847D8E" w14:textId="77777777" w:rsidR="00035544" w:rsidRPr="0081146C" w:rsidRDefault="00CC3DD3" w:rsidP="00035544">
      <w:pPr>
        <w:pStyle w:val="notetext"/>
      </w:pPr>
      <w:r w:rsidRPr="0081146C">
        <w:t>Note 1</w:t>
      </w:r>
      <w:r w:rsidR="00035544" w:rsidRPr="0081146C">
        <w:t>:</w:t>
      </w:r>
      <w:r w:rsidR="00035544" w:rsidRPr="0081146C">
        <w:tab/>
        <w:t>For specification by class, see sub</w:t>
      </w:r>
      <w:r w:rsidR="003B7E15" w:rsidRPr="0081146C">
        <w:t>section 1</w:t>
      </w:r>
      <w:r w:rsidR="00035544" w:rsidRPr="0081146C">
        <w:t xml:space="preserve">3(3) of the </w:t>
      </w:r>
      <w:r w:rsidR="00503747" w:rsidRPr="0081146C">
        <w:rPr>
          <w:i/>
        </w:rPr>
        <w:t>Legislation Act 2003</w:t>
      </w:r>
      <w:r w:rsidR="00035544" w:rsidRPr="0081146C">
        <w:t>.</w:t>
      </w:r>
    </w:p>
    <w:p w14:paraId="7CD172F8" w14:textId="77777777" w:rsidR="00CC3DD3" w:rsidRPr="0081146C" w:rsidRDefault="00CC3DD3" w:rsidP="00CC3DD3">
      <w:pPr>
        <w:pStyle w:val="notetext"/>
      </w:pPr>
      <w:r w:rsidRPr="0081146C">
        <w:t>Note 2:</w:t>
      </w:r>
      <w:r w:rsidRPr="0081146C">
        <w:tab/>
        <w:t xml:space="preserve">For the purposes of </w:t>
      </w:r>
      <w:r w:rsidR="003B7E15" w:rsidRPr="0081146C">
        <w:t>item 3</w:t>
      </w:r>
      <w:r w:rsidRPr="0081146C">
        <w:t xml:space="preserve">5 of the table, a notified foreign passport fund is a managed investment scheme, see the definition of </w:t>
      </w:r>
      <w:r w:rsidRPr="0081146C">
        <w:rPr>
          <w:b/>
          <w:i/>
        </w:rPr>
        <w:t>managed investment scheme</w:t>
      </w:r>
      <w:r w:rsidRPr="0081146C">
        <w:t xml:space="preserve"> in section</w:t>
      </w:r>
      <w:r w:rsidR="004F64A4" w:rsidRPr="0081146C">
        <w:t> </w:t>
      </w:r>
      <w:r w:rsidRPr="0081146C">
        <w:t>5.</w:t>
      </w:r>
    </w:p>
    <w:p w14:paraId="4FABA55C" w14:textId="77777777" w:rsidR="00393E03" w:rsidRPr="0081146C" w:rsidRDefault="00393E03" w:rsidP="00393E03">
      <w:pPr>
        <w:pStyle w:val="SubsectionHead"/>
      </w:pPr>
      <w:r w:rsidRPr="0081146C">
        <w:t>Table 2—Bullion and precious metals, stones and products</w:t>
      </w:r>
    </w:p>
    <w:p w14:paraId="06F3A726" w14:textId="77777777" w:rsidR="00393E03" w:rsidRPr="0081146C" w:rsidRDefault="00393E03" w:rsidP="00393E03">
      <w:pPr>
        <w:pStyle w:val="subsection"/>
      </w:pPr>
      <w:r w:rsidRPr="0081146C">
        <w:tab/>
        <w:t>(3)</w:t>
      </w:r>
      <w:r w:rsidRPr="0081146C">
        <w:tab/>
        <w:t>Table 2 is as follows:</w:t>
      </w:r>
    </w:p>
    <w:p w14:paraId="4C5FFF6C" w14:textId="77777777" w:rsidR="00393E03" w:rsidRPr="0081146C" w:rsidRDefault="00393E03" w:rsidP="00393E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93E03" w:rsidRPr="0081146C" w14:paraId="5B1B6C01" w14:textId="77777777" w:rsidTr="00015444">
        <w:trPr>
          <w:tblHeader/>
        </w:trPr>
        <w:tc>
          <w:tcPr>
            <w:tcW w:w="7086" w:type="dxa"/>
            <w:gridSpan w:val="3"/>
            <w:tcBorders>
              <w:top w:val="single" w:sz="12" w:space="0" w:color="auto"/>
              <w:bottom w:val="single" w:sz="6" w:space="0" w:color="auto"/>
            </w:tcBorders>
            <w:shd w:val="clear" w:color="auto" w:fill="auto"/>
          </w:tcPr>
          <w:p w14:paraId="19D6A8EE" w14:textId="77777777" w:rsidR="00393E03" w:rsidRPr="0081146C" w:rsidRDefault="00393E03" w:rsidP="00015444">
            <w:pPr>
              <w:pStyle w:val="TableHeading"/>
            </w:pPr>
            <w:r w:rsidRPr="0081146C">
              <w:t>Table 2—Bullion and precious metals, stones and products</w:t>
            </w:r>
          </w:p>
        </w:tc>
      </w:tr>
      <w:tr w:rsidR="00393E03" w:rsidRPr="0081146C" w14:paraId="569A3C86" w14:textId="77777777" w:rsidTr="00015444">
        <w:trPr>
          <w:tblHeader/>
        </w:trPr>
        <w:tc>
          <w:tcPr>
            <w:tcW w:w="714" w:type="dxa"/>
            <w:tcBorders>
              <w:top w:val="single" w:sz="6" w:space="0" w:color="auto"/>
              <w:bottom w:val="single" w:sz="12" w:space="0" w:color="auto"/>
            </w:tcBorders>
            <w:shd w:val="clear" w:color="auto" w:fill="auto"/>
          </w:tcPr>
          <w:p w14:paraId="460B4F62" w14:textId="77777777" w:rsidR="00393E03" w:rsidRPr="0081146C" w:rsidRDefault="00393E03" w:rsidP="00015444">
            <w:pPr>
              <w:pStyle w:val="TableHeading"/>
            </w:pPr>
            <w:r w:rsidRPr="0081146C">
              <w:t>Item</w:t>
            </w:r>
          </w:p>
        </w:tc>
        <w:tc>
          <w:tcPr>
            <w:tcW w:w="3186" w:type="dxa"/>
            <w:tcBorders>
              <w:top w:val="single" w:sz="6" w:space="0" w:color="auto"/>
              <w:bottom w:val="single" w:sz="12" w:space="0" w:color="auto"/>
            </w:tcBorders>
            <w:shd w:val="clear" w:color="auto" w:fill="auto"/>
          </w:tcPr>
          <w:p w14:paraId="3AF14775" w14:textId="77777777" w:rsidR="00393E03" w:rsidRPr="0081146C" w:rsidRDefault="00393E03" w:rsidP="00015444">
            <w:pPr>
              <w:pStyle w:val="TableHeading"/>
            </w:pPr>
            <w:r w:rsidRPr="0081146C">
              <w:t>Provision of a designated service</w:t>
            </w:r>
          </w:p>
        </w:tc>
        <w:tc>
          <w:tcPr>
            <w:tcW w:w="3186" w:type="dxa"/>
            <w:tcBorders>
              <w:top w:val="single" w:sz="6" w:space="0" w:color="auto"/>
              <w:bottom w:val="single" w:sz="12" w:space="0" w:color="auto"/>
            </w:tcBorders>
            <w:shd w:val="clear" w:color="auto" w:fill="auto"/>
          </w:tcPr>
          <w:p w14:paraId="554F19B6" w14:textId="77777777" w:rsidR="00393E03" w:rsidRPr="0081146C" w:rsidRDefault="00393E03" w:rsidP="00015444">
            <w:pPr>
              <w:pStyle w:val="TableHeading"/>
            </w:pPr>
            <w:r w:rsidRPr="0081146C">
              <w:t>Customer of the designated service</w:t>
            </w:r>
          </w:p>
        </w:tc>
      </w:tr>
      <w:tr w:rsidR="00393E03" w:rsidRPr="0081146C" w14:paraId="0E22D5CE" w14:textId="77777777" w:rsidTr="00015444">
        <w:tc>
          <w:tcPr>
            <w:tcW w:w="714" w:type="dxa"/>
            <w:tcBorders>
              <w:top w:val="single" w:sz="12" w:space="0" w:color="auto"/>
              <w:bottom w:val="single" w:sz="2" w:space="0" w:color="auto"/>
            </w:tcBorders>
            <w:shd w:val="clear" w:color="auto" w:fill="auto"/>
          </w:tcPr>
          <w:p w14:paraId="7610BF9C" w14:textId="77777777" w:rsidR="00393E03" w:rsidRPr="0081146C" w:rsidRDefault="00393E03" w:rsidP="00015444">
            <w:pPr>
              <w:pStyle w:val="Tabletext"/>
            </w:pPr>
            <w:r w:rsidRPr="0081146C">
              <w:t>1</w:t>
            </w:r>
          </w:p>
        </w:tc>
        <w:tc>
          <w:tcPr>
            <w:tcW w:w="3186" w:type="dxa"/>
            <w:tcBorders>
              <w:top w:val="single" w:sz="12" w:space="0" w:color="auto"/>
              <w:bottom w:val="single" w:sz="2" w:space="0" w:color="auto"/>
            </w:tcBorders>
            <w:shd w:val="clear" w:color="auto" w:fill="auto"/>
          </w:tcPr>
          <w:p w14:paraId="7B93C931" w14:textId="77777777" w:rsidR="00393E03" w:rsidRPr="0081146C" w:rsidRDefault="00393E03" w:rsidP="00015444">
            <w:pPr>
              <w:pStyle w:val="Tabletext"/>
            </w:pPr>
            <w:r w:rsidRPr="0081146C">
              <w:t>buying or selling bullion, where the buying or selling is in the course of carrying on a bullion</w:t>
            </w:r>
            <w:r w:rsidRPr="0081146C">
              <w:noBreakHyphen/>
              <w:t>dealing business</w:t>
            </w:r>
          </w:p>
        </w:tc>
        <w:tc>
          <w:tcPr>
            <w:tcW w:w="3186" w:type="dxa"/>
            <w:tcBorders>
              <w:top w:val="single" w:sz="12" w:space="0" w:color="auto"/>
              <w:bottom w:val="single" w:sz="2" w:space="0" w:color="auto"/>
            </w:tcBorders>
            <w:shd w:val="clear" w:color="auto" w:fill="auto"/>
          </w:tcPr>
          <w:p w14:paraId="6F9A5103" w14:textId="77777777" w:rsidR="00393E03" w:rsidRPr="0081146C" w:rsidRDefault="00393E03" w:rsidP="00015444">
            <w:pPr>
              <w:pStyle w:val="Tabletext"/>
            </w:pPr>
            <w:r w:rsidRPr="0081146C">
              <w:t>the buyer or the seller (as the case may be)</w:t>
            </w:r>
          </w:p>
        </w:tc>
      </w:tr>
      <w:tr w:rsidR="00393E03" w:rsidRPr="0081146C" w14:paraId="4693DC90" w14:textId="77777777" w:rsidTr="00015444">
        <w:tc>
          <w:tcPr>
            <w:tcW w:w="714" w:type="dxa"/>
            <w:tcBorders>
              <w:top w:val="single" w:sz="2" w:space="0" w:color="auto"/>
              <w:bottom w:val="single" w:sz="12" w:space="0" w:color="auto"/>
            </w:tcBorders>
            <w:shd w:val="clear" w:color="auto" w:fill="auto"/>
          </w:tcPr>
          <w:p w14:paraId="69710119" w14:textId="77777777" w:rsidR="00393E03" w:rsidRPr="0081146C" w:rsidRDefault="00393E03" w:rsidP="00015444">
            <w:pPr>
              <w:pStyle w:val="Tabletext"/>
            </w:pPr>
            <w:r w:rsidRPr="0081146C">
              <w:t>2</w:t>
            </w:r>
          </w:p>
        </w:tc>
        <w:tc>
          <w:tcPr>
            <w:tcW w:w="3186" w:type="dxa"/>
            <w:tcBorders>
              <w:top w:val="single" w:sz="2" w:space="0" w:color="auto"/>
              <w:bottom w:val="single" w:sz="12" w:space="0" w:color="auto"/>
            </w:tcBorders>
            <w:shd w:val="clear" w:color="auto" w:fill="auto"/>
          </w:tcPr>
          <w:p w14:paraId="2F43FDF1" w14:textId="77777777" w:rsidR="00393E03" w:rsidRPr="0081146C" w:rsidRDefault="00393E03" w:rsidP="00015444">
            <w:pPr>
              <w:pStyle w:val="Tabletext"/>
            </w:pPr>
            <w:r w:rsidRPr="0081146C">
              <w:t>buying or selling one or more of the following items in the course of carrying on a business, where the purchase involves the transfer of physical currency or virtual assets (or a combination of physical currency and virtual assets) with a total value of not less than $10,000, whether the purchase is made in a single transaction or in several transactions that are linked or appear to be linked:</w:t>
            </w:r>
          </w:p>
          <w:p w14:paraId="5E71C291" w14:textId="77777777" w:rsidR="00393E03" w:rsidRPr="0081146C" w:rsidRDefault="00393E03" w:rsidP="00015444">
            <w:pPr>
              <w:pStyle w:val="Tablea"/>
            </w:pPr>
            <w:r w:rsidRPr="0081146C">
              <w:t>(a) precious metal;</w:t>
            </w:r>
          </w:p>
          <w:p w14:paraId="4D422179" w14:textId="77777777" w:rsidR="00393E03" w:rsidRPr="0081146C" w:rsidRDefault="00393E03" w:rsidP="00015444">
            <w:pPr>
              <w:pStyle w:val="Tablea"/>
            </w:pPr>
            <w:r w:rsidRPr="0081146C">
              <w:t>(b) precious stones;</w:t>
            </w:r>
          </w:p>
          <w:p w14:paraId="7D0AEEE7" w14:textId="77777777" w:rsidR="00393E03" w:rsidRPr="0081146C" w:rsidRDefault="00393E03" w:rsidP="00015444">
            <w:pPr>
              <w:pStyle w:val="Tablea"/>
            </w:pPr>
            <w:r w:rsidRPr="0081146C">
              <w:t>(c) precious products;</w:t>
            </w:r>
          </w:p>
          <w:p w14:paraId="277C0CDB" w14:textId="77777777" w:rsidR="00393E03" w:rsidRPr="0081146C" w:rsidRDefault="00393E03" w:rsidP="00015444">
            <w:pPr>
              <w:pStyle w:val="Tablea"/>
            </w:pPr>
            <w:r w:rsidRPr="0081146C">
              <w:t>(d) any combination of any 2 or more of the items referred to in paragraphs (a) to (c)</w:t>
            </w:r>
          </w:p>
        </w:tc>
        <w:tc>
          <w:tcPr>
            <w:tcW w:w="3186" w:type="dxa"/>
            <w:tcBorders>
              <w:top w:val="single" w:sz="2" w:space="0" w:color="auto"/>
              <w:bottom w:val="single" w:sz="12" w:space="0" w:color="auto"/>
            </w:tcBorders>
            <w:shd w:val="clear" w:color="auto" w:fill="auto"/>
          </w:tcPr>
          <w:p w14:paraId="5D05E7A0" w14:textId="77777777" w:rsidR="00393E03" w:rsidRPr="0081146C" w:rsidRDefault="00393E03" w:rsidP="00015444">
            <w:pPr>
              <w:pStyle w:val="Tabletext"/>
            </w:pPr>
            <w:r w:rsidRPr="0081146C">
              <w:t>the buyer or the seller (as the case may be)</w:t>
            </w:r>
          </w:p>
        </w:tc>
      </w:tr>
    </w:tbl>
    <w:p w14:paraId="114CB21F" w14:textId="77777777" w:rsidR="00035544" w:rsidRPr="0081146C" w:rsidRDefault="00035544" w:rsidP="00035544">
      <w:pPr>
        <w:pStyle w:val="SubsectionHead"/>
      </w:pPr>
      <w:r w:rsidRPr="0081146C">
        <w:t>Table 3—Gambling services</w:t>
      </w:r>
    </w:p>
    <w:p w14:paraId="465A00A4" w14:textId="77777777" w:rsidR="00035544" w:rsidRPr="0081146C" w:rsidRDefault="00035544" w:rsidP="00035544">
      <w:pPr>
        <w:pStyle w:val="subsection"/>
      </w:pPr>
      <w:r w:rsidRPr="0081146C">
        <w:tab/>
        <w:t>(4)</w:t>
      </w:r>
      <w:r w:rsidRPr="0081146C">
        <w:tab/>
        <w:t>Table 3 is as follows:</w:t>
      </w:r>
    </w:p>
    <w:p w14:paraId="05D761F5" w14:textId="77777777" w:rsidR="00035544" w:rsidRPr="0081146C"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81146C" w14:paraId="49812B9D" w14:textId="77777777" w:rsidTr="00C72BA2">
        <w:trPr>
          <w:tblHeader/>
        </w:trPr>
        <w:tc>
          <w:tcPr>
            <w:tcW w:w="7086" w:type="dxa"/>
            <w:gridSpan w:val="3"/>
            <w:tcBorders>
              <w:top w:val="single" w:sz="12" w:space="0" w:color="auto"/>
              <w:bottom w:val="single" w:sz="6" w:space="0" w:color="auto"/>
            </w:tcBorders>
            <w:shd w:val="clear" w:color="auto" w:fill="auto"/>
          </w:tcPr>
          <w:p w14:paraId="32D5A755" w14:textId="77777777" w:rsidR="00035544" w:rsidRPr="0081146C" w:rsidRDefault="00035544" w:rsidP="00C72BA2">
            <w:pPr>
              <w:pStyle w:val="TableHeading"/>
            </w:pPr>
            <w:r w:rsidRPr="0081146C">
              <w:t>Table 3—Gambling services</w:t>
            </w:r>
          </w:p>
        </w:tc>
      </w:tr>
      <w:tr w:rsidR="00035544" w:rsidRPr="0081146C" w14:paraId="53F98FCE" w14:textId="77777777" w:rsidTr="009254D4">
        <w:trPr>
          <w:tblHeader/>
        </w:trPr>
        <w:tc>
          <w:tcPr>
            <w:tcW w:w="714" w:type="dxa"/>
            <w:tcBorders>
              <w:top w:val="single" w:sz="6" w:space="0" w:color="auto"/>
              <w:bottom w:val="single" w:sz="12" w:space="0" w:color="auto"/>
            </w:tcBorders>
            <w:shd w:val="clear" w:color="auto" w:fill="auto"/>
          </w:tcPr>
          <w:p w14:paraId="7B7307AA" w14:textId="77777777" w:rsidR="00035544" w:rsidRPr="0081146C" w:rsidRDefault="00035544" w:rsidP="00035544">
            <w:pPr>
              <w:pStyle w:val="Tabletext"/>
              <w:keepNext/>
              <w:rPr>
                <w:b/>
              </w:rPr>
            </w:pPr>
            <w:r w:rsidRPr="0081146C">
              <w:rPr>
                <w:b/>
              </w:rPr>
              <w:t>Item</w:t>
            </w:r>
          </w:p>
        </w:tc>
        <w:tc>
          <w:tcPr>
            <w:tcW w:w="3186" w:type="dxa"/>
            <w:tcBorders>
              <w:top w:val="single" w:sz="6" w:space="0" w:color="auto"/>
              <w:bottom w:val="single" w:sz="12" w:space="0" w:color="auto"/>
            </w:tcBorders>
            <w:shd w:val="clear" w:color="auto" w:fill="auto"/>
          </w:tcPr>
          <w:p w14:paraId="06F9F89A" w14:textId="77777777" w:rsidR="00035544" w:rsidRPr="0081146C" w:rsidRDefault="00035544" w:rsidP="00035544">
            <w:pPr>
              <w:pStyle w:val="Tabletext"/>
              <w:keepNext/>
              <w:rPr>
                <w:b/>
              </w:rPr>
            </w:pPr>
            <w:r w:rsidRPr="0081146C">
              <w:rPr>
                <w:b/>
              </w:rPr>
              <w:t>Provision of a designated service</w:t>
            </w:r>
          </w:p>
        </w:tc>
        <w:tc>
          <w:tcPr>
            <w:tcW w:w="3186" w:type="dxa"/>
            <w:tcBorders>
              <w:top w:val="single" w:sz="6" w:space="0" w:color="auto"/>
              <w:bottom w:val="single" w:sz="12" w:space="0" w:color="auto"/>
            </w:tcBorders>
            <w:shd w:val="clear" w:color="auto" w:fill="auto"/>
          </w:tcPr>
          <w:p w14:paraId="3EC2D887" w14:textId="77777777" w:rsidR="00035544" w:rsidRPr="0081146C" w:rsidRDefault="00035544" w:rsidP="00035544">
            <w:pPr>
              <w:pStyle w:val="Tabletext"/>
              <w:keepNext/>
              <w:rPr>
                <w:b/>
              </w:rPr>
            </w:pPr>
            <w:r w:rsidRPr="0081146C">
              <w:rPr>
                <w:b/>
              </w:rPr>
              <w:t>Customer of the designated service</w:t>
            </w:r>
          </w:p>
        </w:tc>
      </w:tr>
      <w:tr w:rsidR="00035544" w:rsidRPr="0081146C" w14:paraId="56801098" w14:textId="77777777" w:rsidTr="00621DEF">
        <w:tc>
          <w:tcPr>
            <w:tcW w:w="714" w:type="dxa"/>
            <w:tcBorders>
              <w:top w:val="single" w:sz="12" w:space="0" w:color="auto"/>
              <w:bottom w:val="single" w:sz="4" w:space="0" w:color="auto"/>
            </w:tcBorders>
            <w:shd w:val="clear" w:color="auto" w:fill="auto"/>
          </w:tcPr>
          <w:p w14:paraId="280EA6BB" w14:textId="77777777" w:rsidR="00035544" w:rsidRPr="0081146C" w:rsidRDefault="00035544" w:rsidP="00035544">
            <w:pPr>
              <w:pStyle w:val="Tabletext"/>
            </w:pPr>
            <w:r w:rsidRPr="0081146C">
              <w:t>1</w:t>
            </w:r>
          </w:p>
        </w:tc>
        <w:tc>
          <w:tcPr>
            <w:tcW w:w="3186" w:type="dxa"/>
            <w:tcBorders>
              <w:top w:val="single" w:sz="12" w:space="0" w:color="auto"/>
              <w:bottom w:val="single" w:sz="4" w:space="0" w:color="auto"/>
            </w:tcBorders>
            <w:shd w:val="clear" w:color="auto" w:fill="auto"/>
          </w:tcPr>
          <w:p w14:paraId="551F260E" w14:textId="77777777" w:rsidR="00035544" w:rsidRPr="0081146C" w:rsidRDefault="00035544" w:rsidP="00035544">
            <w:pPr>
              <w:pStyle w:val="Tabletext"/>
            </w:pPr>
            <w:r w:rsidRPr="0081146C">
              <w:t xml:space="preserve">receiving or accepting a bet placed or made by a person, where the service is provided in the course of carrying on a </w:t>
            </w:r>
            <w:r w:rsidR="00EB5F7E" w:rsidRPr="0081146C">
              <w:t xml:space="preserve">gambling </w:t>
            </w:r>
            <w:r w:rsidRPr="0081146C">
              <w:t>business</w:t>
            </w:r>
          </w:p>
        </w:tc>
        <w:tc>
          <w:tcPr>
            <w:tcW w:w="3186" w:type="dxa"/>
            <w:tcBorders>
              <w:top w:val="single" w:sz="12" w:space="0" w:color="auto"/>
              <w:bottom w:val="single" w:sz="4" w:space="0" w:color="auto"/>
            </w:tcBorders>
            <w:shd w:val="clear" w:color="auto" w:fill="auto"/>
          </w:tcPr>
          <w:p w14:paraId="2703C3ED" w14:textId="77777777" w:rsidR="00035544" w:rsidRPr="0081146C" w:rsidRDefault="00035544" w:rsidP="00035544">
            <w:pPr>
              <w:pStyle w:val="Tabletext"/>
            </w:pPr>
            <w:r w:rsidRPr="0081146C">
              <w:t>the person</w:t>
            </w:r>
          </w:p>
        </w:tc>
      </w:tr>
      <w:tr w:rsidR="00035544" w:rsidRPr="0081146C" w14:paraId="5B9410AC" w14:textId="77777777" w:rsidTr="00621DEF">
        <w:tc>
          <w:tcPr>
            <w:tcW w:w="714" w:type="dxa"/>
            <w:tcBorders>
              <w:top w:val="single" w:sz="4" w:space="0" w:color="auto"/>
            </w:tcBorders>
            <w:shd w:val="clear" w:color="auto" w:fill="auto"/>
          </w:tcPr>
          <w:p w14:paraId="0A098B96" w14:textId="77777777" w:rsidR="00035544" w:rsidRPr="0081146C" w:rsidRDefault="00035544" w:rsidP="007A28A1">
            <w:pPr>
              <w:pStyle w:val="Tabletext"/>
              <w:keepNext/>
            </w:pPr>
            <w:r w:rsidRPr="0081146C">
              <w:t>2</w:t>
            </w:r>
          </w:p>
        </w:tc>
        <w:tc>
          <w:tcPr>
            <w:tcW w:w="3186" w:type="dxa"/>
            <w:tcBorders>
              <w:top w:val="single" w:sz="4" w:space="0" w:color="auto"/>
            </w:tcBorders>
            <w:shd w:val="clear" w:color="auto" w:fill="auto"/>
          </w:tcPr>
          <w:p w14:paraId="2B3CB057" w14:textId="77777777" w:rsidR="00035544" w:rsidRPr="0081146C" w:rsidRDefault="00035544" w:rsidP="007A28A1">
            <w:pPr>
              <w:pStyle w:val="Tabletext"/>
              <w:keepNext/>
            </w:pPr>
            <w:r w:rsidRPr="0081146C">
              <w:t xml:space="preserve">placing or making a bet on behalf of a person, where the service is provided in the course of carrying on a </w:t>
            </w:r>
            <w:r w:rsidR="00EB5F7E" w:rsidRPr="0081146C">
              <w:t xml:space="preserve">gambling </w:t>
            </w:r>
            <w:r w:rsidRPr="0081146C">
              <w:t>business</w:t>
            </w:r>
          </w:p>
        </w:tc>
        <w:tc>
          <w:tcPr>
            <w:tcW w:w="3186" w:type="dxa"/>
            <w:tcBorders>
              <w:top w:val="single" w:sz="4" w:space="0" w:color="auto"/>
            </w:tcBorders>
            <w:shd w:val="clear" w:color="auto" w:fill="auto"/>
          </w:tcPr>
          <w:p w14:paraId="5245D1F2" w14:textId="77777777" w:rsidR="00035544" w:rsidRPr="0081146C" w:rsidRDefault="00035544" w:rsidP="007A28A1">
            <w:pPr>
              <w:pStyle w:val="Tabletext"/>
              <w:keepNext/>
            </w:pPr>
            <w:r w:rsidRPr="0081146C">
              <w:t>the person</w:t>
            </w:r>
          </w:p>
        </w:tc>
      </w:tr>
      <w:tr w:rsidR="00035544" w:rsidRPr="0081146C" w14:paraId="43B1314C" w14:textId="77777777" w:rsidTr="00C72BA2">
        <w:tc>
          <w:tcPr>
            <w:tcW w:w="714" w:type="dxa"/>
            <w:shd w:val="clear" w:color="auto" w:fill="auto"/>
          </w:tcPr>
          <w:p w14:paraId="5A507591" w14:textId="77777777" w:rsidR="00035544" w:rsidRPr="0081146C" w:rsidRDefault="00035544" w:rsidP="00035544">
            <w:pPr>
              <w:pStyle w:val="Tabletext"/>
            </w:pPr>
            <w:r w:rsidRPr="0081146C">
              <w:t>3</w:t>
            </w:r>
          </w:p>
        </w:tc>
        <w:tc>
          <w:tcPr>
            <w:tcW w:w="3186" w:type="dxa"/>
            <w:shd w:val="clear" w:color="auto" w:fill="auto"/>
          </w:tcPr>
          <w:p w14:paraId="5BBB28C5" w14:textId="77777777" w:rsidR="00035544" w:rsidRPr="0081146C" w:rsidRDefault="00035544" w:rsidP="00035544">
            <w:pPr>
              <w:pStyle w:val="Tabletext"/>
            </w:pPr>
            <w:r w:rsidRPr="0081146C">
              <w:t xml:space="preserve">introducing a person who wishes to make or place a bet to another person who is willing to receive or accept the bet, where the service is provided in the course of carrying on a </w:t>
            </w:r>
            <w:r w:rsidR="00EB5F7E" w:rsidRPr="0081146C">
              <w:t xml:space="preserve">gambling </w:t>
            </w:r>
            <w:r w:rsidRPr="0081146C">
              <w:t>business</w:t>
            </w:r>
          </w:p>
        </w:tc>
        <w:tc>
          <w:tcPr>
            <w:tcW w:w="3186" w:type="dxa"/>
            <w:shd w:val="clear" w:color="auto" w:fill="auto"/>
          </w:tcPr>
          <w:p w14:paraId="3617F964" w14:textId="77777777" w:rsidR="00035544" w:rsidRPr="0081146C" w:rsidRDefault="00035544" w:rsidP="00035544">
            <w:pPr>
              <w:pStyle w:val="Tabletext"/>
            </w:pPr>
            <w:r w:rsidRPr="0081146C">
              <w:t>both:</w:t>
            </w:r>
          </w:p>
          <w:p w14:paraId="50C7336A" w14:textId="77777777" w:rsidR="00035544" w:rsidRPr="0081146C" w:rsidRDefault="00035544" w:rsidP="00035544">
            <w:pPr>
              <w:pStyle w:val="Tablea"/>
            </w:pPr>
            <w:r w:rsidRPr="0081146C">
              <w:t>(a) the person who wishes to make or place the bet; and</w:t>
            </w:r>
          </w:p>
          <w:p w14:paraId="050C4B4B" w14:textId="77777777" w:rsidR="00035544" w:rsidRPr="0081146C" w:rsidRDefault="00035544" w:rsidP="00035544">
            <w:pPr>
              <w:pStyle w:val="Tablea"/>
            </w:pPr>
            <w:r w:rsidRPr="0081146C">
              <w:t>(b) the person who is willing to receive or accept the bet</w:t>
            </w:r>
          </w:p>
        </w:tc>
      </w:tr>
      <w:tr w:rsidR="00035544" w:rsidRPr="0081146C" w14:paraId="65071E39" w14:textId="77777777" w:rsidTr="00C72BA2">
        <w:tc>
          <w:tcPr>
            <w:tcW w:w="714" w:type="dxa"/>
            <w:shd w:val="clear" w:color="auto" w:fill="auto"/>
          </w:tcPr>
          <w:p w14:paraId="7FBCFB29" w14:textId="77777777" w:rsidR="00035544" w:rsidRPr="0081146C" w:rsidRDefault="00035544" w:rsidP="00035544">
            <w:pPr>
              <w:pStyle w:val="Tabletext"/>
            </w:pPr>
            <w:r w:rsidRPr="0081146C">
              <w:t>4</w:t>
            </w:r>
          </w:p>
        </w:tc>
        <w:tc>
          <w:tcPr>
            <w:tcW w:w="3186" w:type="dxa"/>
            <w:shd w:val="clear" w:color="auto" w:fill="auto"/>
          </w:tcPr>
          <w:p w14:paraId="0FFC49D6" w14:textId="77777777" w:rsidR="00035544" w:rsidRPr="0081146C" w:rsidRDefault="00035544" w:rsidP="00035544">
            <w:pPr>
              <w:pStyle w:val="Tabletext"/>
            </w:pPr>
            <w:r w:rsidRPr="0081146C">
              <w:t xml:space="preserve">paying out winnings in respect of a bet, where the service is provided in the course of carrying on a </w:t>
            </w:r>
            <w:r w:rsidR="00EB5F7E" w:rsidRPr="0081146C">
              <w:t xml:space="preserve">gambling </w:t>
            </w:r>
            <w:r w:rsidRPr="0081146C">
              <w:t>business</w:t>
            </w:r>
          </w:p>
        </w:tc>
        <w:tc>
          <w:tcPr>
            <w:tcW w:w="3186" w:type="dxa"/>
            <w:shd w:val="clear" w:color="auto" w:fill="auto"/>
          </w:tcPr>
          <w:p w14:paraId="5CA9469F" w14:textId="77777777" w:rsidR="00035544" w:rsidRPr="0081146C" w:rsidRDefault="00035544" w:rsidP="00035544">
            <w:pPr>
              <w:pStyle w:val="Tabletext"/>
            </w:pPr>
            <w:r w:rsidRPr="0081146C">
              <w:t>the person to whom the winnings are paid</w:t>
            </w:r>
          </w:p>
        </w:tc>
      </w:tr>
      <w:tr w:rsidR="00035544" w:rsidRPr="0081146C" w14:paraId="0F7A3F58" w14:textId="77777777" w:rsidTr="00E40ED2">
        <w:trPr>
          <w:cantSplit/>
        </w:trPr>
        <w:tc>
          <w:tcPr>
            <w:tcW w:w="714" w:type="dxa"/>
            <w:shd w:val="clear" w:color="auto" w:fill="auto"/>
          </w:tcPr>
          <w:p w14:paraId="5D1F5017" w14:textId="77777777" w:rsidR="00035544" w:rsidRPr="0081146C" w:rsidRDefault="00035544" w:rsidP="00035544">
            <w:pPr>
              <w:pStyle w:val="Tabletext"/>
            </w:pPr>
            <w:r w:rsidRPr="0081146C">
              <w:t>5</w:t>
            </w:r>
          </w:p>
        </w:tc>
        <w:tc>
          <w:tcPr>
            <w:tcW w:w="3186" w:type="dxa"/>
            <w:shd w:val="clear" w:color="auto" w:fill="auto"/>
          </w:tcPr>
          <w:p w14:paraId="155064F7" w14:textId="77777777" w:rsidR="00035544" w:rsidRPr="0081146C" w:rsidRDefault="00035544" w:rsidP="00035544">
            <w:pPr>
              <w:pStyle w:val="Tabletext"/>
            </w:pPr>
            <w:r w:rsidRPr="0081146C">
              <w:t>in the capacity of controller of an eligible gaming machine venue, allowing a person to play a game on a gaming machine located at the venue, where the service is provided in the course of carrying on a business</w:t>
            </w:r>
          </w:p>
        </w:tc>
        <w:tc>
          <w:tcPr>
            <w:tcW w:w="3186" w:type="dxa"/>
            <w:shd w:val="clear" w:color="auto" w:fill="auto"/>
          </w:tcPr>
          <w:p w14:paraId="483E0CB4" w14:textId="77777777" w:rsidR="00035544" w:rsidRPr="0081146C" w:rsidRDefault="00035544" w:rsidP="00035544">
            <w:pPr>
              <w:pStyle w:val="Tabletext"/>
            </w:pPr>
            <w:r w:rsidRPr="0081146C">
              <w:t>the person</w:t>
            </w:r>
          </w:p>
        </w:tc>
      </w:tr>
      <w:tr w:rsidR="00035544" w:rsidRPr="0081146C" w14:paraId="48443F10" w14:textId="77777777" w:rsidTr="009254D4">
        <w:tc>
          <w:tcPr>
            <w:tcW w:w="714" w:type="dxa"/>
            <w:tcBorders>
              <w:bottom w:val="single" w:sz="4" w:space="0" w:color="auto"/>
            </w:tcBorders>
            <w:shd w:val="clear" w:color="auto" w:fill="auto"/>
          </w:tcPr>
          <w:p w14:paraId="5FDCC04C" w14:textId="77777777" w:rsidR="00035544" w:rsidRPr="0081146C" w:rsidRDefault="00035544" w:rsidP="00035544">
            <w:pPr>
              <w:pStyle w:val="Tabletext"/>
            </w:pPr>
            <w:r w:rsidRPr="0081146C">
              <w:t>6</w:t>
            </w:r>
          </w:p>
        </w:tc>
        <w:tc>
          <w:tcPr>
            <w:tcW w:w="3186" w:type="dxa"/>
            <w:tcBorders>
              <w:bottom w:val="single" w:sz="4" w:space="0" w:color="auto"/>
            </w:tcBorders>
            <w:shd w:val="clear" w:color="auto" w:fill="auto"/>
          </w:tcPr>
          <w:p w14:paraId="32CA1FB1" w14:textId="77777777" w:rsidR="00035544" w:rsidRPr="0081146C" w:rsidRDefault="00035544" w:rsidP="00035544">
            <w:pPr>
              <w:pStyle w:val="Tabletext"/>
            </w:pPr>
            <w:r w:rsidRPr="0081146C">
              <w:t>accepting the entry of a person into a game, where:</w:t>
            </w:r>
          </w:p>
          <w:p w14:paraId="0F2E9B5A" w14:textId="77777777" w:rsidR="00035544" w:rsidRPr="0081146C" w:rsidRDefault="00035544" w:rsidP="00035544">
            <w:pPr>
              <w:pStyle w:val="Tablea"/>
            </w:pPr>
            <w:r w:rsidRPr="0081146C">
              <w:t>(a) the game is played for money or anything else of value; and</w:t>
            </w:r>
          </w:p>
          <w:p w14:paraId="0A0A7B34" w14:textId="77777777" w:rsidR="00035544" w:rsidRPr="0081146C" w:rsidRDefault="00035544" w:rsidP="00035544">
            <w:pPr>
              <w:pStyle w:val="Tablea"/>
            </w:pPr>
            <w:r w:rsidRPr="0081146C">
              <w:t>(b) the game is a game of chance or of mixed chance and skill; and</w:t>
            </w:r>
          </w:p>
          <w:p w14:paraId="4F253383" w14:textId="77777777" w:rsidR="00035544" w:rsidRPr="0081146C" w:rsidRDefault="00035544" w:rsidP="00035544">
            <w:pPr>
              <w:pStyle w:val="Tablea"/>
            </w:pPr>
            <w:r w:rsidRPr="0081146C">
              <w:t xml:space="preserve">(c) the service is provided in the course of carrying on a </w:t>
            </w:r>
            <w:r w:rsidR="00EB5F7E" w:rsidRPr="0081146C">
              <w:t xml:space="preserve">gambling </w:t>
            </w:r>
            <w:r w:rsidRPr="0081146C">
              <w:t>business; and</w:t>
            </w:r>
          </w:p>
          <w:p w14:paraId="6135F637" w14:textId="77777777" w:rsidR="00035544" w:rsidRPr="0081146C" w:rsidRDefault="00035544" w:rsidP="00035544">
            <w:pPr>
              <w:pStyle w:val="Tablea"/>
            </w:pPr>
            <w:r w:rsidRPr="0081146C">
              <w:t>(d) the game is not played on a gaming machine located at an eligible gaming machine venue</w:t>
            </w:r>
          </w:p>
        </w:tc>
        <w:tc>
          <w:tcPr>
            <w:tcW w:w="3186" w:type="dxa"/>
            <w:tcBorders>
              <w:bottom w:val="single" w:sz="4" w:space="0" w:color="auto"/>
            </w:tcBorders>
            <w:shd w:val="clear" w:color="auto" w:fill="auto"/>
          </w:tcPr>
          <w:p w14:paraId="6E337CB6" w14:textId="77777777" w:rsidR="00035544" w:rsidRPr="0081146C" w:rsidRDefault="00035544" w:rsidP="00035544">
            <w:pPr>
              <w:pStyle w:val="Tabletext"/>
            </w:pPr>
            <w:r w:rsidRPr="0081146C">
              <w:t>the person</w:t>
            </w:r>
          </w:p>
        </w:tc>
      </w:tr>
      <w:tr w:rsidR="00035544" w:rsidRPr="0081146C" w14:paraId="1FA0ABF6" w14:textId="77777777" w:rsidTr="00621DEF">
        <w:tc>
          <w:tcPr>
            <w:tcW w:w="714" w:type="dxa"/>
            <w:tcBorders>
              <w:bottom w:val="single" w:sz="4" w:space="0" w:color="auto"/>
            </w:tcBorders>
            <w:shd w:val="clear" w:color="auto" w:fill="auto"/>
          </w:tcPr>
          <w:p w14:paraId="7D3426D8" w14:textId="77777777" w:rsidR="00035544" w:rsidRPr="0081146C" w:rsidRDefault="00035544" w:rsidP="0073756D">
            <w:pPr>
              <w:pStyle w:val="Tabletext"/>
            </w:pPr>
            <w:r w:rsidRPr="0081146C">
              <w:t>7</w:t>
            </w:r>
          </w:p>
        </w:tc>
        <w:tc>
          <w:tcPr>
            <w:tcW w:w="3186" w:type="dxa"/>
            <w:tcBorders>
              <w:bottom w:val="single" w:sz="4" w:space="0" w:color="auto"/>
            </w:tcBorders>
            <w:shd w:val="clear" w:color="auto" w:fill="auto"/>
          </w:tcPr>
          <w:p w14:paraId="54C32B19" w14:textId="5A02CC32" w:rsidR="00035544" w:rsidRPr="0081146C" w:rsidRDefault="00035544" w:rsidP="00035544">
            <w:pPr>
              <w:pStyle w:val="Tabletext"/>
            </w:pPr>
            <w:r w:rsidRPr="0081146C">
              <w:t xml:space="preserve">exchanging money </w:t>
            </w:r>
            <w:r w:rsidR="006B6F37" w:rsidRPr="0081146C">
              <w:t xml:space="preserve">or </w:t>
            </w:r>
            <w:r w:rsidR="00610C10" w:rsidRPr="0081146C">
              <w:t>virtual assets</w:t>
            </w:r>
            <w:r w:rsidR="006B6F37" w:rsidRPr="0081146C">
              <w:t xml:space="preserve"> </w:t>
            </w:r>
            <w:r w:rsidRPr="0081146C">
              <w:t>for gaming chips or tokens,</w:t>
            </w:r>
            <w:r w:rsidR="0049002F" w:rsidRPr="0081146C">
              <w:t xml:space="preserve"> or betting instruments,</w:t>
            </w:r>
            <w:r w:rsidRPr="0081146C">
              <w:t xml:space="preserve"> where the service is provided in the course of carrying on a business</w:t>
            </w:r>
          </w:p>
        </w:tc>
        <w:tc>
          <w:tcPr>
            <w:tcW w:w="3186" w:type="dxa"/>
            <w:tcBorders>
              <w:bottom w:val="single" w:sz="4" w:space="0" w:color="auto"/>
            </w:tcBorders>
            <w:shd w:val="clear" w:color="auto" w:fill="auto"/>
          </w:tcPr>
          <w:p w14:paraId="5E593705" w14:textId="50935E9C" w:rsidR="00035544" w:rsidRPr="0081146C" w:rsidRDefault="00035544" w:rsidP="00035544">
            <w:pPr>
              <w:pStyle w:val="Tabletext"/>
            </w:pPr>
            <w:r w:rsidRPr="0081146C">
              <w:t xml:space="preserve">the person whose money </w:t>
            </w:r>
            <w:r w:rsidR="006B6F37" w:rsidRPr="0081146C">
              <w:t xml:space="preserve">or </w:t>
            </w:r>
            <w:r w:rsidR="00610C10" w:rsidRPr="0081146C">
              <w:t>virtual assets are</w:t>
            </w:r>
            <w:r w:rsidRPr="0081146C">
              <w:t xml:space="preserve"> exchanged</w:t>
            </w:r>
          </w:p>
        </w:tc>
      </w:tr>
      <w:tr w:rsidR="00035544" w:rsidRPr="0081146C" w14:paraId="44A2E79D" w14:textId="77777777" w:rsidTr="00621DEF">
        <w:tc>
          <w:tcPr>
            <w:tcW w:w="714" w:type="dxa"/>
            <w:tcBorders>
              <w:top w:val="single" w:sz="4" w:space="0" w:color="auto"/>
            </w:tcBorders>
            <w:shd w:val="clear" w:color="auto" w:fill="auto"/>
          </w:tcPr>
          <w:p w14:paraId="71F1BA7B" w14:textId="77777777" w:rsidR="00035544" w:rsidRPr="0081146C" w:rsidRDefault="00035544" w:rsidP="009965C1">
            <w:pPr>
              <w:pStyle w:val="Tabletext"/>
            </w:pPr>
            <w:r w:rsidRPr="0081146C">
              <w:t>8</w:t>
            </w:r>
          </w:p>
        </w:tc>
        <w:tc>
          <w:tcPr>
            <w:tcW w:w="3186" w:type="dxa"/>
            <w:tcBorders>
              <w:top w:val="single" w:sz="4" w:space="0" w:color="auto"/>
            </w:tcBorders>
            <w:shd w:val="clear" w:color="auto" w:fill="auto"/>
          </w:tcPr>
          <w:p w14:paraId="618BF0C6" w14:textId="7FB81AC5" w:rsidR="00035544" w:rsidRPr="0081146C" w:rsidRDefault="00035544" w:rsidP="007A28A1">
            <w:pPr>
              <w:pStyle w:val="Tabletext"/>
              <w:keepNext/>
            </w:pPr>
            <w:r w:rsidRPr="0081146C">
              <w:t>exchanging gaming chips or tokens</w:t>
            </w:r>
            <w:r w:rsidR="00E670C8" w:rsidRPr="0081146C">
              <w:t>, or betting instruments,</w:t>
            </w:r>
            <w:r w:rsidRPr="0081146C">
              <w:t xml:space="preserve"> for money</w:t>
            </w:r>
            <w:r w:rsidR="0049002F" w:rsidRPr="0081146C">
              <w:t xml:space="preserve"> or </w:t>
            </w:r>
            <w:r w:rsidR="00610C10" w:rsidRPr="0081146C">
              <w:t>virtual assets</w:t>
            </w:r>
            <w:r w:rsidRPr="0081146C">
              <w:t>, where the service is provided in the course of carrying on a business</w:t>
            </w:r>
          </w:p>
        </w:tc>
        <w:tc>
          <w:tcPr>
            <w:tcW w:w="3186" w:type="dxa"/>
            <w:tcBorders>
              <w:top w:val="single" w:sz="4" w:space="0" w:color="auto"/>
            </w:tcBorders>
            <w:shd w:val="clear" w:color="auto" w:fill="auto"/>
          </w:tcPr>
          <w:p w14:paraId="50A0D1F1" w14:textId="77777777" w:rsidR="00035544" w:rsidRPr="0081146C" w:rsidRDefault="00035544" w:rsidP="007A28A1">
            <w:pPr>
              <w:pStyle w:val="Tabletext"/>
              <w:keepNext/>
            </w:pPr>
            <w:r w:rsidRPr="0081146C">
              <w:t>the person whose gaming chips or tokens</w:t>
            </w:r>
            <w:r w:rsidR="00E670C8" w:rsidRPr="0081146C">
              <w:t>, or betting instruments,</w:t>
            </w:r>
            <w:r w:rsidRPr="0081146C">
              <w:t xml:space="preserve"> are exchanged</w:t>
            </w:r>
          </w:p>
        </w:tc>
      </w:tr>
      <w:tr w:rsidR="00035544" w:rsidRPr="0081146C" w14:paraId="186E6AEC" w14:textId="77777777" w:rsidTr="00E40ED2">
        <w:trPr>
          <w:cantSplit/>
        </w:trPr>
        <w:tc>
          <w:tcPr>
            <w:tcW w:w="714" w:type="dxa"/>
            <w:tcBorders>
              <w:bottom w:val="single" w:sz="4" w:space="0" w:color="auto"/>
            </w:tcBorders>
            <w:shd w:val="clear" w:color="auto" w:fill="auto"/>
          </w:tcPr>
          <w:p w14:paraId="389C3C71" w14:textId="77777777" w:rsidR="00035544" w:rsidRPr="0081146C" w:rsidRDefault="00035544" w:rsidP="00035544">
            <w:pPr>
              <w:pStyle w:val="Tabletext"/>
            </w:pPr>
            <w:r w:rsidRPr="0081146C">
              <w:t>9</w:t>
            </w:r>
          </w:p>
        </w:tc>
        <w:tc>
          <w:tcPr>
            <w:tcW w:w="3186" w:type="dxa"/>
            <w:tcBorders>
              <w:bottom w:val="single" w:sz="4" w:space="0" w:color="auto"/>
            </w:tcBorders>
            <w:shd w:val="clear" w:color="auto" w:fill="auto"/>
          </w:tcPr>
          <w:p w14:paraId="5CC77CB0" w14:textId="77777777" w:rsidR="00035544" w:rsidRPr="0081146C" w:rsidRDefault="00035544" w:rsidP="00035544">
            <w:pPr>
              <w:pStyle w:val="Tabletext"/>
            </w:pPr>
            <w:r w:rsidRPr="0081146C">
              <w:t>paying out winnings, or awarding a prize, in respect of a game, where:</w:t>
            </w:r>
          </w:p>
          <w:p w14:paraId="6C074A45" w14:textId="77777777" w:rsidR="00035544" w:rsidRPr="0081146C" w:rsidRDefault="00035544" w:rsidP="00035544">
            <w:pPr>
              <w:pStyle w:val="Tablea"/>
            </w:pPr>
            <w:r w:rsidRPr="0081146C">
              <w:t>(a) the game is played for money or anything else of value; and</w:t>
            </w:r>
          </w:p>
          <w:p w14:paraId="6EB92D34" w14:textId="77777777" w:rsidR="00035544" w:rsidRPr="0081146C" w:rsidRDefault="00035544" w:rsidP="00035544">
            <w:pPr>
              <w:pStyle w:val="Tablea"/>
            </w:pPr>
            <w:r w:rsidRPr="0081146C">
              <w:t>(b) the game is a game of chance or of mixed chance and skill; and</w:t>
            </w:r>
          </w:p>
          <w:p w14:paraId="510812B5" w14:textId="77777777" w:rsidR="00035544" w:rsidRPr="0081146C" w:rsidRDefault="00035544" w:rsidP="00035544">
            <w:pPr>
              <w:pStyle w:val="Tablea"/>
            </w:pPr>
            <w:r w:rsidRPr="0081146C">
              <w:t xml:space="preserve">(c) the service is provided in the course of carrying on a </w:t>
            </w:r>
            <w:r w:rsidR="00EB5F7E" w:rsidRPr="0081146C">
              <w:t xml:space="preserve">gambling </w:t>
            </w:r>
            <w:r w:rsidRPr="0081146C">
              <w:t>business; and</w:t>
            </w:r>
          </w:p>
          <w:p w14:paraId="3DC29C78" w14:textId="77777777" w:rsidR="00035544" w:rsidRPr="0081146C" w:rsidRDefault="00035544" w:rsidP="00035544">
            <w:pPr>
              <w:pStyle w:val="Tablea"/>
            </w:pPr>
            <w:r w:rsidRPr="0081146C">
              <w:t>(d) the game is not played on a gaming machine located at an eligible gaming machine venue</w:t>
            </w:r>
          </w:p>
        </w:tc>
        <w:tc>
          <w:tcPr>
            <w:tcW w:w="3186" w:type="dxa"/>
            <w:tcBorders>
              <w:bottom w:val="single" w:sz="4" w:space="0" w:color="auto"/>
            </w:tcBorders>
            <w:shd w:val="clear" w:color="auto" w:fill="auto"/>
          </w:tcPr>
          <w:p w14:paraId="6DF984F4" w14:textId="77777777" w:rsidR="00035544" w:rsidRPr="0081146C" w:rsidRDefault="00035544" w:rsidP="00035544">
            <w:pPr>
              <w:pStyle w:val="Tabletext"/>
            </w:pPr>
            <w:r w:rsidRPr="0081146C">
              <w:t>the person to whom the winnings are paid or the prize is awarded</w:t>
            </w:r>
          </w:p>
        </w:tc>
      </w:tr>
      <w:tr w:rsidR="00035544" w:rsidRPr="0081146C" w14:paraId="01E4C3E4" w14:textId="77777777" w:rsidTr="00621DEF">
        <w:tc>
          <w:tcPr>
            <w:tcW w:w="714" w:type="dxa"/>
            <w:tcBorders>
              <w:bottom w:val="single" w:sz="4" w:space="0" w:color="auto"/>
            </w:tcBorders>
            <w:shd w:val="clear" w:color="auto" w:fill="auto"/>
          </w:tcPr>
          <w:p w14:paraId="5F0890F6" w14:textId="77777777" w:rsidR="00035544" w:rsidRPr="0081146C" w:rsidRDefault="00035544" w:rsidP="00035544">
            <w:pPr>
              <w:pStyle w:val="Tabletext"/>
            </w:pPr>
            <w:r w:rsidRPr="0081146C">
              <w:t>10</w:t>
            </w:r>
          </w:p>
        </w:tc>
        <w:tc>
          <w:tcPr>
            <w:tcW w:w="3186" w:type="dxa"/>
            <w:tcBorders>
              <w:bottom w:val="single" w:sz="4" w:space="0" w:color="auto"/>
            </w:tcBorders>
            <w:shd w:val="clear" w:color="auto" w:fill="auto"/>
          </w:tcPr>
          <w:p w14:paraId="66AE142B" w14:textId="77777777" w:rsidR="00035544" w:rsidRPr="0081146C" w:rsidRDefault="00035544" w:rsidP="00035544">
            <w:pPr>
              <w:pStyle w:val="Tabletext"/>
            </w:pPr>
            <w:r w:rsidRPr="0081146C">
              <w:t>in the capacity of controller of an eligible gaming machine venue, paying out winnings, or awarding a prize, in respect of a game, where:</w:t>
            </w:r>
          </w:p>
          <w:p w14:paraId="3F48978E" w14:textId="77777777" w:rsidR="00035544" w:rsidRPr="0081146C" w:rsidRDefault="00035544" w:rsidP="00035544">
            <w:pPr>
              <w:pStyle w:val="Tablea"/>
            </w:pPr>
            <w:r w:rsidRPr="0081146C">
              <w:t>(a) the game is played on a gaming machine located at the venue; and</w:t>
            </w:r>
          </w:p>
          <w:p w14:paraId="5EEAE592" w14:textId="77777777" w:rsidR="00035544" w:rsidRPr="0081146C" w:rsidRDefault="00035544" w:rsidP="00035544">
            <w:pPr>
              <w:pStyle w:val="Tablea"/>
            </w:pPr>
            <w:r w:rsidRPr="0081146C">
              <w:t>(b) the winnings are paid out, or the prize is awarded, by the controller as agent of the owner or lessee of the gaming machine; and</w:t>
            </w:r>
          </w:p>
          <w:p w14:paraId="7475FAB6" w14:textId="77777777" w:rsidR="00035544" w:rsidRPr="0081146C" w:rsidRDefault="00035544" w:rsidP="00035544">
            <w:pPr>
              <w:pStyle w:val="Tablea"/>
            </w:pPr>
            <w:r w:rsidRPr="0081146C">
              <w:t>(c) the service is provided in the course of carrying on a business</w:t>
            </w:r>
          </w:p>
        </w:tc>
        <w:tc>
          <w:tcPr>
            <w:tcW w:w="3186" w:type="dxa"/>
            <w:tcBorders>
              <w:bottom w:val="single" w:sz="4" w:space="0" w:color="auto"/>
            </w:tcBorders>
            <w:shd w:val="clear" w:color="auto" w:fill="auto"/>
          </w:tcPr>
          <w:p w14:paraId="6D200ECD" w14:textId="77777777" w:rsidR="00035544" w:rsidRPr="0081146C" w:rsidRDefault="00035544" w:rsidP="00035544">
            <w:pPr>
              <w:pStyle w:val="Tabletext"/>
            </w:pPr>
            <w:r w:rsidRPr="0081146C">
              <w:t>the person to whom the winnings are paid or the prize is awarded</w:t>
            </w:r>
          </w:p>
        </w:tc>
      </w:tr>
      <w:tr w:rsidR="00035544" w:rsidRPr="0081146C" w14:paraId="5E2805D9" w14:textId="77777777" w:rsidTr="009254D4">
        <w:tc>
          <w:tcPr>
            <w:tcW w:w="714" w:type="dxa"/>
            <w:tcBorders>
              <w:top w:val="single" w:sz="4" w:space="0" w:color="auto"/>
              <w:bottom w:val="single" w:sz="4" w:space="0" w:color="auto"/>
            </w:tcBorders>
            <w:shd w:val="clear" w:color="auto" w:fill="auto"/>
          </w:tcPr>
          <w:p w14:paraId="403BA738" w14:textId="77777777" w:rsidR="00035544" w:rsidRPr="0081146C" w:rsidRDefault="00035544" w:rsidP="007A28A1">
            <w:pPr>
              <w:pStyle w:val="Tabletext"/>
              <w:keepNext/>
            </w:pPr>
            <w:r w:rsidRPr="0081146C">
              <w:t>11</w:t>
            </w:r>
          </w:p>
        </w:tc>
        <w:tc>
          <w:tcPr>
            <w:tcW w:w="3186" w:type="dxa"/>
            <w:tcBorders>
              <w:top w:val="single" w:sz="4" w:space="0" w:color="auto"/>
              <w:bottom w:val="single" w:sz="4" w:space="0" w:color="auto"/>
            </w:tcBorders>
            <w:shd w:val="clear" w:color="auto" w:fill="auto"/>
          </w:tcPr>
          <w:p w14:paraId="4B8ADB53" w14:textId="77777777" w:rsidR="00035544" w:rsidRPr="0081146C" w:rsidRDefault="00035544" w:rsidP="007A28A1">
            <w:pPr>
              <w:pStyle w:val="Tabletext"/>
              <w:keepNext/>
            </w:pPr>
            <w:r w:rsidRPr="0081146C">
              <w:t>in the capacity of account provider, opening an account, where:</w:t>
            </w:r>
          </w:p>
          <w:p w14:paraId="290CD0AD" w14:textId="77777777" w:rsidR="00035544" w:rsidRPr="0081146C" w:rsidRDefault="00035544" w:rsidP="007A28A1">
            <w:pPr>
              <w:pStyle w:val="Tablea"/>
              <w:keepNext/>
            </w:pPr>
            <w:r w:rsidRPr="0081146C">
              <w:t xml:space="preserve">(a) the account provider is a person who provides a service covered by </w:t>
            </w:r>
            <w:r w:rsidR="003B7E15" w:rsidRPr="0081146C">
              <w:t>item 1</w:t>
            </w:r>
            <w:r w:rsidRPr="0081146C">
              <w:t>, 2, 3, 4, 6, 7, 8 or 9; and</w:t>
            </w:r>
          </w:p>
          <w:p w14:paraId="6BAE484C" w14:textId="77777777" w:rsidR="00035544" w:rsidRPr="0081146C" w:rsidRDefault="00035544" w:rsidP="007A28A1">
            <w:pPr>
              <w:pStyle w:val="Tablea"/>
              <w:keepNext/>
            </w:pPr>
            <w:r w:rsidRPr="0081146C">
              <w:t xml:space="preserve">(b) the purpose, or one of the purposes, of the account is to facilitate the provision of a service covered by </w:t>
            </w:r>
            <w:r w:rsidR="003B7E15" w:rsidRPr="0081146C">
              <w:t>item 1</w:t>
            </w:r>
            <w:r w:rsidRPr="0081146C">
              <w:t>, 2, 3, 4, 6, 7, 8 or 9; and</w:t>
            </w:r>
          </w:p>
          <w:p w14:paraId="18188871" w14:textId="77777777" w:rsidR="00035544" w:rsidRPr="0081146C" w:rsidRDefault="00035544" w:rsidP="007A28A1">
            <w:pPr>
              <w:pStyle w:val="Tablea"/>
              <w:keepNext/>
            </w:pPr>
            <w:r w:rsidRPr="0081146C">
              <w:t xml:space="preserve">(c) the service is provided in the course of carrying on a </w:t>
            </w:r>
            <w:r w:rsidR="00EB5F7E" w:rsidRPr="0081146C">
              <w:t xml:space="preserve">gambling </w:t>
            </w:r>
            <w:r w:rsidRPr="0081146C">
              <w:t>business</w:t>
            </w:r>
          </w:p>
        </w:tc>
        <w:tc>
          <w:tcPr>
            <w:tcW w:w="3186" w:type="dxa"/>
            <w:tcBorders>
              <w:top w:val="single" w:sz="4" w:space="0" w:color="auto"/>
              <w:bottom w:val="single" w:sz="4" w:space="0" w:color="auto"/>
            </w:tcBorders>
            <w:shd w:val="clear" w:color="auto" w:fill="auto"/>
          </w:tcPr>
          <w:p w14:paraId="00372235" w14:textId="77777777" w:rsidR="00035544" w:rsidRPr="0081146C" w:rsidRDefault="00035544" w:rsidP="007A28A1">
            <w:pPr>
              <w:pStyle w:val="Tabletext"/>
              <w:keepNext/>
            </w:pPr>
            <w:r w:rsidRPr="0081146C">
              <w:t>the holder of the account</w:t>
            </w:r>
          </w:p>
        </w:tc>
      </w:tr>
      <w:tr w:rsidR="00035544" w:rsidRPr="0081146C" w14:paraId="6629316B" w14:textId="77777777" w:rsidTr="00621DEF">
        <w:tc>
          <w:tcPr>
            <w:tcW w:w="714" w:type="dxa"/>
            <w:tcBorders>
              <w:bottom w:val="single" w:sz="4" w:space="0" w:color="auto"/>
            </w:tcBorders>
            <w:shd w:val="clear" w:color="auto" w:fill="auto"/>
          </w:tcPr>
          <w:p w14:paraId="40753152" w14:textId="77777777" w:rsidR="00035544" w:rsidRPr="0081146C" w:rsidRDefault="00035544" w:rsidP="00035544">
            <w:pPr>
              <w:pStyle w:val="Tabletext"/>
            </w:pPr>
            <w:r w:rsidRPr="0081146C">
              <w:t>12</w:t>
            </w:r>
          </w:p>
        </w:tc>
        <w:tc>
          <w:tcPr>
            <w:tcW w:w="3186" w:type="dxa"/>
            <w:tcBorders>
              <w:bottom w:val="single" w:sz="4" w:space="0" w:color="auto"/>
            </w:tcBorders>
            <w:shd w:val="clear" w:color="auto" w:fill="auto"/>
          </w:tcPr>
          <w:p w14:paraId="6AF1F6B2" w14:textId="77777777" w:rsidR="00035544" w:rsidRPr="0081146C" w:rsidRDefault="00035544" w:rsidP="00035544">
            <w:pPr>
              <w:pStyle w:val="Tabletext"/>
            </w:pPr>
            <w:r w:rsidRPr="0081146C">
              <w:t>in the capacity of account provider for a new or existing account, allowing a person to become a signatory to the account, where:</w:t>
            </w:r>
          </w:p>
          <w:p w14:paraId="5F91F7AF" w14:textId="77777777" w:rsidR="00035544" w:rsidRPr="0081146C" w:rsidRDefault="00035544" w:rsidP="00035544">
            <w:pPr>
              <w:pStyle w:val="Tablea"/>
            </w:pPr>
            <w:r w:rsidRPr="0081146C">
              <w:t xml:space="preserve">(a) the account provider is a person who provides a service covered by </w:t>
            </w:r>
            <w:r w:rsidR="003B7E15" w:rsidRPr="0081146C">
              <w:t>item 1</w:t>
            </w:r>
            <w:r w:rsidRPr="0081146C">
              <w:t>, 2, 3, 4, 6, 7, 8 or 9; and</w:t>
            </w:r>
          </w:p>
          <w:p w14:paraId="7DD7D980" w14:textId="77777777" w:rsidR="00035544" w:rsidRPr="0081146C" w:rsidRDefault="00035544" w:rsidP="00035544">
            <w:pPr>
              <w:pStyle w:val="Tablea"/>
            </w:pPr>
            <w:r w:rsidRPr="0081146C">
              <w:t xml:space="preserve">(b) the purpose, or one of the purposes, of the account is to facilitate the provision of a service covered by </w:t>
            </w:r>
            <w:r w:rsidR="003B7E15" w:rsidRPr="0081146C">
              <w:t>item 1</w:t>
            </w:r>
            <w:r w:rsidRPr="0081146C">
              <w:t>, 2, 3, 4, 6, 7, 8 or 9; and</w:t>
            </w:r>
          </w:p>
          <w:p w14:paraId="5CBFF70A" w14:textId="77777777" w:rsidR="00035544" w:rsidRPr="0081146C" w:rsidRDefault="00035544" w:rsidP="00035544">
            <w:pPr>
              <w:pStyle w:val="Tablea"/>
            </w:pPr>
            <w:r w:rsidRPr="0081146C">
              <w:t xml:space="preserve">(c) the service is provided in the course of carrying on a </w:t>
            </w:r>
            <w:r w:rsidR="00EB5F7E" w:rsidRPr="0081146C">
              <w:t xml:space="preserve">gambling </w:t>
            </w:r>
            <w:r w:rsidRPr="0081146C">
              <w:t>business</w:t>
            </w:r>
          </w:p>
        </w:tc>
        <w:tc>
          <w:tcPr>
            <w:tcW w:w="3186" w:type="dxa"/>
            <w:tcBorders>
              <w:bottom w:val="single" w:sz="4" w:space="0" w:color="auto"/>
            </w:tcBorders>
            <w:shd w:val="clear" w:color="auto" w:fill="auto"/>
          </w:tcPr>
          <w:p w14:paraId="4B751811" w14:textId="77777777" w:rsidR="00035544" w:rsidRPr="0081146C" w:rsidRDefault="00035544" w:rsidP="00035544">
            <w:pPr>
              <w:pStyle w:val="Tabletext"/>
            </w:pPr>
            <w:r w:rsidRPr="0081146C">
              <w:t>the signatory</w:t>
            </w:r>
          </w:p>
        </w:tc>
      </w:tr>
      <w:tr w:rsidR="00035544" w:rsidRPr="0081146C" w14:paraId="3AF67EAB" w14:textId="77777777" w:rsidTr="00E40ED2">
        <w:trPr>
          <w:cantSplit/>
        </w:trPr>
        <w:tc>
          <w:tcPr>
            <w:tcW w:w="714" w:type="dxa"/>
            <w:tcBorders>
              <w:top w:val="single" w:sz="4" w:space="0" w:color="auto"/>
              <w:bottom w:val="single" w:sz="4" w:space="0" w:color="auto"/>
            </w:tcBorders>
            <w:shd w:val="clear" w:color="auto" w:fill="auto"/>
          </w:tcPr>
          <w:p w14:paraId="5559CFA1" w14:textId="77777777" w:rsidR="00035544" w:rsidRPr="0081146C" w:rsidRDefault="00035544" w:rsidP="00606538">
            <w:pPr>
              <w:pStyle w:val="Tabletext"/>
            </w:pPr>
            <w:r w:rsidRPr="0081146C">
              <w:t>13</w:t>
            </w:r>
          </w:p>
        </w:tc>
        <w:tc>
          <w:tcPr>
            <w:tcW w:w="3186" w:type="dxa"/>
            <w:tcBorders>
              <w:top w:val="single" w:sz="4" w:space="0" w:color="auto"/>
              <w:bottom w:val="single" w:sz="4" w:space="0" w:color="auto"/>
            </w:tcBorders>
            <w:shd w:val="clear" w:color="auto" w:fill="auto"/>
          </w:tcPr>
          <w:p w14:paraId="717F33B2" w14:textId="77777777" w:rsidR="00035544" w:rsidRPr="0081146C" w:rsidRDefault="00035544" w:rsidP="007A28A1">
            <w:pPr>
              <w:pStyle w:val="Tabletext"/>
              <w:keepNext/>
            </w:pPr>
            <w:r w:rsidRPr="0081146C">
              <w:t>in the capacity of account provider for an account, allowing a transaction to be conducted in relation to the account, where:</w:t>
            </w:r>
          </w:p>
          <w:p w14:paraId="37EF1632" w14:textId="77777777" w:rsidR="00035544" w:rsidRPr="0081146C" w:rsidRDefault="00035544" w:rsidP="00606538">
            <w:pPr>
              <w:pStyle w:val="Tablea"/>
            </w:pPr>
            <w:r w:rsidRPr="0081146C">
              <w:t xml:space="preserve">(a) the account provider is a person who provides a service covered by </w:t>
            </w:r>
            <w:r w:rsidR="003B7E15" w:rsidRPr="0081146C">
              <w:t>item 1</w:t>
            </w:r>
            <w:r w:rsidRPr="0081146C">
              <w:t>, 2, 3, 4, 6, 7, 8 or 9; and</w:t>
            </w:r>
          </w:p>
          <w:p w14:paraId="6A33509B" w14:textId="77777777" w:rsidR="00035544" w:rsidRPr="0081146C" w:rsidRDefault="00035544" w:rsidP="007A28A1">
            <w:pPr>
              <w:pStyle w:val="Tablea"/>
              <w:keepNext/>
            </w:pPr>
            <w:r w:rsidRPr="0081146C">
              <w:t xml:space="preserve">(b) the purpose, or one of the purposes, of the account is to facilitate the provision of a service covered by </w:t>
            </w:r>
            <w:r w:rsidR="003B7E15" w:rsidRPr="0081146C">
              <w:t>item 1</w:t>
            </w:r>
            <w:r w:rsidRPr="0081146C">
              <w:t>, 2, 3, 4, 6, 7, 8 or 9; and</w:t>
            </w:r>
          </w:p>
          <w:p w14:paraId="4DA83F59" w14:textId="77777777" w:rsidR="00035544" w:rsidRPr="0081146C" w:rsidRDefault="00035544" w:rsidP="007A28A1">
            <w:pPr>
              <w:pStyle w:val="Tablea"/>
              <w:keepNext/>
            </w:pPr>
            <w:r w:rsidRPr="0081146C">
              <w:t xml:space="preserve">(c) the service is provided in the course of carrying on a </w:t>
            </w:r>
            <w:r w:rsidR="00EB5F7E" w:rsidRPr="0081146C">
              <w:t xml:space="preserve">gambling </w:t>
            </w:r>
            <w:r w:rsidRPr="0081146C">
              <w:t>business</w:t>
            </w:r>
          </w:p>
        </w:tc>
        <w:tc>
          <w:tcPr>
            <w:tcW w:w="3186" w:type="dxa"/>
            <w:tcBorders>
              <w:top w:val="single" w:sz="4" w:space="0" w:color="auto"/>
              <w:bottom w:val="single" w:sz="4" w:space="0" w:color="auto"/>
            </w:tcBorders>
            <w:shd w:val="clear" w:color="auto" w:fill="auto"/>
          </w:tcPr>
          <w:p w14:paraId="4A930888" w14:textId="77777777" w:rsidR="00035544" w:rsidRPr="0081146C" w:rsidRDefault="00035544" w:rsidP="007A28A1">
            <w:pPr>
              <w:pStyle w:val="Tabletext"/>
              <w:keepNext/>
            </w:pPr>
            <w:r w:rsidRPr="0081146C">
              <w:t>both:</w:t>
            </w:r>
          </w:p>
          <w:p w14:paraId="05BB2306" w14:textId="77777777" w:rsidR="00035544" w:rsidRPr="0081146C" w:rsidRDefault="00035544" w:rsidP="007A28A1">
            <w:pPr>
              <w:pStyle w:val="Tablea"/>
              <w:keepNext/>
            </w:pPr>
            <w:r w:rsidRPr="0081146C">
              <w:t>(a) the holder of the account; and</w:t>
            </w:r>
          </w:p>
          <w:p w14:paraId="773B59F2" w14:textId="77777777" w:rsidR="00035544" w:rsidRPr="0081146C" w:rsidRDefault="00035544" w:rsidP="007A28A1">
            <w:pPr>
              <w:pStyle w:val="Tablea"/>
              <w:keepNext/>
            </w:pPr>
            <w:r w:rsidRPr="0081146C">
              <w:t>(b) each other signatory to the account</w:t>
            </w:r>
          </w:p>
        </w:tc>
      </w:tr>
      <w:tr w:rsidR="00035544" w:rsidRPr="0081146C" w14:paraId="065C555C" w14:textId="77777777" w:rsidTr="00C72BA2">
        <w:tc>
          <w:tcPr>
            <w:tcW w:w="714" w:type="dxa"/>
            <w:tcBorders>
              <w:bottom w:val="single" w:sz="12" w:space="0" w:color="auto"/>
            </w:tcBorders>
            <w:shd w:val="clear" w:color="auto" w:fill="auto"/>
          </w:tcPr>
          <w:p w14:paraId="1D663360" w14:textId="77777777" w:rsidR="00035544" w:rsidRPr="0081146C" w:rsidRDefault="00035544" w:rsidP="00035544">
            <w:pPr>
              <w:pStyle w:val="Tabletext"/>
            </w:pPr>
            <w:r w:rsidRPr="0081146C">
              <w:t>14</w:t>
            </w:r>
          </w:p>
        </w:tc>
        <w:tc>
          <w:tcPr>
            <w:tcW w:w="3186" w:type="dxa"/>
            <w:tcBorders>
              <w:bottom w:val="single" w:sz="12" w:space="0" w:color="auto"/>
            </w:tcBorders>
            <w:shd w:val="clear" w:color="auto" w:fill="auto"/>
          </w:tcPr>
          <w:p w14:paraId="74CDA7C3" w14:textId="77777777" w:rsidR="00035544" w:rsidRPr="0081146C" w:rsidRDefault="00035544" w:rsidP="00035544">
            <w:pPr>
              <w:pStyle w:val="Tabletext"/>
            </w:pPr>
            <w:r w:rsidRPr="0081146C">
              <w:t>exchanging one currency (whether Australian or not) for another (whether Australian or not), where:</w:t>
            </w:r>
          </w:p>
          <w:p w14:paraId="10A9E565" w14:textId="77777777" w:rsidR="00035544" w:rsidRPr="0081146C" w:rsidRDefault="00035544" w:rsidP="00035544">
            <w:pPr>
              <w:pStyle w:val="Tablea"/>
            </w:pPr>
            <w:r w:rsidRPr="0081146C">
              <w:t xml:space="preserve">(a) the exchange is provided by a person who provides a service covered by </w:t>
            </w:r>
            <w:r w:rsidR="003B7E15" w:rsidRPr="0081146C">
              <w:t>item 1</w:t>
            </w:r>
            <w:r w:rsidRPr="0081146C">
              <w:t>, 2, 3, 4, 6, 7, 8 or 9; and</w:t>
            </w:r>
          </w:p>
          <w:p w14:paraId="60D2096A" w14:textId="77777777" w:rsidR="00035544" w:rsidRPr="0081146C" w:rsidRDefault="00035544" w:rsidP="00035544">
            <w:pPr>
              <w:pStyle w:val="Tablea"/>
            </w:pPr>
            <w:r w:rsidRPr="0081146C">
              <w:t>(b) the service is provided in the course of carrying on a business</w:t>
            </w:r>
          </w:p>
        </w:tc>
        <w:tc>
          <w:tcPr>
            <w:tcW w:w="3186" w:type="dxa"/>
            <w:tcBorders>
              <w:bottom w:val="single" w:sz="12" w:space="0" w:color="auto"/>
            </w:tcBorders>
            <w:shd w:val="clear" w:color="auto" w:fill="auto"/>
          </w:tcPr>
          <w:p w14:paraId="74C00A69" w14:textId="77777777" w:rsidR="00035544" w:rsidRPr="0081146C" w:rsidRDefault="00035544" w:rsidP="00035544">
            <w:pPr>
              <w:pStyle w:val="Tabletext"/>
            </w:pPr>
            <w:r w:rsidRPr="0081146C">
              <w:t>the person whose currency is exchanged</w:t>
            </w:r>
          </w:p>
        </w:tc>
      </w:tr>
    </w:tbl>
    <w:p w14:paraId="1F435D9A" w14:textId="77777777" w:rsidR="00035544" w:rsidRPr="0081146C" w:rsidRDefault="00035544" w:rsidP="00035544">
      <w:pPr>
        <w:pStyle w:val="SubsectionHead"/>
      </w:pPr>
      <w:r w:rsidRPr="0081146C">
        <w:t>Table 4—Prescribed services</w:t>
      </w:r>
    </w:p>
    <w:p w14:paraId="766A92BE" w14:textId="77777777" w:rsidR="00035544" w:rsidRPr="0081146C" w:rsidRDefault="00035544" w:rsidP="00035544">
      <w:pPr>
        <w:pStyle w:val="subsection"/>
      </w:pPr>
      <w:r w:rsidRPr="0081146C">
        <w:tab/>
        <w:t>(5)</w:t>
      </w:r>
      <w:r w:rsidRPr="0081146C">
        <w:tab/>
        <w:t>Table 4 is as follows:</w:t>
      </w:r>
    </w:p>
    <w:p w14:paraId="718C6CE5" w14:textId="77777777" w:rsidR="00035544" w:rsidRPr="0081146C"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81146C" w14:paraId="665B03F0" w14:textId="77777777" w:rsidTr="00C72BA2">
        <w:trPr>
          <w:tblHeader/>
        </w:trPr>
        <w:tc>
          <w:tcPr>
            <w:tcW w:w="7086" w:type="dxa"/>
            <w:gridSpan w:val="3"/>
            <w:tcBorders>
              <w:top w:val="single" w:sz="12" w:space="0" w:color="auto"/>
              <w:bottom w:val="single" w:sz="6" w:space="0" w:color="auto"/>
            </w:tcBorders>
            <w:shd w:val="clear" w:color="auto" w:fill="auto"/>
          </w:tcPr>
          <w:p w14:paraId="333A805B" w14:textId="77777777" w:rsidR="00035544" w:rsidRPr="0081146C" w:rsidRDefault="00035544" w:rsidP="00C72BA2">
            <w:pPr>
              <w:pStyle w:val="TableHeading"/>
            </w:pPr>
            <w:r w:rsidRPr="0081146C">
              <w:t>Table 4—Prescribed services</w:t>
            </w:r>
          </w:p>
        </w:tc>
      </w:tr>
      <w:tr w:rsidR="00035544" w:rsidRPr="0081146C" w14:paraId="5B2C6528" w14:textId="77777777" w:rsidTr="00C72BA2">
        <w:trPr>
          <w:tblHeader/>
        </w:trPr>
        <w:tc>
          <w:tcPr>
            <w:tcW w:w="714" w:type="dxa"/>
            <w:tcBorders>
              <w:top w:val="single" w:sz="6" w:space="0" w:color="auto"/>
              <w:bottom w:val="single" w:sz="12" w:space="0" w:color="auto"/>
            </w:tcBorders>
            <w:shd w:val="clear" w:color="auto" w:fill="auto"/>
          </w:tcPr>
          <w:p w14:paraId="4CB30912" w14:textId="77777777" w:rsidR="00035544" w:rsidRPr="0081146C" w:rsidRDefault="00035544" w:rsidP="00035544">
            <w:pPr>
              <w:pStyle w:val="Tabletext"/>
              <w:keepNext/>
              <w:rPr>
                <w:b/>
              </w:rPr>
            </w:pPr>
            <w:r w:rsidRPr="0081146C">
              <w:rPr>
                <w:b/>
              </w:rPr>
              <w:t>Item</w:t>
            </w:r>
          </w:p>
        </w:tc>
        <w:tc>
          <w:tcPr>
            <w:tcW w:w="3186" w:type="dxa"/>
            <w:tcBorders>
              <w:top w:val="single" w:sz="6" w:space="0" w:color="auto"/>
              <w:bottom w:val="single" w:sz="12" w:space="0" w:color="auto"/>
            </w:tcBorders>
            <w:shd w:val="clear" w:color="auto" w:fill="auto"/>
          </w:tcPr>
          <w:p w14:paraId="0B6FCD30" w14:textId="77777777" w:rsidR="00035544" w:rsidRPr="0081146C" w:rsidRDefault="00035544" w:rsidP="00035544">
            <w:pPr>
              <w:pStyle w:val="Tabletext"/>
              <w:keepNext/>
              <w:rPr>
                <w:b/>
              </w:rPr>
            </w:pPr>
            <w:r w:rsidRPr="0081146C">
              <w:rPr>
                <w:b/>
              </w:rPr>
              <w:t>Provision of a designated service</w:t>
            </w:r>
          </w:p>
        </w:tc>
        <w:tc>
          <w:tcPr>
            <w:tcW w:w="3186" w:type="dxa"/>
            <w:tcBorders>
              <w:top w:val="single" w:sz="6" w:space="0" w:color="auto"/>
              <w:bottom w:val="single" w:sz="12" w:space="0" w:color="auto"/>
            </w:tcBorders>
            <w:shd w:val="clear" w:color="auto" w:fill="auto"/>
          </w:tcPr>
          <w:p w14:paraId="5B1F4F27" w14:textId="77777777" w:rsidR="00035544" w:rsidRPr="0081146C" w:rsidRDefault="00035544" w:rsidP="00035544">
            <w:pPr>
              <w:pStyle w:val="Tabletext"/>
              <w:keepNext/>
              <w:rPr>
                <w:b/>
              </w:rPr>
            </w:pPr>
            <w:r w:rsidRPr="0081146C">
              <w:rPr>
                <w:b/>
              </w:rPr>
              <w:t>Customer of the designated service</w:t>
            </w:r>
          </w:p>
        </w:tc>
      </w:tr>
      <w:tr w:rsidR="00035544" w:rsidRPr="0081146C" w14:paraId="4AB84238" w14:textId="77777777" w:rsidTr="00E40ED2">
        <w:trPr>
          <w:cantSplit/>
        </w:trPr>
        <w:tc>
          <w:tcPr>
            <w:tcW w:w="714" w:type="dxa"/>
            <w:tcBorders>
              <w:top w:val="single" w:sz="12" w:space="0" w:color="auto"/>
              <w:bottom w:val="single" w:sz="12" w:space="0" w:color="auto"/>
            </w:tcBorders>
            <w:shd w:val="clear" w:color="auto" w:fill="auto"/>
          </w:tcPr>
          <w:p w14:paraId="51318F24" w14:textId="77777777" w:rsidR="00035544" w:rsidRPr="0081146C" w:rsidRDefault="00035544" w:rsidP="00035544">
            <w:pPr>
              <w:pStyle w:val="Tabletext"/>
            </w:pPr>
            <w:r w:rsidRPr="0081146C">
              <w:t>1</w:t>
            </w:r>
          </w:p>
        </w:tc>
        <w:tc>
          <w:tcPr>
            <w:tcW w:w="3186" w:type="dxa"/>
            <w:tcBorders>
              <w:top w:val="single" w:sz="12" w:space="0" w:color="auto"/>
              <w:bottom w:val="single" w:sz="12" w:space="0" w:color="auto"/>
            </w:tcBorders>
            <w:shd w:val="clear" w:color="auto" w:fill="auto"/>
          </w:tcPr>
          <w:p w14:paraId="754D2939" w14:textId="77777777" w:rsidR="00035544" w:rsidRPr="0081146C" w:rsidRDefault="00035544" w:rsidP="00035544">
            <w:pPr>
              <w:pStyle w:val="Tabletext"/>
            </w:pPr>
            <w:r w:rsidRPr="0081146C">
              <w:t>providing a service specified in the regulations</w:t>
            </w:r>
          </w:p>
        </w:tc>
        <w:tc>
          <w:tcPr>
            <w:tcW w:w="3186" w:type="dxa"/>
            <w:tcBorders>
              <w:top w:val="single" w:sz="12" w:space="0" w:color="auto"/>
              <w:bottom w:val="single" w:sz="12" w:space="0" w:color="auto"/>
            </w:tcBorders>
            <w:shd w:val="clear" w:color="auto" w:fill="auto"/>
          </w:tcPr>
          <w:p w14:paraId="2C33650C" w14:textId="77777777" w:rsidR="00035544" w:rsidRPr="0081146C" w:rsidRDefault="00035544" w:rsidP="00035544">
            <w:pPr>
              <w:pStyle w:val="Tabletext"/>
            </w:pPr>
            <w:r w:rsidRPr="0081146C">
              <w:t>the person who, under the regulations, is taken to be the person to whom the service is provided</w:t>
            </w:r>
          </w:p>
        </w:tc>
      </w:tr>
    </w:tbl>
    <w:p w14:paraId="52260645" w14:textId="77777777" w:rsidR="00393E03" w:rsidRPr="0081146C" w:rsidRDefault="00393E03" w:rsidP="00393E03">
      <w:pPr>
        <w:pStyle w:val="SubsectionHead"/>
      </w:pPr>
      <w:r w:rsidRPr="0081146C">
        <w:t>Table 5—Real estate services</w:t>
      </w:r>
    </w:p>
    <w:p w14:paraId="17CB673A" w14:textId="77777777" w:rsidR="00393E03" w:rsidRPr="0081146C" w:rsidRDefault="00393E03" w:rsidP="00393E03">
      <w:pPr>
        <w:pStyle w:val="subsection"/>
      </w:pPr>
      <w:r w:rsidRPr="0081146C">
        <w:tab/>
        <w:t>(5A)</w:t>
      </w:r>
      <w:r w:rsidRPr="0081146C">
        <w:tab/>
        <w:t>Table 5 is as follows:</w:t>
      </w:r>
    </w:p>
    <w:p w14:paraId="7143CD98" w14:textId="77777777" w:rsidR="00393E03" w:rsidRPr="0081146C" w:rsidRDefault="00393E03" w:rsidP="00393E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93E03" w:rsidRPr="0081146C" w14:paraId="369A1CA4" w14:textId="77777777" w:rsidTr="00015444">
        <w:trPr>
          <w:tblHeader/>
        </w:trPr>
        <w:tc>
          <w:tcPr>
            <w:tcW w:w="7086" w:type="dxa"/>
            <w:gridSpan w:val="3"/>
            <w:tcBorders>
              <w:top w:val="single" w:sz="12" w:space="0" w:color="auto"/>
              <w:bottom w:val="single" w:sz="6" w:space="0" w:color="auto"/>
            </w:tcBorders>
            <w:shd w:val="clear" w:color="auto" w:fill="auto"/>
          </w:tcPr>
          <w:p w14:paraId="513342E5" w14:textId="77777777" w:rsidR="00393E03" w:rsidRPr="0081146C" w:rsidRDefault="00393E03" w:rsidP="00015444">
            <w:pPr>
              <w:pStyle w:val="TableHeading"/>
            </w:pPr>
            <w:r w:rsidRPr="0081146C">
              <w:t>Table 5—Real estate services</w:t>
            </w:r>
          </w:p>
        </w:tc>
      </w:tr>
      <w:tr w:rsidR="00393E03" w:rsidRPr="0081146C" w14:paraId="37B488E7" w14:textId="77777777" w:rsidTr="00015444">
        <w:trPr>
          <w:tblHeader/>
        </w:trPr>
        <w:tc>
          <w:tcPr>
            <w:tcW w:w="714" w:type="dxa"/>
            <w:tcBorders>
              <w:top w:val="single" w:sz="6" w:space="0" w:color="auto"/>
              <w:bottom w:val="single" w:sz="12" w:space="0" w:color="auto"/>
            </w:tcBorders>
            <w:shd w:val="clear" w:color="auto" w:fill="auto"/>
          </w:tcPr>
          <w:p w14:paraId="51498410" w14:textId="77777777" w:rsidR="00393E03" w:rsidRPr="0081146C" w:rsidRDefault="00393E03" w:rsidP="00015444">
            <w:pPr>
              <w:pStyle w:val="TableHeading"/>
            </w:pPr>
            <w:r w:rsidRPr="0081146C">
              <w:t>Item</w:t>
            </w:r>
          </w:p>
        </w:tc>
        <w:tc>
          <w:tcPr>
            <w:tcW w:w="3186" w:type="dxa"/>
            <w:tcBorders>
              <w:top w:val="single" w:sz="6" w:space="0" w:color="auto"/>
              <w:bottom w:val="single" w:sz="12" w:space="0" w:color="auto"/>
            </w:tcBorders>
            <w:shd w:val="clear" w:color="auto" w:fill="auto"/>
          </w:tcPr>
          <w:p w14:paraId="0C5C3467" w14:textId="77777777" w:rsidR="00393E03" w:rsidRPr="0081146C" w:rsidRDefault="00393E03" w:rsidP="00015444">
            <w:pPr>
              <w:pStyle w:val="TableHeading"/>
            </w:pPr>
            <w:r w:rsidRPr="0081146C">
              <w:t>Provision of a designated service</w:t>
            </w:r>
          </w:p>
        </w:tc>
        <w:tc>
          <w:tcPr>
            <w:tcW w:w="3186" w:type="dxa"/>
            <w:tcBorders>
              <w:top w:val="single" w:sz="6" w:space="0" w:color="auto"/>
              <w:bottom w:val="single" w:sz="12" w:space="0" w:color="auto"/>
            </w:tcBorders>
            <w:shd w:val="clear" w:color="auto" w:fill="auto"/>
          </w:tcPr>
          <w:p w14:paraId="48531E0C" w14:textId="77777777" w:rsidR="00393E03" w:rsidRPr="0081146C" w:rsidRDefault="00393E03" w:rsidP="00015444">
            <w:pPr>
              <w:pStyle w:val="TableHeading"/>
            </w:pPr>
            <w:r w:rsidRPr="0081146C">
              <w:t>Customer of the designated service</w:t>
            </w:r>
          </w:p>
        </w:tc>
      </w:tr>
      <w:tr w:rsidR="00393E03" w:rsidRPr="0081146C" w14:paraId="24BE9ABB" w14:textId="77777777" w:rsidTr="00015444">
        <w:tc>
          <w:tcPr>
            <w:tcW w:w="714" w:type="dxa"/>
            <w:tcBorders>
              <w:top w:val="single" w:sz="12" w:space="0" w:color="auto"/>
              <w:bottom w:val="single" w:sz="2" w:space="0" w:color="auto"/>
            </w:tcBorders>
            <w:shd w:val="clear" w:color="auto" w:fill="auto"/>
          </w:tcPr>
          <w:p w14:paraId="23F4D7E4" w14:textId="77777777" w:rsidR="00393E03" w:rsidRPr="0081146C" w:rsidRDefault="00393E03" w:rsidP="00015444">
            <w:pPr>
              <w:pStyle w:val="Tabletext"/>
            </w:pPr>
            <w:r w:rsidRPr="0081146C">
              <w:t>1</w:t>
            </w:r>
          </w:p>
        </w:tc>
        <w:tc>
          <w:tcPr>
            <w:tcW w:w="3186" w:type="dxa"/>
            <w:tcBorders>
              <w:top w:val="single" w:sz="12" w:space="0" w:color="auto"/>
              <w:bottom w:val="single" w:sz="2" w:space="0" w:color="auto"/>
            </w:tcBorders>
            <w:shd w:val="clear" w:color="auto" w:fill="auto"/>
          </w:tcPr>
          <w:p w14:paraId="030B14BB" w14:textId="77777777" w:rsidR="00393E03" w:rsidRPr="0081146C" w:rsidRDefault="00393E03" w:rsidP="00015444">
            <w:pPr>
              <w:pStyle w:val="Tabletext"/>
            </w:pPr>
            <w:r w:rsidRPr="0081146C">
              <w:t>brokering the sale, purchase or transfer of real estate on behalf of a buyer, seller, transferee or transferor in the course of carrying on a business</w:t>
            </w:r>
          </w:p>
        </w:tc>
        <w:tc>
          <w:tcPr>
            <w:tcW w:w="3186" w:type="dxa"/>
            <w:tcBorders>
              <w:top w:val="single" w:sz="12" w:space="0" w:color="auto"/>
              <w:bottom w:val="single" w:sz="2" w:space="0" w:color="auto"/>
            </w:tcBorders>
            <w:shd w:val="clear" w:color="auto" w:fill="auto"/>
          </w:tcPr>
          <w:p w14:paraId="5B2707AC" w14:textId="77777777" w:rsidR="00393E03" w:rsidRPr="0081146C" w:rsidRDefault="00393E03" w:rsidP="00015444">
            <w:pPr>
              <w:pStyle w:val="Tabletext"/>
            </w:pPr>
            <w:r w:rsidRPr="0081146C">
              <w:t>both:</w:t>
            </w:r>
          </w:p>
          <w:p w14:paraId="035E451B" w14:textId="77777777" w:rsidR="00393E03" w:rsidRPr="0081146C" w:rsidRDefault="00393E03" w:rsidP="00015444">
            <w:pPr>
              <w:pStyle w:val="Tablea"/>
            </w:pPr>
            <w:r w:rsidRPr="0081146C">
              <w:t>(a) the seller or transferor; and</w:t>
            </w:r>
          </w:p>
          <w:p w14:paraId="528DCB57" w14:textId="77777777" w:rsidR="00393E03" w:rsidRPr="0081146C" w:rsidRDefault="00393E03" w:rsidP="00015444">
            <w:pPr>
              <w:pStyle w:val="Tablea"/>
            </w:pPr>
            <w:r w:rsidRPr="0081146C">
              <w:t>(b) the buyer or transferee</w:t>
            </w:r>
          </w:p>
        </w:tc>
      </w:tr>
      <w:tr w:rsidR="00393E03" w:rsidRPr="0081146C" w14:paraId="5FDC24D6" w14:textId="77777777" w:rsidTr="00015444">
        <w:tc>
          <w:tcPr>
            <w:tcW w:w="714" w:type="dxa"/>
            <w:tcBorders>
              <w:top w:val="single" w:sz="2" w:space="0" w:color="auto"/>
              <w:bottom w:val="single" w:sz="12" w:space="0" w:color="auto"/>
            </w:tcBorders>
            <w:shd w:val="clear" w:color="auto" w:fill="auto"/>
          </w:tcPr>
          <w:p w14:paraId="3F42AE68" w14:textId="77777777" w:rsidR="00393E03" w:rsidRPr="0081146C" w:rsidRDefault="00393E03" w:rsidP="00015444">
            <w:pPr>
              <w:pStyle w:val="Tabletext"/>
            </w:pPr>
            <w:r w:rsidRPr="0081146C">
              <w:t>2</w:t>
            </w:r>
          </w:p>
        </w:tc>
        <w:tc>
          <w:tcPr>
            <w:tcW w:w="3186" w:type="dxa"/>
            <w:tcBorders>
              <w:top w:val="single" w:sz="2" w:space="0" w:color="auto"/>
              <w:bottom w:val="single" w:sz="12" w:space="0" w:color="auto"/>
            </w:tcBorders>
            <w:shd w:val="clear" w:color="auto" w:fill="auto"/>
          </w:tcPr>
          <w:p w14:paraId="7C29A7A4" w14:textId="77777777" w:rsidR="00393E03" w:rsidRPr="0081146C" w:rsidRDefault="00393E03" w:rsidP="00015444">
            <w:pPr>
              <w:pStyle w:val="Tabletext"/>
            </w:pPr>
            <w:r w:rsidRPr="0081146C">
              <w:t>selling or transferring real estate in the course of carrying on a business selling real estate, where the sale or transfer is not brokered by an independent real estate agent</w:t>
            </w:r>
          </w:p>
        </w:tc>
        <w:tc>
          <w:tcPr>
            <w:tcW w:w="3186" w:type="dxa"/>
            <w:tcBorders>
              <w:top w:val="single" w:sz="2" w:space="0" w:color="auto"/>
              <w:bottom w:val="single" w:sz="12" w:space="0" w:color="auto"/>
            </w:tcBorders>
            <w:shd w:val="clear" w:color="auto" w:fill="auto"/>
          </w:tcPr>
          <w:p w14:paraId="651132F1" w14:textId="77777777" w:rsidR="00393E03" w:rsidRPr="0081146C" w:rsidRDefault="00393E03" w:rsidP="00015444">
            <w:pPr>
              <w:pStyle w:val="Tabletext"/>
            </w:pPr>
            <w:r w:rsidRPr="0081146C">
              <w:t>the buyer or transferee</w:t>
            </w:r>
          </w:p>
        </w:tc>
      </w:tr>
    </w:tbl>
    <w:p w14:paraId="60C93BC1" w14:textId="77777777" w:rsidR="00EB7F1B" w:rsidRPr="0081146C" w:rsidRDefault="00EB7F1B" w:rsidP="00EB7F1B">
      <w:pPr>
        <w:pStyle w:val="SubsectionHead"/>
      </w:pPr>
      <w:r w:rsidRPr="0081146C">
        <w:t>Table 6—Professional services</w:t>
      </w:r>
    </w:p>
    <w:p w14:paraId="230649EF" w14:textId="77777777" w:rsidR="00EB7F1B" w:rsidRPr="0081146C" w:rsidRDefault="00EB7F1B" w:rsidP="00EB7F1B">
      <w:pPr>
        <w:pStyle w:val="subsection"/>
      </w:pPr>
      <w:r w:rsidRPr="0081146C">
        <w:tab/>
        <w:t>(5B)</w:t>
      </w:r>
      <w:r w:rsidRPr="0081146C">
        <w:tab/>
        <w:t>Table 6 is as follows:</w:t>
      </w:r>
    </w:p>
    <w:p w14:paraId="434F221A" w14:textId="77777777" w:rsidR="00EB7F1B" w:rsidRPr="0081146C" w:rsidRDefault="00EB7F1B" w:rsidP="00EB7F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EB7F1B" w:rsidRPr="0081146C" w14:paraId="0F3E9D25" w14:textId="77777777" w:rsidTr="00015444">
        <w:trPr>
          <w:tblHeader/>
        </w:trPr>
        <w:tc>
          <w:tcPr>
            <w:tcW w:w="7086" w:type="dxa"/>
            <w:gridSpan w:val="3"/>
            <w:tcBorders>
              <w:top w:val="single" w:sz="12" w:space="0" w:color="auto"/>
              <w:bottom w:val="single" w:sz="6" w:space="0" w:color="auto"/>
            </w:tcBorders>
            <w:shd w:val="clear" w:color="auto" w:fill="auto"/>
          </w:tcPr>
          <w:p w14:paraId="4DDC15D6" w14:textId="77777777" w:rsidR="00EB7F1B" w:rsidRPr="0081146C" w:rsidRDefault="00EB7F1B" w:rsidP="00015444">
            <w:pPr>
              <w:pStyle w:val="TableHeading"/>
            </w:pPr>
            <w:r w:rsidRPr="0081146C">
              <w:t>Table 6—Professional services</w:t>
            </w:r>
          </w:p>
        </w:tc>
      </w:tr>
      <w:tr w:rsidR="00EB7F1B" w:rsidRPr="0081146C" w14:paraId="4AF4B3B5" w14:textId="77777777" w:rsidTr="00015444">
        <w:trPr>
          <w:tblHeader/>
        </w:trPr>
        <w:tc>
          <w:tcPr>
            <w:tcW w:w="714" w:type="dxa"/>
            <w:tcBorders>
              <w:top w:val="single" w:sz="6" w:space="0" w:color="auto"/>
              <w:bottom w:val="single" w:sz="12" w:space="0" w:color="auto"/>
            </w:tcBorders>
            <w:shd w:val="clear" w:color="auto" w:fill="auto"/>
          </w:tcPr>
          <w:p w14:paraId="701F4538" w14:textId="77777777" w:rsidR="00EB7F1B" w:rsidRPr="0081146C" w:rsidRDefault="00EB7F1B" w:rsidP="00015444">
            <w:pPr>
              <w:pStyle w:val="TableHeading"/>
            </w:pPr>
            <w:r w:rsidRPr="0081146C">
              <w:t>Item</w:t>
            </w:r>
          </w:p>
        </w:tc>
        <w:tc>
          <w:tcPr>
            <w:tcW w:w="3186" w:type="dxa"/>
            <w:tcBorders>
              <w:top w:val="single" w:sz="6" w:space="0" w:color="auto"/>
              <w:bottom w:val="single" w:sz="12" w:space="0" w:color="auto"/>
            </w:tcBorders>
            <w:shd w:val="clear" w:color="auto" w:fill="auto"/>
          </w:tcPr>
          <w:p w14:paraId="7AAF58B2" w14:textId="77777777" w:rsidR="00EB7F1B" w:rsidRPr="0081146C" w:rsidRDefault="00EB7F1B" w:rsidP="00015444">
            <w:pPr>
              <w:pStyle w:val="TableHeading"/>
            </w:pPr>
            <w:r w:rsidRPr="0081146C">
              <w:t>Provision of a designated service</w:t>
            </w:r>
          </w:p>
        </w:tc>
        <w:tc>
          <w:tcPr>
            <w:tcW w:w="3186" w:type="dxa"/>
            <w:tcBorders>
              <w:top w:val="single" w:sz="6" w:space="0" w:color="auto"/>
              <w:bottom w:val="single" w:sz="12" w:space="0" w:color="auto"/>
            </w:tcBorders>
            <w:shd w:val="clear" w:color="auto" w:fill="auto"/>
          </w:tcPr>
          <w:p w14:paraId="33EA9F79" w14:textId="77777777" w:rsidR="00EB7F1B" w:rsidRPr="0081146C" w:rsidRDefault="00EB7F1B" w:rsidP="00015444">
            <w:pPr>
              <w:pStyle w:val="TableHeading"/>
            </w:pPr>
            <w:r w:rsidRPr="0081146C">
              <w:t>Customer of the designated service</w:t>
            </w:r>
          </w:p>
        </w:tc>
      </w:tr>
      <w:tr w:rsidR="00EB7F1B" w:rsidRPr="0081146C" w14:paraId="60BF332D" w14:textId="77777777" w:rsidTr="00015444">
        <w:tc>
          <w:tcPr>
            <w:tcW w:w="714" w:type="dxa"/>
            <w:tcBorders>
              <w:top w:val="single" w:sz="12" w:space="0" w:color="auto"/>
            </w:tcBorders>
            <w:shd w:val="clear" w:color="auto" w:fill="auto"/>
          </w:tcPr>
          <w:p w14:paraId="289EFCEC" w14:textId="77777777" w:rsidR="00EB7F1B" w:rsidRPr="0081146C" w:rsidRDefault="00EB7F1B" w:rsidP="00015444">
            <w:pPr>
              <w:pStyle w:val="Tabletext"/>
            </w:pPr>
            <w:r w:rsidRPr="0081146C">
              <w:t>1</w:t>
            </w:r>
          </w:p>
        </w:tc>
        <w:tc>
          <w:tcPr>
            <w:tcW w:w="3186" w:type="dxa"/>
            <w:tcBorders>
              <w:top w:val="single" w:sz="12" w:space="0" w:color="auto"/>
            </w:tcBorders>
            <w:shd w:val="clear" w:color="auto" w:fill="auto"/>
          </w:tcPr>
          <w:p w14:paraId="7659BF39" w14:textId="77777777" w:rsidR="00EB7F1B" w:rsidRPr="0081146C" w:rsidRDefault="00EB7F1B" w:rsidP="00015444">
            <w:pPr>
              <w:pStyle w:val="Tabletext"/>
            </w:pPr>
            <w:r w:rsidRPr="0081146C">
              <w:t>assisting a person in the planning or execution of a transaction, or otherwise acting for or on behalf of a person in a transaction, to sell, buy or otherwise transfer real estate, where:</w:t>
            </w:r>
          </w:p>
          <w:p w14:paraId="6C09F793" w14:textId="77777777" w:rsidR="00EB7F1B" w:rsidRPr="0081146C" w:rsidRDefault="00EB7F1B" w:rsidP="00015444">
            <w:pPr>
              <w:pStyle w:val="Tablea"/>
            </w:pPr>
            <w:r w:rsidRPr="0081146C">
              <w:t>(a) the service is provided in the course of carrying on a business; and</w:t>
            </w:r>
          </w:p>
          <w:p w14:paraId="556BA4A2" w14:textId="77777777" w:rsidR="00EB7F1B" w:rsidRPr="0081146C" w:rsidRDefault="00EB7F1B" w:rsidP="00015444">
            <w:pPr>
              <w:pStyle w:val="Tabletext"/>
            </w:pPr>
            <w:r w:rsidRPr="0081146C">
              <w:t>(b) the sale, purchase or other transfer is not pursuant to, or resulting from, an order of a court or tribunal</w:t>
            </w:r>
          </w:p>
        </w:tc>
        <w:tc>
          <w:tcPr>
            <w:tcW w:w="3186" w:type="dxa"/>
            <w:tcBorders>
              <w:top w:val="single" w:sz="12" w:space="0" w:color="auto"/>
            </w:tcBorders>
            <w:shd w:val="clear" w:color="auto" w:fill="auto"/>
          </w:tcPr>
          <w:p w14:paraId="1D97B9CA" w14:textId="77777777" w:rsidR="00EB7F1B" w:rsidRPr="0081146C" w:rsidRDefault="00EB7F1B" w:rsidP="00015444">
            <w:pPr>
              <w:pStyle w:val="Tabletext"/>
            </w:pPr>
            <w:r w:rsidRPr="0081146C">
              <w:t>the person</w:t>
            </w:r>
          </w:p>
        </w:tc>
      </w:tr>
      <w:tr w:rsidR="00EB7F1B" w:rsidRPr="0081146C" w14:paraId="39CE8DB2" w14:textId="77777777" w:rsidTr="00015444">
        <w:tc>
          <w:tcPr>
            <w:tcW w:w="714" w:type="dxa"/>
            <w:shd w:val="clear" w:color="auto" w:fill="auto"/>
          </w:tcPr>
          <w:p w14:paraId="221B396A" w14:textId="77777777" w:rsidR="00EB7F1B" w:rsidRPr="0081146C" w:rsidRDefault="00EB7F1B" w:rsidP="00015444">
            <w:pPr>
              <w:pStyle w:val="Tabletext"/>
            </w:pPr>
            <w:r w:rsidRPr="0081146C">
              <w:t>2</w:t>
            </w:r>
          </w:p>
        </w:tc>
        <w:tc>
          <w:tcPr>
            <w:tcW w:w="3186" w:type="dxa"/>
            <w:shd w:val="clear" w:color="auto" w:fill="auto"/>
          </w:tcPr>
          <w:p w14:paraId="097658D9" w14:textId="77777777" w:rsidR="00EB7F1B" w:rsidRPr="0081146C" w:rsidRDefault="00EB7F1B" w:rsidP="00015444">
            <w:pPr>
              <w:pStyle w:val="Tabletext"/>
            </w:pPr>
            <w:r w:rsidRPr="0081146C">
              <w:t>assisting a person in the planning or execution of a transaction, or otherwise acting for or on behalf of a person in a transaction, to sell, buy or otherwise transfer a body corporate or legal arrangement, where:</w:t>
            </w:r>
          </w:p>
          <w:p w14:paraId="1C3B3F4C" w14:textId="77777777" w:rsidR="00EB7F1B" w:rsidRPr="0081146C" w:rsidRDefault="00EB7F1B" w:rsidP="00015444">
            <w:pPr>
              <w:pStyle w:val="Tablea"/>
            </w:pPr>
            <w:r w:rsidRPr="0081146C">
              <w:t>(a) the service is provided in the course of carrying on a business; and</w:t>
            </w:r>
          </w:p>
          <w:p w14:paraId="27F7FE82" w14:textId="77777777" w:rsidR="00EB7F1B" w:rsidRPr="0081146C" w:rsidRDefault="00EB7F1B" w:rsidP="00015444">
            <w:pPr>
              <w:pStyle w:val="Tabletext"/>
            </w:pPr>
            <w:r w:rsidRPr="0081146C">
              <w:t>(b) the sale, purchase or other transfer is not pursuant to, or resulting from, an order of a court or tribunal</w:t>
            </w:r>
          </w:p>
        </w:tc>
        <w:tc>
          <w:tcPr>
            <w:tcW w:w="3186" w:type="dxa"/>
            <w:shd w:val="clear" w:color="auto" w:fill="auto"/>
          </w:tcPr>
          <w:p w14:paraId="6FEB8808" w14:textId="77777777" w:rsidR="00EB7F1B" w:rsidRPr="0081146C" w:rsidRDefault="00EB7F1B" w:rsidP="00015444">
            <w:pPr>
              <w:pStyle w:val="Tabletext"/>
            </w:pPr>
            <w:r w:rsidRPr="0081146C">
              <w:t>the person</w:t>
            </w:r>
          </w:p>
        </w:tc>
      </w:tr>
      <w:tr w:rsidR="00EB7F1B" w:rsidRPr="0081146C" w14:paraId="3AF9B507" w14:textId="77777777" w:rsidTr="00015444">
        <w:tc>
          <w:tcPr>
            <w:tcW w:w="714" w:type="dxa"/>
            <w:shd w:val="clear" w:color="auto" w:fill="auto"/>
          </w:tcPr>
          <w:p w14:paraId="441EC9FE" w14:textId="77777777" w:rsidR="00EB7F1B" w:rsidRPr="0081146C" w:rsidRDefault="00EB7F1B" w:rsidP="00015444">
            <w:pPr>
              <w:pStyle w:val="Tabletext"/>
            </w:pPr>
            <w:r w:rsidRPr="0081146C">
              <w:t>3</w:t>
            </w:r>
          </w:p>
        </w:tc>
        <w:tc>
          <w:tcPr>
            <w:tcW w:w="3186" w:type="dxa"/>
            <w:shd w:val="clear" w:color="auto" w:fill="auto"/>
          </w:tcPr>
          <w:p w14:paraId="6C37F76D" w14:textId="77777777" w:rsidR="00EB7F1B" w:rsidRPr="0081146C" w:rsidRDefault="00EB7F1B" w:rsidP="00015444">
            <w:pPr>
              <w:pStyle w:val="Tabletext"/>
            </w:pPr>
            <w:r w:rsidRPr="0081146C">
              <w:t>receiving, holding and controlling (including disbursing) or managing a person’s:</w:t>
            </w:r>
          </w:p>
          <w:p w14:paraId="3A1C0EDA" w14:textId="77777777" w:rsidR="00EB7F1B" w:rsidRPr="0081146C" w:rsidRDefault="00EB7F1B" w:rsidP="00015444">
            <w:pPr>
              <w:pStyle w:val="Tablea"/>
            </w:pPr>
            <w:r w:rsidRPr="0081146C">
              <w:t>(a) money; or</w:t>
            </w:r>
          </w:p>
          <w:p w14:paraId="61729D95" w14:textId="77777777" w:rsidR="00EB7F1B" w:rsidRPr="0081146C" w:rsidRDefault="00EB7F1B" w:rsidP="00015444">
            <w:pPr>
              <w:pStyle w:val="Tablea"/>
            </w:pPr>
            <w:r w:rsidRPr="0081146C">
              <w:t>(b) accounts; or</w:t>
            </w:r>
          </w:p>
          <w:p w14:paraId="0514358C" w14:textId="77777777" w:rsidR="00EB7F1B" w:rsidRPr="0081146C" w:rsidRDefault="00EB7F1B" w:rsidP="00015444">
            <w:pPr>
              <w:pStyle w:val="Tablea"/>
            </w:pPr>
            <w:r w:rsidRPr="0081146C">
              <w:t>(c) securities and securities accounts; or</w:t>
            </w:r>
          </w:p>
          <w:p w14:paraId="7356FC38" w14:textId="77777777" w:rsidR="00EB7F1B" w:rsidRPr="0081146C" w:rsidRDefault="00EB7F1B" w:rsidP="00015444">
            <w:pPr>
              <w:pStyle w:val="Tablea"/>
            </w:pPr>
            <w:r w:rsidRPr="0081146C">
              <w:t>(d) virtual assets; or</w:t>
            </w:r>
          </w:p>
          <w:p w14:paraId="6B16F1AB" w14:textId="77777777" w:rsidR="00EB7F1B" w:rsidRPr="0081146C" w:rsidRDefault="00EB7F1B" w:rsidP="00015444">
            <w:pPr>
              <w:pStyle w:val="Tablea"/>
            </w:pPr>
            <w:r w:rsidRPr="0081146C">
              <w:t>(e) other property;</w:t>
            </w:r>
          </w:p>
          <w:p w14:paraId="6A421ABD" w14:textId="77777777" w:rsidR="00EB7F1B" w:rsidRPr="0081146C" w:rsidRDefault="00EB7F1B" w:rsidP="00015444">
            <w:pPr>
              <w:pStyle w:val="Tabletext"/>
            </w:pPr>
            <w:r w:rsidRPr="0081146C">
              <w:t>as part of assisting the person in the planning or execution of a transaction, or otherwise acting for or on behalf of a person in a transaction, in the course of carrying on a business (other than in a circumstance covered by subsection (5C))</w:t>
            </w:r>
          </w:p>
        </w:tc>
        <w:tc>
          <w:tcPr>
            <w:tcW w:w="3186" w:type="dxa"/>
            <w:shd w:val="clear" w:color="auto" w:fill="auto"/>
          </w:tcPr>
          <w:p w14:paraId="0508BAFA" w14:textId="77777777" w:rsidR="00EB7F1B" w:rsidRPr="0081146C" w:rsidRDefault="00EB7F1B" w:rsidP="00015444">
            <w:pPr>
              <w:pStyle w:val="Tabletext"/>
            </w:pPr>
            <w:r w:rsidRPr="0081146C">
              <w:t>the person</w:t>
            </w:r>
          </w:p>
        </w:tc>
      </w:tr>
      <w:tr w:rsidR="00EB7F1B" w:rsidRPr="0081146C" w14:paraId="22978E1A" w14:textId="77777777" w:rsidTr="00015444">
        <w:tc>
          <w:tcPr>
            <w:tcW w:w="714" w:type="dxa"/>
            <w:shd w:val="clear" w:color="auto" w:fill="auto"/>
          </w:tcPr>
          <w:p w14:paraId="18A2ADD4" w14:textId="77777777" w:rsidR="00EB7F1B" w:rsidRPr="0081146C" w:rsidRDefault="00EB7F1B" w:rsidP="00015444">
            <w:pPr>
              <w:pStyle w:val="Tabletext"/>
            </w:pPr>
            <w:r w:rsidRPr="0081146C">
              <w:t>4</w:t>
            </w:r>
          </w:p>
        </w:tc>
        <w:tc>
          <w:tcPr>
            <w:tcW w:w="3186" w:type="dxa"/>
            <w:shd w:val="clear" w:color="auto" w:fill="auto"/>
          </w:tcPr>
          <w:p w14:paraId="33F36127" w14:textId="77777777" w:rsidR="00EB7F1B" w:rsidRPr="0081146C" w:rsidRDefault="00EB7F1B" w:rsidP="00015444">
            <w:pPr>
              <w:pStyle w:val="Tabletext"/>
            </w:pPr>
            <w:r w:rsidRPr="0081146C">
              <w:t>assisting a person in organising, planning or executing a transaction, or otherwise acting for or on behalf of a person in a transaction, for equity or debt financing relating to:</w:t>
            </w:r>
          </w:p>
          <w:p w14:paraId="1AE2E56B" w14:textId="77777777" w:rsidR="00EB7F1B" w:rsidRPr="0081146C" w:rsidRDefault="00EB7F1B" w:rsidP="00015444">
            <w:pPr>
              <w:pStyle w:val="Tablea"/>
            </w:pPr>
            <w:r w:rsidRPr="0081146C">
              <w:t>(a) a body corporate (or proposed body corporate); or</w:t>
            </w:r>
          </w:p>
          <w:p w14:paraId="0D8801F5" w14:textId="77777777" w:rsidR="00EB7F1B" w:rsidRPr="0081146C" w:rsidRDefault="00EB7F1B" w:rsidP="00015444">
            <w:pPr>
              <w:pStyle w:val="Tablea"/>
            </w:pPr>
            <w:r w:rsidRPr="0081146C">
              <w:t>(b) a legal arrangement (or proposed legal arrangement);</w:t>
            </w:r>
          </w:p>
          <w:p w14:paraId="35BFBD71" w14:textId="77777777" w:rsidR="00EB7F1B" w:rsidRPr="0081146C" w:rsidRDefault="00EB7F1B" w:rsidP="00015444">
            <w:pPr>
              <w:pStyle w:val="Tabletext"/>
            </w:pPr>
            <w:r w:rsidRPr="0081146C">
              <w:t>in the course of carrying on a business</w:t>
            </w:r>
          </w:p>
        </w:tc>
        <w:tc>
          <w:tcPr>
            <w:tcW w:w="3186" w:type="dxa"/>
            <w:shd w:val="clear" w:color="auto" w:fill="auto"/>
          </w:tcPr>
          <w:p w14:paraId="17D35CB0" w14:textId="77777777" w:rsidR="00EB7F1B" w:rsidRPr="0081146C" w:rsidRDefault="00EB7F1B" w:rsidP="00015444">
            <w:pPr>
              <w:pStyle w:val="Tabletext"/>
            </w:pPr>
            <w:r w:rsidRPr="0081146C">
              <w:t>the person</w:t>
            </w:r>
          </w:p>
        </w:tc>
      </w:tr>
      <w:tr w:rsidR="00EB7F1B" w:rsidRPr="0081146C" w14:paraId="77ABDE8F" w14:textId="77777777" w:rsidTr="00015444">
        <w:tc>
          <w:tcPr>
            <w:tcW w:w="714" w:type="dxa"/>
            <w:shd w:val="clear" w:color="auto" w:fill="auto"/>
          </w:tcPr>
          <w:p w14:paraId="2B333DD5" w14:textId="77777777" w:rsidR="00EB7F1B" w:rsidRPr="0081146C" w:rsidRDefault="00EB7F1B" w:rsidP="00015444">
            <w:pPr>
              <w:pStyle w:val="Tabletext"/>
            </w:pPr>
            <w:r w:rsidRPr="0081146C">
              <w:t>5</w:t>
            </w:r>
          </w:p>
        </w:tc>
        <w:tc>
          <w:tcPr>
            <w:tcW w:w="3186" w:type="dxa"/>
            <w:shd w:val="clear" w:color="auto" w:fill="auto"/>
          </w:tcPr>
          <w:p w14:paraId="67D7EBAB" w14:textId="77777777" w:rsidR="00EB7F1B" w:rsidRPr="0081146C" w:rsidRDefault="00EB7F1B" w:rsidP="00015444">
            <w:pPr>
              <w:pStyle w:val="Tabletext"/>
            </w:pPr>
            <w:r w:rsidRPr="0081146C">
              <w:t>selling or transferring a shelf company, in the course of carrying on a business</w:t>
            </w:r>
          </w:p>
        </w:tc>
        <w:tc>
          <w:tcPr>
            <w:tcW w:w="3186" w:type="dxa"/>
            <w:shd w:val="clear" w:color="auto" w:fill="auto"/>
          </w:tcPr>
          <w:p w14:paraId="6178F069" w14:textId="77777777" w:rsidR="00EB7F1B" w:rsidRPr="0081146C" w:rsidRDefault="00EB7F1B" w:rsidP="00015444">
            <w:pPr>
              <w:pStyle w:val="Tabletext"/>
            </w:pPr>
            <w:r w:rsidRPr="0081146C">
              <w:t>the buyer or transferee</w:t>
            </w:r>
          </w:p>
        </w:tc>
      </w:tr>
      <w:tr w:rsidR="00EB7F1B" w:rsidRPr="0081146C" w14:paraId="3D1CF681" w14:textId="77777777" w:rsidTr="00015444">
        <w:tc>
          <w:tcPr>
            <w:tcW w:w="714" w:type="dxa"/>
            <w:shd w:val="clear" w:color="auto" w:fill="auto"/>
          </w:tcPr>
          <w:p w14:paraId="1785FBCD" w14:textId="77777777" w:rsidR="00EB7F1B" w:rsidRPr="0081146C" w:rsidRDefault="00EB7F1B" w:rsidP="00015444">
            <w:pPr>
              <w:pStyle w:val="Tabletext"/>
            </w:pPr>
            <w:r w:rsidRPr="0081146C">
              <w:t>6</w:t>
            </w:r>
          </w:p>
        </w:tc>
        <w:tc>
          <w:tcPr>
            <w:tcW w:w="3186" w:type="dxa"/>
            <w:shd w:val="clear" w:color="auto" w:fill="auto"/>
          </w:tcPr>
          <w:p w14:paraId="0A19B806" w14:textId="77777777" w:rsidR="00EB7F1B" w:rsidRPr="0081146C" w:rsidRDefault="00EB7F1B" w:rsidP="00015444">
            <w:pPr>
              <w:pStyle w:val="Tabletext"/>
            </w:pPr>
            <w:r w:rsidRPr="0081146C">
              <w:t>assisting a person to plan or execute, or otherwise acting on behalf of a person in, the creation or restructuring of:</w:t>
            </w:r>
          </w:p>
          <w:p w14:paraId="17B57BC6" w14:textId="77777777" w:rsidR="00EB7F1B" w:rsidRPr="0081146C" w:rsidRDefault="00EB7F1B" w:rsidP="00015444">
            <w:pPr>
              <w:pStyle w:val="Tablea"/>
            </w:pPr>
            <w:r w:rsidRPr="0081146C">
              <w:t xml:space="preserve">(a) a body corporate (other than a corporation under the </w:t>
            </w:r>
            <w:r w:rsidRPr="0081146C">
              <w:rPr>
                <w:i/>
              </w:rPr>
              <w:t>Corporations (Aboriginal and Torres Strait Islander) Act 2006</w:t>
            </w:r>
            <w:r w:rsidRPr="0081146C">
              <w:t>); or</w:t>
            </w:r>
          </w:p>
          <w:p w14:paraId="285A1A3F" w14:textId="77777777" w:rsidR="00EB7F1B" w:rsidRPr="0081146C" w:rsidRDefault="00EB7F1B" w:rsidP="00015444">
            <w:pPr>
              <w:pStyle w:val="Tablea"/>
            </w:pPr>
            <w:r w:rsidRPr="0081146C">
              <w:t>(b) a legal arrangement;</w:t>
            </w:r>
          </w:p>
          <w:p w14:paraId="23ADA906" w14:textId="77777777" w:rsidR="00EB7F1B" w:rsidRPr="0081146C" w:rsidRDefault="00EB7F1B" w:rsidP="00015444">
            <w:pPr>
              <w:pStyle w:val="Tabletext"/>
            </w:pPr>
            <w:r w:rsidRPr="0081146C">
              <w:t>in the course of carrying on a business</w:t>
            </w:r>
          </w:p>
        </w:tc>
        <w:tc>
          <w:tcPr>
            <w:tcW w:w="3186" w:type="dxa"/>
            <w:shd w:val="clear" w:color="auto" w:fill="auto"/>
          </w:tcPr>
          <w:p w14:paraId="5839FF41" w14:textId="77777777" w:rsidR="00EB7F1B" w:rsidRPr="0081146C" w:rsidRDefault="00EB7F1B" w:rsidP="00015444">
            <w:pPr>
              <w:pStyle w:val="Tabletext"/>
            </w:pPr>
            <w:r w:rsidRPr="0081146C">
              <w:t>the person and:</w:t>
            </w:r>
          </w:p>
          <w:p w14:paraId="440243AB" w14:textId="77777777" w:rsidR="00EB7F1B" w:rsidRPr="0081146C" w:rsidRDefault="00EB7F1B" w:rsidP="00015444">
            <w:pPr>
              <w:pStyle w:val="Tablea"/>
            </w:pPr>
            <w:r w:rsidRPr="0081146C">
              <w:t>(a) if the body corporate is a company and the service is creating the company—the beneficial owners and directors of the company; or</w:t>
            </w:r>
          </w:p>
          <w:p w14:paraId="25EAD5E8" w14:textId="77777777" w:rsidR="00EB7F1B" w:rsidRPr="0081146C" w:rsidRDefault="00EB7F1B" w:rsidP="00015444">
            <w:pPr>
              <w:pStyle w:val="Tablea"/>
            </w:pPr>
            <w:r w:rsidRPr="0081146C">
              <w:t>(b) if the legal arrangement is an express trust and the service is creating the express trust—the trustee, settlor and beneficiaries of the trust</w:t>
            </w:r>
          </w:p>
        </w:tc>
      </w:tr>
      <w:tr w:rsidR="00EB7F1B" w:rsidRPr="0081146C" w14:paraId="01A20041" w14:textId="77777777" w:rsidTr="00015444">
        <w:tc>
          <w:tcPr>
            <w:tcW w:w="714" w:type="dxa"/>
            <w:shd w:val="clear" w:color="auto" w:fill="auto"/>
          </w:tcPr>
          <w:p w14:paraId="1B2988CF" w14:textId="77777777" w:rsidR="00EB7F1B" w:rsidRPr="0081146C" w:rsidRDefault="00EB7F1B" w:rsidP="00015444">
            <w:pPr>
              <w:pStyle w:val="Tabletext"/>
            </w:pPr>
            <w:r w:rsidRPr="0081146C">
              <w:t>7</w:t>
            </w:r>
          </w:p>
        </w:tc>
        <w:tc>
          <w:tcPr>
            <w:tcW w:w="3186" w:type="dxa"/>
            <w:shd w:val="clear" w:color="auto" w:fill="auto"/>
          </w:tcPr>
          <w:p w14:paraId="23722DCA" w14:textId="77777777" w:rsidR="00EB7F1B" w:rsidRPr="0081146C" w:rsidRDefault="00EB7F1B" w:rsidP="00015444">
            <w:pPr>
              <w:pStyle w:val="Tabletext"/>
            </w:pPr>
            <w:r w:rsidRPr="0081146C">
              <w:t xml:space="preserve">acting as, or arranging for another person to act as, any of the following, on behalf of a person (the </w:t>
            </w:r>
            <w:r w:rsidRPr="0081146C">
              <w:rPr>
                <w:b/>
                <w:i/>
              </w:rPr>
              <w:t>nominator</w:t>
            </w:r>
            <w:r w:rsidRPr="0081146C">
              <w:t>), in the course of carrying on a business:</w:t>
            </w:r>
          </w:p>
          <w:p w14:paraId="6E5367E3" w14:textId="77777777" w:rsidR="00EB7F1B" w:rsidRPr="0081146C" w:rsidRDefault="00EB7F1B" w:rsidP="00015444">
            <w:pPr>
              <w:pStyle w:val="Tablea"/>
            </w:pPr>
            <w:r w:rsidRPr="0081146C">
              <w:t>(a) a director or secretary of a company;</w:t>
            </w:r>
          </w:p>
          <w:p w14:paraId="10C55093" w14:textId="77777777" w:rsidR="00EB7F1B" w:rsidRPr="0081146C" w:rsidRDefault="00EB7F1B" w:rsidP="00015444">
            <w:pPr>
              <w:pStyle w:val="Tablea"/>
            </w:pPr>
            <w:r w:rsidRPr="0081146C">
              <w:t>(b) a power of attorney of a body corporate or legal arrangement;</w:t>
            </w:r>
          </w:p>
          <w:p w14:paraId="7CB0DA76" w14:textId="77777777" w:rsidR="00EB7F1B" w:rsidRPr="0081146C" w:rsidRDefault="00EB7F1B" w:rsidP="00015444">
            <w:pPr>
              <w:pStyle w:val="Tablea"/>
            </w:pPr>
            <w:r w:rsidRPr="0081146C">
              <w:t>(c) a partner in a partnership;</w:t>
            </w:r>
          </w:p>
          <w:p w14:paraId="27B9D083" w14:textId="77777777" w:rsidR="00EB7F1B" w:rsidRPr="0081146C" w:rsidRDefault="00EB7F1B" w:rsidP="00015444">
            <w:pPr>
              <w:pStyle w:val="Tablea"/>
            </w:pPr>
            <w:r w:rsidRPr="0081146C">
              <w:t>(d) a trustee of an express trust;</w:t>
            </w:r>
          </w:p>
          <w:p w14:paraId="1E80FDF2" w14:textId="77777777" w:rsidR="00EB7F1B" w:rsidRPr="0081146C" w:rsidRDefault="00EB7F1B" w:rsidP="00015444">
            <w:pPr>
              <w:pStyle w:val="Tablea"/>
            </w:pPr>
            <w:r w:rsidRPr="0081146C">
              <w:t>(e) a position in any other legal arrangement that is functionally equivalent to a position mentioned in any of the above paragraphs;</w:t>
            </w:r>
          </w:p>
          <w:p w14:paraId="559AE3E9" w14:textId="77777777" w:rsidR="00EB7F1B" w:rsidRPr="0081146C" w:rsidRDefault="00EB7F1B" w:rsidP="00015444">
            <w:pPr>
              <w:pStyle w:val="Tabletext"/>
            </w:pPr>
            <w:r w:rsidRPr="0081146C">
              <w:t>other than in a circumstance covered by subsection (5E)</w:t>
            </w:r>
          </w:p>
        </w:tc>
        <w:tc>
          <w:tcPr>
            <w:tcW w:w="3186" w:type="dxa"/>
            <w:shd w:val="clear" w:color="auto" w:fill="auto"/>
          </w:tcPr>
          <w:p w14:paraId="322647EC" w14:textId="77777777" w:rsidR="00EB7F1B" w:rsidRPr="0081146C" w:rsidRDefault="00EB7F1B" w:rsidP="00015444">
            <w:pPr>
              <w:pStyle w:val="Tabletext"/>
            </w:pPr>
            <w:r w:rsidRPr="0081146C">
              <w:t>the nominator</w:t>
            </w:r>
          </w:p>
        </w:tc>
      </w:tr>
      <w:tr w:rsidR="00EB7F1B" w:rsidRPr="0081146C" w14:paraId="3CBF457C" w14:textId="77777777" w:rsidTr="00015444">
        <w:tc>
          <w:tcPr>
            <w:tcW w:w="714" w:type="dxa"/>
            <w:tcBorders>
              <w:bottom w:val="single" w:sz="2" w:space="0" w:color="auto"/>
            </w:tcBorders>
            <w:shd w:val="clear" w:color="auto" w:fill="auto"/>
          </w:tcPr>
          <w:p w14:paraId="3EF07715" w14:textId="77777777" w:rsidR="00EB7F1B" w:rsidRPr="0081146C" w:rsidRDefault="00EB7F1B" w:rsidP="00015444">
            <w:pPr>
              <w:pStyle w:val="Tabletext"/>
            </w:pPr>
            <w:r w:rsidRPr="0081146C">
              <w:t>8</w:t>
            </w:r>
          </w:p>
        </w:tc>
        <w:tc>
          <w:tcPr>
            <w:tcW w:w="3186" w:type="dxa"/>
            <w:tcBorders>
              <w:bottom w:val="single" w:sz="2" w:space="0" w:color="auto"/>
            </w:tcBorders>
            <w:shd w:val="clear" w:color="auto" w:fill="auto"/>
          </w:tcPr>
          <w:p w14:paraId="2A1546AF" w14:textId="77777777" w:rsidR="00EB7F1B" w:rsidRPr="0081146C" w:rsidRDefault="00EB7F1B" w:rsidP="00015444">
            <w:pPr>
              <w:pStyle w:val="Tabletext"/>
            </w:pPr>
            <w:r w:rsidRPr="0081146C">
              <w:t xml:space="preserve">acting as, or arranging for another person to act as, a nominee shareholder of a body corporate or legal arrangement, on behalf of a person (the </w:t>
            </w:r>
            <w:r w:rsidRPr="0081146C">
              <w:rPr>
                <w:b/>
                <w:i/>
              </w:rPr>
              <w:t>nominator</w:t>
            </w:r>
            <w:r w:rsidRPr="0081146C">
              <w:t>), in the course of carrying on a business</w:t>
            </w:r>
          </w:p>
        </w:tc>
        <w:tc>
          <w:tcPr>
            <w:tcW w:w="3186" w:type="dxa"/>
            <w:tcBorders>
              <w:bottom w:val="single" w:sz="2" w:space="0" w:color="auto"/>
            </w:tcBorders>
            <w:shd w:val="clear" w:color="auto" w:fill="auto"/>
          </w:tcPr>
          <w:p w14:paraId="0D4575A7" w14:textId="77777777" w:rsidR="00EB7F1B" w:rsidRPr="0081146C" w:rsidRDefault="00EB7F1B" w:rsidP="00015444">
            <w:pPr>
              <w:pStyle w:val="Tabletext"/>
            </w:pPr>
            <w:r w:rsidRPr="0081146C">
              <w:t>the nominator</w:t>
            </w:r>
          </w:p>
        </w:tc>
      </w:tr>
      <w:tr w:rsidR="00EB7F1B" w:rsidRPr="0081146C" w14:paraId="2B1393D5" w14:textId="77777777" w:rsidTr="00015444">
        <w:tc>
          <w:tcPr>
            <w:tcW w:w="714" w:type="dxa"/>
            <w:tcBorders>
              <w:top w:val="single" w:sz="2" w:space="0" w:color="auto"/>
              <w:bottom w:val="single" w:sz="12" w:space="0" w:color="auto"/>
            </w:tcBorders>
            <w:shd w:val="clear" w:color="auto" w:fill="auto"/>
          </w:tcPr>
          <w:p w14:paraId="10D97A45" w14:textId="77777777" w:rsidR="00EB7F1B" w:rsidRPr="0081146C" w:rsidRDefault="00EB7F1B" w:rsidP="00015444">
            <w:pPr>
              <w:pStyle w:val="Tabletext"/>
            </w:pPr>
            <w:r w:rsidRPr="0081146C">
              <w:t>9</w:t>
            </w:r>
          </w:p>
        </w:tc>
        <w:tc>
          <w:tcPr>
            <w:tcW w:w="3186" w:type="dxa"/>
            <w:tcBorders>
              <w:top w:val="single" w:sz="2" w:space="0" w:color="auto"/>
              <w:bottom w:val="single" w:sz="12" w:space="0" w:color="auto"/>
            </w:tcBorders>
            <w:shd w:val="clear" w:color="auto" w:fill="auto"/>
          </w:tcPr>
          <w:p w14:paraId="023462D7" w14:textId="77777777" w:rsidR="00EB7F1B" w:rsidRPr="0081146C" w:rsidRDefault="00EB7F1B" w:rsidP="00015444">
            <w:pPr>
              <w:pStyle w:val="Tabletext"/>
            </w:pPr>
            <w:r w:rsidRPr="0081146C">
              <w:t>providing a registered office address or principal place of business address of a body corporate or legal arrangement, in the course of carrying on a business</w:t>
            </w:r>
          </w:p>
        </w:tc>
        <w:tc>
          <w:tcPr>
            <w:tcW w:w="3186" w:type="dxa"/>
            <w:tcBorders>
              <w:top w:val="single" w:sz="2" w:space="0" w:color="auto"/>
              <w:bottom w:val="single" w:sz="12" w:space="0" w:color="auto"/>
            </w:tcBorders>
            <w:shd w:val="clear" w:color="auto" w:fill="auto"/>
          </w:tcPr>
          <w:p w14:paraId="2EC0874E" w14:textId="77777777" w:rsidR="00EB7F1B" w:rsidRPr="0081146C" w:rsidRDefault="00EB7F1B" w:rsidP="00015444">
            <w:pPr>
              <w:pStyle w:val="Tabletext"/>
            </w:pPr>
            <w:r w:rsidRPr="0081146C">
              <w:t>the person to whom the service is provided</w:t>
            </w:r>
          </w:p>
        </w:tc>
      </w:tr>
    </w:tbl>
    <w:p w14:paraId="291B0A5A" w14:textId="77777777" w:rsidR="00EB7F1B" w:rsidRPr="0081146C" w:rsidRDefault="00EB7F1B" w:rsidP="00EB7F1B">
      <w:pPr>
        <w:pStyle w:val="subsection"/>
      </w:pPr>
      <w:r w:rsidRPr="0081146C">
        <w:tab/>
        <w:t>(5C)</w:t>
      </w:r>
      <w:r w:rsidRPr="0081146C">
        <w:tab/>
        <w:t>For the purposes of item 3 of the table in subsection (5B), the circumstances are as follows:</w:t>
      </w:r>
    </w:p>
    <w:p w14:paraId="0D68EC79" w14:textId="77777777" w:rsidR="00EB7F1B" w:rsidRPr="0081146C" w:rsidRDefault="00EB7F1B" w:rsidP="00EB7F1B">
      <w:pPr>
        <w:pStyle w:val="paragraph"/>
      </w:pPr>
      <w:r w:rsidRPr="0081146C">
        <w:tab/>
        <w:t>(a)</w:t>
      </w:r>
      <w:r w:rsidRPr="0081146C">
        <w:tab/>
        <w:t>the money, accounts, securities, securities accounts, virtual assets or other property being held or managed is payment by the person for the provision of goods or services by the business;</w:t>
      </w:r>
    </w:p>
    <w:p w14:paraId="0D44A644" w14:textId="77777777" w:rsidR="00EB7F1B" w:rsidRPr="0081146C" w:rsidRDefault="00EB7F1B" w:rsidP="00EB7F1B">
      <w:pPr>
        <w:pStyle w:val="paragraph"/>
      </w:pPr>
      <w:r w:rsidRPr="0081146C">
        <w:tab/>
        <w:t>(b)</w:t>
      </w:r>
      <w:r w:rsidRPr="0081146C">
        <w:tab/>
        <w:t>both:</w:t>
      </w:r>
    </w:p>
    <w:p w14:paraId="1DAB3D0C" w14:textId="77777777" w:rsidR="00EB7F1B" w:rsidRPr="0081146C" w:rsidRDefault="00EB7F1B" w:rsidP="00EB7F1B">
      <w:pPr>
        <w:pStyle w:val="paragraphsub"/>
      </w:pPr>
      <w:r w:rsidRPr="0081146C">
        <w:tab/>
        <w:t>(i)</w:t>
      </w:r>
      <w:r w:rsidRPr="0081146C">
        <w:tab/>
        <w:t>the business does not provide any designated services other than the services referred to in item 3 of the table in subsection (5B); and</w:t>
      </w:r>
    </w:p>
    <w:p w14:paraId="4D51ADA1" w14:textId="77777777" w:rsidR="00EB7F1B" w:rsidRPr="0081146C" w:rsidRDefault="00EB7F1B" w:rsidP="00EB7F1B">
      <w:pPr>
        <w:pStyle w:val="paragraphsub"/>
      </w:pPr>
      <w:r w:rsidRPr="0081146C">
        <w:tab/>
        <w:t>(ii)</w:t>
      </w:r>
      <w:r w:rsidRPr="0081146C">
        <w:tab/>
        <w:t>the money, accounts, securities, securities accounts, virtual assets or other property being held or managed is for payments reasonably incidental to the provision by the business of a service that is not a designated service;</w:t>
      </w:r>
    </w:p>
    <w:p w14:paraId="517EE323" w14:textId="77777777" w:rsidR="00EB7F1B" w:rsidRPr="0081146C" w:rsidRDefault="00EB7F1B" w:rsidP="00EB7F1B">
      <w:pPr>
        <w:pStyle w:val="paragraph"/>
      </w:pPr>
      <w:r w:rsidRPr="0081146C">
        <w:tab/>
        <w:t>(c)</w:t>
      </w:r>
      <w:r w:rsidRPr="0081146C">
        <w:tab/>
        <w:t>the money, accounts, securities, securities accounts, virtual assets or other property being held or managed is to be received or payable under an order of a court or tribunal;</w:t>
      </w:r>
    </w:p>
    <w:p w14:paraId="0BDC93E7" w14:textId="77777777" w:rsidR="00EB7F1B" w:rsidRPr="0081146C" w:rsidRDefault="00EB7F1B" w:rsidP="00EB7F1B">
      <w:pPr>
        <w:pStyle w:val="paragraph"/>
      </w:pPr>
      <w:r w:rsidRPr="0081146C">
        <w:tab/>
        <w:t>(d)</w:t>
      </w:r>
      <w:r w:rsidRPr="0081146C">
        <w:tab/>
        <w:t>the service provided by the business is the receipt or disbursement of a payment mentioned in subsection (5D);</w:t>
      </w:r>
    </w:p>
    <w:p w14:paraId="2822C4C2" w14:textId="77777777" w:rsidR="00EB7F1B" w:rsidRPr="0081146C" w:rsidRDefault="00EB7F1B" w:rsidP="00EB7F1B">
      <w:pPr>
        <w:pStyle w:val="paragraph"/>
      </w:pPr>
      <w:r w:rsidRPr="0081146C">
        <w:tab/>
        <w:t>(e)</w:t>
      </w:r>
      <w:r w:rsidRPr="0081146C">
        <w:tab/>
        <w:t>the service is any other designated service;</w:t>
      </w:r>
    </w:p>
    <w:p w14:paraId="58E31706" w14:textId="77777777" w:rsidR="00EB7F1B" w:rsidRPr="0081146C" w:rsidRDefault="00EB7F1B" w:rsidP="00EB7F1B">
      <w:pPr>
        <w:pStyle w:val="paragraph"/>
      </w:pPr>
      <w:r w:rsidRPr="0081146C">
        <w:tab/>
        <w:t>(f)</w:t>
      </w:r>
      <w:r w:rsidRPr="0081146C">
        <w:tab/>
        <w:t>a circumstance specified in the AML/CTF Rules.</w:t>
      </w:r>
    </w:p>
    <w:p w14:paraId="1AF72523" w14:textId="77777777" w:rsidR="00EB7F1B" w:rsidRPr="0081146C" w:rsidRDefault="00EB7F1B" w:rsidP="00EB7F1B">
      <w:pPr>
        <w:pStyle w:val="notetext"/>
      </w:pPr>
      <w:r w:rsidRPr="0081146C">
        <w:t>Note:</w:t>
      </w:r>
      <w:r w:rsidRPr="0081146C">
        <w:tab/>
        <w:t>An example of a circumstance to which paragraph (b) applies is fees paid to a barrister for representation in legal proceedings or property management services.</w:t>
      </w:r>
    </w:p>
    <w:p w14:paraId="16586F08" w14:textId="77777777" w:rsidR="00EB7F1B" w:rsidRPr="0081146C" w:rsidRDefault="00EB7F1B" w:rsidP="00EB7F1B">
      <w:pPr>
        <w:pStyle w:val="subsection"/>
      </w:pPr>
      <w:r w:rsidRPr="0081146C">
        <w:tab/>
        <w:t>(5D)</w:t>
      </w:r>
      <w:r w:rsidRPr="0081146C">
        <w:tab/>
        <w:t>For the purposes of paragraph (5C)(d), the payments are:</w:t>
      </w:r>
    </w:p>
    <w:p w14:paraId="59A84C0A" w14:textId="77777777" w:rsidR="00EB7F1B" w:rsidRPr="0081146C" w:rsidRDefault="00EB7F1B" w:rsidP="00EB7F1B">
      <w:pPr>
        <w:pStyle w:val="paragraph"/>
      </w:pPr>
      <w:r w:rsidRPr="0081146C">
        <w:tab/>
        <w:t>(a)</w:t>
      </w:r>
      <w:r w:rsidRPr="0081146C">
        <w:tab/>
        <w:t>a payment to or from any of the following:</w:t>
      </w:r>
    </w:p>
    <w:p w14:paraId="2879F613" w14:textId="77777777" w:rsidR="00EB7F1B" w:rsidRPr="0081146C" w:rsidRDefault="00EB7F1B" w:rsidP="00EB7F1B">
      <w:pPr>
        <w:pStyle w:val="paragraphsub"/>
      </w:pPr>
      <w:r w:rsidRPr="0081146C">
        <w:tab/>
        <w:t>(i)</w:t>
      </w:r>
      <w:r w:rsidRPr="0081146C">
        <w:tab/>
        <w:t>a government body;</w:t>
      </w:r>
    </w:p>
    <w:p w14:paraId="69E1F398" w14:textId="77777777" w:rsidR="00EB7F1B" w:rsidRPr="0081146C" w:rsidRDefault="00EB7F1B" w:rsidP="00EB7F1B">
      <w:pPr>
        <w:pStyle w:val="paragraphsub"/>
      </w:pPr>
      <w:r w:rsidRPr="0081146C">
        <w:tab/>
        <w:t>(ii)</w:t>
      </w:r>
      <w:r w:rsidRPr="0081146C">
        <w:tab/>
        <w:t>a court or tribunal of the Commonwealth, a State, a Territory or a foreign country;</w:t>
      </w:r>
    </w:p>
    <w:p w14:paraId="1C4AED01" w14:textId="77777777" w:rsidR="00EB7F1B" w:rsidRPr="0081146C" w:rsidRDefault="00EB7F1B" w:rsidP="00EB7F1B">
      <w:pPr>
        <w:pStyle w:val="paragraphsub"/>
      </w:pPr>
      <w:r w:rsidRPr="0081146C">
        <w:tab/>
        <w:t>(iii)</w:t>
      </w:r>
      <w:r w:rsidRPr="0081146C">
        <w:tab/>
        <w:t>a public international organisation;</w:t>
      </w:r>
    </w:p>
    <w:p w14:paraId="01731097" w14:textId="77777777" w:rsidR="00EB7F1B" w:rsidRPr="0081146C" w:rsidRDefault="00EB7F1B" w:rsidP="00EB7F1B">
      <w:pPr>
        <w:pStyle w:val="paragraphsub"/>
      </w:pPr>
      <w:r w:rsidRPr="0081146C">
        <w:tab/>
        <w:t>(iv)</w:t>
      </w:r>
      <w:r w:rsidRPr="0081146C">
        <w:tab/>
        <w:t>a person who is licensed under a law of the Commonwealth, a State or a Territory to provide insurance, including self</w:t>
      </w:r>
      <w:r w:rsidRPr="0081146C">
        <w:noBreakHyphen/>
        <w:t>insured licensees; or</w:t>
      </w:r>
    </w:p>
    <w:p w14:paraId="36502070" w14:textId="77777777" w:rsidR="00EB7F1B" w:rsidRPr="0081146C" w:rsidRDefault="00EB7F1B" w:rsidP="00EB7F1B">
      <w:pPr>
        <w:pStyle w:val="paragraph"/>
      </w:pPr>
      <w:r w:rsidRPr="0081146C">
        <w:tab/>
        <w:t>(b)</w:t>
      </w:r>
      <w:r w:rsidRPr="0081146C">
        <w:tab/>
        <w:t>a payment of a kind specified in the AML/CTF Rules.</w:t>
      </w:r>
    </w:p>
    <w:p w14:paraId="3AF92947" w14:textId="77777777" w:rsidR="00EB7F1B" w:rsidRPr="0081146C" w:rsidRDefault="00EB7F1B" w:rsidP="00EB7F1B">
      <w:pPr>
        <w:pStyle w:val="subsection"/>
      </w:pPr>
      <w:r w:rsidRPr="0081146C">
        <w:tab/>
        <w:t>(5E)</w:t>
      </w:r>
      <w:r w:rsidRPr="0081146C">
        <w:tab/>
        <w:t>For the purposes of item 7 of the table in subsection (5B), the circumstances are:</w:t>
      </w:r>
    </w:p>
    <w:p w14:paraId="03B15DC4" w14:textId="77777777" w:rsidR="00EB7F1B" w:rsidRPr="0081146C" w:rsidRDefault="00EB7F1B" w:rsidP="00EB7F1B">
      <w:pPr>
        <w:pStyle w:val="paragraph"/>
      </w:pPr>
      <w:r w:rsidRPr="0081146C">
        <w:tab/>
        <w:t>(a)</w:t>
      </w:r>
      <w:r w:rsidRPr="0081146C">
        <w:tab/>
        <w:t>acting, or arranging for another person to act, in a fiduciary capacity pursuant to, or as a result of, an order of a court or a tribunal; or</w:t>
      </w:r>
    </w:p>
    <w:p w14:paraId="4666DAEE" w14:textId="77777777" w:rsidR="00EB7F1B" w:rsidRPr="0081146C" w:rsidRDefault="00EB7F1B" w:rsidP="00EB7F1B">
      <w:pPr>
        <w:pStyle w:val="paragraph"/>
      </w:pPr>
      <w:r w:rsidRPr="0081146C">
        <w:tab/>
        <w:t>(b)</w:t>
      </w:r>
      <w:r w:rsidRPr="0081146C">
        <w:tab/>
        <w:t xml:space="preserve">acting as the trustee of a regulated debtor’s estate (within the meaning of Schedule 2 to the </w:t>
      </w:r>
      <w:r w:rsidRPr="0081146C">
        <w:rPr>
          <w:i/>
        </w:rPr>
        <w:t>Bankruptcy Act 1966</w:t>
      </w:r>
      <w:r w:rsidRPr="0081146C">
        <w:t>); or</w:t>
      </w:r>
    </w:p>
    <w:p w14:paraId="72E9B52C" w14:textId="77777777" w:rsidR="00EB7F1B" w:rsidRPr="0081146C" w:rsidRDefault="00EB7F1B" w:rsidP="00EB7F1B">
      <w:pPr>
        <w:pStyle w:val="paragraph"/>
      </w:pPr>
      <w:r w:rsidRPr="0081146C">
        <w:tab/>
        <w:t>(c)</w:t>
      </w:r>
      <w:r w:rsidRPr="0081146C">
        <w:tab/>
        <w:t>a circumstance specified in the AML/CTF Rules.</w:t>
      </w:r>
    </w:p>
    <w:p w14:paraId="19D1356A" w14:textId="77777777" w:rsidR="00035544" w:rsidRPr="0081146C" w:rsidRDefault="00035544" w:rsidP="00035544">
      <w:pPr>
        <w:pStyle w:val="SubsectionHead"/>
      </w:pPr>
      <w:r w:rsidRPr="0081146C">
        <w:t>Geographical link</w:t>
      </w:r>
    </w:p>
    <w:p w14:paraId="09FAD989" w14:textId="77777777" w:rsidR="00035544" w:rsidRPr="0081146C" w:rsidRDefault="00035544" w:rsidP="00035544">
      <w:pPr>
        <w:pStyle w:val="subsection"/>
      </w:pPr>
      <w:r w:rsidRPr="0081146C">
        <w:tab/>
        <w:t>(6)</w:t>
      </w:r>
      <w:r w:rsidRPr="0081146C">
        <w:tab/>
        <w:t>An item of a table in this section</w:t>
      </w:r>
      <w:r w:rsidR="00AC3C21" w:rsidRPr="0081146C">
        <w:t xml:space="preserve">, other than </w:t>
      </w:r>
      <w:r w:rsidR="003B7E15" w:rsidRPr="0081146C">
        <w:t>item 3</w:t>
      </w:r>
      <w:r w:rsidR="00AC3C21" w:rsidRPr="0081146C">
        <w:t>2A of table 1,</w:t>
      </w:r>
      <w:r w:rsidRPr="0081146C">
        <w:t xml:space="preserve"> does not apply to the provision by a person of a service to a customer unless:</w:t>
      </w:r>
    </w:p>
    <w:p w14:paraId="77780ED2" w14:textId="77777777" w:rsidR="00035544" w:rsidRPr="0081146C" w:rsidRDefault="00035544" w:rsidP="00035544">
      <w:pPr>
        <w:pStyle w:val="paragraph"/>
      </w:pPr>
      <w:r w:rsidRPr="0081146C">
        <w:tab/>
        <w:t>(a)</w:t>
      </w:r>
      <w:r w:rsidRPr="0081146C">
        <w:tab/>
        <w:t>the service is provided at or through a permanent establishment of the person in Australia; or</w:t>
      </w:r>
    </w:p>
    <w:p w14:paraId="53DD7504" w14:textId="77777777" w:rsidR="00035544" w:rsidRPr="0081146C" w:rsidRDefault="00035544" w:rsidP="00035544">
      <w:pPr>
        <w:pStyle w:val="paragraph"/>
      </w:pPr>
      <w:r w:rsidRPr="0081146C">
        <w:tab/>
        <w:t>(b)</w:t>
      </w:r>
      <w:r w:rsidRPr="0081146C">
        <w:tab/>
        <w:t>both of the following subparagraphs apply:</w:t>
      </w:r>
    </w:p>
    <w:p w14:paraId="71DEF57D" w14:textId="77777777" w:rsidR="00035544" w:rsidRPr="0081146C" w:rsidRDefault="00035544" w:rsidP="00035544">
      <w:pPr>
        <w:pStyle w:val="paragraphsub"/>
      </w:pPr>
      <w:r w:rsidRPr="0081146C">
        <w:tab/>
        <w:t>(i)</w:t>
      </w:r>
      <w:r w:rsidRPr="0081146C">
        <w:tab/>
        <w:t>the person is a resident of Australia;</w:t>
      </w:r>
    </w:p>
    <w:p w14:paraId="117CB0DA" w14:textId="77777777" w:rsidR="00035544" w:rsidRPr="0081146C" w:rsidRDefault="00035544" w:rsidP="00035544">
      <w:pPr>
        <w:pStyle w:val="paragraphsub"/>
      </w:pPr>
      <w:r w:rsidRPr="0081146C">
        <w:tab/>
        <w:t>(ii)</w:t>
      </w:r>
      <w:r w:rsidRPr="0081146C">
        <w:tab/>
        <w:t>the service is provided at or through a permanent establishment of the person in a foreign country; or</w:t>
      </w:r>
    </w:p>
    <w:p w14:paraId="77995928" w14:textId="77777777" w:rsidR="00035544" w:rsidRPr="0081146C" w:rsidRDefault="00035544" w:rsidP="00035544">
      <w:pPr>
        <w:pStyle w:val="paragraph"/>
      </w:pPr>
      <w:r w:rsidRPr="0081146C">
        <w:tab/>
        <w:t>(c)</w:t>
      </w:r>
      <w:r w:rsidRPr="0081146C">
        <w:tab/>
        <w:t>both of the following subparagraphs apply:</w:t>
      </w:r>
    </w:p>
    <w:p w14:paraId="50FE5C0D" w14:textId="77777777" w:rsidR="00035544" w:rsidRPr="0081146C" w:rsidRDefault="00035544" w:rsidP="00035544">
      <w:pPr>
        <w:pStyle w:val="paragraphsub"/>
      </w:pPr>
      <w:r w:rsidRPr="0081146C">
        <w:tab/>
        <w:t>(i)</w:t>
      </w:r>
      <w:r w:rsidRPr="0081146C">
        <w:tab/>
        <w:t>the person is a subsidiary of a company that is a resident of Australia;</w:t>
      </w:r>
    </w:p>
    <w:p w14:paraId="491E36C3" w14:textId="77777777" w:rsidR="00035544" w:rsidRPr="0081146C" w:rsidRDefault="00035544" w:rsidP="00035544">
      <w:pPr>
        <w:pStyle w:val="paragraphsub"/>
      </w:pPr>
      <w:r w:rsidRPr="0081146C">
        <w:tab/>
        <w:t>(ii)</w:t>
      </w:r>
      <w:r w:rsidRPr="0081146C">
        <w:tab/>
        <w:t>the service is provided at or through a permanent establishment of the person in a foreign country.</w:t>
      </w:r>
    </w:p>
    <w:p w14:paraId="2727C117" w14:textId="77777777" w:rsidR="00035544" w:rsidRPr="0081146C" w:rsidRDefault="00035544" w:rsidP="00035544">
      <w:pPr>
        <w:pStyle w:val="notetext"/>
      </w:pPr>
      <w:r w:rsidRPr="0081146C">
        <w:t>Note:</w:t>
      </w:r>
      <w:r w:rsidRPr="0081146C">
        <w:tab/>
        <w:t xml:space="preserve">For </w:t>
      </w:r>
      <w:r w:rsidRPr="0081146C">
        <w:rPr>
          <w:b/>
          <w:i/>
        </w:rPr>
        <w:t>resident</w:t>
      </w:r>
      <w:r w:rsidRPr="0081146C">
        <w:t xml:space="preserve">, see </w:t>
      </w:r>
      <w:r w:rsidR="003B7E15" w:rsidRPr="0081146C">
        <w:t>section 1</w:t>
      </w:r>
      <w:r w:rsidRPr="0081146C">
        <w:t>4.</w:t>
      </w:r>
    </w:p>
    <w:p w14:paraId="09EABC5E" w14:textId="77777777" w:rsidR="00970B77" w:rsidRPr="0081146C" w:rsidRDefault="00970B77" w:rsidP="00970B77">
      <w:pPr>
        <w:pStyle w:val="SubsectionHead"/>
      </w:pPr>
      <w:r w:rsidRPr="0081146C">
        <w:t>Designated services provided within business groups</w:t>
      </w:r>
    </w:p>
    <w:p w14:paraId="0D4923A4" w14:textId="77777777" w:rsidR="00970B77" w:rsidRPr="0081146C" w:rsidRDefault="00970B77" w:rsidP="00970B77">
      <w:pPr>
        <w:pStyle w:val="subsection"/>
      </w:pPr>
      <w:r w:rsidRPr="0081146C">
        <w:tab/>
        <w:t>(6A)</w:t>
      </w:r>
      <w:r w:rsidRPr="0081146C">
        <w:tab/>
        <w:t xml:space="preserve">Despite anything in this section, a service is not a </w:t>
      </w:r>
      <w:r w:rsidRPr="0081146C">
        <w:rPr>
          <w:b/>
          <w:i/>
        </w:rPr>
        <w:t>designated service</w:t>
      </w:r>
      <w:r w:rsidRPr="0081146C">
        <w:t xml:space="preserve"> if:</w:t>
      </w:r>
    </w:p>
    <w:p w14:paraId="49E8F49D" w14:textId="77777777" w:rsidR="00970B77" w:rsidRPr="0081146C" w:rsidRDefault="00970B77" w:rsidP="00970B77">
      <w:pPr>
        <w:pStyle w:val="paragraph"/>
      </w:pPr>
      <w:r w:rsidRPr="0081146C">
        <w:tab/>
        <w:t>(a)</w:t>
      </w:r>
      <w:r w:rsidRPr="0081146C">
        <w:tab/>
        <w:t>any of the following apply:</w:t>
      </w:r>
    </w:p>
    <w:p w14:paraId="08FD010E" w14:textId="77777777" w:rsidR="00970B77" w:rsidRPr="0081146C" w:rsidRDefault="00970B77" w:rsidP="00970B77">
      <w:pPr>
        <w:pStyle w:val="paragraphsub"/>
      </w:pPr>
      <w:r w:rsidRPr="0081146C">
        <w:tab/>
        <w:t>(i)</w:t>
      </w:r>
      <w:r w:rsidRPr="0081146C">
        <w:tab/>
        <w:t>a member of a business group provides the service to another member of the business group;</w:t>
      </w:r>
    </w:p>
    <w:p w14:paraId="6D1E3DA4" w14:textId="77777777" w:rsidR="00970B77" w:rsidRPr="0081146C" w:rsidRDefault="00970B77" w:rsidP="00970B77">
      <w:pPr>
        <w:pStyle w:val="paragraphsub"/>
      </w:pPr>
      <w:r w:rsidRPr="0081146C">
        <w:tab/>
        <w:t>(ii)</w:t>
      </w:r>
      <w:r w:rsidRPr="0081146C">
        <w:tab/>
        <w:t>the service is of a kind described in item 48 of table 1 and the guarantor and borrower are members of the same business group;</w:t>
      </w:r>
    </w:p>
    <w:p w14:paraId="3C2FA853" w14:textId="77777777" w:rsidR="00970B77" w:rsidRPr="0081146C" w:rsidRDefault="00970B77" w:rsidP="00970B77">
      <w:pPr>
        <w:pStyle w:val="paragraphsub"/>
      </w:pPr>
      <w:r w:rsidRPr="0081146C">
        <w:tab/>
        <w:t>(iii)</w:t>
      </w:r>
      <w:r w:rsidRPr="0081146C">
        <w:tab/>
        <w:t>the service is of a kind described in item 49 of table 1 and the guarantor and borrower are members of the same business group;</w:t>
      </w:r>
    </w:p>
    <w:p w14:paraId="0B5959CA" w14:textId="77777777" w:rsidR="00970B77" w:rsidRPr="0081146C" w:rsidRDefault="00970B77" w:rsidP="00970B77">
      <w:pPr>
        <w:pStyle w:val="paragraphsub"/>
      </w:pPr>
      <w:r w:rsidRPr="0081146C">
        <w:tab/>
        <w:t>(iv)</w:t>
      </w:r>
      <w:r w:rsidRPr="0081146C">
        <w:tab/>
        <w:t>the service is of a kind specified in the AML/CTF Rules; and</w:t>
      </w:r>
    </w:p>
    <w:p w14:paraId="7DD6417E" w14:textId="77777777" w:rsidR="00970B77" w:rsidRPr="0081146C" w:rsidRDefault="00970B77" w:rsidP="00970B77">
      <w:pPr>
        <w:pStyle w:val="paragraph"/>
      </w:pPr>
      <w:r w:rsidRPr="0081146C">
        <w:tab/>
        <w:t>(b)</w:t>
      </w:r>
      <w:r w:rsidRPr="0081146C">
        <w:tab/>
        <w:t>the service is not of a kind specified in the AML/CTF Rules; and</w:t>
      </w:r>
    </w:p>
    <w:p w14:paraId="1F9B77EF" w14:textId="77777777" w:rsidR="00970B77" w:rsidRPr="0081146C" w:rsidRDefault="00970B77" w:rsidP="00970B77">
      <w:pPr>
        <w:pStyle w:val="paragraph"/>
      </w:pPr>
      <w:r w:rsidRPr="0081146C">
        <w:tab/>
        <w:t>(c)</w:t>
      </w:r>
      <w:r w:rsidRPr="0081146C">
        <w:tab/>
        <w:t>the requirements (if any) specified in the AML/CTF Rules are met.</w:t>
      </w:r>
    </w:p>
    <w:p w14:paraId="2A54DABA" w14:textId="77777777" w:rsidR="00970B77" w:rsidRPr="0081146C" w:rsidRDefault="00970B77" w:rsidP="00970B77">
      <w:pPr>
        <w:pStyle w:val="notetext"/>
      </w:pPr>
      <w:r w:rsidRPr="0081146C">
        <w:t>Note 1:</w:t>
      </w:r>
      <w:r w:rsidRPr="0081146C">
        <w:tab/>
        <w:t>Item 48 of table 1 covers guaranteeing a loan, where the guarantee is given in the course of carrying on a business of guaranteeing loans.</w:t>
      </w:r>
    </w:p>
    <w:p w14:paraId="1457CF50" w14:textId="77777777" w:rsidR="00970B77" w:rsidRPr="0081146C" w:rsidRDefault="00970B77" w:rsidP="00970B77">
      <w:pPr>
        <w:pStyle w:val="notetext"/>
      </w:pPr>
      <w:r w:rsidRPr="0081146C">
        <w:t>Note 2:</w:t>
      </w:r>
      <w:r w:rsidRPr="0081146C">
        <w:tab/>
        <w:t>Item 49 of table 1 covers making a payment, in the capacity of guarantor of a loan, to the lender, where the guarantee was given in the course of carrying on a business of guaranteeing loans.</w:t>
      </w:r>
    </w:p>
    <w:p w14:paraId="434E4A36" w14:textId="77777777" w:rsidR="00EB7F1B" w:rsidRPr="0081146C" w:rsidRDefault="00EB7F1B" w:rsidP="00EB7F1B">
      <w:pPr>
        <w:pStyle w:val="SubsectionHead"/>
      </w:pPr>
      <w:r w:rsidRPr="0081146C">
        <w:t>Services provided by barristers on instructions of a solicitor</w:t>
      </w:r>
    </w:p>
    <w:p w14:paraId="2D81D7CE" w14:textId="77777777" w:rsidR="00EB7F1B" w:rsidRPr="0081146C" w:rsidRDefault="00EB7F1B" w:rsidP="00EB7F1B">
      <w:pPr>
        <w:pStyle w:val="subsection"/>
      </w:pPr>
      <w:r w:rsidRPr="0081146C">
        <w:tab/>
        <w:t>(6B)</w:t>
      </w:r>
      <w:r w:rsidRPr="0081146C">
        <w:tab/>
        <w:t xml:space="preserve">Despite anything in this section, a service is not a </w:t>
      </w:r>
      <w:r w:rsidRPr="0081146C">
        <w:rPr>
          <w:b/>
          <w:i/>
        </w:rPr>
        <w:t>designated service</w:t>
      </w:r>
      <w:r w:rsidRPr="0081146C">
        <w:t xml:space="preserve"> if the service is provided by a person in the course of legal practice as a barrister on the instructions of a solicitor, if the instructions are given in connection with the provision of a designated service.</w:t>
      </w:r>
    </w:p>
    <w:p w14:paraId="3B275890" w14:textId="77777777" w:rsidR="00035544" w:rsidRPr="0081146C" w:rsidRDefault="00035544" w:rsidP="00035544">
      <w:pPr>
        <w:pStyle w:val="SubsectionHead"/>
      </w:pPr>
      <w:r w:rsidRPr="0081146C">
        <w:t>Amendment of items</w:t>
      </w:r>
    </w:p>
    <w:p w14:paraId="6F7D518B" w14:textId="77777777" w:rsidR="00035544" w:rsidRPr="0081146C" w:rsidRDefault="00035544" w:rsidP="00035544">
      <w:pPr>
        <w:pStyle w:val="subsection"/>
      </w:pPr>
      <w:r w:rsidRPr="0081146C">
        <w:tab/>
        <w:t>(7)</w:t>
      </w:r>
      <w:r w:rsidRPr="0081146C">
        <w:tab/>
        <w:t>The regulations may amend an item of a table in this section.</w:t>
      </w:r>
    </w:p>
    <w:p w14:paraId="35AE3B68" w14:textId="77777777" w:rsidR="00035544" w:rsidRPr="0081146C" w:rsidRDefault="00035544" w:rsidP="00035544">
      <w:pPr>
        <w:pStyle w:val="ActHead5"/>
      </w:pPr>
      <w:bookmarkStart w:id="27" w:name="_Toc185415708"/>
      <w:r w:rsidRPr="0081146C">
        <w:rPr>
          <w:rStyle w:val="CharSectno"/>
        </w:rPr>
        <w:t>7</w:t>
      </w:r>
      <w:r w:rsidRPr="0081146C">
        <w:t xml:space="preserve">  Services provided jointly to 2 or more customers</w:t>
      </w:r>
      <w:bookmarkEnd w:id="27"/>
    </w:p>
    <w:p w14:paraId="7829CCA2" w14:textId="77777777" w:rsidR="00035544" w:rsidRPr="0081146C" w:rsidRDefault="00035544" w:rsidP="00035544">
      <w:pPr>
        <w:pStyle w:val="subsection"/>
      </w:pPr>
      <w:r w:rsidRPr="0081146C">
        <w:tab/>
        <w:t>(1)</w:t>
      </w:r>
      <w:r w:rsidRPr="0081146C">
        <w:tab/>
        <w:t>For the purposes of this Act, if a designated service is provided jointly to 2 or more customers, the service is taken to have been provided to each of those customers.</w:t>
      </w:r>
    </w:p>
    <w:p w14:paraId="769C6A78" w14:textId="77777777" w:rsidR="00035544" w:rsidRPr="0081146C" w:rsidRDefault="00035544" w:rsidP="00035544">
      <w:pPr>
        <w:pStyle w:val="subsection"/>
      </w:pPr>
      <w:r w:rsidRPr="0081146C">
        <w:tab/>
        <w:t>(2)</w:t>
      </w:r>
      <w:r w:rsidRPr="0081146C">
        <w:tab/>
        <w:t>For the purposes of this Act, if 2 or more persons are prospective joint customers in relation to a designated service, each of those persons is taken to be a prospective customer in relation to the designated service.</w:t>
      </w:r>
    </w:p>
    <w:p w14:paraId="69AD751A" w14:textId="77777777" w:rsidR="00035544" w:rsidRPr="0081146C" w:rsidRDefault="00035544" w:rsidP="00035544">
      <w:pPr>
        <w:pStyle w:val="notetext"/>
      </w:pPr>
      <w:r w:rsidRPr="0081146C">
        <w:t>Note:</w:t>
      </w:r>
      <w:r w:rsidRPr="0081146C">
        <w:tab/>
        <w:t xml:space="preserve">See also the definition of </w:t>
      </w:r>
      <w:r w:rsidRPr="0081146C">
        <w:rPr>
          <w:b/>
          <w:i/>
        </w:rPr>
        <w:t>customer</w:t>
      </w:r>
      <w:r w:rsidRPr="0081146C">
        <w:t xml:space="preserve"> in section</w:t>
      </w:r>
      <w:r w:rsidR="004F64A4" w:rsidRPr="0081146C">
        <w:t> </w:t>
      </w:r>
      <w:r w:rsidRPr="0081146C">
        <w:t>5.</w:t>
      </w:r>
    </w:p>
    <w:p w14:paraId="0DF4BAA1" w14:textId="77777777" w:rsidR="00064C94" w:rsidRPr="0081146C" w:rsidRDefault="00064C94" w:rsidP="00064C94">
      <w:pPr>
        <w:pStyle w:val="ActHead5"/>
      </w:pPr>
      <w:bookmarkStart w:id="28" w:name="_Toc176444489"/>
      <w:bookmarkStart w:id="29" w:name="_Toc184034110"/>
      <w:bookmarkStart w:id="30" w:name="_Toc185415709"/>
      <w:r w:rsidRPr="0081146C">
        <w:rPr>
          <w:rStyle w:val="CharSectno"/>
        </w:rPr>
        <w:t>7A</w:t>
      </w:r>
      <w:r w:rsidRPr="0081146C">
        <w:t xml:space="preserve">  Securities and derivatives</w:t>
      </w:r>
      <w:bookmarkEnd w:id="28"/>
      <w:bookmarkEnd w:id="29"/>
      <w:bookmarkEnd w:id="30"/>
    </w:p>
    <w:p w14:paraId="00A86D16" w14:textId="77777777" w:rsidR="00064C94" w:rsidRPr="0081146C" w:rsidRDefault="00064C94" w:rsidP="00064C94">
      <w:pPr>
        <w:pStyle w:val="subsection"/>
      </w:pPr>
      <w:r w:rsidRPr="0081146C">
        <w:tab/>
        <w:t>(1)</w:t>
      </w:r>
      <w:r w:rsidRPr="0081146C">
        <w:tab/>
      </w:r>
      <w:r w:rsidRPr="0081146C">
        <w:rPr>
          <w:b/>
          <w:i/>
        </w:rPr>
        <w:t>Security</w:t>
      </w:r>
      <w:r w:rsidRPr="0081146C">
        <w:t xml:space="preserve"> has the same meaning as in Chapter 7 of the </w:t>
      </w:r>
      <w:r w:rsidRPr="0081146C">
        <w:rPr>
          <w:i/>
        </w:rPr>
        <w:t>Corporations Act 2001</w:t>
      </w:r>
      <w:r w:rsidRPr="0081146C">
        <w:t>.</w:t>
      </w:r>
    </w:p>
    <w:p w14:paraId="586D9A1D" w14:textId="77777777" w:rsidR="00064C94" w:rsidRPr="0081146C" w:rsidRDefault="00064C94" w:rsidP="00064C94">
      <w:pPr>
        <w:pStyle w:val="subsection"/>
      </w:pPr>
      <w:r w:rsidRPr="0081146C">
        <w:tab/>
        <w:t>(2)</w:t>
      </w:r>
      <w:r w:rsidRPr="0081146C">
        <w:tab/>
        <w:t>Despite subsection (1), the AML/CTF Rules may provide:</w:t>
      </w:r>
    </w:p>
    <w:p w14:paraId="7FBE426B" w14:textId="77777777" w:rsidR="00064C94" w:rsidRPr="0081146C" w:rsidRDefault="00064C94" w:rsidP="00064C94">
      <w:pPr>
        <w:pStyle w:val="paragraph"/>
      </w:pPr>
      <w:r w:rsidRPr="0081146C">
        <w:tab/>
        <w:t>(a)</w:t>
      </w:r>
      <w:r w:rsidRPr="0081146C">
        <w:tab/>
        <w:t>that a specified thing is a</w:t>
      </w:r>
      <w:r w:rsidRPr="0081146C">
        <w:rPr>
          <w:b/>
          <w:i/>
        </w:rPr>
        <w:t xml:space="preserve"> security</w:t>
      </w:r>
      <w:r w:rsidRPr="0081146C">
        <w:t>; or</w:t>
      </w:r>
    </w:p>
    <w:p w14:paraId="41070027" w14:textId="77777777" w:rsidR="00064C94" w:rsidRPr="0081146C" w:rsidRDefault="00064C94" w:rsidP="00064C94">
      <w:pPr>
        <w:pStyle w:val="paragraph"/>
      </w:pPr>
      <w:r w:rsidRPr="0081146C">
        <w:tab/>
        <w:t>(b)</w:t>
      </w:r>
      <w:r w:rsidRPr="0081146C">
        <w:tab/>
        <w:t xml:space="preserve">that a specified thing is not a </w:t>
      </w:r>
      <w:r w:rsidRPr="0081146C">
        <w:rPr>
          <w:b/>
          <w:i/>
        </w:rPr>
        <w:t>security</w:t>
      </w:r>
      <w:r w:rsidRPr="0081146C">
        <w:t>.</w:t>
      </w:r>
    </w:p>
    <w:p w14:paraId="449DA69E" w14:textId="77777777" w:rsidR="00064C94" w:rsidRPr="0081146C" w:rsidRDefault="00064C94" w:rsidP="00064C94">
      <w:pPr>
        <w:pStyle w:val="subsection"/>
      </w:pPr>
      <w:r w:rsidRPr="0081146C">
        <w:tab/>
        <w:t>(3)</w:t>
      </w:r>
      <w:r w:rsidRPr="0081146C">
        <w:tab/>
      </w:r>
      <w:r w:rsidRPr="0081146C">
        <w:rPr>
          <w:b/>
          <w:i/>
        </w:rPr>
        <w:t xml:space="preserve">Derivative </w:t>
      </w:r>
      <w:r w:rsidRPr="0081146C">
        <w:t xml:space="preserve">has the same meaning as in Chapter 7 of the </w:t>
      </w:r>
      <w:r w:rsidRPr="0081146C">
        <w:rPr>
          <w:i/>
        </w:rPr>
        <w:t>Corporations Act 2001</w:t>
      </w:r>
      <w:r w:rsidRPr="0081146C">
        <w:t>.</w:t>
      </w:r>
    </w:p>
    <w:p w14:paraId="6F0DDC0E" w14:textId="77777777" w:rsidR="00064C94" w:rsidRPr="0081146C" w:rsidRDefault="00064C94" w:rsidP="00064C94">
      <w:pPr>
        <w:pStyle w:val="subsection"/>
      </w:pPr>
      <w:r w:rsidRPr="0081146C">
        <w:tab/>
        <w:t>(4)</w:t>
      </w:r>
      <w:r w:rsidRPr="0081146C">
        <w:tab/>
        <w:t>Despite subsection (3), the AML/CTF Rules may provide:</w:t>
      </w:r>
    </w:p>
    <w:p w14:paraId="01BFEB11" w14:textId="77777777" w:rsidR="00064C94" w:rsidRPr="0081146C" w:rsidRDefault="00064C94" w:rsidP="00064C94">
      <w:pPr>
        <w:pStyle w:val="paragraph"/>
      </w:pPr>
      <w:r w:rsidRPr="0081146C">
        <w:tab/>
        <w:t>(a)</w:t>
      </w:r>
      <w:r w:rsidRPr="0081146C">
        <w:tab/>
        <w:t>that a specified thing is a</w:t>
      </w:r>
      <w:r w:rsidRPr="0081146C">
        <w:rPr>
          <w:b/>
          <w:i/>
        </w:rPr>
        <w:t xml:space="preserve"> derivative</w:t>
      </w:r>
      <w:r w:rsidRPr="0081146C">
        <w:t>; or</w:t>
      </w:r>
    </w:p>
    <w:p w14:paraId="3AA9A6E5" w14:textId="77777777" w:rsidR="00064C94" w:rsidRPr="0081146C" w:rsidRDefault="00064C94" w:rsidP="00064C94">
      <w:pPr>
        <w:pStyle w:val="paragraph"/>
      </w:pPr>
      <w:r w:rsidRPr="0081146C">
        <w:tab/>
        <w:t>(b)</w:t>
      </w:r>
      <w:r w:rsidRPr="0081146C">
        <w:tab/>
        <w:t xml:space="preserve">that a specified thing is not a </w:t>
      </w:r>
      <w:r w:rsidRPr="0081146C">
        <w:rPr>
          <w:b/>
          <w:i/>
        </w:rPr>
        <w:t>derivative</w:t>
      </w:r>
      <w:r w:rsidRPr="0081146C">
        <w:t>.</w:t>
      </w:r>
    </w:p>
    <w:p w14:paraId="51F015A2" w14:textId="77777777" w:rsidR="00970B77" w:rsidRPr="0081146C" w:rsidRDefault="00970B77" w:rsidP="00970B77">
      <w:pPr>
        <w:pStyle w:val="ActHead5"/>
      </w:pPr>
      <w:bookmarkStart w:id="31" w:name="_Toc176444346"/>
      <w:bookmarkStart w:id="32" w:name="_Toc184033967"/>
      <w:bookmarkStart w:id="33" w:name="_Toc185415710"/>
      <w:r w:rsidRPr="0081146C">
        <w:rPr>
          <w:rStyle w:val="CharSectno"/>
        </w:rPr>
        <w:t>10A</w:t>
      </w:r>
      <w:r w:rsidRPr="0081146C">
        <w:t xml:space="preserve">  Key terms relating to reporting groups</w:t>
      </w:r>
      <w:bookmarkEnd w:id="31"/>
      <w:bookmarkEnd w:id="32"/>
      <w:bookmarkEnd w:id="33"/>
    </w:p>
    <w:p w14:paraId="027AC48B" w14:textId="77777777" w:rsidR="00970B77" w:rsidRPr="0081146C" w:rsidRDefault="00970B77" w:rsidP="00970B77">
      <w:pPr>
        <w:pStyle w:val="SubsectionHead"/>
      </w:pPr>
      <w:r w:rsidRPr="0081146C">
        <w:t>Reporting group</w:t>
      </w:r>
    </w:p>
    <w:p w14:paraId="3AD2B00F" w14:textId="77777777" w:rsidR="00970B77" w:rsidRPr="0081146C" w:rsidRDefault="00970B77" w:rsidP="00970B77">
      <w:pPr>
        <w:pStyle w:val="subsection"/>
      </w:pPr>
      <w:r w:rsidRPr="0081146C">
        <w:tab/>
        <w:t>(1)</w:t>
      </w:r>
      <w:r w:rsidRPr="0081146C">
        <w:tab/>
        <w:t xml:space="preserve">A </w:t>
      </w:r>
      <w:r w:rsidRPr="0081146C">
        <w:rPr>
          <w:b/>
          <w:i/>
        </w:rPr>
        <w:t>reporting group</w:t>
      </w:r>
      <w:r w:rsidRPr="0081146C">
        <w:t xml:space="preserve"> is:</w:t>
      </w:r>
    </w:p>
    <w:p w14:paraId="3FB905B2" w14:textId="77777777" w:rsidR="00970B77" w:rsidRPr="0081146C" w:rsidRDefault="00970B77" w:rsidP="00970B77">
      <w:pPr>
        <w:pStyle w:val="paragraph"/>
      </w:pPr>
      <w:r w:rsidRPr="0081146C">
        <w:tab/>
        <w:t>(a)</w:t>
      </w:r>
      <w:r w:rsidRPr="0081146C">
        <w:tab/>
        <w:t>a business group, where:</w:t>
      </w:r>
    </w:p>
    <w:p w14:paraId="381C4AC4" w14:textId="77777777" w:rsidR="00970B77" w:rsidRPr="0081146C" w:rsidRDefault="00970B77" w:rsidP="00970B77">
      <w:pPr>
        <w:pStyle w:val="paragraphsub"/>
      </w:pPr>
      <w:r w:rsidRPr="0081146C">
        <w:tab/>
        <w:t>(i)</w:t>
      </w:r>
      <w:r w:rsidRPr="0081146C">
        <w:tab/>
        <w:t>at least one person in the group provides a designated service; and</w:t>
      </w:r>
    </w:p>
    <w:p w14:paraId="306D1786" w14:textId="77777777" w:rsidR="00970B77" w:rsidRPr="0081146C" w:rsidRDefault="00970B77" w:rsidP="00970B77">
      <w:pPr>
        <w:pStyle w:val="paragraphsub"/>
      </w:pPr>
      <w:r w:rsidRPr="0081146C">
        <w:tab/>
        <w:t>(ii)</w:t>
      </w:r>
      <w:r w:rsidRPr="0081146C">
        <w:tab/>
        <w:t>each member of the group satisfies such conditions (if any) as are specified in the AML/CTF Rules; and</w:t>
      </w:r>
    </w:p>
    <w:p w14:paraId="642C2CBF" w14:textId="77777777" w:rsidR="00970B77" w:rsidRPr="0081146C" w:rsidRDefault="00970B77" w:rsidP="00970B77">
      <w:pPr>
        <w:pStyle w:val="paragraphsub"/>
      </w:pPr>
      <w:r w:rsidRPr="0081146C">
        <w:tab/>
        <w:t>(iii)</w:t>
      </w:r>
      <w:r w:rsidRPr="0081146C">
        <w:tab/>
        <w:t>the group is not of a kind that, under the AML/CTF Rules, is ineligible to be a reporting group to which this paragraph applies; and</w:t>
      </w:r>
    </w:p>
    <w:p w14:paraId="0DBD76A7" w14:textId="77777777" w:rsidR="00970B77" w:rsidRPr="0081146C" w:rsidRDefault="00970B77" w:rsidP="00970B77">
      <w:pPr>
        <w:pStyle w:val="paragraphsub"/>
      </w:pPr>
      <w:r w:rsidRPr="0081146C">
        <w:tab/>
        <w:t>(iv)</w:t>
      </w:r>
      <w:r w:rsidRPr="0081146C">
        <w:tab/>
        <w:t>the conditions (if any) relating to changes in membership, dissolution, administration or operation of the group that are specified in the AML/CTF Rules are satisfied; or</w:t>
      </w:r>
    </w:p>
    <w:p w14:paraId="387DA149" w14:textId="77777777" w:rsidR="00970B77" w:rsidRPr="0081146C" w:rsidRDefault="00970B77" w:rsidP="00970B77">
      <w:pPr>
        <w:pStyle w:val="paragraph"/>
      </w:pPr>
      <w:r w:rsidRPr="0081146C">
        <w:tab/>
        <w:t>(b)</w:t>
      </w:r>
      <w:r w:rsidRPr="0081146C">
        <w:tab/>
        <w:t>a group of 2 or more persons, where:</w:t>
      </w:r>
    </w:p>
    <w:p w14:paraId="46A14556" w14:textId="77777777" w:rsidR="00970B77" w:rsidRPr="0081146C" w:rsidRDefault="00970B77" w:rsidP="00970B77">
      <w:pPr>
        <w:pStyle w:val="paragraphsub"/>
      </w:pPr>
      <w:r w:rsidRPr="0081146C">
        <w:tab/>
        <w:t>(i)</w:t>
      </w:r>
      <w:r w:rsidRPr="0081146C">
        <w:tab/>
        <w:t>each member of the group has elected, in writing, to be a member of the group, and the election is in force; and</w:t>
      </w:r>
    </w:p>
    <w:p w14:paraId="33EDC996" w14:textId="77777777" w:rsidR="00970B77" w:rsidRPr="0081146C" w:rsidRDefault="00970B77" w:rsidP="00970B77">
      <w:pPr>
        <w:pStyle w:val="paragraphsub"/>
      </w:pPr>
      <w:r w:rsidRPr="0081146C">
        <w:tab/>
        <w:t>(ii)</w:t>
      </w:r>
      <w:r w:rsidRPr="0081146C">
        <w:tab/>
        <w:t>each election was made in accordance with the AML/CTF Rules; and</w:t>
      </w:r>
    </w:p>
    <w:p w14:paraId="445B550F" w14:textId="77777777" w:rsidR="00970B77" w:rsidRPr="0081146C" w:rsidRDefault="00970B77" w:rsidP="00970B77">
      <w:pPr>
        <w:pStyle w:val="paragraphsub"/>
      </w:pPr>
      <w:r w:rsidRPr="0081146C">
        <w:tab/>
        <w:t>(iii)</w:t>
      </w:r>
      <w:r w:rsidRPr="0081146C">
        <w:tab/>
        <w:t>no member of the group is a member of another group to which this paragraph applies; and</w:t>
      </w:r>
    </w:p>
    <w:p w14:paraId="7EDB0AEB" w14:textId="77777777" w:rsidR="00970B77" w:rsidRPr="0081146C" w:rsidRDefault="00970B77" w:rsidP="00970B77">
      <w:pPr>
        <w:pStyle w:val="paragraphsub"/>
      </w:pPr>
      <w:r w:rsidRPr="0081146C">
        <w:tab/>
        <w:t>(iv)</w:t>
      </w:r>
      <w:r w:rsidRPr="0081146C">
        <w:tab/>
        <w:t>each member of the group satisfies such conditions (if any) as are specified in the AML/CTF Rules; and</w:t>
      </w:r>
    </w:p>
    <w:p w14:paraId="343EDDD8" w14:textId="77777777" w:rsidR="00970B77" w:rsidRPr="0081146C" w:rsidRDefault="00970B77" w:rsidP="00970B77">
      <w:pPr>
        <w:pStyle w:val="paragraphsub"/>
      </w:pPr>
      <w:r w:rsidRPr="0081146C">
        <w:tab/>
        <w:t>(v)</w:t>
      </w:r>
      <w:r w:rsidRPr="0081146C">
        <w:tab/>
        <w:t>the group is not of a kind that, under the AML/CTF Rules, is ineligible to be a reporting group; and</w:t>
      </w:r>
    </w:p>
    <w:p w14:paraId="6AD186B3" w14:textId="77777777" w:rsidR="00970B77" w:rsidRPr="0081146C" w:rsidRDefault="00970B77" w:rsidP="00970B77">
      <w:pPr>
        <w:pStyle w:val="paragraphsub"/>
      </w:pPr>
      <w:r w:rsidRPr="0081146C">
        <w:tab/>
        <w:t>(vi)</w:t>
      </w:r>
      <w:r w:rsidRPr="0081146C">
        <w:tab/>
        <w:t>the conditions (if any) relating to changes in membership, dissolution, administration or operation of the group that are specified in the AML/CTF Rules are satisfied.</w:t>
      </w:r>
    </w:p>
    <w:p w14:paraId="03297C10" w14:textId="77777777" w:rsidR="00970B77" w:rsidRPr="0081146C" w:rsidRDefault="00970B77" w:rsidP="00970B77">
      <w:pPr>
        <w:pStyle w:val="subsection"/>
      </w:pPr>
      <w:r w:rsidRPr="0081146C">
        <w:tab/>
        <w:t>(1A)</w:t>
      </w:r>
      <w:r w:rsidRPr="0081146C">
        <w:tab/>
        <w:t>Subject to subsection (2A), a person may be a member of a group to which paragraph (1)(b) applies even if the person is a member of a group to which paragraph (1)(a) applies.</w:t>
      </w:r>
    </w:p>
    <w:p w14:paraId="69892F2D" w14:textId="77777777" w:rsidR="00970B77" w:rsidRPr="0081146C" w:rsidRDefault="00970B77" w:rsidP="00970B77">
      <w:pPr>
        <w:pStyle w:val="subsection"/>
      </w:pPr>
      <w:r w:rsidRPr="0081146C">
        <w:tab/>
        <w:t>(1B)</w:t>
      </w:r>
      <w:r w:rsidRPr="0081146C">
        <w:tab/>
        <w:t>The requirement in subparagraph (1)(b)(i) to make a written election does not apply in relation to a member of a group in the circumstances specified in the AML/CTF Rules.</w:t>
      </w:r>
    </w:p>
    <w:p w14:paraId="4EE3C87C" w14:textId="77777777" w:rsidR="00970B77" w:rsidRPr="0081146C" w:rsidRDefault="00970B77" w:rsidP="00970B77">
      <w:pPr>
        <w:pStyle w:val="subsection"/>
      </w:pPr>
      <w:r w:rsidRPr="0081146C">
        <w:tab/>
        <w:t>(2)</w:t>
      </w:r>
      <w:r w:rsidRPr="0081146C">
        <w:tab/>
        <w:t>Subparagraph (1)(b)(iii) does not apply in the circumstances specified in the AML/CTF Rules.</w:t>
      </w:r>
    </w:p>
    <w:p w14:paraId="138F268D" w14:textId="77777777" w:rsidR="00970B77" w:rsidRPr="0081146C" w:rsidRDefault="00970B77" w:rsidP="00970B77">
      <w:pPr>
        <w:pStyle w:val="subsection"/>
      </w:pPr>
      <w:r w:rsidRPr="0081146C">
        <w:tab/>
        <w:t>(2A)</w:t>
      </w:r>
      <w:r w:rsidRPr="0081146C">
        <w:tab/>
        <w:t>If a person is a member of more than one reporting group, the AML/CTF Rules may specify circumstances in which that person is taken, for the purposes of this Act, to be a member of only one of those reporting groups.</w:t>
      </w:r>
    </w:p>
    <w:p w14:paraId="75C6991B" w14:textId="77777777" w:rsidR="00970B77" w:rsidRPr="0081146C" w:rsidRDefault="00970B77" w:rsidP="00970B77">
      <w:pPr>
        <w:pStyle w:val="SubsectionHead"/>
      </w:pPr>
      <w:r w:rsidRPr="0081146C">
        <w:t>Business groups</w:t>
      </w:r>
    </w:p>
    <w:p w14:paraId="5EEC8F40" w14:textId="77777777" w:rsidR="00970B77" w:rsidRPr="0081146C" w:rsidRDefault="00970B77" w:rsidP="00970B77">
      <w:pPr>
        <w:pStyle w:val="subsection"/>
      </w:pPr>
      <w:r w:rsidRPr="0081146C">
        <w:tab/>
        <w:t>(3)</w:t>
      </w:r>
      <w:r w:rsidRPr="0081146C">
        <w:tab/>
        <w:t xml:space="preserve">A </w:t>
      </w:r>
      <w:r w:rsidRPr="0081146C">
        <w:rPr>
          <w:b/>
          <w:i/>
        </w:rPr>
        <w:t>business group</w:t>
      </w:r>
      <w:r w:rsidRPr="0081146C">
        <w:t xml:space="preserve"> is a group of 2 or more persons, where either of the following paragraphs applies:</w:t>
      </w:r>
    </w:p>
    <w:p w14:paraId="34408090" w14:textId="77777777" w:rsidR="00970B77" w:rsidRPr="0081146C" w:rsidRDefault="00970B77" w:rsidP="00970B77">
      <w:pPr>
        <w:pStyle w:val="paragraph"/>
      </w:pPr>
      <w:r w:rsidRPr="0081146C">
        <w:tab/>
        <w:t>(a)</w:t>
      </w:r>
      <w:r w:rsidRPr="0081146C">
        <w:tab/>
        <w:t>one person in the group controls each other person in the group;</w:t>
      </w:r>
    </w:p>
    <w:p w14:paraId="2990E6E3" w14:textId="77777777" w:rsidR="00970B77" w:rsidRPr="0081146C" w:rsidRDefault="00970B77" w:rsidP="00970B77">
      <w:pPr>
        <w:pStyle w:val="paragraph"/>
      </w:pPr>
      <w:r w:rsidRPr="0081146C">
        <w:tab/>
        <w:t>(b)</w:t>
      </w:r>
      <w:r w:rsidRPr="0081146C">
        <w:tab/>
        <w:t>the group meets the requirements (if any) specified in the AML/CTF Rules.</w:t>
      </w:r>
    </w:p>
    <w:p w14:paraId="36F64C63" w14:textId="77777777" w:rsidR="00970B77" w:rsidRPr="0081146C" w:rsidRDefault="00970B77" w:rsidP="00970B77">
      <w:pPr>
        <w:pStyle w:val="SubsectionHead"/>
      </w:pPr>
      <w:r w:rsidRPr="0081146C">
        <w:t>Members of reporting groups and business groups</w:t>
      </w:r>
    </w:p>
    <w:p w14:paraId="21DD351A" w14:textId="77777777" w:rsidR="00970B77" w:rsidRPr="0081146C" w:rsidRDefault="00970B77" w:rsidP="00970B77">
      <w:pPr>
        <w:pStyle w:val="subsection"/>
      </w:pPr>
      <w:r w:rsidRPr="0081146C">
        <w:tab/>
        <w:t>(4)</w:t>
      </w:r>
      <w:r w:rsidRPr="0081146C">
        <w:tab/>
        <w:t xml:space="preserve">Each person in a reporting group or a business group is a </w:t>
      </w:r>
      <w:r w:rsidRPr="0081146C">
        <w:rPr>
          <w:b/>
          <w:i/>
        </w:rPr>
        <w:t>member</w:t>
      </w:r>
      <w:r w:rsidRPr="0081146C">
        <w:t xml:space="preserve"> of that group.</w:t>
      </w:r>
    </w:p>
    <w:p w14:paraId="3E4AF6B2" w14:textId="77777777" w:rsidR="00970B77" w:rsidRPr="0081146C" w:rsidRDefault="00970B77" w:rsidP="00970B77">
      <w:pPr>
        <w:pStyle w:val="SubsectionHead"/>
      </w:pPr>
      <w:r w:rsidRPr="0081146C">
        <w:t>Lead entity of a reporting group</w:t>
      </w:r>
    </w:p>
    <w:p w14:paraId="5CE6D2BE" w14:textId="77777777" w:rsidR="00970B77" w:rsidRPr="0081146C" w:rsidRDefault="00970B77" w:rsidP="00970B77">
      <w:pPr>
        <w:pStyle w:val="subsection"/>
      </w:pPr>
      <w:r w:rsidRPr="0081146C">
        <w:tab/>
        <w:t>(5)</w:t>
      </w:r>
      <w:r w:rsidRPr="0081146C">
        <w:tab/>
        <w:t xml:space="preserve">The </w:t>
      </w:r>
      <w:r w:rsidRPr="0081146C">
        <w:rPr>
          <w:b/>
          <w:i/>
        </w:rPr>
        <w:t xml:space="preserve">lead entity </w:t>
      </w:r>
      <w:r w:rsidRPr="0081146C">
        <w:t>of a reporting group means the person in the group that is specified in the AML/CTF Rules as the lead entity for the reporting group.</w:t>
      </w:r>
    </w:p>
    <w:p w14:paraId="1E2FB930" w14:textId="77777777" w:rsidR="00970B77" w:rsidRPr="0081146C" w:rsidRDefault="00970B77" w:rsidP="00970B77">
      <w:pPr>
        <w:pStyle w:val="notetext"/>
      </w:pPr>
      <w:r w:rsidRPr="0081146C">
        <w:t>Note:</w:t>
      </w:r>
      <w:r w:rsidRPr="0081146C">
        <w:tab/>
        <w:t xml:space="preserve">The lead entity of a reporting group is a reporting entity, see the definition of </w:t>
      </w:r>
      <w:r w:rsidRPr="0081146C">
        <w:rPr>
          <w:b/>
          <w:i/>
        </w:rPr>
        <w:t>reporting entity</w:t>
      </w:r>
      <w:r w:rsidRPr="0081146C">
        <w:t xml:space="preserve"> in section 5.</w:t>
      </w:r>
    </w:p>
    <w:p w14:paraId="27E02B13" w14:textId="77777777" w:rsidR="00970B77" w:rsidRPr="0081146C" w:rsidRDefault="00970B77" w:rsidP="00970B77">
      <w:pPr>
        <w:pStyle w:val="ActHead5"/>
      </w:pPr>
      <w:bookmarkStart w:id="34" w:name="_Toc176444347"/>
      <w:bookmarkStart w:id="35" w:name="_Toc184033968"/>
      <w:bookmarkStart w:id="36" w:name="_Toc185415711"/>
      <w:r w:rsidRPr="0081146C">
        <w:rPr>
          <w:rStyle w:val="CharSectno"/>
        </w:rPr>
        <w:t>11</w:t>
      </w:r>
      <w:r w:rsidRPr="0081146C">
        <w:t xml:space="preserve">  Meaning of </w:t>
      </w:r>
      <w:r w:rsidRPr="0081146C">
        <w:rPr>
          <w:i/>
        </w:rPr>
        <w:t>control</w:t>
      </w:r>
      <w:bookmarkEnd w:id="34"/>
      <w:bookmarkEnd w:id="35"/>
      <w:bookmarkEnd w:id="36"/>
    </w:p>
    <w:p w14:paraId="5DE13A10" w14:textId="77777777" w:rsidR="00970B77" w:rsidRPr="0081146C" w:rsidRDefault="00970B77" w:rsidP="00970B77">
      <w:pPr>
        <w:pStyle w:val="subsection"/>
      </w:pPr>
      <w:r w:rsidRPr="0081146C">
        <w:tab/>
        <w:t>(1)</w:t>
      </w:r>
      <w:r w:rsidRPr="0081146C">
        <w:tab/>
      </w:r>
      <w:r w:rsidRPr="0081146C">
        <w:rPr>
          <w:b/>
          <w:i/>
        </w:rPr>
        <w:t>Control</w:t>
      </w:r>
      <w:r w:rsidRPr="0081146C">
        <w:t>, of a body corporate, is:</w:t>
      </w:r>
    </w:p>
    <w:p w14:paraId="247D6090" w14:textId="77777777" w:rsidR="00970B77" w:rsidRPr="0081146C" w:rsidRDefault="00970B77" w:rsidP="00970B77">
      <w:pPr>
        <w:pStyle w:val="paragraph"/>
      </w:pPr>
      <w:r w:rsidRPr="0081146C">
        <w:tab/>
        <w:t>(a)</w:t>
      </w:r>
      <w:r w:rsidRPr="0081146C">
        <w:tab/>
        <w:t>having the capacity to cast, or control the casting of, more than one half of the maximum number of votes that might be cast at a general meeting of the body corporate; or</w:t>
      </w:r>
    </w:p>
    <w:p w14:paraId="78EE4B9A" w14:textId="77777777" w:rsidR="00970B77" w:rsidRPr="0081146C" w:rsidRDefault="00970B77" w:rsidP="00970B77">
      <w:pPr>
        <w:pStyle w:val="paragraph"/>
      </w:pPr>
      <w:r w:rsidRPr="0081146C">
        <w:tab/>
        <w:t>(b)</w:t>
      </w:r>
      <w:r w:rsidRPr="0081146C">
        <w:tab/>
        <w:t xml:space="preserve">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mutual capital instruments within the meaning of section 167AD of the </w:t>
      </w:r>
      <w:r w:rsidRPr="0081146C">
        <w:rPr>
          <w:i/>
        </w:rPr>
        <w:t>Corporations Act 2001</w:t>
      </w:r>
      <w:r w:rsidRPr="0081146C">
        <w:t>); or</w:t>
      </w:r>
    </w:p>
    <w:p w14:paraId="68D7443C" w14:textId="77777777" w:rsidR="00970B77" w:rsidRPr="0081146C" w:rsidRDefault="00970B77" w:rsidP="00970B77">
      <w:pPr>
        <w:pStyle w:val="paragraph"/>
      </w:pPr>
      <w:r w:rsidRPr="0081146C">
        <w:tab/>
        <w:t>(c)</w:t>
      </w:r>
      <w:r w:rsidRPr="0081146C">
        <w:tab/>
        <w:t>having the capacity to control the composition of the body corporate’s board or governing body; or</w:t>
      </w:r>
    </w:p>
    <w:p w14:paraId="2561A437" w14:textId="77777777" w:rsidR="00970B77" w:rsidRPr="0081146C" w:rsidRDefault="00970B77" w:rsidP="00970B77">
      <w:pPr>
        <w:pStyle w:val="paragraph"/>
      </w:pPr>
      <w:r w:rsidRPr="0081146C">
        <w:tab/>
        <w:t>(d)</w:t>
      </w:r>
      <w:r w:rsidRPr="0081146C">
        <w:tab/>
        <w:t>having the capacity to determine the outcome of decisions about the body corporate’s financial and operating policies, taking into account:</w:t>
      </w:r>
    </w:p>
    <w:p w14:paraId="2DE59378" w14:textId="77777777" w:rsidR="00970B77" w:rsidRPr="0081146C" w:rsidRDefault="00970B77" w:rsidP="00970B77">
      <w:pPr>
        <w:pStyle w:val="paragraphsub"/>
      </w:pPr>
      <w:r w:rsidRPr="0081146C">
        <w:tab/>
        <w:t>(i)</w:t>
      </w:r>
      <w:r w:rsidRPr="0081146C">
        <w:tab/>
        <w:t>the practical influence that can be exerted (rather than the rights that can be enforced); and</w:t>
      </w:r>
    </w:p>
    <w:p w14:paraId="5B5732FE" w14:textId="77777777" w:rsidR="00970B77" w:rsidRPr="0081146C" w:rsidRDefault="00970B77" w:rsidP="00970B77">
      <w:pPr>
        <w:pStyle w:val="paragraphsub"/>
      </w:pPr>
      <w:r w:rsidRPr="0081146C">
        <w:tab/>
        <w:t>(ii)</w:t>
      </w:r>
      <w:r w:rsidRPr="0081146C">
        <w:tab/>
        <w:t>any practice or pattern of behaviour affecting the body corporate’s financial or operating policies (whether or not it involves a breach of an agreement or a breach of trust).</w:t>
      </w:r>
    </w:p>
    <w:p w14:paraId="3B4C104B" w14:textId="77777777" w:rsidR="00970B77" w:rsidRPr="0081146C" w:rsidRDefault="00970B77" w:rsidP="00970B77">
      <w:pPr>
        <w:pStyle w:val="subsection"/>
      </w:pPr>
      <w:r w:rsidRPr="0081146C">
        <w:tab/>
        <w:t>(2)</w:t>
      </w:r>
      <w:r w:rsidRPr="0081146C">
        <w:tab/>
      </w:r>
      <w:r w:rsidRPr="0081146C">
        <w:rPr>
          <w:b/>
          <w:i/>
        </w:rPr>
        <w:t>Control</w:t>
      </w:r>
      <w:r w:rsidRPr="0081146C">
        <w:t>, of a person other than a body corporate, is:</w:t>
      </w:r>
    </w:p>
    <w:p w14:paraId="7019D4CD" w14:textId="77777777" w:rsidR="00970B77" w:rsidRPr="0081146C" w:rsidRDefault="00970B77" w:rsidP="00970B77">
      <w:pPr>
        <w:pStyle w:val="paragraph"/>
      </w:pPr>
      <w:r w:rsidRPr="0081146C">
        <w:tab/>
        <w:t>(a)</w:t>
      </w:r>
      <w:r w:rsidRPr="0081146C">
        <w:tab/>
        <w:t>having the capacity to control the composition of the person’s board or governing body (if any); or</w:t>
      </w:r>
    </w:p>
    <w:p w14:paraId="2A05A839" w14:textId="77777777" w:rsidR="00970B77" w:rsidRPr="0081146C" w:rsidRDefault="00970B77" w:rsidP="00970B77">
      <w:pPr>
        <w:pStyle w:val="paragraph"/>
      </w:pPr>
      <w:r w:rsidRPr="0081146C">
        <w:tab/>
        <w:t>(b)</w:t>
      </w:r>
      <w:r w:rsidRPr="0081146C">
        <w:tab/>
        <w:t>having the capacity to determine the outcome of decisions about the person’s financial and operating policies, taking into account:</w:t>
      </w:r>
    </w:p>
    <w:p w14:paraId="36134DFA" w14:textId="77777777" w:rsidR="00970B77" w:rsidRPr="0081146C" w:rsidRDefault="00970B77" w:rsidP="00970B77">
      <w:pPr>
        <w:pStyle w:val="paragraphsub"/>
      </w:pPr>
      <w:r w:rsidRPr="0081146C">
        <w:tab/>
        <w:t>(i)</w:t>
      </w:r>
      <w:r w:rsidRPr="0081146C">
        <w:tab/>
        <w:t>the practical influence that can be exerted (rather than the rights that can be enforced); and</w:t>
      </w:r>
    </w:p>
    <w:p w14:paraId="1DA33D4C" w14:textId="77777777" w:rsidR="00970B77" w:rsidRPr="0081146C" w:rsidRDefault="00970B77" w:rsidP="00970B77">
      <w:pPr>
        <w:pStyle w:val="paragraphsub"/>
      </w:pPr>
      <w:r w:rsidRPr="0081146C">
        <w:tab/>
        <w:t>(ii)</w:t>
      </w:r>
      <w:r w:rsidRPr="0081146C">
        <w:tab/>
        <w:t>any practice or pattern of behaviour affecting the person’s financial or operating policies (whether or not it involves a breach of an agreement or a breach of trust).</w:t>
      </w:r>
    </w:p>
    <w:p w14:paraId="1D9DD63C" w14:textId="77777777" w:rsidR="00035544" w:rsidRPr="0081146C" w:rsidRDefault="00035544" w:rsidP="00035544">
      <w:pPr>
        <w:pStyle w:val="ActHead5"/>
      </w:pPr>
      <w:bookmarkStart w:id="37" w:name="_Toc185415712"/>
      <w:r w:rsidRPr="0081146C">
        <w:rPr>
          <w:rStyle w:val="CharSectno"/>
        </w:rPr>
        <w:t>12</w:t>
      </w:r>
      <w:r w:rsidRPr="0081146C">
        <w:t xml:space="preserve">  Owner</w:t>
      </w:r>
      <w:r w:rsidR="003B7E15" w:rsidRPr="0081146C">
        <w:noBreakHyphen/>
      </w:r>
      <w:r w:rsidRPr="0081146C">
        <w:t>managed branches of ADIs</w:t>
      </w:r>
      <w:bookmarkEnd w:id="37"/>
    </w:p>
    <w:p w14:paraId="4B3080F5" w14:textId="77777777" w:rsidR="00035544" w:rsidRPr="0081146C" w:rsidRDefault="00035544" w:rsidP="00035544">
      <w:pPr>
        <w:pStyle w:val="subsection"/>
      </w:pPr>
      <w:r w:rsidRPr="0081146C">
        <w:tab/>
        <w:t>(1)</w:t>
      </w:r>
      <w:r w:rsidRPr="0081146C">
        <w:tab/>
        <w:t xml:space="preserve">For the purposes of this Act, if a person is a party to an exclusive arrangement with an ADI to offer designated services advertised or promoted under a single brand, </w:t>
      </w:r>
      <w:r w:rsidR="00D22483" w:rsidRPr="0081146C">
        <w:t>trade mark</w:t>
      </w:r>
      <w:r w:rsidRPr="0081146C">
        <w:t xml:space="preserve"> or business name, the person is an </w:t>
      </w:r>
      <w:r w:rsidRPr="0081146C">
        <w:rPr>
          <w:b/>
          <w:i/>
        </w:rPr>
        <w:t>owner</w:t>
      </w:r>
      <w:r w:rsidR="003B7E15" w:rsidRPr="0081146C">
        <w:rPr>
          <w:b/>
          <w:i/>
        </w:rPr>
        <w:noBreakHyphen/>
      </w:r>
      <w:r w:rsidRPr="0081146C">
        <w:rPr>
          <w:b/>
          <w:i/>
        </w:rPr>
        <w:t>managed branch</w:t>
      </w:r>
      <w:r w:rsidRPr="0081146C">
        <w:t xml:space="preserve"> of the ADI.</w:t>
      </w:r>
    </w:p>
    <w:p w14:paraId="1ED00395" w14:textId="77777777" w:rsidR="00035544" w:rsidRPr="0081146C" w:rsidRDefault="00035544" w:rsidP="00035544">
      <w:pPr>
        <w:pStyle w:val="subsection"/>
      </w:pPr>
      <w:r w:rsidRPr="0081146C">
        <w:tab/>
        <w:t>(2)</w:t>
      </w:r>
      <w:r w:rsidRPr="0081146C">
        <w:tab/>
        <w:t>For the purposes of this Act, if an owner</w:t>
      </w:r>
      <w:r w:rsidR="003B7E15" w:rsidRPr="0081146C">
        <w:noBreakHyphen/>
      </w:r>
      <w:r w:rsidRPr="0081146C">
        <w:t>managed branch of an ADI proposes to provide, commences to provide, or provides, such a designated service, the designated service is taken to have been proposed to be provided, to have been commenced to have been provided, or to have been provided, as the case requires, by the ADI.</w:t>
      </w:r>
    </w:p>
    <w:p w14:paraId="2D263708" w14:textId="77777777" w:rsidR="00035544" w:rsidRPr="0081146C" w:rsidRDefault="00035544" w:rsidP="00035544">
      <w:pPr>
        <w:pStyle w:val="ActHead5"/>
      </w:pPr>
      <w:bookmarkStart w:id="38" w:name="_Toc185415713"/>
      <w:r w:rsidRPr="0081146C">
        <w:rPr>
          <w:rStyle w:val="CharSectno"/>
        </w:rPr>
        <w:t>13</w:t>
      </w:r>
      <w:r w:rsidRPr="0081146C">
        <w:t xml:space="preserve">  Eligible gaming machine venues</w:t>
      </w:r>
      <w:bookmarkEnd w:id="38"/>
    </w:p>
    <w:p w14:paraId="2E1A07D2" w14:textId="77777777" w:rsidR="00035544" w:rsidRPr="0081146C" w:rsidRDefault="00035544" w:rsidP="00035544">
      <w:pPr>
        <w:pStyle w:val="subsection"/>
      </w:pPr>
      <w:r w:rsidRPr="0081146C">
        <w:tab/>
      </w:r>
      <w:r w:rsidRPr="0081146C">
        <w:tab/>
        <w:t>For the purposes of this Act, if:</w:t>
      </w:r>
    </w:p>
    <w:p w14:paraId="37AADBEE" w14:textId="77777777" w:rsidR="00035544" w:rsidRPr="0081146C" w:rsidRDefault="00035544" w:rsidP="00035544">
      <w:pPr>
        <w:pStyle w:val="paragraph"/>
      </w:pPr>
      <w:r w:rsidRPr="0081146C">
        <w:tab/>
        <w:t>(a)</w:t>
      </w:r>
      <w:r w:rsidRPr="0081146C">
        <w:tab/>
        <w:t xml:space="preserve">a person (the </w:t>
      </w:r>
      <w:r w:rsidRPr="0081146C">
        <w:rPr>
          <w:b/>
          <w:i/>
        </w:rPr>
        <w:t>first person</w:t>
      </w:r>
      <w:r w:rsidRPr="0081146C">
        <w:t>) is in control of a particular venue; and</w:t>
      </w:r>
    </w:p>
    <w:p w14:paraId="30C40EBB" w14:textId="77777777" w:rsidR="00035544" w:rsidRPr="0081146C" w:rsidRDefault="00035544" w:rsidP="00035544">
      <w:pPr>
        <w:pStyle w:val="paragraph"/>
      </w:pPr>
      <w:r w:rsidRPr="0081146C">
        <w:tab/>
        <w:t>(b)</w:t>
      </w:r>
      <w:r w:rsidRPr="0081146C">
        <w:tab/>
        <w:t>one or more gaming machines are located at the venue; and</w:t>
      </w:r>
    </w:p>
    <w:p w14:paraId="6C75EA88" w14:textId="77777777" w:rsidR="00035544" w:rsidRPr="0081146C" w:rsidRDefault="00035544" w:rsidP="00035544">
      <w:pPr>
        <w:pStyle w:val="paragraph"/>
      </w:pPr>
      <w:r w:rsidRPr="0081146C">
        <w:tab/>
        <w:t>(c)</w:t>
      </w:r>
      <w:r w:rsidRPr="0081146C">
        <w:tab/>
        <w:t>the first person is neither the owner nor the lessee of the gaming machines; and</w:t>
      </w:r>
    </w:p>
    <w:p w14:paraId="02B35201" w14:textId="77777777" w:rsidR="00035544" w:rsidRPr="0081146C" w:rsidRDefault="00035544" w:rsidP="00035544">
      <w:pPr>
        <w:pStyle w:val="paragraph"/>
      </w:pPr>
      <w:r w:rsidRPr="0081146C">
        <w:tab/>
        <w:t>(d)</w:t>
      </w:r>
      <w:r w:rsidRPr="0081146C">
        <w:tab/>
        <w:t>such other conditions (if any) as are specified in the AML/CTF Rules are satisfied;</w:t>
      </w:r>
    </w:p>
    <w:p w14:paraId="345DA7BD" w14:textId="77777777" w:rsidR="00035544" w:rsidRPr="0081146C" w:rsidRDefault="00035544" w:rsidP="00035544">
      <w:pPr>
        <w:pStyle w:val="subsection2"/>
      </w:pPr>
      <w:r w:rsidRPr="0081146C">
        <w:t>then:</w:t>
      </w:r>
    </w:p>
    <w:p w14:paraId="07F8BA0F" w14:textId="77777777" w:rsidR="00035544" w:rsidRPr="0081146C" w:rsidRDefault="00035544" w:rsidP="00035544">
      <w:pPr>
        <w:pStyle w:val="paragraph"/>
      </w:pPr>
      <w:r w:rsidRPr="0081146C">
        <w:tab/>
        <w:t>(e)</w:t>
      </w:r>
      <w:r w:rsidRPr="0081146C">
        <w:tab/>
        <w:t xml:space="preserve">the venue is an </w:t>
      </w:r>
      <w:r w:rsidRPr="0081146C">
        <w:rPr>
          <w:b/>
          <w:i/>
        </w:rPr>
        <w:t>eligible gaming machine venue</w:t>
      </w:r>
      <w:r w:rsidRPr="0081146C">
        <w:t>; and</w:t>
      </w:r>
    </w:p>
    <w:p w14:paraId="6C0684FF" w14:textId="77777777" w:rsidR="00035544" w:rsidRPr="0081146C" w:rsidRDefault="00035544" w:rsidP="00035544">
      <w:pPr>
        <w:pStyle w:val="paragraph"/>
      </w:pPr>
      <w:r w:rsidRPr="0081146C">
        <w:tab/>
        <w:t>(f)</w:t>
      </w:r>
      <w:r w:rsidRPr="0081146C">
        <w:tab/>
        <w:t xml:space="preserve">the first person is the </w:t>
      </w:r>
      <w:r w:rsidRPr="0081146C">
        <w:rPr>
          <w:b/>
          <w:i/>
        </w:rPr>
        <w:t>controller</w:t>
      </w:r>
      <w:r w:rsidRPr="0081146C">
        <w:t xml:space="preserve"> of the venue.</w:t>
      </w:r>
    </w:p>
    <w:p w14:paraId="512929A4" w14:textId="77777777" w:rsidR="00035544" w:rsidRPr="0081146C" w:rsidRDefault="00035544" w:rsidP="00035544">
      <w:pPr>
        <w:pStyle w:val="ActHead5"/>
      </w:pPr>
      <w:bookmarkStart w:id="39" w:name="_Toc185415714"/>
      <w:r w:rsidRPr="0081146C">
        <w:rPr>
          <w:rStyle w:val="CharSectno"/>
        </w:rPr>
        <w:t>14</w:t>
      </w:r>
      <w:r w:rsidRPr="0081146C">
        <w:t xml:space="preserve">  Residency</w:t>
      </w:r>
      <w:bookmarkEnd w:id="39"/>
    </w:p>
    <w:p w14:paraId="332F4DEC" w14:textId="77777777" w:rsidR="00035544" w:rsidRPr="0081146C" w:rsidRDefault="00035544" w:rsidP="00035544">
      <w:pPr>
        <w:pStyle w:val="SubsectionHead"/>
      </w:pPr>
      <w:r w:rsidRPr="0081146C">
        <w:t>Individual</w:t>
      </w:r>
    </w:p>
    <w:p w14:paraId="38CD2C4E" w14:textId="77777777" w:rsidR="00035544" w:rsidRPr="0081146C" w:rsidRDefault="00035544" w:rsidP="00035544">
      <w:pPr>
        <w:pStyle w:val="subsection"/>
      </w:pPr>
      <w:r w:rsidRPr="0081146C">
        <w:tab/>
        <w:t>(1)</w:t>
      </w:r>
      <w:r w:rsidRPr="0081146C">
        <w:tab/>
        <w:t>For the purposes of this Act, an individual (including an individual in the capacity of trustee) is a resident of a particular country if, and only if, the individual is ordinarily resident in that country.</w:t>
      </w:r>
    </w:p>
    <w:p w14:paraId="32297072" w14:textId="77777777" w:rsidR="00035544" w:rsidRPr="0081146C" w:rsidRDefault="00035544" w:rsidP="00035544">
      <w:pPr>
        <w:pStyle w:val="notetext"/>
      </w:pPr>
      <w:r w:rsidRPr="0081146C">
        <w:t>Note:</w:t>
      </w:r>
      <w:r w:rsidRPr="0081146C">
        <w:tab/>
        <w:t xml:space="preserve">See also </w:t>
      </w:r>
      <w:r w:rsidR="004F64A4" w:rsidRPr="0081146C">
        <w:t>subsections (</w:t>
      </w:r>
      <w:r w:rsidRPr="0081146C">
        <w:t>7), (8) and (9).</w:t>
      </w:r>
    </w:p>
    <w:p w14:paraId="7ACBA385" w14:textId="77777777" w:rsidR="00035544" w:rsidRPr="0081146C" w:rsidRDefault="00035544" w:rsidP="00035544">
      <w:pPr>
        <w:pStyle w:val="SubsectionHead"/>
      </w:pPr>
      <w:r w:rsidRPr="0081146C">
        <w:t>Company</w:t>
      </w:r>
    </w:p>
    <w:p w14:paraId="714D2AE9" w14:textId="77777777" w:rsidR="00035544" w:rsidRPr="0081146C" w:rsidRDefault="00035544" w:rsidP="00035544">
      <w:pPr>
        <w:pStyle w:val="subsection"/>
      </w:pPr>
      <w:r w:rsidRPr="0081146C">
        <w:tab/>
        <w:t>(2)</w:t>
      </w:r>
      <w:r w:rsidRPr="0081146C">
        <w:tab/>
        <w:t>For the purposes of this Act, a company (including a company in the capacity of trustee) is a resident of a particular country if, and only if:</w:t>
      </w:r>
    </w:p>
    <w:p w14:paraId="387427C1" w14:textId="77777777" w:rsidR="00035544" w:rsidRPr="0081146C" w:rsidRDefault="00035544" w:rsidP="00035544">
      <w:pPr>
        <w:pStyle w:val="paragraph"/>
      </w:pPr>
      <w:r w:rsidRPr="0081146C">
        <w:tab/>
        <w:t>(a)</w:t>
      </w:r>
      <w:r w:rsidRPr="0081146C">
        <w:tab/>
        <w:t>the company is incorporated in that country; or</w:t>
      </w:r>
    </w:p>
    <w:p w14:paraId="5B25DB5F" w14:textId="77777777" w:rsidR="00035544" w:rsidRPr="0081146C" w:rsidRDefault="00035544" w:rsidP="00035544">
      <w:pPr>
        <w:pStyle w:val="paragraph"/>
      </w:pPr>
      <w:r w:rsidRPr="0081146C">
        <w:tab/>
        <w:t>(b)</w:t>
      </w:r>
      <w:r w:rsidRPr="0081146C">
        <w:tab/>
        <w:t>both:</w:t>
      </w:r>
    </w:p>
    <w:p w14:paraId="565DB78F" w14:textId="69A4A7B9" w:rsidR="00035544" w:rsidRPr="0081146C" w:rsidRDefault="00035544" w:rsidP="00035544">
      <w:pPr>
        <w:pStyle w:val="paragraphsub"/>
      </w:pPr>
      <w:r w:rsidRPr="0081146C">
        <w:tab/>
        <w:t>(i)</w:t>
      </w:r>
      <w:r w:rsidRPr="0081146C">
        <w:tab/>
        <w:t xml:space="preserve">an individual </w:t>
      </w:r>
      <w:r w:rsidR="00970B77" w:rsidRPr="0081146C">
        <w:t>controls</w:t>
      </w:r>
      <w:r w:rsidRPr="0081146C">
        <w:t xml:space="preserve"> the company; and</w:t>
      </w:r>
    </w:p>
    <w:p w14:paraId="6457BFF0" w14:textId="77777777" w:rsidR="00035544" w:rsidRPr="0081146C" w:rsidRDefault="00035544" w:rsidP="00035544">
      <w:pPr>
        <w:pStyle w:val="paragraphsub"/>
      </w:pPr>
      <w:r w:rsidRPr="0081146C">
        <w:tab/>
        <w:t>(ii)</w:t>
      </w:r>
      <w:r w:rsidRPr="0081146C">
        <w:tab/>
        <w:t>the individual is a resident of that country.</w:t>
      </w:r>
    </w:p>
    <w:p w14:paraId="156B55F9" w14:textId="77777777" w:rsidR="00035544" w:rsidRPr="0081146C" w:rsidRDefault="00035544" w:rsidP="00035544">
      <w:pPr>
        <w:pStyle w:val="SubsectionHead"/>
      </w:pPr>
      <w:r w:rsidRPr="0081146C">
        <w:t>Trust</w:t>
      </w:r>
    </w:p>
    <w:p w14:paraId="51CDE7A1" w14:textId="77777777" w:rsidR="00035544" w:rsidRPr="0081146C" w:rsidRDefault="00035544" w:rsidP="00035544">
      <w:pPr>
        <w:pStyle w:val="subsection"/>
      </w:pPr>
      <w:r w:rsidRPr="0081146C">
        <w:tab/>
        <w:t>(3)</w:t>
      </w:r>
      <w:r w:rsidRPr="0081146C">
        <w:tab/>
        <w:t>For the purposes of this Act, a trust is a resident of a particular country if, and only if:</w:t>
      </w:r>
    </w:p>
    <w:p w14:paraId="633BF1D7" w14:textId="77777777" w:rsidR="00035544" w:rsidRPr="0081146C" w:rsidRDefault="00035544" w:rsidP="00035544">
      <w:pPr>
        <w:pStyle w:val="paragraph"/>
      </w:pPr>
      <w:r w:rsidRPr="0081146C">
        <w:tab/>
        <w:t>(a)</w:t>
      </w:r>
      <w:r w:rsidRPr="0081146C">
        <w:tab/>
        <w:t>the trustee, or any of the trustees, is a resident of that country; or</w:t>
      </w:r>
    </w:p>
    <w:p w14:paraId="0DB9A398" w14:textId="77777777" w:rsidR="00035544" w:rsidRPr="0081146C" w:rsidRDefault="00035544" w:rsidP="00035544">
      <w:pPr>
        <w:pStyle w:val="paragraph"/>
      </w:pPr>
      <w:r w:rsidRPr="0081146C">
        <w:tab/>
        <w:t>(b)</w:t>
      </w:r>
      <w:r w:rsidRPr="0081146C">
        <w:tab/>
        <w:t>both:</w:t>
      </w:r>
    </w:p>
    <w:p w14:paraId="25C5B392" w14:textId="11ED951B" w:rsidR="00035544" w:rsidRPr="0081146C" w:rsidRDefault="00035544" w:rsidP="00035544">
      <w:pPr>
        <w:pStyle w:val="paragraphsub"/>
      </w:pPr>
      <w:r w:rsidRPr="0081146C">
        <w:tab/>
        <w:t>(i)</w:t>
      </w:r>
      <w:r w:rsidRPr="0081146C">
        <w:tab/>
        <w:t xml:space="preserve">an individual </w:t>
      </w:r>
      <w:r w:rsidR="00970B77" w:rsidRPr="0081146C">
        <w:t>controls</w:t>
      </w:r>
      <w:r w:rsidRPr="0081146C">
        <w:t xml:space="preserve"> the trust; and</w:t>
      </w:r>
    </w:p>
    <w:p w14:paraId="2C86A81B" w14:textId="77777777" w:rsidR="00035544" w:rsidRPr="0081146C" w:rsidRDefault="00035544" w:rsidP="00035544">
      <w:pPr>
        <w:pStyle w:val="paragraphsub"/>
      </w:pPr>
      <w:r w:rsidRPr="0081146C">
        <w:tab/>
        <w:t>(ii)</w:t>
      </w:r>
      <w:r w:rsidRPr="0081146C">
        <w:tab/>
        <w:t>the individual is a resident of that country; or</w:t>
      </w:r>
    </w:p>
    <w:p w14:paraId="44EBD2E6" w14:textId="77777777" w:rsidR="00035544" w:rsidRPr="0081146C" w:rsidRDefault="00035544" w:rsidP="00035544">
      <w:pPr>
        <w:pStyle w:val="paragraph"/>
      </w:pPr>
      <w:r w:rsidRPr="0081146C">
        <w:tab/>
        <w:t>(c)</w:t>
      </w:r>
      <w:r w:rsidRPr="0081146C">
        <w:tab/>
        <w:t>both:</w:t>
      </w:r>
    </w:p>
    <w:p w14:paraId="26069926" w14:textId="77777777" w:rsidR="00035544" w:rsidRPr="0081146C" w:rsidRDefault="00035544" w:rsidP="00035544">
      <w:pPr>
        <w:pStyle w:val="paragraphsub"/>
      </w:pPr>
      <w:r w:rsidRPr="0081146C">
        <w:tab/>
        <w:t>(i)</w:t>
      </w:r>
      <w:r w:rsidRPr="0081146C">
        <w:tab/>
        <w:t>a person benefits or is capable (whether by the exercise of a power of appointment or otherwise) of benefiting under the trust, either directly or through any interposed companies, partnerships or trusts; and</w:t>
      </w:r>
    </w:p>
    <w:p w14:paraId="662E073E" w14:textId="77777777" w:rsidR="00035544" w:rsidRPr="0081146C" w:rsidRDefault="00035544" w:rsidP="00035544">
      <w:pPr>
        <w:pStyle w:val="paragraphsub"/>
      </w:pPr>
      <w:r w:rsidRPr="0081146C">
        <w:tab/>
        <w:t>(ii)</w:t>
      </w:r>
      <w:r w:rsidRPr="0081146C">
        <w:tab/>
        <w:t>the person is a resident of that country.</w:t>
      </w:r>
    </w:p>
    <w:p w14:paraId="0ED8B775" w14:textId="77777777" w:rsidR="00035544" w:rsidRPr="0081146C" w:rsidRDefault="00035544" w:rsidP="00035544">
      <w:pPr>
        <w:pStyle w:val="SubsectionHead"/>
      </w:pPr>
      <w:r w:rsidRPr="0081146C">
        <w:t>Partnership</w:t>
      </w:r>
    </w:p>
    <w:p w14:paraId="2B02C67E" w14:textId="77777777" w:rsidR="00035544" w:rsidRPr="0081146C" w:rsidRDefault="00035544" w:rsidP="00035544">
      <w:pPr>
        <w:pStyle w:val="subsection"/>
      </w:pPr>
      <w:r w:rsidRPr="0081146C">
        <w:tab/>
        <w:t>(4)</w:t>
      </w:r>
      <w:r w:rsidRPr="0081146C">
        <w:tab/>
        <w:t>For the purposes of this Act, a partnership is a resident of a particular country if, and only if, a partner is a resident of that country.</w:t>
      </w:r>
    </w:p>
    <w:p w14:paraId="24859216" w14:textId="77777777" w:rsidR="00035544" w:rsidRPr="0081146C" w:rsidRDefault="00035544" w:rsidP="00035544">
      <w:pPr>
        <w:pStyle w:val="SubsectionHead"/>
      </w:pPr>
      <w:r w:rsidRPr="0081146C">
        <w:t>Corporation sole</w:t>
      </w:r>
    </w:p>
    <w:p w14:paraId="33422651" w14:textId="77777777" w:rsidR="00035544" w:rsidRPr="0081146C" w:rsidRDefault="00035544" w:rsidP="00035544">
      <w:pPr>
        <w:pStyle w:val="subsection"/>
      </w:pPr>
      <w:r w:rsidRPr="0081146C">
        <w:tab/>
        <w:t>(5)</w:t>
      </w:r>
      <w:r w:rsidRPr="0081146C">
        <w:tab/>
        <w:t>For the purposes of this Act, a corporation sole is a resident of a particular country if, and only if, the corporation sole was established in that country.</w:t>
      </w:r>
    </w:p>
    <w:p w14:paraId="0BC4C07B" w14:textId="77777777" w:rsidR="00035544" w:rsidRPr="0081146C" w:rsidRDefault="00035544" w:rsidP="00035544">
      <w:pPr>
        <w:pStyle w:val="SubsectionHead"/>
      </w:pPr>
      <w:r w:rsidRPr="0081146C">
        <w:t>Body politic</w:t>
      </w:r>
    </w:p>
    <w:p w14:paraId="1618D400" w14:textId="77777777" w:rsidR="00035544" w:rsidRPr="0081146C" w:rsidRDefault="00035544" w:rsidP="00035544">
      <w:pPr>
        <w:pStyle w:val="subsection"/>
      </w:pPr>
      <w:r w:rsidRPr="0081146C">
        <w:tab/>
        <w:t>(6)</w:t>
      </w:r>
      <w:r w:rsidRPr="0081146C">
        <w:tab/>
        <w:t>For the purposes of this Act, a body politic of, or of a part of, a particular country is a resident of that country.</w:t>
      </w:r>
    </w:p>
    <w:p w14:paraId="5189C902" w14:textId="77777777" w:rsidR="00035544" w:rsidRPr="0081146C" w:rsidRDefault="00035544" w:rsidP="00035544">
      <w:pPr>
        <w:pStyle w:val="SubsectionHead"/>
      </w:pPr>
      <w:r w:rsidRPr="0081146C">
        <w:t>When an individual is ordinarily resident in a particular country</w:t>
      </w:r>
    </w:p>
    <w:p w14:paraId="2DF136BB" w14:textId="77777777" w:rsidR="00035544" w:rsidRPr="0081146C" w:rsidRDefault="00035544" w:rsidP="00035544">
      <w:pPr>
        <w:pStyle w:val="subsection"/>
      </w:pPr>
      <w:r w:rsidRPr="0081146C">
        <w:tab/>
        <w:t>(7)</w:t>
      </w:r>
      <w:r w:rsidRPr="0081146C">
        <w:tab/>
        <w:t>The AML/CTF Rules may specify matters that are to be taken into account in determining, for the purposes of this section, whether an individual (including an individual in the capacity of trustee) is ordinarily resident in a particular country.</w:t>
      </w:r>
    </w:p>
    <w:p w14:paraId="19CD7815" w14:textId="77777777" w:rsidR="00035544" w:rsidRPr="0081146C" w:rsidRDefault="00035544" w:rsidP="00035544">
      <w:pPr>
        <w:pStyle w:val="subsection"/>
      </w:pPr>
      <w:r w:rsidRPr="0081146C">
        <w:tab/>
        <w:t>(8)</w:t>
      </w:r>
      <w:r w:rsidRPr="0081146C">
        <w:tab/>
        <w:t>The AML/CTF Rules may provide that an individual (including an individual in the capacity of trustee) is taken, for the purposes of this section, to be ordinarily resident in a particular country if the individual satisfies one or more specified conditions.</w:t>
      </w:r>
    </w:p>
    <w:p w14:paraId="7A84706D" w14:textId="77777777" w:rsidR="00035544" w:rsidRPr="0081146C" w:rsidRDefault="00035544" w:rsidP="00035544">
      <w:pPr>
        <w:pStyle w:val="subsection"/>
      </w:pPr>
      <w:r w:rsidRPr="0081146C">
        <w:tab/>
        <w:t>(9)</w:t>
      </w:r>
      <w:r w:rsidRPr="0081146C">
        <w:tab/>
        <w:t>The AML/CTF Rules may provide that an individual (including an individual in the capacity of trustee) is taken, for the purposes of this section, not to be ordinarily resident in a particular country if the individual satisfies one or more specified conditions.</w:t>
      </w:r>
    </w:p>
    <w:p w14:paraId="45DA0BA5" w14:textId="77777777" w:rsidR="00035544" w:rsidRPr="0081146C" w:rsidRDefault="00035544" w:rsidP="00035544">
      <w:pPr>
        <w:pStyle w:val="notetext"/>
      </w:pPr>
      <w:r w:rsidRPr="0081146C">
        <w:t>Note:</w:t>
      </w:r>
      <w:r w:rsidRPr="0081146C">
        <w:tab/>
        <w:t xml:space="preserve">The expression </w:t>
      </w:r>
      <w:r w:rsidRPr="0081146C">
        <w:rPr>
          <w:b/>
          <w:i/>
        </w:rPr>
        <w:t>resident</w:t>
      </w:r>
      <w:r w:rsidRPr="0081146C">
        <w:t xml:space="preserve"> is used in subsection</w:t>
      </w:r>
      <w:r w:rsidR="004F64A4" w:rsidRPr="0081146C">
        <w:t> </w:t>
      </w:r>
      <w:r w:rsidRPr="0081146C">
        <w:t>6(6) (designated services) and sections</w:t>
      </w:r>
      <w:r w:rsidR="004F64A4" w:rsidRPr="0081146C">
        <w:t> </w:t>
      </w:r>
      <w:r w:rsidRPr="0081146C">
        <w:t>100 (correspondent banking) and 102 (countermeasures).</w:t>
      </w:r>
    </w:p>
    <w:p w14:paraId="72EA6557" w14:textId="77777777" w:rsidR="00035544" w:rsidRPr="0081146C" w:rsidRDefault="00035544" w:rsidP="00035544">
      <w:pPr>
        <w:pStyle w:val="ActHead5"/>
      </w:pPr>
      <w:bookmarkStart w:id="40" w:name="_Toc185415715"/>
      <w:r w:rsidRPr="0081146C">
        <w:rPr>
          <w:rStyle w:val="CharSectno"/>
        </w:rPr>
        <w:t>16</w:t>
      </w:r>
      <w:r w:rsidRPr="0081146C">
        <w:t xml:space="preserve">  Electronic communications</w:t>
      </w:r>
      <w:bookmarkEnd w:id="40"/>
    </w:p>
    <w:p w14:paraId="253EBEDB" w14:textId="77777777" w:rsidR="00035544" w:rsidRPr="0081146C" w:rsidRDefault="00035544" w:rsidP="00035544">
      <w:pPr>
        <w:pStyle w:val="subsection"/>
      </w:pPr>
      <w:r w:rsidRPr="0081146C">
        <w:tab/>
        <w:t>(1)</w:t>
      </w:r>
      <w:r w:rsidRPr="0081146C">
        <w:tab/>
        <w:t>Unless the contrary intention appears, in determining the application of a provision of this Act, it is immaterial whether any act or thing is or was done wholly or partly by means of one or more electronic communications.</w:t>
      </w:r>
    </w:p>
    <w:p w14:paraId="732CA1F6" w14:textId="77777777" w:rsidR="00035544" w:rsidRPr="0081146C" w:rsidRDefault="00035544" w:rsidP="00035544">
      <w:pPr>
        <w:pStyle w:val="subsection"/>
      </w:pPr>
      <w:r w:rsidRPr="0081146C">
        <w:tab/>
        <w:t>(2)</w:t>
      </w:r>
      <w:r w:rsidRPr="0081146C">
        <w:tab/>
      </w:r>
      <w:r w:rsidR="004F64A4" w:rsidRPr="0081146C">
        <w:t>Subsection (</w:t>
      </w:r>
      <w:r w:rsidRPr="0081146C">
        <w:t>1) is enacted for the avoidance of doubt.</w:t>
      </w:r>
    </w:p>
    <w:p w14:paraId="20133CD2" w14:textId="77777777" w:rsidR="00751D89" w:rsidRPr="0081146C" w:rsidRDefault="00751D89" w:rsidP="00751D89">
      <w:pPr>
        <w:pStyle w:val="ActHead5"/>
      </w:pPr>
      <w:bookmarkStart w:id="41" w:name="_Toc176444432"/>
      <w:bookmarkStart w:id="42" w:name="_Toc184034053"/>
      <w:bookmarkStart w:id="43" w:name="_Toc185415716"/>
      <w:r w:rsidRPr="0081146C">
        <w:rPr>
          <w:rStyle w:val="CharSectno"/>
        </w:rPr>
        <w:t>17</w:t>
      </w:r>
      <w:r w:rsidRPr="0081146C">
        <w:t xml:space="preserve">  Bearer negotiable instruments</w:t>
      </w:r>
      <w:bookmarkEnd w:id="41"/>
      <w:bookmarkEnd w:id="42"/>
      <w:bookmarkEnd w:id="43"/>
    </w:p>
    <w:p w14:paraId="1D110734" w14:textId="77777777" w:rsidR="00751D89" w:rsidRPr="0081146C" w:rsidRDefault="00751D89" w:rsidP="00751D89">
      <w:pPr>
        <w:pStyle w:val="subsection"/>
      </w:pPr>
      <w:r w:rsidRPr="0081146C">
        <w:tab/>
        <w:t>(1)</w:t>
      </w:r>
      <w:r w:rsidRPr="0081146C">
        <w:tab/>
        <w:t xml:space="preserve">A </w:t>
      </w:r>
      <w:r w:rsidRPr="0081146C">
        <w:rPr>
          <w:b/>
          <w:i/>
        </w:rPr>
        <w:t xml:space="preserve">bearer negotiable instrument </w:t>
      </w:r>
      <w:r w:rsidRPr="0081146C">
        <w:t>is an instrument that is one of the following that is payable to bearer:</w:t>
      </w:r>
    </w:p>
    <w:p w14:paraId="314E113C" w14:textId="77777777" w:rsidR="00751D89" w:rsidRPr="0081146C" w:rsidRDefault="00751D89" w:rsidP="00751D89">
      <w:pPr>
        <w:pStyle w:val="paragraph"/>
      </w:pPr>
      <w:r w:rsidRPr="0081146C">
        <w:tab/>
        <w:t>(a)</w:t>
      </w:r>
      <w:r w:rsidRPr="0081146C">
        <w:tab/>
        <w:t>a bill of exchange;</w:t>
      </w:r>
    </w:p>
    <w:p w14:paraId="1AF7FF3E" w14:textId="77777777" w:rsidR="00751D89" w:rsidRPr="0081146C" w:rsidRDefault="00751D89" w:rsidP="00751D89">
      <w:pPr>
        <w:pStyle w:val="paragraph"/>
      </w:pPr>
      <w:r w:rsidRPr="0081146C">
        <w:tab/>
        <w:t>(b)</w:t>
      </w:r>
      <w:r w:rsidRPr="0081146C">
        <w:tab/>
        <w:t>a cheque;</w:t>
      </w:r>
    </w:p>
    <w:p w14:paraId="3707BC33" w14:textId="77777777" w:rsidR="00751D89" w:rsidRPr="0081146C" w:rsidRDefault="00751D89" w:rsidP="00751D89">
      <w:pPr>
        <w:pStyle w:val="paragraph"/>
      </w:pPr>
      <w:r w:rsidRPr="0081146C">
        <w:tab/>
        <w:t>(c)</w:t>
      </w:r>
      <w:r w:rsidRPr="0081146C">
        <w:tab/>
        <w:t>a promissory note;</w:t>
      </w:r>
    </w:p>
    <w:p w14:paraId="3ECBBFBA" w14:textId="77777777" w:rsidR="00751D89" w:rsidRPr="0081146C" w:rsidRDefault="00751D89" w:rsidP="00751D89">
      <w:pPr>
        <w:pStyle w:val="paragraph"/>
      </w:pPr>
      <w:r w:rsidRPr="0081146C">
        <w:tab/>
        <w:t>(d)</w:t>
      </w:r>
      <w:r w:rsidRPr="0081146C">
        <w:tab/>
        <w:t>a bearer bond;</w:t>
      </w:r>
    </w:p>
    <w:p w14:paraId="29871C30" w14:textId="77777777" w:rsidR="00751D89" w:rsidRPr="0081146C" w:rsidRDefault="00751D89" w:rsidP="00751D89">
      <w:pPr>
        <w:pStyle w:val="paragraph"/>
      </w:pPr>
      <w:r w:rsidRPr="0081146C">
        <w:tab/>
        <w:t>(e)</w:t>
      </w:r>
      <w:r w:rsidRPr="0081146C">
        <w:tab/>
        <w:t>a traveller’s cheque;</w:t>
      </w:r>
    </w:p>
    <w:p w14:paraId="3F511A34" w14:textId="77777777" w:rsidR="00751D89" w:rsidRPr="0081146C" w:rsidRDefault="00751D89" w:rsidP="00751D89">
      <w:pPr>
        <w:pStyle w:val="paragraph"/>
      </w:pPr>
      <w:r w:rsidRPr="0081146C">
        <w:tab/>
        <w:t>(f)</w:t>
      </w:r>
      <w:r w:rsidRPr="0081146C">
        <w:tab/>
        <w:t>a money order, postal order or similar order;</w:t>
      </w:r>
    </w:p>
    <w:p w14:paraId="256722A5" w14:textId="77777777" w:rsidR="00751D89" w:rsidRPr="0081146C" w:rsidRDefault="00751D89" w:rsidP="00751D89">
      <w:pPr>
        <w:pStyle w:val="paragraph"/>
      </w:pPr>
      <w:r w:rsidRPr="0081146C">
        <w:tab/>
        <w:t>(g)</w:t>
      </w:r>
      <w:r w:rsidRPr="0081146C">
        <w:tab/>
        <w:t>a negotiable instrument not covered by any of the above paragraphs.</w:t>
      </w:r>
    </w:p>
    <w:p w14:paraId="00A8E10C" w14:textId="77777777" w:rsidR="00751D89" w:rsidRPr="0081146C" w:rsidRDefault="00751D89" w:rsidP="00751D89">
      <w:pPr>
        <w:pStyle w:val="subsection"/>
      </w:pPr>
      <w:r w:rsidRPr="0081146C">
        <w:tab/>
        <w:t>(2)</w:t>
      </w:r>
      <w:r w:rsidRPr="0081146C">
        <w:tab/>
        <w:t>Without limiting subsection (1), an instrument is payable to bearer if the instrument:</w:t>
      </w:r>
    </w:p>
    <w:p w14:paraId="69CE3950" w14:textId="77777777" w:rsidR="00751D89" w:rsidRPr="0081146C" w:rsidRDefault="00751D89" w:rsidP="00751D89">
      <w:pPr>
        <w:pStyle w:val="paragraph"/>
      </w:pPr>
      <w:r w:rsidRPr="0081146C">
        <w:tab/>
        <w:t>(a)</w:t>
      </w:r>
      <w:r w:rsidRPr="0081146C">
        <w:tab/>
        <w:t>is endorsed without restriction; or</w:t>
      </w:r>
    </w:p>
    <w:p w14:paraId="2779957F" w14:textId="77777777" w:rsidR="00751D89" w:rsidRPr="0081146C" w:rsidRDefault="00751D89" w:rsidP="00751D89">
      <w:pPr>
        <w:pStyle w:val="paragraph"/>
      </w:pPr>
      <w:r w:rsidRPr="0081146C">
        <w:tab/>
        <w:t>(b)</w:t>
      </w:r>
      <w:r w:rsidRPr="0081146C">
        <w:tab/>
        <w:t>does not express a payee; or</w:t>
      </w:r>
    </w:p>
    <w:p w14:paraId="7E68E97F" w14:textId="77777777" w:rsidR="00751D89" w:rsidRPr="0081146C" w:rsidRDefault="00751D89" w:rsidP="00751D89">
      <w:pPr>
        <w:pStyle w:val="paragraph"/>
      </w:pPr>
      <w:r w:rsidRPr="0081146C">
        <w:tab/>
        <w:t>(c)</w:t>
      </w:r>
      <w:r w:rsidRPr="0081146C">
        <w:tab/>
        <w:t>is payable to a fictitious person; or</w:t>
      </w:r>
    </w:p>
    <w:p w14:paraId="19D2AE77" w14:textId="77777777" w:rsidR="00751D89" w:rsidRPr="0081146C" w:rsidRDefault="00751D89" w:rsidP="00751D89">
      <w:pPr>
        <w:pStyle w:val="paragraph"/>
      </w:pPr>
      <w:r w:rsidRPr="0081146C">
        <w:tab/>
        <w:t>(d)</w:t>
      </w:r>
      <w:r w:rsidRPr="0081146C">
        <w:tab/>
        <w:t>is otherwise in such form that title to the instrument passes on delivery.</w:t>
      </w:r>
    </w:p>
    <w:p w14:paraId="603B3D06" w14:textId="77777777" w:rsidR="00035544" w:rsidRPr="0081146C" w:rsidRDefault="00035544" w:rsidP="00035544">
      <w:pPr>
        <w:pStyle w:val="ActHead5"/>
      </w:pPr>
      <w:bookmarkStart w:id="44" w:name="_Toc185415717"/>
      <w:r w:rsidRPr="0081146C">
        <w:rPr>
          <w:rStyle w:val="CharSectno"/>
        </w:rPr>
        <w:t>18</w:t>
      </w:r>
      <w:r w:rsidRPr="0081146C">
        <w:t xml:space="preserve">  Translation of foreign currency to Australian currency</w:t>
      </w:r>
      <w:bookmarkEnd w:id="44"/>
    </w:p>
    <w:p w14:paraId="5BA0E69F" w14:textId="77777777" w:rsidR="00035544" w:rsidRPr="0081146C" w:rsidRDefault="00035544" w:rsidP="00035544">
      <w:pPr>
        <w:pStyle w:val="subsection"/>
      </w:pPr>
      <w:r w:rsidRPr="0081146C">
        <w:tab/>
      </w:r>
      <w:r w:rsidRPr="0081146C">
        <w:tab/>
        <w:t>In determining, for the purposes of this Act, whether an amount of foreign currency (including an amount in which a document is denominated) is not less than an Australian dollar amount, the amount of foreign currency is to be translated to Australian currency at the exchange rate applicable at the relevant time.</w:t>
      </w:r>
    </w:p>
    <w:p w14:paraId="53D76DC2" w14:textId="77777777" w:rsidR="00610C10" w:rsidRPr="0081146C" w:rsidRDefault="00610C10" w:rsidP="00610C10">
      <w:pPr>
        <w:pStyle w:val="ActHead5"/>
      </w:pPr>
      <w:bookmarkStart w:id="45" w:name="_Toc176444427"/>
      <w:bookmarkStart w:id="46" w:name="_Toc184034048"/>
      <w:bookmarkStart w:id="47" w:name="_Toc185415718"/>
      <w:bookmarkStart w:id="48" w:name="_Hlk172194337"/>
      <w:r w:rsidRPr="0081146C">
        <w:rPr>
          <w:rStyle w:val="CharSectno"/>
        </w:rPr>
        <w:t>19</w:t>
      </w:r>
      <w:r w:rsidRPr="0081146C">
        <w:t xml:space="preserve">  Translation of virtual assets to Australian currency</w:t>
      </w:r>
      <w:bookmarkEnd w:id="45"/>
      <w:bookmarkEnd w:id="46"/>
      <w:bookmarkEnd w:id="47"/>
    </w:p>
    <w:p w14:paraId="0A9A8385" w14:textId="77777777" w:rsidR="00610C10" w:rsidRPr="0081146C" w:rsidRDefault="00610C10" w:rsidP="00610C10">
      <w:pPr>
        <w:pStyle w:val="subsection"/>
      </w:pPr>
      <w:r w:rsidRPr="0081146C">
        <w:tab/>
      </w:r>
      <w:r w:rsidRPr="0081146C">
        <w:tab/>
        <w:t>In determining, for the purposes of this Act, whether the value of a virtual asset is not less than an Australian dollar amount, the value of the virtual asset is to be translated to Australian currency in accordance with the method specified in the AML/CTF Rules.</w:t>
      </w:r>
    </w:p>
    <w:p w14:paraId="37F2AA36" w14:textId="77777777" w:rsidR="00035544" w:rsidRPr="0081146C" w:rsidRDefault="00035544" w:rsidP="00035544">
      <w:pPr>
        <w:pStyle w:val="ActHead5"/>
      </w:pPr>
      <w:bookmarkStart w:id="49" w:name="_Toc185415719"/>
      <w:bookmarkEnd w:id="48"/>
      <w:r w:rsidRPr="0081146C">
        <w:rPr>
          <w:rStyle w:val="CharSectno"/>
        </w:rPr>
        <w:t>20</w:t>
      </w:r>
      <w:r w:rsidRPr="0081146C">
        <w:t xml:space="preserve">  Clubs and associations</w:t>
      </w:r>
      <w:bookmarkEnd w:id="49"/>
    </w:p>
    <w:p w14:paraId="7378A2F8" w14:textId="77777777" w:rsidR="00035544" w:rsidRPr="0081146C" w:rsidRDefault="00035544" w:rsidP="00035544">
      <w:pPr>
        <w:pStyle w:val="subsection"/>
      </w:pPr>
      <w:r w:rsidRPr="0081146C">
        <w:tab/>
      </w:r>
      <w:r w:rsidRPr="0081146C">
        <w:tab/>
        <w:t>For the purposes of this Act, the fact that a club or association provides services to its members does not prevent those services from being services provided in the course of carrying on a business.</w:t>
      </w:r>
    </w:p>
    <w:p w14:paraId="7610FDA0" w14:textId="77777777" w:rsidR="00035544" w:rsidRPr="0081146C" w:rsidRDefault="00035544" w:rsidP="00035544">
      <w:pPr>
        <w:pStyle w:val="ActHead5"/>
      </w:pPr>
      <w:bookmarkStart w:id="50" w:name="_Toc185415720"/>
      <w:r w:rsidRPr="0081146C">
        <w:rPr>
          <w:rStyle w:val="CharSectno"/>
        </w:rPr>
        <w:t>21</w:t>
      </w:r>
      <w:r w:rsidRPr="0081146C">
        <w:t xml:space="preserve">  Permanent establishment</w:t>
      </w:r>
      <w:bookmarkEnd w:id="50"/>
    </w:p>
    <w:p w14:paraId="04DED4F2" w14:textId="77777777" w:rsidR="00035544" w:rsidRPr="0081146C" w:rsidRDefault="00035544" w:rsidP="00035544">
      <w:pPr>
        <w:pStyle w:val="subsection"/>
      </w:pPr>
      <w:r w:rsidRPr="0081146C">
        <w:tab/>
        <w:t>(1)</w:t>
      </w:r>
      <w:r w:rsidRPr="0081146C">
        <w:tab/>
        <w:t xml:space="preserve">For the purposes of this Act, a </w:t>
      </w:r>
      <w:r w:rsidRPr="0081146C">
        <w:rPr>
          <w:b/>
          <w:i/>
        </w:rPr>
        <w:t>permanent establishment</w:t>
      </w:r>
      <w:r w:rsidRPr="0081146C">
        <w:t xml:space="preserve"> of a person is a place at or through which the person carries on any activities or business, and includes a place where the person is carrying on activities or business through an agent.</w:t>
      </w:r>
    </w:p>
    <w:p w14:paraId="739BF817" w14:textId="77777777" w:rsidR="00035544" w:rsidRPr="0081146C" w:rsidRDefault="00035544" w:rsidP="00035544">
      <w:pPr>
        <w:pStyle w:val="SubsectionHead"/>
      </w:pPr>
      <w:r w:rsidRPr="0081146C">
        <w:t>Mobile services etc.</w:t>
      </w:r>
    </w:p>
    <w:p w14:paraId="418982B1" w14:textId="77777777" w:rsidR="00035544" w:rsidRPr="0081146C" w:rsidRDefault="00035544" w:rsidP="00035544">
      <w:pPr>
        <w:pStyle w:val="subsection"/>
      </w:pPr>
      <w:r w:rsidRPr="0081146C">
        <w:tab/>
        <w:t>(2)</w:t>
      </w:r>
      <w:r w:rsidRPr="0081146C">
        <w:tab/>
        <w:t>For the purposes of this Act, if:</w:t>
      </w:r>
    </w:p>
    <w:p w14:paraId="53678F59" w14:textId="77777777" w:rsidR="00035544" w:rsidRPr="0081146C" w:rsidRDefault="00035544" w:rsidP="00035544">
      <w:pPr>
        <w:pStyle w:val="paragraph"/>
      </w:pPr>
      <w:r w:rsidRPr="0081146C">
        <w:tab/>
        <w:t>(a)</w:t>
      </w:r>
      <w:r w:rsidRPr="0081146C">
        <w:tab/>
        <w:t>a person; or</w:t>
      </w:r>
    </w:p>
    <w:p w14:paraId="46F33B5F" w14:textId="77777777" w:rsidR="00035544" w:rsidRPr="0081146C" w:rsidRDefault="00035544" w:rsidP="00035544">
      <w:pPr>
        <w:pStyle w:val="paragraph"/>
      </w:pPr>
      <w:r w:rsidRPr="0081146C">
        <w:tab/>
        <w:t>(b)</w:t>
      </w:r>
      <w:r w:rsidRPr="0081146C">
        <w:tab/>
        <w:t>an agent of a person acting on behalf of the person;</w:t>
      </w:r>
    </w:p>
    <w:p w14:paraId="7C3996E1" w14:textId="77777777" w:rsidR="00035544" w:rsidRPr="0081146C" w:rsidRDefault="00035544" w:rsidP="00035544">
      <w:pPr>
        <w:pStyle w:val="subsection2"/>
      </w:pPr>
      <w:r w:rsidRPr="0081146C">
        <w:t>provides a service while:</w:t>
      </w:r>
    </w:p>
    <w:p w14:paraId="485E411B" w14:textId="77777777" w:rsidR="00035544" w:rsidRPr="0081146C" w:rsidRDefault="00035544" w:rsidP="00035544">
      <w:pPr>
        <w:pStyle w:val="paragraph"/>
      </w:pPr>
      <w:r w:rsidRPr="0081146C">
        <w:tab/>
        <w:t>(c)</w:t>
      </w:r>
      <w:r w:rsidRPr="0081146C">
        <w:tab/>
        <w:t>operating on a mobile basis; or</w:t>
      </w:r>
    </w:p>
    <w:p w14:paraId="62F47CF4" w14:textId="77777777" w:rsidR="00035544" w:rsidRPr="0081146C" w:rsidRDefault="00035544" w:rsidP="00035544">
      <w:pPr>
        <w:pStyle w:val="paragraph"/>
      </w:pPr>
      <w:r w:rsidRPr="0081146C">
        <w:tab/>
        <w:t>(d)</w:t>
      </w:r>
      <w:r w:rsidRPr="0081146C">
        <w:tab/>
        <w:t>travelling;</w:t>
      </w:r>
    </w:p>
    <w:p w14:paraId="586A75CE" w14:textId="77777777" w:rsidR="00035544" w:rsidRPr="0081146C" w:rsidRDefault="00035544" w:rsidP="00035544">
      <w:pPr>
        <w:pStyle w:val="subsection2"/>
      </w:pPr>
      <w:r w:rsidRPr="0081146C">
        <w:t xml:space="preserve">in a particular country, the person is taken to provide the service at or through a </w:t>
      </w:r>
      <w:r w:rsidRPr="0081146C">
        <w:rPr>
          <w:b/>
          <w:i/>
        </w:rPr>
        <w:t>permanent establishment</w:t>
      </w:r>
      <w:r w:rsidRPr="0081146C">
        <w:t xml:space="preserve"> of the person in that country.</w:t>
      </w:r>
    </w:p>
    <w:p w14:paraId="07363F86" w14:textId="77777777" w:rsidR="00035544" w:rsidRPr="0081146C" w:rsidRDefault="00035544" w:rsidP="00035544">
      <w:pPr>
        <w:pStyle w:val="SubsectionHead"/>
      </w:pPr>
      <w:r w:rsidRPr="0081146C">
        <w:t>Electronic communications</w:t>
      </w:r>
    </w:p>
    <w:p w14:paraId="472FA96F" w14:textId="2FF0C10B" w:rsidR="00035544" w:rsidRPr="0081146C" w:rsidRDefault="00035544" w:rsidP="00035544">
      <w:pPr>
        <w:pStyle w:val="subsection"/>
      </w:pPr>
      <w:r w:rsidRPr="0081146C">
        <w:tab/>
        <w:t>(3)</w:t>
      </w:r>
      <w:r w:rsidRPr="0081146C">
        <w:tab/>
        <w:t xml:space="preserve">The </w:t>
      </w:r>
      <w:r w:rsidR="00970B77" w:rsidRPr="0081146C">
        <w:t>AML/CTF Rules</w:t>
      </w:r>
      <w:r w:rsidRPr="0081146C">
        <w:t xml:space="preserve"> may provide that, if:</w:t>
      </w:r>
    </w:p>
    <w:p w14:paraId="0A83D22E" w14:textId="77777777" w:rsidR="00035544" w:rsidRPr="0081146C" w:rsidRDefault="00035544" w:rsidP="00035544">
      <w:pPr>
        <w:pStyle w:val="paragraph"/>
      </w:pPr>
      <w:r w:rsidRPr="0081146C">
        <w:tab/>
        <w:t>(a)</w:t>
      </w:r>
      <w:r w:rsidRPr="0081146C">
        <w:tab/>
        <w:t>a person provides a specified service wholly or partly by means of one or more electronic communications; and</w:t>
      </w:r>
    </w:p>
    <w:p w14:paraId="7E22F3CB" w14:textId="20E913D2" w:rsidR="00035544" w:rsidRPr="0081146C" w:rsidRDefault="00035544" w:rsidP="00035544">
      <w:pPr>
        <w:pStyle w:val="paragraph"/>
      </w:pPr>
      <w:r w:rsidRPr="0081146C">
        <w:tab/>
        <w:t>(b)</w:t>
      </w:r>
      <w:r w:rsidRPr="0081146C">
        <w:tab/>
        <w:t xml:space="preserve">the conditions set out in the </w:t>
      </w:r>
      <w:r w:rsidR="00970B77" w:rsidRPr="0081146C">
        <w:t>AML/CTF Rules</w:t>
      </w:r>
      <w:r w:rsidRPr="0081146C">
        <w:t xml:space="preserve"> are taken to be satisfied in relation to a particular country;</w:t>
      </w:r>
    </w:p>
    <w:p w14:paraId="1DEF9EB8" w14:textId="77777777" w:rsidR="00035544" w:rsidRPr="0081146C" w:rsidRDefault="00035544" w:rsidP="00035544">
      <w:pPr>
        <w:pStyle w:val="subsection2"/>
      </w:pPr>
      <w:r w:rsidRPr="0081146C">
        <w:t>then:</w:t>
      </w:r>
    </w:p>
    <w:p w14:paraId="0CA8C8F2" w14:textId="77777777" w:rsidR="00035544" w:rsidRPr="0081146C" w:rsidRDefault="00035544" w:rsidP="00035544">
      <w:pPr>
        <w:pStyle w:val="paragraph"/>
      </w:pPr>
      <w:r w:rsidRPr="0081146C">
        <w:tab/>
        <w:t>(c)</w:t>
      </w:r>
      <w:r w:rsidRPr="0081146C">
        <w:tab/>
        <w:t>the service is taken, for the purposes of this Act, to be provided at or through a permanent establishment of the person in that country; and</w:t>
      </w:r>
    </w:p>
    <w:p w14:paraId="4231A60F" w14:textId="77777777" w:rsidR="00035544" w:rsidRPr="0081146C" w:rsidRDefault="00035544" w:rsidP="00035544">
      <w:pPr>
        <w:pStyle w:val="paragraph"/>
      </w:pPr>
      <w:r w:rsidRPr="0081146C">
        <w:tab/>
        <w:t>(d)</w:t>
      </w:r>
      <w:r w:rsidRPr="0081146C">
        <w:tab/>
        <w:t>the service is taken, for the purposes of this Act, not to be provided at or through a permanent establishment of the person in another country.</w:t>
      </w:r>
    </w:p>
    <w:p w14:paraId="05BC657E" w14:textId="77777777" w:rsidR="00400673" w:rsidRPr="0081146C" w:rsidRDefault="00400673" w:rsidP="00400673">
      <w:pPr>
        <w:pStyle w:val="ActHead5"/>
      </w:pPr>
      <w:bookmarkStart w:id="51" w:name="_Toc185415721"/>
      <w:bookmarkStart w:id="52" w:name="_Hlk75781390"/>
      <w:r w:rsidRPr="0081146C">
        <w:rPr>
          <w:rStyle w:val="CharSectno"/>
        </w:rPr>
        <w:t>22</w:t>
      </w:r>
      <w:r w:rsidRPr="0081146C">
        <w:t xml:space="preserve">  Officials of Commonwealth, State or Territory agencies</w:t>
      </w:r>
      <w:bookmarkEnd w:id="51"/>
    </w:p>
    <w:p w14:paraId="278E56A9" w14:textId="77777777" w:rsidR="00400673" w:rsidRPr="0081146C" w:rsidRDefault="00400673" w:rsidP="00400673">
      <w:pPr>
        <w:pStyle w:val="subsection"/>
      </w:pPr>
      <w:r w:rsidRPr="0081146C">
        <w:tab/>
        <w:t>(1)</w:t>
      </w:r>
      <w:r w:rsidRPr="0081146C">
        <w:tab/>
        <w:t xml:space="preserve">For the purposes of this Act, an </w:t>
      </w:r>
      <w:r w:rsidRPr="0081146C">
        <w:rPr>
          <w:b/>
          <w:i/>
        </w:rPr>
        <w:t>official</w:t>
      </w:r>
      <w:r w:rsidRPr="0081146C">
        <w:t xml:space="preserve"> of a Commonwealth, State or Territory agency covered by paragraph (a), (b), (c), (d), (e), (f), (g), (h), (i) or (j) of the definition of </w:t>
      </w:r>
      <w:r w:rsidRPr="0081146C">
        <w:rPr>
          <w:b/>
          <w:i/>
        </w:rPr>
        <w:t xml:space="preserve">Commonwealth, State or Territory agency </w:t>
      </w:r>
      <w:r w:rsidRPr="0081146C">
        <w:t>in section 5 is:</w:t>
      </w:r>
    </w:p>
    <w:p w14:paraId="1A9F5A9A" w14:textId="77777777" w:rsidR="00400673" w:rsidRPr="0081146C" w:rsidRDefault="00400673" w:rsidP="00400673">
      <w:pPr>
        <w:pStyle w:val="paragraph"/>
      </w:pPr>
      <w:r w:rsidRPr="0081146C">
        <w:tab/>
        <w:t>(a)</w:t>
      </w:r>
      <w:r w:rsidRPr="0081146C">
        <w:tab/>
        <w:t>the head (however described) of the Commonwealth, State or Territory agency; or</w:t>
      </w:r>
    </w:p>
    <w:p w14:paraId="6E638B2D" w14:textId="77777777" w:rsidR="00400673" w:rsidRPr="0081146C" w:rsidRDefault="00400673" w:rsidP="00400673">
      <w:pPr>
        <w:pStyle w:val="paragraph"/>
      </w:pPr>
      <w:r w:rsidRPr="0081146C">
        <w:tab/>
        <w:t>(b)</w:t>
      </w:r>
      <w:r w:rsidRPr="0081146C">
        <w:tab/>
        <w:t>a member or acting member of the Commonwealth, State or Territory agency; or</w:t>
      </w:r>
    </w:p>
    <w:p w14:paraId="7BDF3741" w14:textId="77777777" w:rsidR="00400673" w:rsidRPr="0081146C" w:rsidRDefault="00400673" w:rsidP="00400673">
      <w:pPr>
        <w:pStyle w:val="paragraph"/>
      </w:pPr>
      <w:r w:rsidRPr="0081146C">
        <w:tab/>
        <w:t>(c)</w:t>
      </w:r>
      <w:r w:rsidRPr="0081146C">
        <w:tab/>
        <w:t>a member of the staff of the Commonwealth, State or Territory agency; or</w:t>
      </w:r>
    </w:p>
    <w:p w14:paraId="3D57A6D5" w14:textId="77777777" w:rsidR="00400673" w:rsidRPr="0081146C" w:rsidRDefault="00400673" w:rsidP="00400673">
      <w:pPr>
        <w:pStyle w:val="paragraph"/>
      </w:pPr>
      <w:r w:rsidRPr="0081146C">
        <w:tab/>
        <w:t>(d)</w:t>
      </w:r>
      <w:r w:rsidRPr="0081146C">
        <w:tab/>
        <w:t>an officer or employee of the Commonwealth, State or Territory agency; or</w:t>
      </w:r>
    </w:p>
    <w:p w14:paraId="66A81AB5" w14:textId="77777777" w:rsidR="00400673" w:rsidRPr="0081146C" w:rsidRDefault="00400673" w:rsidP="00400673">
      <w:pPr>
        <w:pStyle w:val="paragraph"/>
      </w:pPr>
      <w:r w:rsidRPr="0081146C">
        <w:tab/>
        <w:t>(e)</w:t>
      </w:r>
      <w:r w:rsidRPr="0081146C">
        <w:tab/>
        <w:t>an officer, employee or other individual under the direction of the head (however described) of the Commonwealth, State or Territory agency; or</w:t>
      </w:r>
    </w:p>
    <w:p w14:paraId="5A159015" w14:textId="77777777" w:rsidR="00400673" w:rsidRPr="0081146C" w:rsidRDefault="00400673" w:rsidP="00400673">
      <w:pPr>
        <w:pStyle w:val="paragraph"/>
      </w:pPr>
      <w:r w:rsidRPr="0081146C">
        <w:tab/>
        <w:t>(f)</w:t>
      </w:r>
      <w:r w:rsidRPr="0081146C">
        <w:tab/>
        <w:t>an individual who, under the AML/CTF Rules, is taken to be an official of the Commonwealth, State or Territory agency for the purposes of this Act;</w:t>
      </w:r>
    </w:p>
    <w:p w14:paraId="084558EA" w14:textId="77777777" w:rsidR="00400673" w:rsidRPr="0081146C" w:rsidRDefault="00400673" w:rsidP="00400673">
      <w:pPr>
        <w:pStyle w:val="subsection2"/>
      </w:pPr>
      <w:r w:rsidRPr="0081146C">
        <w:t>and, in the case of a Commonwealth Royal Commission or a State/Territory Royal Commission, includes the following:</w:t>
      </w:r>
    </w:p>
    <w:p w14:paraId="6770AFF8" w14:textId="77777777" w:rsidR="00400673" w:rsidRPr="0081146C" w:rsidRDefault="00400673" w:rsidP="00400673">
      <w:pPr>
        <w:pStyle w:val="paragraph"/>
      </w:pPr>
      <w:r w:rsidRPr="0081146C">
        <w:tab/>
        <w:t>(g)</w:t>
      </w:r>
      <w:r w:rsidRPr="0081146C">
        <w:tab/>
        <w:t>a legal practitioner (however described) appointed to assist the Commission;</w:t>
      </w:r>
    </w:p>
    <w:p w14:paraId="691BA850" w14:textId="77777777" w:rsidR="00400673" w:rsidRPr="0081146C" w:rsidRDefault="00400673" w:rsidP="00400673">
      <w:pPr>
        <w:pStyle w:val="paragraph"/>
      </w:pPr>
      <w:r w:rsidRPr="0081146C">
        <w:tab/>
        <w:t>(h)</w:t>
      </w:r>
      <w:r w:rsidRPr="0081146C">
        <w:tab/>
        <w:t>a person authorised under subsection (3).</w:t>
      </w:r>
    </w:p>
    <w:p w14:paraId="6515027E" w14:textId="77777777" w:rsidR="00400673" w:rsidRPr="0081146C" w:rsidRDefault="00400673" w:rsidP="00400673">
      <w:pPr>
        <w:pStyle w:val="subsection"/>
      </w:pPr>
      <w:r w:rsidRPr="0081146C">
        <w:tab/>
        <w:t>(2)</w:t>
      </w:r>
      <w:r w:rsidRPr="0081146C">
        <w:tab/>
        <w:t xml:space="preserve">For the purposes of this Act, an </w:t>
      </w:r>
      <w:r w:rsidRPr="0081146C">
        <w:rPr>
          <w:b/>
          <w:i/>
        </w:rPr>
        <w:t>official</w:t>
      </w:r>
      <w:r w:rsidRPr="0081146C">
        <w:t xml:space="preserve"> of a Commonwealth, State or Territory agency covered by paragraph (k) of the definition of </w:t>
      </w:r>
      <w:r w:rsidRPr="0081146C">
        <w:rPr>
          <w:b/>
          <w:i/>
        </w:rPr>
        <w:t xml:space="preserve">Commonwealth, State or Territory agency </w:t>
      </w:r>
      <w:r w:rsidRPr="0081146C">
        <w:t>in section 5 is:</w:t>
      </w:r>
    </w:p>
    <w:p w14:paraId="720D7828" w14:textId="77777777" w:rsidR="00400673" w:rsidRPr="0081146C" w:rsidRDefault="00400673" w:rsidP="00400673">
      <w:pPr>
        <w:pStyle w:val="paragraph"/>
      </w:pPr>
      <w:r w:rsidRPr="0081146C">
        <w:tab/>
        <w:t>(a)</w:t>
      </w:r>
      <w:r w:rsidRPr="0081146C">
        <w:tab/>
        <w:t>the person who holds the office or appointment; or</w:t>
      </w:r>
    </w:p>
    <w:p w14:paraId="09C79550" w14:textId="77777777" w:rsidR="00400673" w:rsidRPr="0081146C" w:rsidRDefault="00400673" w:rsidP="00400673">
      <w:pPr>
        <w:pStyle w:val="paragraph"/>
      </w:pPr>
      <w:r w:rsidRPr="0081146C">
        <w:tab/>
        <w:t>(b)</w:t>
      </w:r>
      <w:r w:rsidRPr="0081146C">
        <w:tab/>
        <w:t>an individual who, under the AML/CTF Rules, is taken to be an official in relation to the Commonwealth, State or Territory agency for the purposes of this Act.</w:t>
      </w:r>
    </w:p>
    <w:p w14:paraId="48B7DE6D" w14:textId="77777777" w:rsidR="00400673" w:rsidRPr="0081146C" w:rsidRDefault="00400673" w:rsidP="00400673">
      <w:pPr>
        <w:pStyle w:val="SubsectionHead"/>
      </w:pPr>
      <w:r w:rsidRPr="0081146C">
        <w:t>Royal Commissions</w:t>
      </w:r>
    </w:p>
    <w:p w14:paraId="50DCD68F" w14:textId="77777777" w:rsidR="00400673" w:rsidRPr="0081146C" w:rsidRDefault="00400673" w:rsidP="00400673">
      <w:pPr>
        <w:pStyle w:val="subsection"/>
      </w:pPr>
      <w:r w:rsidRPr="0081146C">
        <w:tab/>
        <w:t>(3)</w:t>
      </w:r>
      <w:r w:rsidRPr="0081146C">
        <w:tab/>
        <w:t>Either:</w:t>
      </w:r>
    </w:p>
    <w:p w14:paraId="4320196B" w14:textId="77777777" w:rsidR="00400673" w:rsidRPr="0081146C" w:rsidRDefault="00400673" w:rsidP="00400673">
      <w:pPr>
        <w:pStyle w:val="paragraph"/>
      </w:pPr>
      <w:r w:rsidRPr="0081146C">
        <w:tab/>
        <w:t>(a)</w:t>
      </w:r>
      <w:r w:rsidRPr="0081146C">
        <w:tab/>
        <w:t>the sole Commissioner of a Commonwealth Royal Commission or a State/Territory Royal Commission; or</w:t>
      </w:r>
    </w:p>
    <w:p w14:paraId="417C062C" w14:textId="77777777" w:rsidR="00400673" w:rsidRPr="0081146C" w:rsidRDefault="00400673" w:rsidP="00400673">
      <w:pPr>
        <w:pStyle w:val="paragraph"/>
      </w:pPr>
      <w:r w:rsidRPr="0081146C">
        <w:tab/>
        <w:t>(b)</w:t>
      </w:r>
      <w:r w:rsidRPr="0081146C">
        <w:tab/>
        <w:t>a member of a Commonwealth Royal Commission or a State/Territory Royal Commission;</w:t>
      </w:r>
    </w:p>
    <w:p w14:paraId="4E0599D4" w14:textId="77777777" w:rsidR="00400673" w:rsidRPr="0081146C" w:rsidRDefault="00400673" w:rsidP="00400673">
      <w:pPr>
        <w:pStyle w:val="subsection2"/>
      </w:pPr>
      <w:r w:rsidRPr="0081146C">
        <w:t>may, in writing, authorise a person assisting the Commission for the purposes of paragraph (1)(h).</w:t>
      </w:r>
    </w:p>
    <w:p w14:paraId="47EB3DAC" w14:textId="77777777" w:rsidR="00400673" w:rsidRPr="0081146C" w:rsidRDefault="00400673" w:rsidP="00400673">
      <w:pPr>
        <w:pStyle w:val="notetext"/>
      </w:pPr>
      <w:r w:rsidRPr="0081146C">
        <w:t>Note:</w:t>
      </w:r>
      <w:r w:rsidRPr="0081146C">
        <w:tab/>
        <w:t xml:space="preserve">For revocation, see subsection 33(3) of the </w:t>
      </w:r>
      <w:r w:rsidRPr="0081146C">
        <w:rPr>
          <w:i/>
        </w:rPr>
        <w:t>Acts Interpretation Act 1901</w:t>
      </w:r>
      <w:r w:rsidRPr="0081146C">
        <w:t>.</w:t>
      </w:r>
    </w:p>
    <w:p w14:paraId="26A9B94A" w14:textId="77777777" w:rsidR="00400673" w:rsidRPr="0081146C" w:rsidRDefault="00400673" w:rsidP="00400673">
      <w:pPr>
        <w:pStyle w:val="subsection"/>
      </w:pPr>
      <w:r w:rsidRPr="0081146C">
        <w:tab/>
        <w:t>(4)</w:t>
      </w:r>
      <w:r w:rsidRPr="0081146C">
        <w:tab/>
        <w:t>An authorisation under subsection (3) is not a legislative instrument.</w:t>
      </w:r>
    </w:p>
    <w:p w14:paraId="58362280" w14:textId="77777777" w:rsidR="00035544" w:rsidRPr="0081146C" w:rsidRDefault="00035544" w:rsidP="00035544">
      <w:pPr>
        <w:pStyle w:val="ActHead5"/>
      </w:pPr>
      <w:bookmarkStart w:id="53" w:name="_Toc185415722"/>
      <w:bookmarkEnd w:id="52"/>
      <w:r w:rsidRPr="0081146C">
        <w:rPr>
          <w:rStyle w:val="CharSectno"/>
        </w:rPr>
        <w:t>23</w:t>
      </w:r>
      <w:r w:rsidRPr="0081146C">
        <w:t xml:space="preserve">  Continuity of partnerships</w:t>
      </w:r>
      <w:bookmarkEnd w:id="53"/>
    </w:p>
    <w:p w14:paraId="2FD66171" w14:textId="77777777" w:rsidR="00035544" w:rsidRPr="0081146C" w:rsidRDefault="00035544" w:rsidP="00035544">
      <w:pPr>
        <w:pStyle w:val="subsection"/>
      </w:pPr>
      <w:r w:rsidRPr="0081146C">
        <w:tab/>
      </w:r>
      <w:r w:rsidRPr="0081146C">
        <w:tab/>
        <w:t>For the purposes of this Act, a change in the composition of a partnership does not affect the continuity of the partnership.</w:t>
      </w:r>
    </w:p>
    <w:p w14:paraId="4E64F6D4" w14:textId="77777777" w:rsidR="00035544" w:rsidRPr="0081146C" w:rsidRDefault="00035544" w:rsidP="00035544">
      <w:pPr>
        <w:pStyle w:val="ActHead5"/>
      </w:pPr>
      <w:bookmarkStart w:id="54" w:name="_Toc185415723"/>
      <w:r w:rsidRPr="0081146C">
        <w:rPr>
          <w:rStyle w:val="CharSectno"/>
        </w:rPr>
        <w:t>24</w:t>
      </w:r>
      <w:r w:rsidRPr="0081146C">
        <w:t xml:space="preserve">  Crown to be bound</w:t>
      </w:r>
      <w:bookmarkEnd w:id="54"/>
    </w:p>
    <w:p w14:paraId="125E077F" w14:textId="77777777" w:rsidR="00035544" w:rsidRPr="0081146C" w:rsidRDefault="00035544" w:rsidP="00035544">
      <w:pPr>
        <w:pStyle w:val="subsection"/>
      </w:pPr>
      <w:r w:rsidRPr="0081146C">
        <w:tab/>
        <w:t>(1)</w:t>
      </w:r>
      <w:r w:rsidRPr="0081146C">
        <w:tab/>
        <w:t>This Act binds the Crown in each of its capacities.</w:t>
      </w:r>
    </w:p>
    <w:p w14:paraId="3C525CDE" w14:textId="77777777" w:rsidR="00035544" w:rsidRPr="0081146C" w:rsidRDefault="00035544" w:rsidP="00035544">
      <w:pPr>
        <w:pStyle w:val="subsection"/>
      </w:pPr>
      <w:r w:rsidRPr="0081146C">
        <w:tab/>
        <w:t>(2)</w:t>
      </w:r>
      <w:r w:rsidRPr="0081146C">
        <w:tab/>
        <w:t>This Act does not make the Crown liable to a pecuniary penalty or to be prosecuted for an offence.</w:t>
      </w:r>
    </w:p>
    <w:p w14:paraId="3EC1804C" w14:textId="77777777" w:rsidR="00035544" w:rsidRPr="0081146C" w:rsidRDefault="00035544" w:rsidP="00035544">
      <w:pPr>
        <w:pStyle w:val="subsection"/>
      </w:pPr>
      <w:r w:rsidRPr="0081146C">
        <w:tab/>
        <w:t>(3)</w:t>
      </w:r>
      <w:r w:rsidRPr="0081146C">
        <w:tab/>
        <w:t xml:space="preserve">The protection in </w:t>
      </w:r>
      <w:r w:rsidR="004F64A4" w:rsidRPr="0081146C">
        <w:t>subsection (</w:t>
      </w:r>
      <w:r w:rsidRPr="0081146C">
        <w:t>2) does not apply to an authority of the Crown.</w:t>
      </w:r>
    </w:p>
    <w:p w14:paraId="2063C0AC" w14:textId="77777777" w:rsidR="00035544" w:rsidRPr="0081146C" w:rsidRDefault="00035544" w:rsidP="00035544">
      <w:pPr>
        <w:pStyle w:val="ActHead5"/>
      </w:pPr>
      <w:bookmarkStart w:id="55" w:name="_Toc185415724"/>
      <w:r w:rsidRPr="0081146C">
        <w:rPr>
          <w:rStyle w:val="CharSectno"/>
        </w:rPr>
        <w:t>25</w:t>
      </w:r>
      <w:r w:rsidRPr="0081146C">
        <w:t xml:space="preserve">  Extension to external Territories</w:t>
      </w:r>
      <w:bookmarkEnd w:id="55"/>
    </w:p>
    <w:p w14:paraId="2DE350E4" w14:textId="77777777" w:rsidR="00035544" w:rsidRPr="0081146C" w:rsidRDefault="00035544" w:rsidP="00035544">
      <w:pPr>
        <w:pStyle w:val="subsection"/>
        <w:rPr>
          <w:b/>
        </w:rPr>
      </w:pPr>
      <w:r w:rsidRPr="0081146C">
        <w:tab/>
      </w:r>
      <w:r w:rsidRPr="0081146C">
        <w:tab/>
        <w:t>This Act extends to every external Territory.</w:t>
      </w:r>
    </w:p>
    <w:p w14:paraId="04A2FC78" w14:textId="77777777" w:rsidR="00035544" w:rsidRPr="0081146C" w:rsidRDefault="00035544" w:rsidP="00035544">
      <w:pPr>
        <w:pStyle w:val="ActHead5"/>
      </w:pPr>
      <w:bookmarkStart w:id="56" w:name="_Toc185415725"/>
      <w:r w:rsidRPr="0081146C">
        <w:rPr>
          <w:rStyle w:val="CharSectno"/>
        </w:rPr>
        <w:t>26</w:t>
      </w:r>
      <w:r w:rsidRPr="0081146C">
        <w:t xml:space="preserve">  Extra</w:t>
      </w:r>
      <w:r w:rsidR="003B7E15" w:rsidRPr="0081146C">
        <w:noBreakHyphen/>
      </w:r>
      <w:r w:rsidRPr="0081146C">
        <w:t>territorial application</w:t>
      </w:r>
      <w:bookmarkEnd w:id="56"/>
    </w:p>
    <w:p w14:paraId="7BBC3F90" w14:textId="77777777" w:rsidR="00035544" w:rsidRPr="0081146C" w:rsidRDefault="00035544" w:rsidP="00035544">
      <w:pPr>
        <w:pStyle w:val="subsection"/>
      </w:pPr>
      <w:r w:rsidRPr="0081146C">
        <w:tab/>
        <w:t>(1)</w:t>
      </w:r>
      <w:r w:rsidRPr="0081146C">
        <w:tab/>
        <w:t>Unless the contrary intention appears, this Act extends to acts, omissions, matters and things outside Australia.</w:t>
      </w:r>
    </w:p>
    <w:p w14:paraId="7FDF6B73" w14:textId="77777777" w:rsidR="00035544" w:rsidRPr="0081146C" w:rsidRDefault="00035544" w:rsidP="00035544">
      <w:pPr>
        <w:pStyle w:val="notetext"/>
      </w:pPr>
      <w:r w:rsidRPr="0081146C">
        <w:t>Note:</w:t>
      </w:r>
      <w:r w:rsidRPr="0081146C">
        <w:tab/>
        <w:t>Subsection</w:t>
      </w:r>
      <w:r w:rsidR="004F64A4" w:rsidRPr="0081146C">
        <w:t> </w:t>
      </w:r>
      <w:r w:rsidRPr="0081146C">
        <w:t>6(6) is an example of a contrary intention.</w:t>
      </w:r>
    </w:p>
    <w:p w14:paraId="392A0999" w14:textId="77777777" w:rsidR="00035544" w:rsidRPr="0081146C" w:rsidRDefault="00035544" w:rsidP="00035544">
      <w:pPr>
        <w:pStyle w:val="subsection"/>
      </w:pPr>
      <w:r w:rsidRPr="0081146C">
        <w:tab/>
        <w:t>(2)</w:t>
      </w:r>
      <w:r w:rsidRPr="0081146C">
        <w:tab/>
        <w:t>Section</w:t>
      </w:r>
      <w:r w:rsidR="004F64A4" w:rsidRPr="0081146C">
        <w:t> </w:t>
      </w:r>
      <w:r w:rsidRPr="0081146C">
        <w:t xml:space="preserve">14.1 of the </w:t>
      </w:r>
      <w:r w:rsidRPr="0081146C">
        <w:rPr>
          <w:i/>
        </w:rPr>
        <w:t>Criminal Code</w:t>
      </w:r>
      <w:r w:rsidRPr="0081146C">
        <w:t xml:space="preserve"> does not apply to an offence against this Act.</w:t>
      </w:r>
    </w:p>
    <w:p w14:paraId="602700CB" w14:textId="77777777" w:rsidR="00970B77" w:rsidRPr="0081146C" w:rsidRDefault="00970B77" w:rsidP="00F011D7">
      <w:pPr>
        <w:pStyle w:val="ActHead2"/>
        <w:pageBreakBefore/>
      </w:pPr>
      <w:bookmarkStart w:id="57" w:name="_Toc176444348"/>
      <w:bookmarkStart w:id="58" w:name="_Toc184033969"/>
      <w:bookmarkStart w:id="59" w:name="_Toc185415726"/>
      <w:r w:rsidRPr="0081146C">
        <w:rPr>
          <w:rStyle w:val="CharPartNo"/>
        </w:rPr>
        <w:t>Part 1A</w:t>
      </w:r>
      <w:r w:rsidRPr="0081146C">
        <w:t>—</w:t>
      </w:r>
      <w:r w:rsidRPr="0081146C">
        <w:rPr>
          <w:rStyle w:val="CharPartText"/>
        </w:rPr>
        <w:t>AML/CTF programs</w:t>
      </w:r>
      <w:bookmarkEnd w:id="57"/>
      <w:bookmarkEnd w:id="58"/>
      <w:bookmarkEnd w:id="59"/>
    </w:p>
    <w:p w14:paraId="53565638" w14:textId="77777777" w:rsidR="00970B77" w:rsidRPr="0081146C" w:rsidRDefault="00970B77" w:rsidP="00970B77">
      <w:pPr>
        <w:pStyle w:val="ActHead3"/>
      </w:pPr>
      <w:bookmarkStart w:id="60" w:name="_Toc176444349"/>
      <w:bookmarkStart w:id="61" w:name="_Toc184033970"/>
      <w:bookmarkStart w:id="62" w:name="_Toc185415727"/>
      <w:r w:rsidRPr="0081146C">
        <w:rPr>
          <w:rStyle w:val="CharDivNo"/>
        </w:rPr>
        <w:t>Division 1</w:t>
      </w:r>
      <w:r w:rsidRPr="0081146C">
        <w:t>—</w:t>
      </w:r>
      <w:r w:rsidRPr="0081146C">
        <w:rPr>
          <w:rStyle w:val="CharDivText"/>
        </w:rPr>
        <w:t>Introduction</w:t>
      </w:r>
      <w:bookmarkEnd w:id="60"/>
      <w:bookmarkEnd w:id="61"/>
      <w:bookmarkEnd w:id="62"/>
    </w:p>
    <w:p w14:paraId="32368074" w14:textId="77777777" w:rsidR="00970B77" w:rsidRPr="0081146C" w:rsidRDefault="00970B77" w:rsidP="00970B77">
      <w:pPr>
        <w:pStyle w:val="ActHead5"/>
      </w:pPr>
      <w:bookmarkStart w:id="63" w:name="_Toc176444350"/>
      <w:bookmarkStart w:id="64" w:name="_Toc184033971"/>
      <w:bookmarkStart w:id="65" w:name="_Toc185415728"/>
      <w:r w:rsidRPr="0081146C">
        <w:rPr>
          <w:rStyle w:val="CharSectno"/>
        </w:rPr>
        <w:t>26A</w:t>
      </w:r>
      <w:r w:rsidRPr="0081146C">
        <w:t xml:space="preserve">  Simplified outline</w:t>
      </w:r>
      <w:bookmarkEnd w:id="63"/>
      <w:bookmarkEnd w:id="64"/>
      <w:bookmarkEnd w:id="65"/>
    </w:p>
    <w:p w14:paraId="6FEAC15F" w14:textId="77777777" w:rsidR="00970B77" w:rsidRPr="0081146C" w:rsidRDefault="00970B77" w:rsidP="00970B77">
      <w:pPr>
        <w:pStyle w:val="subsection"/>
      </w:pPr>
      <w:r w:rsidRPr="0081146C">
        <w:tab/>
      </w:r>
      <w:r w:rsidRPr="0081146C">
        <w:tab/>
        <w:t>The following is a simplified outline of this Part:</w:t>
      </w:r>
    </w:p>
    <w:p w14:paraId="1C09548C" w14:textId="77777777" w:rsidR="00970B77" w:rsidRPr="0081146C" w:rsidRDefault="00970B77" w:rsidP="00970B77">
      <w:pPr>
        <w:pStyle w:val="SOBullet"/>
      </w:pPr>
      <w:r w:rsidRPr="0081146C">
        <w:t>•</w:t>
      </w:r>
      <w:r w:rsidRPr="0081146C">
        <w:tab/>
        <w:t>A reporting entity must have and comply with an AML/CTF program. An AML/CTF program comprises the reporting entity’s ML/TF risk assessment and AML/CTF policies.</w:t>
      </w:r>
    </w:p>
    <w:p w14:paraId="2CFD3C3A" w14:textId="77777777" w:rsidR="00970B77" w:rsidRPr="0081146C" w:rsidRDefault="00970B77" w:rsidP="00970B77">
      <w:pPr>
        <w:pStyle w:val="SOBullet"/>
      </w:pPr>
      <w:r w:rsidRPr="0081146C">
        <w:t>•</w:t>
      </w:r>
      <w:r w:rsidRPr="0081146C">
        <w:tab/>
        <w:t>The ML/TF risk assessment is an assessment of the risks of money laundering, financing of terrorism and proliferation financing that the reporting entity may reasonably face in providing its designated services.</w:t>
      </w:r>
    </w:p>
    <w:p w14:paraId="09FC4DD9" w14:textId="77777777" w:rsidR="00970B77" w:rsidRPr="0081146C" w:rsidRDefault="00970B77" w:rsidP="00970B77">
      <w:pPr>
        <w:pStyle w:val="SOBullet"/>
      </w:pPr>
      <w:r w:rsidRPr="0081146C">
        <w:t>•</w:t>
      </w:r>
      <w:r w:rsidRPr="0081146C">
        <w:tab/>
        <w:t>The AML/CTF policies must appropriately manage and mitigate those risks and ensure the reporting entity complies with this Act and instruments under this Act.</w:t>
      </w:r>
    </w:p>
    <w:p w14:paraId="2F4329F7" w14:textId="77777777" w:rsidR="00970B77" w:rsidRPr="0081146C" w:rsidRDefault="00970B77" w:rsidP="00970B77">
      <w:pPr>
        <w:pStyle w:val="SOBullet"/>
      </w:pPr>
      <w:r w:rsidRPr="0081146C">
        <w:t>•</w:t>
      </w:r>
      <w:r w:rsidRPr="0081146C">
        <w:tab/>
        <w:t>The AML/CTF program must be appropriate to the nature, size and complexity of the reporting entity’s business. For a lead entity of a reporting group, it must be appropriate to the nature, size and complexity of the business of each reporting entity in the reporting group.</w:t>
      </w:r>
    </w:p>
    <w:p w14:paraId="3EADC20C" w14:textId="77777777" w:rsidR="00970B77" w:rsidRPr="0081146C" w:rsidRDefault="00970B77" w:rsidP="00970B77">
      <w:pPr>
        <w:pStyle w:val="SOBullet"/>
      </w:pPr>
      <w:r w:rsidRPr="0081146C">
        <w:t>•</w:t>
      </w:r>
      <w:r w:rsidRPr="0081146C">
        <w:tab/>
        <w:t>The governing body of the reporting entity has responsibilities relating to the AML/CTF program, including relating to overseeing and ensuring the reporting entity complies with the AML/CTF policies, this Act and instruments under this Act.</w:t>
      </w:r>
    </w:p>
    <w:p w14:paraId="2AFA0D9E" w14:textId="77777777" w:rsidR="00970B77" w:rsidRPr="0081146C" w:rsidRDefault="00970B77" w:rsidP="00970B77">
      <w:pPr>
        <w:pStyle w:val="SOBullet"/>
      </w:pPr>
      <w:r w:rsidRPr="0081146C">
        <w:t>•</w:t>
      </w:r>
      <w:r w:rsidRPr="0081146C">
        <w:tab/>
        <w:t>The reporting entity must have an AML/CTF compliance officer. The AML/CTF compliance officer has various functions, including to oversee and coordinate the effective operation of, and compliance with, the AML/CTF policies.</w:t>
      </w:r>
    </w:p>
    <w:p w14:paraId="55E93645" w14:textId="77777777" w:rsidR="00970B77" w:rsidRPr="0081146C" w:rsidRDefault="00970B77" w:rsidP="00970B77">
      <w:pPr>
        <w:pStyle w:val="ActHead5"/>
      </w:pPr>
      <w:bookmarkStart w:id="66" w:name="_Toc176444351"/>
      <w:bookmarkStart w:id="67" w:name="_Toc184033972"/>
      <w:bookmarkStart w:id="68" w:name="_Toc185415729"/>
      <w:r w:rsidRPr="0081146C">
        <w:rPr>
          <w:rStyle w:val="CharSectno"/>
        </w:rPr>
        <w:t>26B</w:t>
      </w:r>
      <w:r w:rsidRPr="0081146C">
        <w:t xml:space="preserve">  What is an AML/CTF program?</w:t>
      </w:r>
      <w:bookmarkEnd w:id="66"/>
      <w:bookmarkEnd w:id="67"/>
      <w:bookmarkEnd w:id="68"/>
    </w:p>
    <w:p w14:paraId="6ED3E708" w14:textId="77777777" w:rsidR="00970B77" w:rsidRPr="0081146C" w:rsidRDefault="00970B77" w:rsidP="00970B77">
      <w:pPr>
        <w:pStyle w:val="subsection"/>
      </w:pPr>
      <w:bookmarkStart w:id="69" w:name="_Hlk166424633"/>
      <w:r w:rsidRPr="0081146C">
        <w:tab/>
      </w:r>
      <w:r w:rsidRPr="0081146C">
        <w:tab/>
        <w:t xml:space="preserve">An </w:t>
      </w:r>
      <w:r w:rsidRPr="0081146C">
        <w:rPr>
          <w:b/>
          <w:i/>
        </w:rPr>
        <w:t>AML/CTF program</w:t>
      </w:r>
      <w:r w:rsidRPr="0081146C">
        <w:t xml:space="preserve"> of a reporting entity comprises:</w:t>
      </w:r>
    </w:p>
    <w:p w14:paraId="5253024F" w14:textId="77777777" w:rsidR="00970B77" w:rsidRPr="0081146C" w:rsidRDefault="00970B77" w:rsidP="00970B77">
      <w:pPr>
        <w:pStyle w:val="paragraph"/>
      </w:pPr>
      <w:r w:rsidRPr="0081146C">
        <w:tab/>
        <w:t>(a)</w:t>
      </w:r>
      <w:r w:rsidRPr="0081146C">
        <w:tab/>
        <w:t>the reporting entity’s ML/TF risk assessment; and</w:t>
      </w:r>
    </w:p>
    <w:p w14:paraId="558C79D3" w14:textId="77777777" w:rsidR="00970B77" w:rsidRPr="0081146C" w:rsidRDefault="00970B77" w:rsidP="00970B77">
      <w:pPr>
        <w:pStyle w:val="paragraph"/>
      </w:pPr>
      <w:r w:rsidRPr="0081146C">
        <w:tab/>
        <w:t>(b)</w:t>
      </w:r>
      <w:r w:rsidRPr="0081146C">
        <w:tab/>
        <w:t>the reporting entity’s AML/CTF policies.</w:t>
      </w:r>
    </w:p>
    <w:p w14:paraId="092A676D" w14:textId="77777777" w:rsidR="00970B77" w:rsidRPr="0081146C" w:rsidRDefault="00970B77" w:rsidP="00F011D7">
      <w:pPr>
        <w:pStyle w:val="ActHead3"/>
        <w:pageBreakBefore/>
      </w:pPr>
      <w:bookmarkStart w:id="70" w:name="_Toc176444352"/>
      <w:bookmarkStart w:id="71" w:name="_Toc184033973"/>
      <w:bookmarkStart w:id="72" w:name="_Toc185415730"/>
      <w:bookmarkEnd w:id="69"/>
      <w:r w:rsidRPr="0081146C">
        <w:rPr>
          <w:rStyle w:val="CharDivNo"/>
        </w:rPr>
        <w:t>Division 2</w:t>
      </w:r>
      <w:r w:rsidRPr="0081146C">
        <w:t>—</w:t>
      </w:r>
      <w:r w:rsidRPr="0081146C">
        <w:rPr>
          <w:rStyle w:val="CharDivText"/>
        </w:rPr>
        <w:t>ML/TF risk assessment</w:t>
      </w:r>
      <w:bookmarkEnd w:id="70"/>
      <w:bookmarkEnd w:id="71"/>
      <w:bookmarkEnd w:id="72"/>
    </w:p>
    <w:p w14:paraId="3ACE76EC" w14:textId="77777777" w:rsidR="00970B77" w:rsidRPr="0081146C" w:rsidRDefault="00970B77" w:rsidP="00970B77">
      <w:pPr>
        <w:pStyle w:val="ActHead5"/>
      </w:pPr>
      <w:bookmarkStart w:id="73" w:name="_Toc176444353"/>
      <w:bookmarkStart w:id="74" w:name="_Toc184033974"/>
      <w:bookmarkStart w:id="75" w:name="_Toc185415731"/>
      <w:r w:rsidRPr="0081146C">
        <w:rPr>
          <w:rStyle w:val="CharSectno"/>
        </w:rPr>
        <w:t>26C</w:t>
      </w:r>
      <w:r w:rsidRPr="0081146C">
        <w:t xml:space="preserve">  Reporting entities must undertake an ML/TF risk assessment</w:t>
      </w:r>
      <w:bookmarkEnd w:id="73"/>
      <w:bookmarkEnd w:id="74"/>
      <w:bookmarkEnd w:id="75"/>
    </w:p>
    <w:p w14:paraId="1DB509AA" w14:textId="77777777" w:rsidR="00970B77" w:rsidRPr="0081146C" w:rsidRDefault="00970B77" w:rsidP="00970B77">
      <w:pPr>
        <w:pStyle w:val="subsection"/>
      </w:pPr>
      <w:bookmarkStart w:id="76" w:name="_Hlk166432083"/>
      <w:bookmarkStart w:id="77" w:name="_Hlk166419818"/>
      <w:r w:rsidRPr="0081146C">
        <w:tab/>
        <w:t>(1)</w:t>
      </w:r>
      <w:r w:rsidRPr="0081146C">
        <w:tab/>
        <w:t xml:space="preserve">A reporting entity must undertake an assessment (an </w:t>
      </w:r>
      <w:r w:rsidRPr="0081146C">
        <w:rPr>
          <w:b/>
          <w:i/>
        </w:rPr>
        <w:t>ML/TF risk assessment</w:t>
      </w:r>
      <w:r w:rsidRPr="0081146C">
        <w:t>) that identifies and assesses the risks of money laundering, financing of terrorism and proliferation financing that the reporting entity may reasonably face in providing its designated services.</w:t>
      </w:r>
    </w:p>
    <w:bookmarkEnd w:id="76"/>
    <w:bookmarkEnd w:id="77"/>
    <w:p w14:paraId="45406EA3" w14:textId="77777777" w:rsidR="00970B77" w:rsidRPr="0081146C" w:rsidRDefault="00970B77" w:rsidP="00970B77">
      <w:pPr>
        <w:pStyle w:val="subsection"/>
      </w:pPr>
      <w:r w:rsidRPr="0081146C">
        <w:tab/>
        <w:t>(2)</w:t>
      </w:r>
      <w:r w:rsidRPr="0081146C">
        <w:tab/>
        <w:t>The steps taken by a reporting entity in relation to undertaking the reporting entity’s ML/TF risk assessment must be appropriate to the nature, size and complexity of the reporting entity’s business.</w:t>
      </w:r>
    </w:p>
    <w:p w14:paraId="53E13FAD" w14:textId="77777777" w:rsidR="00970B77" w:rsidRPr="0081146C" w:rsidRDefault="00970B77" w:rsidP="00970B77">
      <w:pPr>
        <w:pStyle w:val="notetext"/>
      </w:pPr>
      <w:r w:rsidRPr="0081146C">
        <w:t>Note:</w:t>
      </w:r>
      <w:r w:rsidRPr="0081146C">
        <w:tab/>
        <w:t>See also section 26U (business of a lead entity of a reporting group).</w:t>
      </w:r>
    </w:p>
    <w:p w14:paraId="0354AF3C" w14:textId="77777777" w:rsidR="00970B77" w:rsidRPr="0081146C" w:rsidRDefault="00970B77" w:rsidP="00970B77">
      <w:pPr>
        <w:pStyle w:val="SubsectionHead"/>
      </w:pPr>
      <w:r w:rsidRPr="0081146C">
        <w:t>Additional obligations that apply to reporting entities that provide designated services at or through permanent establishments in Australia</w:t>
      </w:r>
    </w:p>
    <w:p w14:paraId="62D34D0A" w14:textId="77777777" w:rsidR="00970B77" w:rsidRPr="0081146C" w:rsidRDefault="00970B77" w:rsidP="00970B77">
      <w:pPr>
        <w:pStyle w:val="subsection"/>
      </w:pPr>
      <w:r w:rsidRPr="0081146C">
        <w:tab/>
        <w:t>(3)</w:t>
      </w:r>
      <w:r w:rsidRPr="0081146C">
        <w:tab/>
        <w:t>If the reporting entity provides designated services at or through a permanent establishment of the reporting entity in Australia, the reporting entity must have regard to the following matters in undertaking an ML/TF risk assessment:</w:t>
      </w:r>
    </w:p>
    <w:p w14:paraId="5F3F53F9" w14:textId="77777777" w:rsidR="00970B77" w:rsidRPr="0081146C" w:rsidRDefault="00970B77" w:rsidP="00970B77">
      <w:pPr>
        <w:pStyle w:val="paragraph"/>
      </w:pPr>
      <w:r w:rsidRPr="0081146C">
        <w:tab/>
        <w:t>(a)</w:t>
      </w:r>
      <w:r w:rsidRPr="0081146C">
        <w:tab/>
        <w:t>the kinds of designated services provided, or proposed to be provided, by the reporting entity, including any new or emerging technologies relating to those services;</w:t>
      </w:r>
    </w:p>
    <w:p w14:paraId="1B85520C" w14:textId="77777777" w:rsidR="00970B77" w:rsidRPr="0081146C" w:rsidRDefault="00970B77" w:rsidP="00970B77">
      <w:pPr>
        <w:pStyle w:val="paragraph"/>
      </w:pPr>
      <w:r w:rsidRPr="0081146C">
        <w:tab/>
        <w:t>(b)</w:t>
      </w:r>
      <w:r w:rsidRPr="0081146C">
        <w:tab/>
        <w:t>the kinds of customers to whom the reporting entity’s designated services are or will be provided;</w:t>
      </w:r>
    </w:p>
    <w:p w14:paraId="64A960FC" w14:textId="77777777" w:rsidR="00970B77" w:rsidRPr="0081146C" w:rsidRDefault="00970B77" w:rsidP="00970B77">
      <w:pPr>
        <w:pStyle w:val="paragraph"/>
      </w:pPr>
      <w:r w:rsidRPr="0081146C">
        <w:tab/>
        <w:t>(c)</w:t>
      </w:r>
      <w:r w:rsidRPr="0081146C">
        <w:tab/>
        <w:t>the delivery channels by which the reporting entity’s designated services are or will be provided, including any new or emerging technologies relating to those delivery channels;</w:t>
      </w:r>
    </w:p>
    <w:p w14:paraId="50FAA074" w14:textId="77777777" w:rsidR="00970B77" w:rsidRPr="0081146C" w:rsidRDefault="00970B77" w:rsidP="00970B77">
      <w:pPr>
        <w:pStyle w:val="paragraph"/>
      </w:pPr>
      <w:r w:rsidRPr="0081146C">
        <w:tab/>
        <w:t>(d)</w:t>
      </w:r>
      <w:r w:rsidRPr="0081146C">
        <w:tab/>
        <w:t>the countries with which the reporting entity deals, or will deal, in providing its designated services;</w:t>
      </w:r>
    </w:p>
    <w:p w14:paraId="39EA541D" w14:textId="77777777" w:rsidR="00970B77" w:rsidRPr="0081146C" w:rsidRDefault="00970B77" w:rsidP="00970B77">
      <w:pPr>
        <w:pStyle w:val="paragraph"/>
      </w:pPr>
      <w:r w:rsidRPr="0081146C">
        <w:tab/>
        <w:t>(e)</w:t>
      </w:r>
      <w:r w:rsidRPr="0081146C">
        <w:tab/>
        <w:t>information communicated either directly or indirectly by AUSTRAC to the reporting entity that identifies or assesses the risks associated with the reporting entity’s provision of its designated services;</w:t>
      </w:r>
    </w:p>
    <w:p w14:paraId="6DA9AB6F" w14:textId="77777777" w:rsidR="00970B77" w:rsidRPr="0081146C" w:rsidRDefault="00970B77" w:rsidP="00970B77">
      <w:pPr>
        <w:pStyle w:val="paragraph"/>
      </w:pPr>
      <w:r w:rsidRPr="0081146C">
        <w:tab/>
        <w:t>(f)</w:t>
      </w:r>
      <w:r w:rsidRPr="0081146C">
        <w:tab/>
        <w:t>the matters (if any) specified in the AML/CTF Rules.</w:t>
      </w:r>
    </w:p>
    <w:p w14:paraId="2122A56E" w14:textId="77777777" w:rsidR="00970B77" w:rsidRPr="0081146C" w:rsidRDefault="00970B77" w:rsidP="00970B77">
      <w:pPr>
        <w:pStyle w:val="subsection"/>
      </w:pPr>
      <w:r w:rsidRPr="0081146C">
        <w:tab/>
        <w:t>(4)</w:t>
      </w:r>
      <w:r w:rsidRPr="0081146C">
        <w:tab/>
        <w:t>Subsection (3) does not limit subsection (1).</w:t>
      </w:r>
    </w:p>
    <w:p w14:paraId="49313A36" w14:textId="77777777" w:rsidR="00970B77" w:rsidRPr="0081146C" w:rsidRDefault="00970B77" w:rsidP="00970B77">
      <w:pPr>
        <w:pStyle w:val="ActHead5"/>
      </w:pPr>
      <w:bookmarkStart w:id="78" w:name="_Toc176444354"/>
      <w:bookmarkStart w:id="79" w:name="_Toc184033975"/>
      <w:bookmarkStart w:id="80" w:name="_Toc185415732"/>
      <w:r w:rsidRPr="0081146C">
        <w:rPr>
          <w:rStyle w:val="CharSectno"/>
        </w:rPr>
        <w:t>26D</w:t>
      </w:r>
      <w:r w:rsidRPr="0081146C">
        <w:t xml:space="preserve">  Reporting entities must review and update ML/TF risk assessment</w:t>
      </w:r>
      <w:bookmarkEnd w:id="78"/>
      <w:bookmarkEnd w:id="79"/>
      <w:bookmarkEnd w:id="80"/>
    </w:p>
    <w:p w14:paraId="00930DE0" w14:textId="77777777" w:rsidR="00970B77" w:rsidRPr="0081146C" w:rsidRDefault="00970B77" w:rsidP="00970B77">
      <w:pPr>
        <w:pStyle w:val="SubsectionHead"/>
      </w:pPr>
      <w:r w:rsidRPr="0081146C">
        <w:t>Review of ML/TF risk assessment</w:t>
      </w:r>
    </w:p>
    <w:p w14:paraId="2487FF34" w14:textId="77777777" w:rsidR="00970B77" w:rsidRPr="0081146C" w:rsidRDefault="00970B77" w:rsidP="00970B77">
      <w:pPr>
        <w:pStyle w:val="subsection"/>
      </w:pPr>
      <w:r w:rsidRPr="0081146C">
        <w:tab/>
        <w:t>(1)</w:t>
      </w:r>
      <w:r w:rsidRPr="0081146C">
        <w:tab/>
        <w:t>A reporting entity must review its ML/TF risk assessment for the purpose of identifying and assessing any new or changed risks of money laundering, financing of terrorism and proliferation financing that the reporting entity may reasonably face in providing its designated services:</w:t>
      </w:r>
    </w:p>
    <w:p w14:paraId="1056238B" w14:textId="77777777" w:rsidR="00970B77" w:rsidRPr="0081146C" w:rsidRDefault="00970B77" w:rsidP="00970B77">
      <w:pPr>
        <w:pStyle w:val="paragraph"/>
      </w:pPr>
      <w:r w:rsidRPr="0081146C">
        <w:tab/>
        <w:t>(a)</w:t>
      </w:r>
      <w:r w:rsidRPr="0081146C">
        <w:tab/>
        <w:t>if any of the following occur:</w:t>
      </w:r>
    </w:p>
    <w:p w14:paraId="539E4C92" w14:textId="77777777" w:rsidR="00970B77" w:rsidRPr="0081146C" w:rsidRDefault="00970B77" w:rsidP="00970B77">
      <w:pPr>
        <w:pStyle w:val="paragraphsub"/>
      </w:pPr>
      <w:r w:rsidRPr="0081146C">
        <w:tab/>
        <w:t>(i)</w:t>
      </w:r>
      <w:r w:rsidRPr="0081146C">
        <w:tab/>
        <w:t>there is a significant change to any of the matters mentioned in subsection 26C(3);</w:t>
      </w:r>
    </w:p>
    <w:p w14:paraId="7AEC60A7" w14:textId="77777777" w:rsidR="00970B77" w:rsidRPr="0081146C" w:rsidRDefault="00970B77" w:rsidP="00970B77">
      <w:pPr>
        <w:pStyle w:val="paragraphsub"/>
      </w:pPr>
      <w:r w:rsidRPr="0081146C">
        <w:tab/>
        <w:t>(ii)</w:t>
      </w:r>
      <w:r w:rsidRPr="0081146C">
        <w:tab/>
        <w:t>AUSTRAC communicates to the reporting entity information that identifies or assesses risks associated with the reporting entity’s provision of its designated services;</w:t>
      </w:r>
    </w:p>
    <w:p w14:paraId="5944E67F" w14:textId="77777777" w:rsidR="00970B77" w:rsidRPr="0081146C" w:rsidRDefault="00970B77" w:rsidP="00970B77">
      <w:pPr>
        <w:pStyle w:val="paragraphsub"/>
      </w:pPr>
      <w:r w:rsidRPr="0081146C">
        <w:tab/>
        <w:t>(iii)</w:t>
      </w:r>
      <w:r w:rsidRPr="0081146C">
        <w:tab/>
        <w:t>circumstances specified in the AML/CTF Rules; and</w:t>
      </w:r>
    </w:p>
    <w:p w14:paraId="434B6B7B" w14:textId="77777777" w:rsidR="00970B77" w:rsidRPr="0081146C" w:rsidRDefault="00970B77" w:rsidP="00970B77">
      <w:pPr>
        <w:pStyle w:val="paragraph"/>
      </w:pPr>
      <w:r w:rsidRPr="0081146C">
        <w:tab/>
        <w:t>(b)</w:t>
      </w:r>
      <w:r w:rsidRPr="0081146C">
        <w:tab/>
        <w:t>in any event—at least once every 3 years.</w:t>
      </w:r>
    </w:p>
    <w:p w14:paraId="3F672341" w14:textId="77777777" w:rsidR="00970B77" w:rsidRPr="0081146C" w:rsidRDefault="00970B77" w:rsidP="00970B77">
      <w:pPr>
        <w:pStyle w:val="subsection"/>
      </w:pPr>
      <w:r w:rsidRPr="0081146C">
        <w:tab/>
        <w:t>(2)</w:t>
      </w:r>
      <w:r w:rsidRPr="0081146C">
        <w:tab/>
        <w:t>The review must be undertaken:</w:t>
      </w:r>
    </w:p>
    <w:p w14:paraId="72C038B8" w14:textId="77777777" w:rsidR="00970B77" w:rsidRPr="0081146C" w:rsidRDefault="00970B77" w:rsidP="00970B77">
      <w:pPr>
        <w:pStyle w:val="paragraph"/>
      </w:pPr>
      <w:r w:rsidRPr="0081146C">
        <w:tab/>
        <w:t>(a)</w:t>
      </w:r>
      <w:r w:rsidRPr="0081146C">
        <w:tab/>
        <w:t>for a significant change that is within the control of the reporting entity—before the significant change occurs; or</w:t>
      </w:r>
    </w:p>
    <w:p w14:paraId="534CEF51" w14:textId="77777777" w:rsidR="00970B77" w:rsidRPr="0081146C" w:rsidRDefault="00970B77" w:rsidP="00970B77">
      <w:pPr>
        <w:pStyle w:val="paragraph"/>
      </w:pPr>
      <w:r w:rsidRPr="0081146C">
        <w:tab/>
        <w:t>(b)</w:t>
      </w:r>
      <w:r w:rsidRPr="0081146C">
        <w:tab/>
        <w:t>for a significant change that is not within the control of the reporting entity—as soon as practicable after the significant change occurs; or</w:t>
      </w:r>
    </w:p>
    <w:p w14:paraId="4985D5A9" w14:textId="77777777" w:rsidR="00970B77" w:rsidRPr="0081146C" w:rsidRDefault="00970B77" w:rsidP="00970B77">
      <w:pPr>
        <w:pStyle w:val="paragraph"/>
      </w:pPr>
      <w:r w:rsidRPr="0081146C">
        <w:tab/>
        <w:t>(c)</w:t>
      </w:r>
      <w:r w:rsidRPr="0081146C">
        <w:tab/>
        <w:t>for information communicated for the purposes of subparagraph (1)(a)(ii)—as soon as practicable after the information is communicated to the reporting entity; or</w:t>
      </w:r>
    </w:p>
    <w:p w14:paraId="2E628911" w14:textId="77777777" w:rsidR="00970B77" w:rsidRPr="0081146C" w:rsidRDefault="00970B77" w:rsidP="00970B77">
      <w:pPr>
        <w:pStyle w:val="paragraph"/>
      </w:pPr>
      <w:r w:rsidRPr="0081146C">
        <w:tab/>
        <w:t>(d)</w:t>
      </w:r>
      <w:r w:rsidRPr="0081146C">
        <w:tab/>
        <w:t>for circumstances specified in the AML/CTF Rules—at the time, or within the period, specified in the AML/CTF Rules.</w:t>
      </w:r>
    </w:p>
    <w:p w14:paraId="15310E65" w14:textId="77777777" w:rsidR="00970B77" w:rsidRPr="0081146C" w:rsidRDefault="00970B77" w:rsidP="00970B77">
      <w:pPr>
        <w:pStyle w:val="subsection"/>
      </w:pPr>
      <w:r w:rsidRPr="0081146C">
        <w:tab/>
        <w:t>(3)</w:t>
      </w:r>
      <w:r w:rsidRPr="0081146C">
        <w:tab/>
        <w:t>The review must be appropriate to the nature, size and complexity of the reporting entity’s business.</w:t>
      </w:r>
    </w:p>
    <w:p w14:paraId="1601FB88" w14:textId="77777777" w:rsidR="00970B77" w:rsidRPr="0081146C" w:rsidRDefault="00970B77" w:rsidP="00970B77">
      <w:pPr>
        <w:pStyle w:val="notetext"/>
      </w:pPr>
      <w:r w:rsidRPr="0081146C">
        <w:t>Note:</w:t>
      </w:r>
      <w:r w:rsidRPr="0081146C">
        <w:tab/>
        <w:t>See also section 26U (business of a lead entity of a reporting group).</w:t>
      </w:r>
    </w:p>
    <w:p w14:paraId="651B44C7" w14:textId="77777777" w:rsidR="00970B77" w:rsidRPr="0081146C" w:rsidRDefault="00970B77" w:rsidP="00970B77">
      <w:pPr>
        <w:pStyle w:val="SubsectionHead"/>
      </w:pPr>
      <w:r w:rsidRPr="0081146C">
        <w:t>Updating ML/TF risk assessment</w:t>
      </w:r>
    </w:p>
    <w:p w14:paraId="622A8538" w14:textId="77777777" w:rsidR="00970B77" w:rsidRPr="0081146C" w:rsidRDefault="00970B77" w:rsidP="00970B77">
      <w:pPr>
        <w:pStyle w:val="subsection"/>
      </w:pPr>
      <w:r w:rsidRPr="0081146C">
        <w:tab/>
        <w:t>(4)</w:t>
      </w:r>
      <w:r w:rsidRPr="0081146C">
        <w:tab/>
        <w:t>A reporting entity must update its ML/TF risk assessment to address any issues identified by a review:</w:t>
      </w:r>
    </w:p>
    <w:p w14:paraId="1445AA03" w14:textId="77777777" w:rsidR="00970B77" w:rsidRPr="0081146C" w:rsidRDefault="00970B77" w:rsidP="00970B77">
      <w:pPr>
        <w:pStyle w:val="paragraph"/>
      </w:pPr>
      <w:r w:rsidRPr="0081146C">
        <w:tab/>
        <w:t>(a)</w:t>
      </w:r>
      <w:r w:rsidRPr="0081146C">
        <w:tab/>
        <w:t>for a significant change that is within the control of the reporting entity—before the significant change occurs; or</w:t>
      </w:r>
    </w:p>
    <w:p w14:paraId="4F97E172" w14:textId="77777777" w:rsidR="00970B77" w:rsidRPr="0081146C" w:rsidRDefault="00970B77" w:rsidP="00970B77">
      <w:pPr>
        <w:pStyle w:val="paragraph"/>
      </w:pPr>
      <w:r w:rsidRPr="0081146C">
        <w:tab/>
        <w:t>(b)</w:t>
      </w:r>
      <w:r w:rsidRPr="0081146C">
        <w:tab/>
        <w:t>in any other case—as soon as practicable after the review is completed.</w:t>
      </w:r>
    </w:p>
    <w:p w14:paraId="10B0C0A3" w14:textId="77777777" w:rsidR="00970B77" w:rsidRPr="0081146C" w:rsidRDefault="00970B77" w:rsidP="00970B77">
      <w:pPr>
        <w:pStyle w:val="ActHead5"/>
      </w:pPr>
      <w:bookmarkStart w:id="81" w:name="_Toc176444355"/>
      <w:bookmarkStart w:id="82" w:name="_Toc184033976"/>
      <w:bookmarkStart w:id="83" w:name="_Toc185415733"/>
      <w:r w:rsidRPr="0081146C">
        <w:rPr>
          <w:rStyle w:val="CharSectno"/>
        </w:rPr>
        <w:t>26E</w:t>
      </w:r>
      <w:r w:rsidRPr="0081146C">
        <w:t xml:space="preserve">  Reporting entities must have up</w:t>
      </w:r>
      <w:r w:rsidRPr="0081146C">
        <w:noBreakHyphen/>
        <w:t>to</w:t>
      </w:r>
      <w:r w:rsidRPr="0081146C">
        <w:noBreakHyphen/>
        <w:t>date ML/TF risk assessment before providing designated services</w:t>
      </w:r>
      <w:bookmarkEnd w:id="81"/>
      <w:bookmarkEnd w:id="82"/>
      <w:bookmarkEnd w:id="83"/>
    </w:p>
    <w:p w14:paraId="67DAE81B" w14:textId="77777777" w:rsidR="00970B77" w:rsidRPr="0081146C" w:rsidRDefault="00970B77" w:rsidP="00970B77">
      <w:pPr>
        <w:pStyle w:val="subsection"/>
      </w:pPr>
      <w:r w:rsidRPr="0081146C">
        <w:tab/>
        <w:t>(1)</w:t>
      </w:r>
      <w:r w:rsidRPr="0081146C">
        <w:tab/>
        <w:t>A reporting entity must not commence to provide a designated service to a customer if the reporting entity does not comply with section 26C or 26D in relation to the designated service.</w:t>
      </w:r>
    </w:p>
    <w:p w14:paraId="54074B2B" w14:textId="77777777" w:rsidR="00970B77" w:rsidRPr="0081146C" w:rsidRDefault="00970B77" w:rsidP="00970B77">
      <w:pPr>
        <w:pStyle w:val="subsection"/>
      </w:pPr>
      <w:r w:rsidRPr="0081146C">
        <w:tab/>
        <w:t>(2)</w:t>
      </w:r>
      <w:r w:rsidRPr="0081146C">
        <w:tab/>
        <w:t>Subsection (1) is a civil penalty provision.</w:t>
      </w:r>
    </w:p>
    <w:p w14:paraId="36DB9806" w14:textId="77777777" w:rsidR="00970B77" w:rsidRPr="0081146C" w:rsidRDefault="00970B77" w:rsidP="00970B77">
      <w:pPr>
        <w:pStyle w:val="subsection"/>
      </w:pPr>
      <w:r w:rsidRPr="0081146C">
        <w:tab/>
        <w:t>(3)</w:t>
      </w:r>
      <w:r w:rsidRPr="0081146C">
        <w:tab/>
        <w:t>A reporting entity that contravenes subsection (1) commits a separate contravention of that subsection in respect of each designated service that the reporting entity provides to a customer at or through a permanent establishment of the reporting entity in Australia.</w:t>
      </w:r>
    </w:p>
    <w:p w14:paraId="2163EB22" w14:textId="77777777" w:rsidR="00970B77" w:rsidRPr="0081146C" w:rsidRDefault="00970B77" w:rsidP="00970B77">
      <w:pPr>
        <w:pStyle w:val="subsection"/>
      </w:pPr>
      <w:r w:rsidRPr="0081146C">
        <w:tab/>
        <w:t>(4)</w:t>
      </w:r>
      <w:r w:rsidRPr="0081146C">
        <w:tab/>
        <w:t>A reporting entity that contravenes subsection (1) commits a separate contravention of that subsection on each day that the reporting entity provides designated services at or through a permanent establishment of the reporting entity in a foreign country.</w:t>
      </w:r>
    </w:p>
    <w:p w14:paraId="11403FBC" w14:textId="77777777" w:rsidR="00970B77" w:rsidRPr="0081146C" w:rsidRDefault="00970B77" w:rsidP="00F011D7">
      <w:pPr>
        <w:pStyle w:val="ActHead3"/>
        <w:pageBreakBefore/>
      </w:pPr>
      <w:bookmarkStart w:id="84" w:name="_Toc176444356"/>
      <w:bookmarkStart w:id="85" w:name="_Toc184033977"/>
      <w:bookmarkStart w:id="86" w:name="_Toc185415734"/>
      <w:r w:rsidRPr="0081146C">
        <w:rPr>
          <w:rStyle w:val="CharDivNo"/>
        </w:rPr>
        <w:t>Division 3</w:t>
      </w:r>
      <w:r w:rsidRPr="0081146C">
        <w:t>—</w:t>
      </w:r>
      <w:r w:rsidRPr="0081146C">
        <w:rPr>
          <w:rStyle w:val="CharDivText"/>
        </w:rPr>
        <w:t>AML/CTF policies</w:t>
      </w:r>
      <w:bookmarkEnd w:id="84"/>
      <w:bookmarkEnd w:id="85"/>
      <w:bookmarkEnd w:id="86"/>
    </w:p>
    <w:p w14:paraId="68D9D49A" w14:textId="77777777" w:rsidR="00970B77" w:rsidRPr="0081146C" w:rsidRDefault="00970B77" w:rsidP="00970B77">
      <w:pPr>
        <w:pStyle w:val="ActHead5"/>
      </w:pPr>
      <w:bookmarkStart w:id="87" w:name="_Toc176444357"/>
      <w:bookmarkStart w:id="88" w:name="_Toc184033978"/>
      <w:bookmarkStart w:id="89" w:name="_Toc185415735"/>
      <w:r w:rsidRPr="0081146C">
        <w:rPr>
          <w:rStyle w:val="CharSectno"/>
        </w:rPr>
        <w:t>26F</w:t>
      </w:r>
      <w:r w:rsidRPr="0081146C">
        <w:t xml:space="preserve">  Reporting entities must develop and maintain AML/CTF policies</w:t>
      </w:r>
      <w:bookmarkEnd w:id="87"/>
      <w:bookmarkEnd w:id="88"/>
      <w:bookmarkEnd w:id="89"/>
    </w:p>
    <w:p w14:paraId="07BE18D3" w14:textId="77777777" w:rsidR="00970B77" w:rsidRPr="0081146C" w:rsidRDefault="00970B77" w:rsidP="00970B77">
      <w:pPr>
        <w:pStyle w:val="subsection"/>
      </w:pPr>
      <w:r w:rsidRPr="0081146C">
        <w:tab/>
        <w:t>(1)</w:t>
      </w:r>
      <w:r w:rsidRPr="0081146C">
        <w:tab/>
        <w:t>A reporting entity must develop and maintain policies, procedures, systems and controls (</w:t>
      </w:r>
      <w:r w:rsidRPr="0081146C">
        <w:rPr>
          <w:b/>
          <w:i/>
        </w:rPr>
        <w:t>AML/CTF policies</w:t>
      </w:r>
      <w:r w:rsidRPr="0081146C">
        <w:t>) that:</w:t>
      </w:r>
    </w:p>
    <w:p w14:paraId="22CB1A51" w14:textId="77777777" w:rsidR="00970B77" w:rsidRPr="0081146C" w:rsidRDefault="00970B77" w:rsidP="00970B77">
      <w:pPr>
        <w:pStyle w:val="paragraph"/>
      </w:pPr>
      <w:r w:rsidRPr="0081146C">
        <w:tab/>
        <w:t>(a)</w:t>
      </w:r>
      <w:r w:rsidRPr="0081146C">
        <w:tab/>
        <w:t>appropriately manage and mitigate the risks of money laundering, financing of terrorism and proliferation financing that the reporting entity may reasonably face in providing its designated services; and</w:t>
      </w:r>
    </w:p>
    <w:p w14:paraId="64BD49B9" w14:textId="77777777" w:rsidR="00970B77" w:rsidRPr="0081146C" w:rsidRDefault="00970B77" w:rsidP="00970B77">
      <w:pPr>
        <w:pStyle w:val="paragraph"/>
      </w:pPr>
      <w:r w:rsidRPr="0081146C">
        <w:tab/>
        <w:t>(b)</w:t>
      </w:r>
      <w:r w:rsidRPr="0081146C">
        <w:tab/>
        <w:t>ensure the reporting entity complies with the obligations imposed by this Act, the regulations and the AML/CTF Rules on the reporting entity; and</w:t>
      </w:r>
    </w:p>
    <w:p w14:paraId="4CC2362B" w14:textId="77777777" w:rsidR="00970B77" w:rsidRPr="0081146C" w:rsidRDefault="00970B77" w:rsidP="00970B77">
      <w:pPr>
        <w:pStyle w:val="paragraph"/>
      </w:pPr>
      <w:r w:rsidRPr="0081146C">
        <w:tab/>
        <w:t>(c)</w:t>
      </w:r>
      <w:r w:rsidRPr="0081146C">
        <w:tab/>
        <w:t>are appropriate to the nature, size and complexity of the reporting entity’s business; and</w:t>
      </w:r>
    </w:p>
    <w:p w14:paraId="51A4E20B" w14:textId="77777777" w:rsidR="00970B77" w:rsidRPr="0081146C" w:rsidRDefault="00970B77" w:rsidP="00970B77">
      <w:pPr>
        <w:pStyle w:val="paragraph"/>
      </w:pPr>
      <w:r w:rsidRPr="0081146C">
        <w:tab/>
        <w:t>(d)</w:t>
      </w:r>
      <w:r w:rsidRPr="0081146C">
        <w:tab/>
        <w:t>comply with any requirements specified in the AML/CTF Rules.</w:t>
      </w:r>
    </w:p>
    <w:p w14:paraId="3D809258" w14:textId="77777777" w:rsidR="00970B77" w:rsidRPr="0081146C" w:rsidRDefault="00970B77" w:rsidP="00970B77">
      <w:pPr>
        <w:pStyle w:val="notetext"/>
      </w:pPr>
      <w:r w:rsidRPr="0081146C">
        <w:t>Note:</w:t>
      </w:r>
      <w:r w:rsidRPr="0081146C">
        <w:tab/>
        <w:t>See also section 26U (business of a lead entity of a reporting group).</w:t>
      </w:r>
    </w:p>
    <w:p w14:paraId="087B055A" w14:textId="77777777" w:rsidR="00970B77" w:rsidRPr="0081146C" w:rsidRDefault="00970B77" w:rsidP="00970B77">
      <w:pPr>
        <w:pStyle w:val="SubsectionHead"/>
      </w:pPr>
      <w:r w:rsidRPr="0081146C">
        <w:t>Additional obligations that apply to reporting entities that provide designated services at or through permanent establishments in Australia</w:t>
      </w:r>
    </w:p>
    <w:p w14:paraId="7288F6D4" w14:textId="77777777" w:rsidR="00970B77" w:rsidRPr="0081146C" w:rsidRDefault="00970B77" w:rsidP="00970B77">
      <w:pPr>
        <w:pStyle w:val="subsection"/>
      </w:pPr>
      <w:r w:rsidRPr="0081146C">
        <w:tab/>
        <w:t>(2)</w:t>
      </w:r>
      <w:r w:rsidRPr="0081146C">
        <w:tab/>
        <w:t>Subsections (3) and (4) apply if the reporting entity provides a designated service at or through a permanent establishment of the reporting entity in Australia.</w:t>
      </w:r>
    </w:p>
    <w:p w14:paraId="0B721882" w14:textId="77777777" w:rsidR="00970B77" w:rsidRPr="0081146C" w:rsidRDefault="00970B77" w:rsidP="00970B77">
      <w:pPr>
        <w:pStyle w:val="subsection"/>
      </w:pPr>
      <w:r w:rsidRPr="0081146C">
        <w:tab/>
        <w:t>(3)</w:t>
      </w:r>
      <w:r w:rsidRPr="0081146C">
        <w:tab/>
        <w:t>Without limiting paragraph (1)(a), the AML/CTF policies of a reporting entity must deal with the following:</w:t>
      </w:r>
    </w:p>
    <w:p w14:paraId="3322DF83" w14:textId="77777777" w:rsidR="00970B77" w:rsidRPr="0081146C" w:rsidRDefault="00970B77" w:rsidP="00970B77">
      <w:pPr>
        <w:pStyle w:val="paragraph"/>
      </w:pPr>
      <w:r w:rsidRPr="0081146C">
        <w:tab/>
        <w:t>(a)</w:t>
      </w:r>
      <w:r w:rsidRPr="0081146C">
        <w:tab/>
        <w:t>identifying significant changes to any of the matters mentioned in subsection 26C(3);</w:t>
      </w:r>
    </w:p>
    <w:p w14:paraId="5BE5657A" w14:textId="77777777" w:rsidR="00970B77" w:rsidRPr="0081146C" w:rsidRDefault="00970B77" w:rsidP="00970B77">
      <w:pPr>
        <w:pStyle w:val="paragraph"/>
      </w:pPr>
      <w:r w:rsidRPr="0081146C">
        <w:tab/>
        <w:t>(b)</w:t>
      </w:r>
      <w:r w:rsidRPr="0081146C">
        <w:tab/>
        <w:t>carrying out customer due diligence in accordance with Part 2;</w:t>
      </w:r>
    </w:p>
    <w:p w14:paraId="0A72DEB4" w14:textId="77777777" w:rsidR="00970B77" w:rsidRPr="0081146C" w:rsidRDefault="00970B77" w:rsidP="00970B77">
      <w:pPr>
        <w:pStyle w:val="paragraph"/>
      </w:pPr>
      <w:r w:rsidRPr="0081146C">
        <w:tab/>
        <w:t>(c)</w:t>
      </w:r>
      <w:r w:rsidRPr="0081146C">
        <w:tab/>
        <w:t>reviewing and updating the AML/CTF policies in the following circumstances:</w:t>
      </w:r>
    </w:p>
    <w:p w14:paraId="73D649A6" w14:textId="77777777" w:rsidR="00970B77" w:rsidRPr="0081146C" w:rsidRDefault="00970B77" w:rsidP="00970B77">
      <w:pPr>
        <w:pStyle w:val="paragraphsub"/>
      </w:pPr>
      <w:r w:rsidRPr="0081146C">
        <w:tab/>
        <w:t>(i)</w:t>
      </w:r>
      <w:r w:rsidRPr="0081146C">
        <w:tab/>
        <w:t>in response to a review of the reporting entity’s ML/TF risk assessment under section 26D;</w:t>
      </w:r>
    </w:p>
    <w:p w14:paraId="7ED45039" w14:textId="77777777" w:rsidR="00970B77" w:rsidRPr="0081146C" w:rsidRDefault="00970B77" w:rsidP="00970B77">
      <w:pPr>
        <w:pStyle w:val="paragraphsub"/>
      </w:pPr>
      <w:r w:rsidRPr="0081146C">
        <w:tab/>
        <w:t>(ii)</w:t>
      </w:r>
      <w:r w:rsidRPr="0081146C">
        <w:tab/>
        <w:t>circumstances specified in the AML/CTF Rules;</w:t>
      </w:r>
    </w:p>
    <w:p w14:paraId="3216A2B4" w14:textId="77777777" w:rsidR="00970B77" w:rsidRPr="0081146C" w:rsidRDefault="00970B77" w:rsidP="00970B77">
      <w:pPr>
        <w:pStyle w:val="paragraph"/>
      </w:pPr>
      <w:r w:rsidRPr="0081146C">
        <w:tab/>
        <w:t>(d)</w:t>
      </w:r>
      <w:r w:rsidRPr="0081146C">
        <w:tab/>
        <w:t>reviewing the AML/CTF policies of the reporting entity at the intervals or with the frequency specified in the AML/CTF Rules (and in any event at least once every 3 years);</w:t>
      </w:r>
    </w:p>
    <w:p w14:paraId="296CA0F1" w14:textId="77777777" w:rsidR="00970B77" w:rsidRPr="0081146C" w:rsidRDefault="00970B77" w:rsidP="00970B77">
      <w:pPr>
        <w:pStyle w:val="paragraph"/>
      </w:pPr>
      <w:r w:rsidRPr="0081146C">
        <w:tab/>
        <w:t>(e)</w:t>
      </w:r>
      <w:r w:rsidRPr="0081146C">
        <w:tab/>
        <w:t>any other matters specified in the AML/CTF Rules.</w:t>
      </w:r>
    </w:p>
    <w:p w14:paraId="47671751" w14:textId="77777777" w:rsidR="00970B77" w:rsidRPr="0081146C" w:rsidRDefault="00970B77" w:rsidP="00970B77">
      <w:pPr>
        <w:pStyle w:val="subsection"/>
      </w:pPr>
      <w:r w:rsidRPr="0081146C">
        <w:tab/>
        <w:t>(4)</w:t>
      </w:r>
      <w:r w:rsidRPr="0081146C">
        <w:tab/>
        <w:t>Without limiting paragraph (1)(b), the AML/CTF policies of a reporting entity must deal with the following:</w:t>
      </w:r>
    </w:p>
    <w:p w14:paraId="58F64921" w14:textId="77777777" w:rsidR="00970B77" w:rsidRPr="0081146C" w:rsidRDefault="00970B77" w:rsidP="00970B77">
      <w:pPr>
        <w:pStyle w:val="paragraph"/>
      </w:pPr>
      <w:r w:rsidRPr="0081146C">
        <w:tab/>
        <w:t>(a)</w:t>
      </w:r>
      <w:r w:rsidRPr="0081146C">
        <w:tab/>
        <w:t>if the reporting entity is not an individual—ensuring its governing body is sufficiently informed of the risks of money laundering, financing of terrorism and proliferation financing that the reporting entity may reasonably face in providing its designated services;</w:t>
      </w:r>
    </w:p>
    <w:p w14:paraId="7B60547F" w14:textId="77777777" w:rsidR="00970B77" w:rsidRPr="0081146C" w:rsidRDefault="00970B77" w:rsidP="00970B77">
      <w:pPr>
        <w:pStyle w:val="paragraph"/>
      </w:pPr>
      <w:r w:rsidRPr="0081146C">
        <w:tab/>
        <w:t>(b)</w:t>
      </w:r>
      <w:r w:rsidRPr="0081146C">
        <w:tab/>
        <w:t>designating an AML/CTF compliance officer for the reporting entity;</w:t>
      </w:r>
    </w:p>
    <w:p w14:paraId="3996805A" w14:textId="77777777" w:rsidR="00970B77" w:rsidRPr="0081146C" w:rsidRDefault="00970B77" w:rsidP="00970B77">
      <w:pPr>
        <w:pStyle w:val="paragraph"/>
      </w:pPr>
      <w:r w:rsidRPr="0081146C">
        <w:tab/>
        <w:t>(c)</w:t>
      </w:r>
      <w:r w:rsidRPr="0081146C">
        <w:tab/>
        <w:t>designating one or more senior managers of the reporting entity as responsible for approving:</w:t>
      </w:r>
    </w:p>
    <w:p w14:paraId="5DC6CC0B" w14:textId="77777777" w:rsidR="00970B77" w:rsidRPr="0081146C" w:rsidRDefault="00970B77" w:rsidP="00970B77">
      <w:pPr>
        <w:pStyle w:val="paragraphsub"/>
      </w:pPr>
      <w:r w:rsidRPr="0081146C">
        <w:tab/>
        <w:t>(i)</w:t>
      </w:r>
      <w:r w:rsidRPr="0081146C">
        <w:tab/>
        <w:t xml:space="preserve"> the AML/CTF policies of the reporting entity; and</w:t>
      </w:r>
    </w:p>
    <w:p w14:paraId="2E8EA98C" w14:textId="77777777" w:rsidR="00970B77" w:rsidRPr="0081146C" w:rsidRDefault="00970B77" w:rsidP="00970B77">
      <w:pPr>
        <w:pStyle w:val="paragraphsub"/>
      </w:pPr>
      <w:r w:rsidRPr="0081146C">
        <w:tab/>
        <w:t>(ii)</w:t>
      </w:r>
      <w:r w:rsidRPr="0081146C">
        <w:tab/>
        <w:t>the ML/TF risk assessment of the reporting entity;</w:t>
      </w:r>
    </w:p>
    <w:p w14:paraId="320B3AC0" w14:textId="77777777" w:rsidR="00970B77" w:rsidRPr="0081146C" w:rsidRDefault="00970B77" w:rsidP="00970B77">
      <w:pPr>
        <w:pStyle w:val="paragraph"/>
      </w:pPr>
      <w:r w:rsidRPr="0081146C">
        <w:tab/>
      </w:r>
      <w:bookmarkStart w:id="90" w:name="_Hlk173836969"/>
      <w:r w:rsidRPr="0081146C">
        <w:t>(d)</w:t>
      </w:r>
      <w:r w:rsidRPr="0081146C">
        <w:tab/>
        <w:t>undertaking due diligence in relation to persons who are, or will be, employed or otherwise engaged by the reporting entity and who perform, or will perform, functions relevant to the reporting entity’s obligations under this Act;</w:t>
      </w:r>
    </w:p>
    <w:p w14:paraId="73D997E3" w14:textId="77777777" w:rsidR="00970B77" w:rsidRPr="0081146C" w:rsidRDefault="00970B77" w:rsidP="00970B77">
      <w:pPr>
        <w:pStyle w:val="paragraph"/>
      </w:pPr>
      <w:r w:rsidRPr="0081146C">
        <w:tab/>
        <w:t>(e)</w:t>
      </w:r>
      <w:r w:rsidRPr="0081146C">
        <w:tab/>
        <w:t>providing training to persons who are employed or otherwise engaged by the reporting entity and who perform, or will perform, functions relevant to the reporting entity’s obligations under this Act in relation to:</w:t>
      </w:r>
    </w:p>
    <w:p w14:paraId="7DA4CBE2" w14:textId="77777777" w:rsidR="00970B77" w:rsidRPr="0081146C" w:rsidRDefault="00970B77" w:rsidP="00970B77">
      <w:pPr>
        <w:pStyle w:val="paragraphsub"/>
      </w:pPr>
      <w:r w:rsidRPr="0081146C">
        <w:tab/>
        <w:t>(i)</w:t>
      </w:r>
      <w:r w:rsidRPr="0081146C">
        <w:tab/>
        <w:t>the risk of money laundering, financing of terrorism and proliferation financing that the reporting entity may reasonably face in providing its designated services; and</w:t>
      </w:r>
    </w:p>
    <w:p w14:paraId="362E9703" w14:textId="77777777" w:rsidR="00970B77" w:rsidRPr="0081146C" w:rsidRDefault="00970B77" w:rsidP="00970B77">
      <w:pPr>
        <w:pStyle w:val="paragraphsub"/>
      </w:pPr>
      <w:r w:rsidRPr="0081146C">
        <w:tab/>
        <w:t>(ii)</w:t>
      </w:r>
      <w:r w:rsidRPr="0081146C">
        <w:tab/>
        <w:t>the obligations imposed by this Act, the regulations and the AML/CTF Rules on the reporting entity;</w:t>
      </w:r>
    </w:p>
    <w:bookmarkEnd w:id="90"/>
    <w:p w14:paraId="346415F2" w14:textId="77777777" w:rsidR="00970B77" w:rsidRPr="0081146C" w:rsidRDefault="00970B77" w:rsidP="00970B77">
      <w:pPr>
        <w:pStyle w:val="paragraph"/>
      </w:pPr>
      <w:r w:rsidRPr="0081146C">
        <w:tab/>
        <w:t>(f)</w:t>
      </w:r>
      <w:r w:rsidRPr="0081146C">
        <w:tab/>
        <w:t>the conduct of independent evaluations of the reporting entity’s AML/CTF program, including the frequency with which such evaluations must be conducted, which must:</w:t>
      </w:r>
    </w:p>
    <w:p w14:paraId="7EAAC62B" w14:textId="77777777" w:rsidR="00970B77" w:rsidRPr="0081146C" w:rsidRDefault="00970B77" w:rsidP="00970B77">
      <w:pPr>
        <w:pStyle w:val="paragraphsub"/>
      </w:pPr>
      <w:r w:rsidRPr="0081146C">
        <w:tab/>
        <w:t>(i)</w:t>
      </w:r>
      <w:r w:rsidRPr="0081146C">
        <w:tab/>
        <w:t>be appropriate to the nature, size and complexity of the reporting entity’s business; and</w:t>
      </w:r>
    </w:p>
    <w:p w14:paraId="788156FB" w14:textId="77777777" w:rsidR="00970B77" w:rsidRPr="0081146C" w:rsidRDefault="00970B77" w:rsidP="00970B77">
      <w:pPr>
        <w:pStyle w:val="paragraphsub"/>
      </w:pPr>
      <w:r w:rsidRPr="0081146C">
        <w:tab/>
        <w:t>(ii)</w:t>
      </w:r>
      <w:r w:rsidRPr="0081146C">
        <w:tab/>
        <w:t>be at least once every 3 years;</w:t>
      </w:r>
    </w:p>
    <w:p w14:paraId="14F2C2AA" w14:textId="77777777" w:rsidR="00970B77" w:rsidRPr="0081146C" w:rsidRDefault="00970B77" w:rsidP="00970B77">
      <w:pPr>
        <w:pStyle w:val="paragraph"/>
      </w:pPr>
      <w:r w:rsidRPr="0081146C">
        <w:tab/>
        <w:t>(g)</w:t>
      </w:r>
      <w:r w:rsidRPr="0081146C">
        <w:tab/>
        <w:t>any other matters specified in the AML/CTF Rules.</w:t>
      </w:r>
    </w:p>
    <w:p w14:paraId="4022A164" w14:textId="77777777" w:rsidR="00970B77" w:rsidRPr="0081146C" w:rsidRDefault="00970B77" w:rsidP="00970B77">
      <w:pPr>
        <w:pStyle w:val="notetext"/>
      </w:pPr>
      <w:r w:rsidRPr="0081146C">
        <w:t>Note:</w:t>
      </w:r>
      <w:r w:rsidRPr="0081146C">
        <w:tab/>
        <w:t>See also section 26U (business of a lead entity of a reporting group).</w:t>
      </w:r>
    </w:p>
    <w:p w14:paraId="0B96448F" w14:textId="77777777" w:rsidR="00970B77" w:rsidRPr="0081146C" w:rsidRDefault="00970B77" w:rsidP="00970B77">
      <w:pPr>
        <w:pStyle w:val="SubsectionHead"/>
      </w:pPr>
      <w:bookmarkStart w:id="91" w:name="_Hlk173836787"/>
      <w:r w:rsidRPr="0081146C">
        <w:t>Additional obligations that apply to lead entities of reporting groups</w:t>
      </w:r>
    </w:p>
    <w:p w14:paraId="1ED0E384" w14:textId="77777777" w:rsidR="00970B77" w:rsidRPr="0081146C" w:rsidRDefault="00970B77" w:rsidP="00970B77">
      <w:pPr>
        <w:pStyle w:val="subsection"/>
      </w:pPr>
      <w:r w:rsidRPr="0081146C">
        <w:tab/>
        <w:t>(5)</w:t>
      </w:r>
      <w:r w:rsidRPr="0081146C">
        <w:tab/>
        <w:t>Without limiting paragraph (1)(a), if a reporting entity is the lead entity of a reporting group, the AML/CTF policies of the reporting entity must deal with the following:</w:t>
      </w:r>
    </w:p>
    <w:p w14:paraId="4EB4EFF5" w14:textId="77777777" w:rsidR="00970B77" w:rsidRPr="0081146C" w:rsidRDefault="00970B77" w:rsidP="00970B77">
      <w:pPr>
        <w:pStyle w:val="paragraph"/>
      </w:pPr>
      <w:r w:rsidRPr="0081146C">
        <w:tab/>
        <w:t>(a)</w:t>
      </w:r>
      <w:r w:rsidRPr="0081146C">
        <w:tab/>
        <w:t>ensuring the appropriate sharing of information between members of the reporting group for the following purposes:</w:t>
      </w:r>
    </w:p>
    <w:p w14:paraId="0E665BE7" w14:textId="77777777" w:rsidR="00970B77" w:rsidRPr="0081146C" w:rsidRDefault="00970B77" w:rsidP="00970B77">
      <w:pPr>
        <w:pStyle w:val="paragraphsub"/>
      </w:pPr>
      <w:r w:rsidRPr="0081146C">
        <w:tab/>
        <w:t>(i)</w:t>
      </w:r>
      <w:r w:rsidRPr="0081146C">
        <w:tab/>
        <w:t>carrying out customer due diligence under Part 2;</w:t>
      </w:r>
    </w:p>
    <w:p w14:paraId="07E074DA" w14:textId="77777777" w:rsidR="00970B77" w:rsidRPr="0081146C" w:rsidRDefault="00970B77" w:rsidP="00970B77">
      <w:pPr>
        <w:pStyle w:val="paragraphsub"/>
      </w:pPr>
      <w:r w:rsidRPr="0081146C">
        <w:tab/>
        <w:t>(ii)</w:t>
      </w:r>
      <w:r w:rsidRPr="0081146C">
        <w:tab/>
        <w:t>appropriately identifying, assessing, managing and mitigating the risks of money laundering, financing of terrorism and proliferation financing that each reporting entity that is a member of the reporting group may reasonably face in providing its designated services;</w:t>
      </w:r>
    </w:p>
    <w:p w14:paraId="48EF910F" w14:textId="77777777" w:rsidR="00970B77" w:rsidRPr="0081146C" w:rsidRDefault="00970B77" w:rsidP="00970B77">
      <w:pPr>
        <w:pStyle w:val="paragraph"/>
      </w:pPr>
      <w:r w:rsidRPr="0081146C">
        <w:tab/>
        <w:t>(b)</w:t>
      </w:r>
      <w:r w:rsidRPr="0081146C">
        <w:tab/>
        <w:t>any other matters specified in the AML/CTF Rules.</w:t>
      </w:r>
    </w:p>
    <w:p w14:paraId="299CB954" w14:textId="77777777" w:rsidR="00970B77" w:rsidRPr="0081146C" w:rsidRDefault="00970B77" w:rsidP="00970B77">
      <w:pPr>
        <w:pStyle w:val="subsection"/>
      </w:pPr>
      <w:r w:rsidRPr="0081146C">
        <w:tab/>
        <w:t>(6)</w:t>
      </w:r>
      <w:r w:rsidRPr="0081146C">
        <w:tab/>
        <w:t>Without limiting paragraph (1)(b), if a reporting entity is the lead entity of a reporting group, the AML/CTF policies of the reporting entity must deal with the following:</w:t>
      </w:r>
    </w:p>
    <w:p w14:paraId="7C7E8CED" w14:textId="77777777" w:rsidR="00970B77" w:rsidRPr="0081146C" w:rsidRDefault="00970B77" w:rsidP="00970B77">
      <w:pPr>
        <w:pStyle w:val="paragraph"/>
      </w:pPr>
      <w:r w:rsidRPr="0081146C">
        <w:tab/>
        <w:t>(a)</w:t>
      </w:r>
      <w:r w:rsidRPr="0081146C">
        <w:tab/>
        <w:t>ensuring the sharing of information between members of the reporting group that is necessary for the members of the reporting group who are reporting entities to comply with:</w:t>
      </w:r>
    </w:p>
    <w:p w14:paraId="1DF14FE5" w14:textId="77777777" w:rsidR="00970B77" w:rsidRPr="0081146C" w:rsidRDefault="00970B77" w:rsidP="00970B77">
      <w:pPr>
        <w:pStyle w:val="paragraphsub"/>
      </w:pPr>
      <w:r w:rsidRPr="0081146C">
        <w:tab/>
        <w:t>(i)</w:t>
      </w:r>
      <w:r w:rsidRPr="0081146C">
        <w:tab/>
        <w:t>their obligations imposed by this Act, the regulations and the AML/CTF Rules; and</w:t>
      </w:r>
    </w:p>
    <w:p w14:paraId="4D92B7F7" w14:textId="77777777" w:rsidR="00970B77" w:rsidRPr="0081146C" w:rsidRDefault="00970B77" w:rsidP="00970B77">
      <w:pPr>
        <w:pStyle w:val="paragraphsub"/>
      </w:pPr>
      <w:r w:rsidRPr="0081146C">
        <w:tab/>
        <w:t>(ii)</w:t>
      </w:r>
      <w:r w:rsidRPr="0081146C">
        <w:tab/>
        <w:t>the AML/CTF policies of the lead entity;</w:t>
      </w:r>
    </w:p>
    <w:p w14:paraId="10A86C47" w14:textId="77777777" w:rsidR="00970B77" w:rsidRPr="0081146C" w:rsidRDefault="00970B77" w:rsidP="00970B77">
      <w:pPr>
        <w:pStyle w:val="paragraph"/>
      </w:pPr>
      <w:r w:rsidRPr="0081146C">
        <w:tab/>
        <w:t>(b)</w:t>
      </w:r>
      <w:r w:rsidRPr="0081146C">
        <w:tab/>
        <w:t>if any member of the reporting group discharges an obligation imposed on another member of the reporting group by this Act, the regulations or the AML/CTF Rules:</w:t>
      </w:r>
    </w:p>
    <w:p w14:paraId="284EA8B3" w14:textId="77777777" w:rsidR="00970B77" w:rsidRPr="0081146C" w:rsidRDefault="00970B77" w:rsidP="00970B77">
      <w:pPr>
        <w:pStyle w:val="paragraphsub"/>
      </w:pPr>
      <w:r w:rsidRPr="0081146C">
        <w:tab/>
        <w:t>(i)</w:t>
      </w:r>
      <w:r w:rsidRPr="0081146C">
        <w:tab/>
        <w:t>which members of the reporting group may discharge which obligations of which other member; and</w:t>
      </w:r>
    </w:p>
    <w:p w14:paraId="6CAAAAC0" w14:textId="77777777" w:rsidR="00970B77" w:rsidRPr="0081146C" w:rsidRDefault="00970B77" w:rsidP="00970B77">
      <w:pPr>
        <w:pStyle w:val="paragraphsub"/>
      </w:pPr>
      <w:r w:rsidRPr="0081146C">
        <w:tab/>
        <w:t>(ii)</w:t>
      </w:r>
      <w:r w:rsidRPr="0081146C">
        <w:tab/>
        <w:t>ensuring that each member of the reporting group that is a reporting entity makes, or has access to, records to demonstrate any discharge by another member of the reporting group of any such obligations imposed on the reporting entity;</w:t>
      </w:r>
    </w:p>
    <w:p w14:paraId="6A656BC7" w14:textId="77777777" w:rsidR="00970B77" w:rsidRPr="0081146C" w:rsidRDefault="00970B77" w:rsidP="00970B77">
      <w:pPr>
        <w:pStyle w:val="paragraph"/>
      </w:pPr>
      <w:r w:rsidRPr="0081146C">
        <w:tab/>
        <w:t>(c)</w:t>
      </w:r>
      <w:r w:rsidRPr="0081146C">
        <w:tab/>
        <w:t>ensuring the confidentiality and appropriate use of any information shared between members of the reporting group, including to prevent any contravention of subsection 123(1) by any member of the reporting group;</w:t>
      </w:r>
    </w:p>
    <w:p w14:paraId="4FE49E03" w14:textId="77777777" w:rsidR="00970B77" w:rsidRPr="0081146C" w:rsidRDefault="00970B77" w:rsidP="00970B77">
      <w:pPr>
        <w:pStyle w:val="paragraph"/>
      </w:pPr>
      <w:r w:rsidRPr="0081146C">
        <w:tab/>
        <w:t>(d)</w:t>
      </w:r>
      <w:r w:rsidRPr="0081146C">
        <w:tab/>
        <w:t>any other matters specified in the AML/CTF Rules.</w:t>
      </w:r>
    </w:p>
    <w:p w14:paraId="108EC870" w14:textId="77777777" w:rsidR="00970B77" w:rsidRPr="0081146C" w:rsidRDefault="00970B77" w:rsidP="00970B77">
      <w:pPr>
        <w:pStyle w:val="notetext"/>
      </w:pPr>
      <w:r w:rsidRPr="0081146C">
        <w:t>Note:</w:t>
      </w:r>
      <w:r w:rsidRPr="0081146C">
        <w:tab/>
        <w:t>For other rules about how this Part applies in relation to reporting groups, see sections 26U and 236B.</w:t>
      </w:r>
    </w:p>
    <w:p w14:paraId="50AC2104" w14:textId="77777777" w:rsidR="00970B77" w:rsidRPr="0081146C" w:rsidRDefault="00970B77" w:rsidP="00970B77">
      <w:pPr>
        <w:pStyle w:val="SubsectionHead"/>
      </w:pPr>
      <w:r w:rsidRPr="0081146C">
        <w:t>AML/CTF Rules</w:t>
      </w:r>
    </w:p>
    <w:p w14:paraId="767B765C" w14:textId="77777777" w:rsidR="00970B77" w:rsidRPr="0081146C" w:rsidRDefault="00970B77" w:rsidP="00970B77">
      <w:pPr>
        <w:pStyle w:val="subsection"/>
      </w:pPr>
      <w:r w:rsidRPr="0081146C">
        <w:tab/>
        <w:t>(7)</w:t>
      </w:r>
      <w:r w:rsidRPr="0081146C">
        <w:tab/>
        <w:t>The AML/CTF Rules may do either or both of the following:</w:t>
      </w:r>
    </w:p>
    <w:p w14:paraId="79789470" w14:textId="77777777" w:rsidR="00970B77" w:rsidRPr="0081146C" w:rsidRDefault="00970B77" w:rsidP="00970B77">
      <w:pPr>
        <w:pStyle w:val="paragraph"/>
      </w:pPr>
      <w:r w:rsidRPr="0081146C">
        <w:tab/>
        <w:t>(a)</w:t>
      </w:r>
      <w:r w:rsidRPr="0081146C">
        <w:tab/>
        <w:t>specify requirements that must be complied with in relation to a matter mentioned in subsection (3), (4), (5) or (6);</w:t>
      </w:r>
    </w:p>
    <w:p w14:paraId="21E397FB" w14:textId="77777777" w:rsidR="00970B77" w:rsidRPr="0081146C" w:rsidRDefault="00970B77" w:rsidP="00970B77">
      <w:pPr>
        <w:pStyle w:val="paragraph"/>
      </w:pPr>
      <w:r w:rsidRPr="0081146C">
        <w:tab/>
        <w:t>(b)</w:t>
      </w:r>
      <w:r w:rsidRPr="0081146C">
        <w:tab/>
        <w:t>set out circumstances in which the AML/CTF policies of a reporting entity are taken to comply with a matter mentioned in those subsections.</w:t>
      </w:r>
    </w:p>
    <w:bookmarkEnd w:id="91"/>
    <w:p w14:paraId="334A4570" w14:textId="77777777" w:rsidR="00970B77" w:rsidRPr="0081146C" w:rsidRDefault="00970B77" w:rsidP="00970B77">
      <w:pPr>
        <w:pStyle w:val="SubsectionHead"/>
      </w:pPr>
      <w:r w:rsidRPr="0081146C">
        <w:t>Reporting entities must develop and maintain AML/CTF policies before providing designated services</w:t>
      </w:r>
    </w:p>
    <w:p w14:paraId="43569794" w14:textId="77777777" w:rsidR="00970B77" w:rsidRPr="0081146C" w:rsidRDefault="00970B77" w:rsidP="00970B77">
      <w:pPr>
        <w:pStyle w:val="subsection"/>
      </w:pPr>
      <w:r w:rsidRPr="0081146C">
        <w:tab/>
        <w:t>(8)</w:t>
      </w:r>
      <w:r w:rsidRPr="0081146C">
        <w:tab/>
        <w:t>A reporting entity must not commence to provide a designated service to a customer if the reporting entity does not comply with subsection (1).</w:t>
      </w:r>
    </w:p>
    <w:p w14:paraId="6C01E3F3" w14:textId="77777777" w:rsidR="00970B77" w:rsidRPr="0081146C" w:rsidRDefault="00970B77" w:rsidP="00970B77">
      <w:pPr>
        <w:pStyle w:val="SubsectionHead"/>
      </w:pPr>
      <w:r w:rsidRPr="0081146C">
        <w:t>Civil penalty</w:t>
      </w:r>
    </w:p>
    <w:p w14:paraId="1F92E3A8" w14:textId="77777777" w:rsidR="00970B77" w:rsidRPr="0081146C" w:rsidRDefault="00970B77" w:rsidP="00970B77">
      <w:pPr>
        <w:pStyle w:val="subsection"/>
      </w:pPr>
      <w:r w:rsidRPr="0081146C">
        <w:tab/>
        <w:t>(8A)</w:t>
      </w:r>
      <w:r w:rsidRPr="0081146C">
        <w:tab/>
        <w:t>Subsection (8) is a civil penalty provision.</w:t>
      </w:r>
    </w:p>
    <w:p w14:paraId="6134599A" w14:textId="77777777" w:rsidR="00970B77" w:rsidRPr="0081146C" w:rsidRDefault="00970B77" w:rsidP="00970B77">
      <w:pPr>
        <w:pStyle w:val="subsection"/>
      </w:pPr>
      <w:r w:rsidRPr="0081146C">
        <w:tab/>
        <w:t>(9)</w:t>
      </w:r>
      <w:r w:rsidRPr="0081146C">
        <w:tab/>
        <w:t>A reporting entity that contravenes subsection (8) commits a separate contravention of that subsection in respect of each designated service that the reporting entity provides to a customer at or through a permanent establishment of the reporting entity in Australia.</w:t>
      </w:r>
    </w:p>
    <w:p w14:paraId="305E6447" w14:textId="77777777" w:rsidR="00970B77" w:rsidRPr="0081146C" w:rsidRDefault="00970B77" w:rsidP="00970B77">
      <w:pPr>
        <w:pStyle w:val="subsection"/>
      </w:pPr>
      <w:r w:rsidRPr="0081146C">
        <w:tab/>
        <w:t>(10)</w:t>
      </w:r>
      <w:r w:rsidRPr="0081146C">
        <w:tab/>
        <w:t>A reporting entity that contravenes subsection (8) commits a separate contravention of that subsection on each day that the reporting entity provides designated services at or through a permanent establishment of the reporting entity in a foreign country.</w:t>
      </w:r>
    </w:p>
    <w:p w14:paraId="3039D0E2" w14:textId="77777777" w:rsidR="00970B77" w:rsidRPr="0081146C" w:rsidRDefault="00970B77" w:rsidP="00970B77">
      <w:pPr>
        <w:pStyle w:val="SubsectionHead"/>
      </w:pPr>
      <w:r w:rsidRPr="0081146C">
        <w:t>Exception</w:t>
      </w:r>
    </w:p>
    <w:p w14:paraId="350F46D1" w14:textId="77777777" w:rsidR="00970B77" w:rsidRPr="0081146C" w:rsidRDefault="00970B77" w:rsidP="00970B77">
      <w:pPr>
        <w:pStyle w:val="subsection"/>
      </w:pPr>
      <w:r w:rsidRPr="0081146C">
        <w:tab/>
        <w:t>(11)</w:t>
      </w:r>
      <w:r w:rsidRPr="0081146C">
        <w:tab/>
        <w:t>Despite subsection (1), a reporting entity is not required to develop or maintain policies, procedures, systems and controls that specifically deal with the risk of proliferation financing if:</w:t>
      </w:r>
    </w:p>
    <w:p w14:paraId="261C9C2A" w14:textId="77777777" w:rsidR="00970B77" w:rsidRPr="0081146C" w:rsidRDefault="00970B77" w:rsidP="00970B77">
      <w:pPr>
        <w:pStyle w:val="paragraph"/>
      </w:pPr>
      <w:r w:rsidRPr="0081146C">
        <w:tab/>
        <w:t>(a)</w:t>
      </w:r>
      <w:r w:rsidRPr="0081146C">
        <w:tab/>
        <w:t>the reporting entity reasonably assesses, under section 26C or 26D, the risk of proliferation financing that the reporting entity may reasonably face as low; and</w:t>
      </w:r>
    </w:p>
    <w:p w14:paraId="329FC1BD" w14:textId="77777777" w:rsidR="00970B77" w:rsidRPr="0081146C" w:rsidRDefault="00970B77" w:rsidP="00970B77">
      <w:pPr>
        <w:pStyle w:val="paragraph"/>
      </w:pPr>
      <w:r w:rsidRPr="0081146C">
        <w:tab/>
        <w:t>(b)</w:t>
      </w:r>
      <w:r w:rsidRPr="0081146C">
        <w:tab/>
        <w:t>the reporting entity reasonably assesses that its risk of proliferation financing can be appropriately managed and mitigated by its policies, procedures, systems and controls that manage and mitigate the risks of money laundering or financing of terrorism.</w:t>
      </w:r>
    </w:p>
    <w:p w14:paraId="35D83844" w14:textId="77777777" w:rsidR="00970B77" w:rsidRPr="0081146C" w:rsidRDefault="00970B77" w:rsidP="00970B77">
      <w:pPr>
        <w:pStyle w:val="subsection"/>
      </w:pPr>
      <w:r w:rsidRPr="0081146C">
        <w:tab/>
        <w:t>(12)</w:t>
      </w:r>
      <w:r w:rsidRPr="0081146C">
        <w:tab/>
        <w:t>A person who wishes to rely on subsection (11) bears a legal burden in relation to that matter.</w:t>
      </w:r>
    </w:p>
    <w:p w14:paraId="42F362EB" w14:textId="77777777" w:rsidR="00970B77" w:rsidRPr="0081146C" w:rsidRDefault="00970B77" w:rsidP="00970B77">
      <w:pPr>
        <w:pStyle w:val="ActHead5"/>
      </w:pPr>
      <w:bookmarkStart w:id="92" w:name="_Toc176444358"/>
      <w:bookmarkStart w:id="93" w:name="_Toc184033979"/>
      <w:bookmarkStart w:id="94" w:name="_Toc185415736"/>
      <w:r w:rsidRPr="0081146C">
        <w:rPr>
          <w:rStyle w:val="CharSectno"/>
        </w:rPr>
        <w:t>26G</w:t>
      </w:r>
      <w:r w:rsidRPr="0081146C">
        <w:t xml:space="preserve">  Reporting entities must comply with AML/CTF policies</w:t>
      </w:r>
      <w:bookmarkEnd w:id="92"/>
      <w:bookmarkEnd w:id="93"/>
      <w:bookmarkEnd w:id="94"/>
    </w:p>
    <w:p w14:paraId="0E269F86" w14:textId="77777777" w:rsidR="00970B77" w:rsidRPr="0081146C" w:rsidRDefault="00970B77" w:rsidP="00970B77">
      <w:pPr>
        <w:pStyle w:val="subsection"/>
      </w:pPr>
      <w:r w:rsidRPr="0081146C">
        <w:tab/>
        <w:t>(1)</w:t>
      </w:r>
      <w:r w:rsidRPr="0081146C">
        <w:tab/>
        <w:t>A reporting entity must comply with the AML/CTF policies of the reporting entity.</w:t>
      </w:r>
    </w:p>
    <w:p w14:paraId="7AC29C76" w14:textId="77777777" w:rsidR="00970B77" w:rsidRPr="0081146C" w:rsidRDefault="00970B77" w:rsidP="00970B77">
      <w:pPr>
        <w:pStyle w:val="subsection"/>
      </w:pPr>
      <w:r w:rsidRPr="0081146C">
        <w:tab/>
        <w:t>(2)</w:t>
      </w:r>
      <w:r w:rsidRPr="0081146C">
        <w:tab/>
        <w:t>If:</w:t>
      </w:r>
    </w:p>
    <w:p w14:paraId="16F95155" w14:textId="77777777" w:rsidR="00970B77" w:rsidRPr="0081146C" w:rsidRDefault="00970B77" w:rsidP="00970B77">
      <w:pPr>
        <w:pStyle w:val="paragraph"/>
      </w:pPr>
      <w:r w:rsidRPr="0081146C">
        <w:tab/>
        <w:t>(a)</w:t>
      </w:r>
      <w:r w:rsidRPr="0081146C">
        <w:tab/>
        <w:t>a reporting entity is a member of a reporting group; and</w:t>
      </w:r>
    </w:p>
    <w:p w14:paraId="75B1E418" w14:textId="77777777" w:rsidR="00970B77" w:rsidRPr="0081146C" w:rsidRDefault="00970B77" w:rsidP="00970B77">
      <w:pPr>
        <w:pStyle w:val="paragraph"/>
      </w:pPr>
      <w:r w:rsidRPr="0081146C">
        <w:tab/>
        <w:t>(b)</w:t>
      </w:r>
      <w:r w:rsidRPr="0081146C">
        <w:tab/>
        <w:t>the reporting entity is not the lead entity of the reporting group;</w:t>
      </w:r>
    </w:p>
    <w:p w14:paraId="44887217" w14:textId="77777777" w:rsidR="00970B77" w:rsidRPr="0081146C" w:rsidRDefault="00970B77" w:rsidP="00970B77">
      <w:pPr>
        <w:pStyle w:val="subsection2"/>
      </w:pPr>
      <w:r w:rsidRPr="0081146C">
        <w:t>the reporting entity must also comply with the AML/CTF policies of the lead entity of the reporting group that apply to the reporting entity.</w:t>
      </w:r>
    </w:p>
    <w:p w14:paraId="418DC27C" w14:textId="77777777" w:rsidR="00970B77" w:rsidRPr="0081146C" w:rsidRDefault="00970B77" w:rsidP="00970B77">
      <w:pPr>
        <w:pStyle w:val="notetext"/>
      </w:pPr>
      <w:r w:rsidRPr="0081146C">
        <w:t>Note:</w:t>
      </w:r>
      <w:r w:rsidRPr="0081146C">
        <w:tab/>
        <w:t>The lead entity of the reporting group must comply with its own AML/CTF policies under subsection (1).</w:t>
      </w:r>
    </w:p>
    <w:p w14:paraId="766AD8A0" w14:textId="77777777" w:rsidR="00970B77" w:rsidRPr="0081146C" w:rsidRDefault="00970B77" w:rsidP="00970B77">
      <w:pPr>
        <w:pStyle w:val="subsection"/>
      </w:pPr>
      <w:r w:rsidRPr="0081146C">
        <w:tab/>
        <w:t>(3)</w:t>
      </w:r>
      <w:r w:rsidRPr="0081146C">
        <w:tab/>
        <w:t>Subsections (1) and (2) are civil penalty provisions.</w:t>
      </w:r>
    </w:p>
    <w:p w14:paraId="7C055A32" w14:textId="77777777" w:rsidR="00970B77" w:rsidRPr="0081146C" w:rsidRDefault="00970B77" w:rsidP="00F011D7">
      <w:pPr>
        <w:pStyle w:val="ActHead3"/>
        <w:pageBreakBefore/>
      </w:pPr>
      <w:bookmarkStart w:id="95" w:name="_Toc176444359"/>
      <w:bookmarkStart w:id="96" w:name="_Toc184033980"/>
      <w:bookmarkStart w:id="97" w:name="_Toc185415737"/>
      <w:r w:rsidRPr="0081146C">
        <w:rPr>
          <w:rStyle w:val="CharDivNo"/>
        </w:rPr>
        <w:t>Division 4</w:t>
      </w:r>
      <w:r w:rsidRPr="0081146C">
        <w:t>—</w:t>
      </w:r>
      <w:r w:rsidRPr="0081146C">
        <w:rPr>
          <w:rStyle w:val="CharDivText"/>
        </w:rPr>
        <w:t>AML/CTF responsibilities of governing bodies</w:t>
      </w:r>
      <w:bookmarkEnd w:id="95"/>
      <w:bookmarkEnd w:id="96"/>
      <w:bookmarkEnd w:id="97"/>
    </w:p>
    <w:p w14:paraId="74623BE7" w14:textId="77777777" w:rsidR="00970B77" w:rsidRPr="0081146C" w:rsidRDefault="00970B77" w:rsidP="00970B77">
      <w:pPr>
        <w:pStyle w:val="ActHead5"/>
      </w:pPr>
      <w:bookmarkStart w:id="98" w:name="_Toc176444360"/>
      <w:bookmarkStart w:id="99" w:name="_Toc184033981"/>
      <w:bookmarkStart w:id="100" w:name="_Toc185415738"/>
      <w:r w:rsidRPr="0081146C">
        <w:rPr>
          <w:rStyle w:val="CharSectno"/>
        </w:rPr>
        <w:t>26H</w:t>
      </w:r>
      <w:r w:rsidRPr="0081146C">
        <w:t xml:space="preserve">  AML/CTF responsibilities of governing bodies</w:t>
      </w:r>
      <w:bookmarkEnd w:id="98"/>
      <w:bookmarkEnd w:id="99"/>
      <w:bookmarkEnd w:id="100"/>
    </w:p>
    <w:p w14:paraId="77A103FA" w14:textId="77777777" w:rsidR="00970B77" w:rsidRPr="0081146C" w:rsidRDefault="00970B77" w:rsidP="00970B77">
      <w:pPr>
        <w:pStyle w:val="subsection"/>
      </w:pPr>
      <w:r w:rsidRPr="0081146C">
        <w:tab/>
        <w:t>(1)</w:t>
      </w:r>
      <w:r w:rsidRPr="0081146C">
        <w:tab/>
        <w:t>The governing body of a reporting entity must:</w:t>
      </w:r>
    </w:p>
    <w:p w14:paraId="77227FC9" w14:textId="77777777" w:rsidR="00970B77" w:rsidRPr="0081146C" w:rsidRDefault="00970B77" w:rsidP="00970B77">
      <w:pPr>
        <w:pStyle w:val="paragraph"/>
      </w:pPr>
      <w:r w:rsidRPr="0081146C">
        <w:tab/>
        <w:t>(a)</w:t>
      </w:r>
      <w:r w:rsidRPr="0081146C">
        <w:tab/>
        <w:t>exercise appropriate ongoing oversight of:</w:t>
      </w:r>
    </w:p>
    <w:p w14:paraId="018D2681" w14:textId="77777777" w:rsidR="00970B77" w:rsidRPr="0081146C" w:rsidRDefault="00970B77" w:rsidP="00970B77">
      <w:pPr>
        <w:pStyle w:val="paragraphsub"/>
      </w:pPr>
      <w:r w:rsidRPr="0081146C">
        <w:tab/>
        <w:t>(i)</w:t>
      </w:r>
      <w:r w:rsidRPr="0081146C">
        <w:tab/>
        <w:t>the reporting entity’s identification and assessment of risk for the purposes of its ML/TF risk assessment; and</w:t>
      </w:r>
    </w:p>
    <w:p w14:paraId="1F0AC64F" w14:textId="77777777" w:rsidR="00970B77" w:rsidRPr="0081146C" w:rsidRDefault="00970B77" w:rsidP="00970B77">
      <w:pPr>
        <w:pStyle w:val="paragraphsub"/>
      </w:pPr>
      <w:r w:rsidRPr="0081146C">
        <w:tab/>
        <w:t>(ii)</w:t>
      </w:r>
      <w:r w:rsidRPr="0081146C">
        <w:tab/>
        <w:t>the reporting entity’s compliance with its AML/CTF policies, the Act, the regulations and the AML/CTF Rules; and</w:t>
      </w:r>
    </w:p>
    <w:p w14:paraId="7B6674F3" w14:textId="77777777" w:rsidR="00970B77" w:rsidRPr="0081146C" w:rsidRDefault="00970B77" w:rsidP="00970B77">
      <w:pPr>
        <w:pStyle w:val="paragraph"/>
      </w:pPr>
      <w:r w:rsidRPr="0081146C">
        <w:tab/>
        <w:t>(b)</w:t>
      </w:r>
      <w:r w:rsidRPr="0081146C">
        <w:tab/>
        <w:t>take reasonable steps to ensure that the reporting entity:</w:t>
      </w:r>
    </w:p>
    <w:p w14:paraId="24A19916" w14:textId="77777777" w:rsidR="00970B77" w:rsidRPr="0081146C" w:rsidRDefault="00970B77" w:rsidP="00970B77">
      <w:pPr>
        <w:pStyle w:val="paragraphsub"/>
      </w:pPr>
      <w:r w:rsidRPr="0081146C">
        <w:tab/>
        <w:t>(i)</w:t>
      </w:r>
      <w:r w:rsidRPr="0081146C">
        <w:tab/>
        <w:t>is appropriately identifying, assessing, managing and mitigating the risks of money laundering, financing of terrorism and proliferation financing that the reporting entity may reasonably face in providing its designated services; and</w:t>
      </w:r>
    </w:p>
    <w:p w14:paraId="667A942B" w14:textId="77777777" w:rsidR="00970B77" w:rsidRPr="0081146C" w:rsidRDefault="00970B77" w:rsidP="00970B77">
      <w:pPr>
        <w:pStyle w:val="paragraphsub"/>
      </w:pPr>
      <w:r w:rsidRPr="0081146C">
        <w:tab/>
        <w:t>(ii)</w:t>
      </w:r>
      <w:r w:rsidRPr="0081146C">
        <w:tab/>
        <w:t>is otherwise complying with its AML/CTF policies, the Act, the regulations and the AML/CTF Rules.</w:t>
      </w:r>
    </w:p>
    <w:p w14:paraId="079311C9" w14:textId="77777777" w:rsidR="00970B77" w:rsidRPr="0081146C" w:rsidRDefault="00970B77" w:rsidP="00970B77">
      <w:pPr>
        <w:pStyle w:val="subsection"/>
      </w:pPr>
      <w:r w:rsidRPr="0081146C">
        <w:tab/>
        <w:t>(2)</w:t>
      </w:r>
      <w:r w:rsidRPr="0081146C">
        <w:tab/>
        <w:t>A reporting entity contravenes this subsection if the governing body of the reporting entity contravenes subsection (1).</w:t>
      </w:r>
    </w:p>
    <w:p w14:paraId="301E0F88" w14:textId="77777777" w:rsidR="00970B77" w:rsidRPr="0081146C" w:rsidRDefault="00970B77" w:rsidP="00970B77">
      <w:pPr>
        <w:pStyle w:val="subsection"/>
      </w:pPr>
      <w:r w:rsidRPr="0081146C">
        <w:tab/>
        <w:t>(3)</w:t>
      </w:r>
      <w:r w:rsidRPr="0081146C">
        <w:tab/>
        <w:t>Subsection (2) is a civil penalty provision.</w:t>
      </w:r>
    </w:p>
    <w:p w14:paraId="0C46A123" w14:textId="77777777" w:rsidR="00970B77" w:rsidRPr="0081146C" w:rsidRDefault="00970B77" w:rsidP="00F011D7">
      <w:pPr>
        <w:pStyle w:val="ActHead3"/>
        <w:pageBreakBefore/>
      </w:pPr>
      <w:bookmarkStart w:id="101" w:name="_Toc176444361"/>
      <w:bookmarkStart w:id="102" w:name="_Toc184033982"/>
      <w:bookmarkStart w:id="103" w:name="_Toc185415739"/>
      <w:r w:rsidRPr="0081146C">
        <w:rPr>
          <w:rStyle w:val="CharDivNo"/>
        </w:rPr>
        <w:t>Division 5</w:t>
      </w:r>
      <w:r w:rsidRPr="0081146C">
        <w:t>—</w:t>
      </w:r>
      <w:r w:rsidRPr="0081146C">
        <w:rPr>
          <w:rStyle w:val="CharDivText"/>
        </w:rPr>
        <w:t>AML/CTF compliance officers</w:t>
      </w:r>
      <w:bookmarkEnd w:id="101"/>
      <w:bookmarkEnd w:id="102"/>
      <w:bookmarkEnd w:id="103"/>
    </w:p>
    <w:p w14:paraId="0CA06F32" w14:textId="77777777" w:rsidR="00970B77" w:rsidRPr="0081146C" w:rsidRDefault="00970B77" w:rsidP="00970B77">
      <w:pPr>
        <w:pStyle w:val="ActHead5"/>
      </w:pPr>
      <w:bookmarkStart w:id="104" w:name="_Toc176444362"/>
      <w:bookmarkStart w:id="105" w:name="_Toc184033983"/>
      <w:bookmarkStart w:id="106" w:name="_Toc185415740"/>
      <w:r w:rsidRPr="0081146C">
        <w:rPr>
          <w:rStyle w:val="CharSectno"/>
        </w:rPr>
        <w:t>26J</w:t>
      </w:r>
      <w:r w:rsidRPr="0081146C">
        <w:t xml:space="preserve">  Reporting entities must designate an individual as the AML/CTF compliance officer for the reporting entity</w:t>
      </w:r>
      <w:bookmarkEnd w:id="104"/>
      <w:bookmarkEnd w:id="105"/>
      <w:bookmarkEnd w:id="106"/>
    </w:p>
    <w:p w14:paraId="01D67C7A" w14:textId="77777777" w:rsidR="00970B77" w:rsidRPr="0081146C" w:rsidRDefault="00970B77" w:rsidP="00970B77">
      <w:pPr>
        <w:pStyle w:val="subsection"/>
      </w:pPr>
      <w:r w:rsidRPr="0081146C">
        <w:tab/>
        <w:t>(1)</w:t>
      </w:r>
      <w:r w:rsidRPr="0081146C">
        <w:tab/>
        <w:t xml:space="preserve">The reporting entity must designate an individual as the compliance officer (the </w:t>
      </w:r>
      <w:r w:rsidRPr="0081146C">
        <w:rPr>
          <w:b/>
          <w:i/>
        </w:rPr>
        <w:t>AML/CTF compliance officer</w:t>
      </w:r>
      <w:r w:rsidRPr="0081146C">
        <w:t>) for the reporting entity.</w:t>
      </w:r>
    </w:p>
    <w:p w14:paraId="1C720759" w14:textId="77777777" w:rsidR="00970B77" w:rsidRPr="0081146C" w:rsidRDefault="00970B77" w:rsidP="00970B77">
      <w:pPr>
        <w:pStyle w:val="SubsectionHead"/>
      </w:pPr>
      <w:r w:rsidRPr="0081146C">
        <w:t>AML/CTF compliance officers must have sufficient authority etc.</w:t>
      </w:r>
    </w:p>
    <w:p w14:paraId="5D90AF8F" w14:textId="77777777" w:rsidR="00970B77" w:rsidRPr="0081146C" w:rsidRDefault="00970B77" w:rsidP="00970B77">
      <w:pPr>
        <w:pStyle w:val="subsection"/>
      </w:pPr>
      <w:r w:rsidRPr="0081146C">
        <w:tab/>
        <w:t>(2)</w:t>
      </w:r>
      <w:r w:rsidRPr="0081146C">
        <w:tab/>
        <w:t>A reporting entity must ensure that the individual designated as the AML/CTF compliance officer for the reporting entity:</w:t>
      </w:r>
    </w:p>
    <w:p w14:paraId="12ABE3B5" w14:textId="77777777" w:rsidR="00970B77" w:rsidRPr="0081146C" w:rsidRDefault="00970B77" w:rsidP="00970B77">
      <w:pPr>
        <w:pStyle w:val="paragraph"/>
      </w:pPr>
      <w:r w:rsidRPr="0081146C">
        <w:tab/>
        <w:t>(a)</w:t>
      </w:r>
      <w:r w:rsidRPr="0081146C">
        <w:tab/>
        <w:t>is a person employed or otherwise engaged by the reporting entity at management level; and</w:t>
      </w:r>
    </w:p>
    <w:p w14:paraId="674B59AA" w14:textId="77777777" w:rsidR="00970B77" w:rsidRPr="0081146C" w:rsidRDefault="00970B77" w:rsidP="00970B77">
      <w:pPr>
        <w:pStyle w:val="paragraph"/>
      </w:pPr>
      <w:r w:rsidRPr="0081146C">
        <w:tab/>
        <w:t>(b)</w:t>
      </w:r>
      <w:r w:rsidRPr="0081146C">
        <w:tab/>
        <w:t>has sufficient authority, independence and access to resources and information to ensure the individual can perform the functions of an AML/CTF compliance officer effectively.</w:t>
      </w:r>
    </w:p>
    <w:p w14:paraId="50BBB077" w14:textId="77777777" w:rsidR="00970B77" w:rsidRPr="0081146C" w:rsidRDefault="00970B77" w:rsidP="00970B77">
      <w:pPr>
        <w:pStyle w:val="SubsectionHead"/>
      </w:pPr>
      <w:r w:rsidRPr="0081146C">
        <w:t>AML/CTF compliance officers must meet certain requirements</w:t>
      </w:r>
    </w:p>
    <w:p w14:paraId="4B6D99AD" w14:textId="77777777" w:rsidR="00970B77" w:rsidRPr="0081146C" w:rsidRDefault="00970B77" w:rsidP="00970B77">
      <w:pPr>
        <w:pStyle w:val="subsection"/>
      </w:pPr>
      <w:r w:rsidRPr="0081146C">
        <w:tab/>
        <w:t>(3)</w:t>
      </w:r>
      <w:r w:rsidRPr="0081146C">
        <w:tab/>
        <w:t>An individual is not eligible to be designated as the AML/CTF compliance officer for a reporting entity unless the individual:</w:t>
      </w:r>
    </w:p>
    <w:p w14:paraId="46AD5086" w14:textId="77777777" w:rsidR="00970B77" w:rsidRPr="0081146C" w:rsidRDefault="00970B77" w:rsidP="00970B77">
      <w:pPr>
        <w:pStyle w:val="paragraph"/>
      </w:pPr>
      <w:r w:rsidRPr="0081146C">
        <w:tab/>
        <w:t>(a)</w:t>
      </w:r>
      <w:r w:rsidRPr="0081146C">
        <w:tab/>
        <w:t>if the reporting entity provides its designated services at or through a permanent establishment of the reporting entity in Australia—is a resident of Australia; and</w:t>
      </w:r>
    </w:p>
    <w:p w14:paraId="01F6F3E2" w14:textId="77777777" w:rsidR="00970B77" w:rsidRPr="0081146C" w:rsidRDefault="00970B77" w:rsidP="00970B77">
      <w:pPr>
        <w:pStyle w:val="paragraph"/>
      </w:pPr>
      <w:r w:rsidRPr="0081146C">
        <w:tab/>
        <w:t>(b)</w:t>
      </w:r>
      <w:r w:rsidRPr="0081146C">
        <w:tab/>
        <w:t>is a fit and proper person; and</w:t>
      </w:r>
    </w:p>
    <w:p w14:paraId="79F6D859" w14:textId="77777777" w:rsidR="00970B77" w:rsidRPr="0081146C" w:rsidRDefault="00970B77" w:rsidP="00970B77">
      <w:pPr>
        <w:pStyle w:val="paragraph"/>
      </w:pPr>
      <w:r w:rsidRPr="0081146C">
        <w:tab/>
        <w:t>(c)</w:t>
      </w:r>
      <w:r w:rsidRPr="0081146C">
        <w:tab/>
        <w:t>meets the requirements (if any) specified in the AML/CTF Rules.</w:t>
      </w:r>
    </w:p>
    <w:p w14:paraId="0DD6D7D5" w14:textId="77777777" w:rsidR="00970B77" w:rsidRPr="0081146C" w:rsidRDefault="00970B77" w:rsidP="00970B77">
      <w:pPr>
        <w:pStyle w:val="subsection"/>
      </w:pPr>
      <w:r w:rsidRPr="0081146C">
        <w:tab/>
        <w:t>(4)</w:t>
      </w:r>
      <w:r w:rsidRPr="0081146C">
        <w:tab/>
        <w:t>The AML/CTF Rules may specify matters to which a reporting entity must have regard in determining whether an individual is a fit and proper person for the purposes of paragraph (3)(b).</w:t>
      </w:r>
    </w:p>
    <w:p w14:paraId="0622B669" w14:textId="77777777" w:rsidR="00970B77" w:rsidRPr="0081146C" w:rsidRDefault="00970B77" w:rsidP="00970B77">
      <w:pPr>
        <w:pStyle w:val="SubsectionHead"/>
      </w:pPr>
      <w:r w:rsidRPr="0081146C">
        <w:t>Civil penalties</w:t>
      </w:r>
    </w:p>
    <w:p w14:paraId="7CBC9E2D" w14:textId="77777777" w:rsidR="00970B77" w:rsidRPr="0081146C" w:rsidRDefault="00970B77" w:rsidP="00970B77">
      <w:pPr>
        <w:pStyle w:val="subsection"/>
      </w:pPr>
      <w:r w:rsidRPr="0081146C">
        <w:tab/>
        <w:t>(5)</w:t>
      </w:r>
      <w:r w:rsidRPr="0081146C">
        <w:tab/>
        <w:t>Subsection (2) is a civil penalty provision.</w:t>
      </w:r>
    </w:p>
    <w:p w14:paraId="6B0D21DA" w14:textId="77777777" w:rsidR="00970B77" w:rsidRPr="0081146C" w:rsidRDefault="00970B77" w:rsidP="00970B77">
      <w:pPr>
        <w:pStyle w:val="subsection"/>
      </w:pPr>
      <w:r w:rsidRPr="0081146C">
        <w:tab/>
        <w:t>(6)</w:t>
      </w:r>
      <w:r w:rsidRPr="0081146C">
        <w:tab/>
        <w:t>A reporting entity contravenes this subsection if:</w:t>
      </w:r>
    </w:p>
    <w:p w14:paraId="71D88B9F" w14:textId="77777777" w:rsidR="00970B77" w:rsidRPr="0081146C" w:rsidRDefault="00970B77" w:rsidP="00970B77">
      <w:pPr>
        <w:pStyle w:val="paragraph"/>
      </w:pPr>
      <w:r w:rsidRPr="0081146C">
        <w:tab/>
        <w:t>(a)</w:t>
      </w:r>
      <w:r w:rsidRPr="0081146C">
        <w:tab/>
        <w:t>the reporting entity designates an individual as its AML/CTF compliance officer; and</w:t>
      </w:r>
    </w:p>
    <w:p w14:paraId="1B715477" w14:textId="77777777" w:rsidR="00970B77" w:rsidRPr="0081146C" w:rsidRDefault="00970B77" w:rsidP="00970B77">
      <w:pPr>
        <w:pStyle w:val="paragraph"/>
      </w:pPr>
      <w:r w:rsidRPr="0081146C">
        <w:tab/>
        <w:t>(b)</w:t>
      </w:r>
      <w:r w:rsidRPr="0081146C">
        <w:tab/>
        <w:t>the individual is not eligible under subsection (3) to be designated as the AML/CTF compliance officer for the reporting entity.</w:t>
      </w:r>
    </w:p>
    <w:p w14:paraId="65C21CE4" w14:textId="77777777" w:rsidR="00970B77" w:rsidRPr="0081146C" w:rsidRDefault="00970B77" w:rsidP="00970B77">
      <w:pPr>
        <w:pStyle w:val="subsection"/>
      </w:pPr>
      <w:r w:rsidRPr="0081146C">
        <w:tab/>
        <w:t>(7)</w:t>
      </w:r>
      <w:r w:rsidRPr="0081146C">
        <w:tab/>
        <w:t>Subsection (6) is a civil penalty provision.</w:t>
      </w:r>
    </w:p>
    <w:p w14:paraId="62DB317D" w14:textId="77777777" w:rsidR="00970B77" w:rsidRPr="0081146C" w:rsidRDefault="00970B77" w:rsidP="00970B77">
      <w:pPr>
        <w:pStyle w:val="ActHead5"/>
      </w:pPr>
      <w:bookmarkStart w:id="107" w:name="_Toc176444363"/>
      <w:bookmarkStart w:id="108" w:name="_Toc184033984"/>
      <w:bookmarkStart w:id="109" w:name="_Toc185415741"/>
      <w:r w:rsidRPr="0081146C">
        <w:rPr>
          <w:rStyle w:val="CharSectno"/>
        </w:rPr>
        <w:t>26K</w:t>
      </w:r>
      <w:r w:rsidRPr="0081146C">
        <w:t xml:space="preserve">  Reporting entities must have an AML/CTF compliance officer</w:t>
      </w:r>
      <w:bookmarkEnd w:id="107"/>
      <w:bookmarkEnd w:id="108"/>
      <w:bookmarkEnd w:id="109"/>
    </w:p>
    <w:p w14:paraId="0E068060" w14:textId="77777777" w:rsidR="00970B77" w:rsidRPr="0081146C" w:rsidRDefault="00970B77" w:rsidP="00970B77">
      <w:pPr>
        <w:pStyle w:val="subsection"/>
      </w:pPr>
      <w:r w:rsidRPr="0081146C">
        <w:tab/>
        <w:t>(1)</w:t>
      </w:r>
      <w:r w:rsidRPr="0081146C">
        <w:tab/>
        <w:t>If:</w:t>
      </w:r>
    </w:p>
    <w:p w14:paraId="2A778EEF" w14:textId="77777777" w:rsidR="00970B77" w:rsidRPr="0081146C" w:rsidRDefault="00970B77" w:rsidP="00970B77">
      <w:pPr>
        <w:pStyle w:val="paragraph"/>
      </w:pPr>
      <w:r w:rsidRPr="0081146C">
        <w:tab/>
        <w:t>(a)</w:t>
      </w:r>
      <w:r w:rsidRPr="0081146C">
        <w:tab/>
        <w:t>a reporting entity commences to provide a designated service; and</w:t>
      </w:r>
    </w:p>
    <w:p w14:paraId="47B3392C" w14:textId="77777777" w:rsidR="00970B77" w:rsidRPr="0081146C" w:rsidRDefault="00970B77" w:rsidP="00970B77">
      <w:pPr>
        <w:pStyle w:val="paragraph"/>
      </w:pPr>
      <w:r w:rsidRPr="0081146C">
        <w:tab/>
        <w:t>(b)</w:t>
      </w:r>
      <w:r w:rsidRPr="0081146C">
        <w:tab/>
        <w:t>an individual is not designated as the AML/CTF compliance officer for the reporting entity;</w:t>
      </w:r>
    </w:p>
    <w:p w14:paraId="41A5185D" w14:textId="77777777" w:rsidR="00970B77" w:rsidRPr="0081146C" w:rsidRDefault="00970B77" w:rsidP="00970B77">
      <w:pPr>
        <w:pStyle w:val="subsection2"/>
      </w:pPr>
      <w:r w:rsidRPr="0081146C">
        <w:t>the reporting entity must, no later than 28 days after the day on which the reporting entity commences to provide the designated service, designate an individual as the AML/CTF compliance officer for the reporting entity.</w:t>
      </w:r>
    </w:p>
    <w:p w14:paraId="75A47748" w14:textId="77777777" w:rsidR="00970B77" w:rsidRPr="0081146C" w:rsidRDefault="00970B77" w:rsidP="00970B77">
      <w:pPr>
        <w:pStyle w:val="subsection"/>
      </w:pPr>
      <w:r w:rsidRPr="0081146C">
        <w:tab/>
        <w:t>(2)</w:t>
      </w:r>
      <w:r w:rsidRPr="0081146C">
        <w:tab/>
        <w:t>If:</w:t>
      </w:r>
    </w:p>
    <w:p w14:paraId="4180FAA5" w14:textId="77777777" w:rsidR="00970B77" w:rsidRPr="0081146C" w:rsidRDefault="00970B77" w:rsidP="00970B77">
      <w:pPr>
        <w:pStyle w:val="paragraph"/>
      </w:pPr>
      <w:r w:rsidRPr="0081146C">
        <w:tab/>
        <w:t>(a)</w:t>
      </w:r>
      <w:r w:rsidRPr="0081146C">
        <w:tab/>
        <w:t>a reporting entity commences to provide a designated service; and</w:t>
      </w:r>
    </w:p>
    <w:p w14:paraId="0C1C5E97" w14:textId="77777777" w:rsidR="00970B77" w:rsidRPr="0081146C" w:rsidRDefault="00970B77" w:rsidP="00970B77">
      <w:pPr>
        <w:pStyle w:val="paragraph"/>
      </w:pPr>
      <w:r w:rsidRPr="0081146C">
        <w:tab/>
        <w:t>(b)</w:t>
      </w:r>
      <w:r w:rsidRPr="0081146C">
        <w:tab/>
        <w:t>the individual designated as the AML/CTF compliance officer for the reporting entity ceases to be eligible under subsection 26J(3) to be so designated;</w:t>
      </w:r>
    </w:p>
    <w:p w14:paraId="376587BF" w14:textId="77777777" w:rsidR="00970B77" w:rsidRPr="0081146C" w:rsidRDefault="00970B77" w:rsidP="00970B77">
      <w:pPr>
        <w:pStyle w:val="subsection2"/>
      </w:pPr>
      <w:r w:rsidRPr="0081146C">
        <w:t>the reporting entity must, no later than 28 days after the day on which the individual ceases to be eligible, designate another individual as the AML/CTF compliance officer for the reporting entity.</w:t>
      </w:r>
    </w:p>
    <w:p w14:paraId="4D156967" w14:textId="77777777" w:rsidR="00970B77" w:rsidRPr="0081146C" w:rsidRDefault="00970B77" w:rsidP="00970B77">
      <w:pPr>
        <w:pStyle w:val="subsection"/>
      </w:pPr>
      <w:r w:rsidRPr="0081146C">
        <w:tab/>
        <w:t>(3)</w:t>
      </w:r>
      <w:r w:rsidRPr="0081146C">
        <w:tab/>
        <w:t>If:</w:t>
      </w:r>
    </w:p>
    <w:p w14:paraId="4979650A" w14:textId="77777777" w:rsidR="00970B77" w:rsidRPr="0081146C" w:rsidRDefault="00970B77" w:rsidP="00970B77">
      <w:pPr>
        <w:pStyle w:val="paragraph"/>
      </w:pPr>
      <w:r w:rsidRPr="0081146C">
        <w:tab/>
        <w:t>(a)</w:t>
      </w:r>
      <w:r w:rsidRPr="0081146C">
        <w:tab/>
        <w:t>a reporting entity is required under subsection (1) or (2) to designate an individual as the AML/CTF compliance officer for the reporting entity by a particular time; and</w:t>
      </w:r>
    </w:p>
    <w:p w14:paraId="51261B8E" w14:textId="77777777" w:rsidR="00970B77" w:rsidRPr="0081146C" w:rsidRDefault="00970B77" w:rsidP="00970B77">
      <w:pPr>
        <w:pStyle w:val="paragraph"/>
      </w:pPr>
      <w:r w:rsidRPr="0081146C">
        <w:tab/>
        <w:t>(b)</w:t>
      </w:r>
      <w:r w:rsidRPr="0081146C">
        <w:tab/>
        <w:t>the reporting entity does not do so by that time;</w:t>
      </w:r>
    </w:p>
    <w:p w14:paraId="3DFBF825" w14:textId="77777777" w:rsidR="00970B77" w:rsidRPr="0081146C" w:rsidRDefault="00970B77" w:rsidP="00970B77">
      <w:pPr>
        <w:pStyle w:val="subsection2"/>
      </w:pPr>
      <w:r w:rsidRPr="0081146C">
        <w:t>then the obligation to comply with the requirement continues until:</w:t>
      </w:r>
    </w:p>
    <w:p w14:paraId="066B69F4" w14:textId="77777777" w:rsidR="00970B77" w:rsidRPr="0081146C" w:rsidRDefault="00970B77" w:rsidP="00970B77">
      <w:pPr>
        <w:pStyle w:val="paragraph"/>
      </w:pPr>
      <w:r w:rsidRPr="0081146C">
        <w:tab/>
        <w:t>(c)</w:t>
      </w:r>
      <w:r w:rsidRPr="0081146C">
        <w:tab/>
        <w:t>the reporting entity designates an individual as the AML/CTF compliance officer for the reporting entity; or</w:t>
      </w:r>
    </w:p>
    <w:p w14:paraId="61CC6631" w14:textId="77777777" w:rsidR="00970B77" w:rsidRPr="0081146C" w:rsidRDefault="00970B77" w:rsidP="00970B77">
      <w:pPr>
        <w:pStyle w:val="paragraph"/>
      </w:pPr>
      <w:r w:rsidRPr="0081146C">
        <w:tab/>
        <w:t>(d)</w:t>
      </w:r>
      <w:r w:rsidRPr="0081146C">
        <w:tab/>
        <w:t>the reporting entity ceases to be a reporting entity;</w:t>
      </w:r>
    </w:p>
    <w:p w14:paraId="79795A9C" w14:textId="77777777" w:rsidR="00970B77" w:rsidRPr="0081146C" w:rsidRDefault="00970B77" w:rsidP="00970B77">
      <w:pPr>
        <w:pStyle w:val="subsection2"/>
      </w:pPr>
      <w:r w:rsidRPr="0081146C">
        <w:t>whichever occurs first.</w:t>
      </w:r>
    </w:p>
    <w:p w14:paraId="3F9619B1" w14:textId="77777777" w:rsidR="00970B77" w:rsidRPr="0081146C" w:rsidRDefault="00970B77" w:rsidP="00970B77">
      <w:pPr>
        <w:pStyle w:val="subsection"/>
      </w:pPr>
      <w:r w:rsidRPr="0081146C">
        <w:tab/>
        <w:t>(4)</w:t>
      </w:r>
      <w:r w:rsidRPr="0081146C">
        <w:tab/>
        <w:t xml:space="preserve">A reporting entity that contravenes subsection (1) or (2) by failing to designate an individual as the AML/CTF compliance officer for the reporting entity by a particular time (the </w:t>
      </w:r>
      <w:r w:rsidRPr="0081146C">
        <w:rPr>
          <w:b/>
          <w:i/>
        </w:rPr>
        <w:t>deadline</w:t>
      </w:r>
      <w:r w:rsidRPr="0081146C">
        <w:t>) is taken to commit a separate contravention of that subsection on each day that occurs during the period:</w:t>
      </w:r>
    </w:p>
    <w:p w14:paraId="7C64816D" w14:textId="77777777" w:rsidR="00970B77" w:rsidRPr="0081146C" w:rsidRDefault="00970B77" w:rsidP="00970B77">
      <w:pPr>
        <w:pStyle w:val="paragraph"/>
      </w:pPr>
      <w:r w:rsidRPr="0081146C">
        <w:tab/>
        <w:t>(a)</w:t>
      </w:r>
      <w:r w:rsidRPr="0081146C">
        <w:tab/>
        <w:t>beginning on the day on which the deadline occurs; and</w:t>
      </w:r>
    </w:p>
    <w:p w14:paraId="36C6228B" w14:textId="77777777" w:rsidR="00970B77" w:rsidRPr="0081146C" w:rsidRDefault="00970B77" w:rsidP="00970B77">
      <w:pPr>
        <w:pStyle w:val="paragraph"/>
      </w:pPr>
      <w:r w:rsidRPr="0081146C">
        <w:tab/>
        <w:t>(b)</w:t>
      </w:r>
      <w:r w:rsidRPr="0081146C">
        <w:tab/>
        <w:t>ending on the day on which the reporting entity’s obligation to comply with the requirement ends (see subsection (3)).</w:t>
      </w:r>
    </w:p>
    <w:p w14:paraId="6A27F05B" w14:textId="77777777" w:rsidR="00970B77" w:rsidRPr="0081146C" w:rsidRDefault="00970B77" w:rsidP="00970B77">
      <w:pPr>
        <w:pStyle w:val="subsection"/>
      </w:pPr>
      <w:r w:rsidRPr="0081146C">
        <w:tab/>
        <w:t>(5)</w:t>
      </w:r>
      <w:r w:rsidRPr="0081146C">
        <w:tab/>
        <w:t>To avoid doubt, a reporting entity does not contravene subsection (1) or (2) more than once on any particular day, even if the reporting entity commences to provide a designated service more than once on a particular day or during a particular period.</w:t>
      </w:r>
    </w:p>
    <w:p w14:paraId="193CC64D" w14:textId="77777777" w:rsidR="00970B77" w:rsidRPr="0081146C" w:rsidRDefault="00970B77" w:rsidP="00970B77">
      <w:pPr>
        <w:pStyle w:val="subsection"/>
      </w:pPr>
      <w:r w:rsidRPr="0081146C">
        <w:tab/>
        <w:t>(6)</w:t>
      </w:r>
      <w:r w:rsidRPr="0081146C">
        <w:tab/>
        <w:t>Subsections (1) and (2) are civil penalty provisions.</w:t>
      </w:r>
    </w:p>
    <w:p w14:paraId="4B903962" w14:textId="77777777" w:rsidR="00970B77" w:rsidRPr="0081146C" w:rsidRDefault="00970B77" w:rsidP="00970B77">
      <w:pPr>
        <w:pStyle w:val="ActHead5"/>
      </w:pPr>
      <w:bookmarkStart w:id="110" w:name="_Toc176444364"/>
      <w:bookmarkStart w:id="111" w:name="_Toc184033985"/>
      <w:bookmarkStart w:id="112" w:name="_Toc185415742"/>
      <w:r w:rsidRPr="0081146C">
        <w:rPr>
          <w:rStyle w:val="CharSectno"/>
        </w:rPr>
        <w:t>26L</w:t>
      </w:r>
      <w:r w:rsidRPr="0081146C">
        <w:t xml:space="preserve">  AML/CTF compliance officer’s functions</w:t>
      </w:r>
      <w:bookmarkEnd w:id="110"/>
      <w:bookmarkEnd w:id="111"/>
      <w:bookmarkEnd w:id="112"/>
    </w:p>
    <w:p w14:paraId="76F65464" w14:textId="77777777" w:rsidR="00970B77" w:rsidRPr="0081146C" w:rsidRDefault="00970B77" w:rsidP="00970B77">
      <w:pPr>
        <w:pStyle w:val="subsection"/>
      </w:pPr>
      <w:r w:rsidRPr="0081146C">
        <w:tab/>
      </w:r>
      <w:r w:rsidRPr="0081146C">
        <w:tab/>
        <w:t>The functions of the AML/CTF compliance officer for a reporting entity are:</w:t>
      </w:r>
    </w:p>
    <w:p w14:paraId="631080D4" w14:textId="77777777" w:rsidR="00970B77" w:rsidRPr="0081146C" w:rsidRDefault="00970B77" w:rsidP="00970B77">
      <w:pPr>
        <w:pStyle w:val="paragraph"/>
      </w:pPr>
      <w:r w:rsidRPr="0081146C">
        <w:tab/>
        <w:t>(a)</w:t>
      </w:r>
      <w:r w:rsidRPr="0081146C">
        <w:tab/>
        <w:t>to oversee and coordinate the reporting entity’s day</w:t>
      </w:r>
      <w:r w:rsidRPr="0081146C">
        <w:noBreakHyphen/>
        <w:t>to</w:t>
      </w:r>
      <w:r w:rsidRPr="0081146C">
        <w:noBreakHyphen/>
        <w:t>day compliance with this Act, the regulations and the AML/CTF Rules; and</w:t>
      </w:r>
    </w:p>
    <w:p w14:paraId="0B2B32A4" w14:textId="77777777" w:rsidR="00970B77" w:rsidRPr="0081146C" w:rsidRDefault="00970B77" w:rsidP="00970B77">
      <w:pPr>
        <w:pStyle w:val="paragraph"/>
      </w:pPr>
      <w:r w:rsidRPr="0081146C">
        <w:tab/>
        <w:t>(b)</w:t>
      </w:r>
      <w:r w:rsidRPr="0081146C">
        <w:tab/>
        <w:t>to oversee and coordinate the effective operation of and compliance with the reporting entity’s AML/CTF policies; and</w:t>
      </w:r>
    </w:p>
    <w:p w14:paraId="13426717" w14:textId="77777777" w:rsidR="00970B77" w:rsidRPr="0081146C" w:rsidRDefault="00970B77" w:rsidP="00970B77">
      <w:pPr>
        <w:pStyle w:val="paragraph"/>
      </w:pPr>
      <w:r w:rsidRPr="0081146C">
        <w:tab/>
        <w:t>(c)</w:t>
      </w:r>
      <w:r w:rsidRPr="0081146C">
        <w:tab/>
        <w:t>to communicate, on behalf of the reporting entity, with AUSTRAC; and</w:t>
      </w:r>
    </w:p>
    <w:p w14:paraId="7579A8F5" w14:textId="77777777" w:rsidR="00970B77" w:rsidRPr="0081146C" w:rsidRDefault="00970B77" w:rsidP="00970B77">
      <w:pPr>
        <w:pStyle w:val="paragraph"/>
      </w:pPr>
      <w:r w:rsidRPr="0081146C">
        <w:tab/>
        <w:t>(d)</w:t>
      </w:r>
      <w:r w:rsidRPr="0081146C">
        <w:tab/>
        <w:t>to do anything incidental to or conducive to the performance of any of the above functions; and</w:t>
      </w:r>
    </w:p>
    <w:p w14:paraId="5753A368" w14:textId="77777777" w:rsidR="00970B77" w:rsidRPr="0081146C" w:rsidRDefault="00970B77" w:rsidP="00970B77">
      <w:pPr>
        <w:pStyle w:val="paragraph"/>
      </w:pPr>
      <w:r w:rsidRPr="0081146C">
        <w:tab/>
        <w:t>(e)</w:t>
      </w:r>
      <w:r w:rsidRPr="0081146C">
        <w:tab/>
        <w:t>any other functions specified in the AML/CTF Rules.</w:t>
      </w:r>
    </w:p>
    <w:p w14:paraId="3EB0B5E8" w14:textId="77777777" w:rsidR="00970B77" w:rsidRPr="0081146C" w:rsidRDefault="00970B77" w:rsidP="00970B77">
      <w:pPr>
        <w:pStyle w:val="ActHead5"/>
      </w:pPr>
      <w:bookmarkStart w:id="113" w:name="_Toc176444365"/>
      <w:bookmarkStart w:id="114" w:name="_Toc184033986"/>
      <w:bookmarkStart w:id="115" w:name="_Toc185415743"/>
      <w:r w:rsidRPr="0081146C">
        <w:rPr>
          <w:rStyle w:val="CharSectno"/>
        </w:rPr>
        <w:t>26M</w:t>
      </w:r>
      <w:r w:rsidRPr="0081146C">
        <w:t xml:space="preserve">  Reporting entities must notify AUSTRAC of entity’s AML/CTF compliance officer</w:t>
      </w:r>
      <w:bookmarkEnd w:id="113"/>
      <w:bookmarkEnd w:id="114"/>
      <w:bookmarkEnd w:id="115"/>
    </w:p>
    <w:p w14:paraId="1C3F590E" w14:textId="77777777" w:rsidR="00970B77" w:rsidRPr="0081146C" w:rsidRDefault="00970B77" w:rsidP="00970B77">
      <w:pPr>
        <w:pStyle w:val="subsection"/>
      </w:pPr>
      <w:r w:rsidRPr="0081146C">
        <w:tab/>
        <w:t>(1)</w:t>
      </w:r>
      <w:r w:rsidRPr="0081146C">
        <w:tab/>
        <w:t>A reporting entity must notify AUSTRAC of the individual who is designated as the reporting entity’s AML/CTF compliance officer within 14 days after the individual is designated as the AML/CTF compliance officer for the reporting entity.</w:t>
      </w:r>
    </w:p>
    <w:p w14:paraId="45482469" w14:textId="77777777" w:rsidR="00970B77" w:rsidRPr="0081146C" w:rsidRDefault="00970B77" w:rsidP="00970B77">
      <w:pPr>
        <w:pStyle w:val="subsection"/>
      </w:pPr>
      <w:r w:rsidRPr="0081146C">
        <w:tab/>
        <w:t>(2)</w:t>
      </w:r>
      <w:r w:rsidRPr="0081146C">
        <w:tab/>
        <w:t>A notice under subsection (1):</w:t>
      </w:r>
    </w:p>
    <w:p w14:paraId="7BA99E11" w14:textId="77777777" w:rsidR="00970B77" w:rsidRPr="0081146C" w:rsidRDefault="00970B77" w:rsidP="00970B77">
      <w:pPr>
        <w:pStyle w:val="paragraph"/>
      </w:pPr>
      <w:r w:rsidRPr="0081146C">
        <w:tab/>
        <w:t>(a)</w:t>
      </w:r>
      <w:r w:rsidRPr="0081146C">
        <w:tab/>
        <w:t>must be in the approved form; and</w:t>
      </w:r>
    </w:p>
    <w:p w14:paraId="3521EEC8" w14:textId="77777777" w:rsidR="00970B77" w:rsidRPr="0081146C" w:rsidRDefault="00970B77" w:rsidP="00970B77">
      <w:pPr>
        <w:pStyle w:val="paragraph"/>
      </w:pPr>
      <w:r w:rsidRPr="0081146C">
        <w:tab/>
        <w:t>(b)</w:t>
      </w:r>
      <w:r w:rsidRPr="0081146C">
        <w:tab/>
        <w:t>must contain such information, and be accompanied by such documents, as is required by the approved form.</w:t>
      </w:r>
    </w:p>
    <w:p w14:paraId="71D24B31" w14:textId="77777777" w:rsidR="00970B77" w:rsidRPr="0081146C" w:rsidRDefault="00970B77" w:rsidP="00970B77">
      <w:pPr>
        <w:pStyle w:val="subsection"/>
      </w:pPr>
      <w:r w:rsidRPr="0081146C">
        <w:tab/>
        <w:t>(3)</w:t>
      </w:r>
      <w:r w:rsidRPr="0081146C">
        <w:tab/>
        <w:t>Subsection (1) is a civil penalty provision.</w:t>
      </w:r>
    </w:p>
    <w:p w14:paraId="2B9B7D28" w14:textId="77777777" w:rsidR="00970B77" w:rsidRPr="0081146C" w:rsidRDefault="00970B77" w:rsidP="00F011D7">
      <w:pPr>
        <w:pStyle w:val="ActHead3"/>
        <w:pageBreakBefore/>
      </w:pPr>
      <w:bookmarkStart w:id="116" w:name="_Toc176444366"/>
      <w:bookmarkStart w:id="117" w:name="_Toc184033987"/>
      <w:bookmarkStart w:id="118" w:name="_Toc185415744"/>
      <w:r w:rsidRPr="0081146C">
        <w:rPr>
          <w:rStyle w:val="CharDivNo"/>
        </w:rPr>
        <w:t>Division 6</w:t>
      </w:r>
      <w:r w:rsidRPr="0081146C">
        <w:t>—</w:t>
      </w:r>
      <w:r w:rsidRPr="0081146C">
        <w:rPr>
          <w:rStyle w:val="CharDivText"/>
        </w:rPr>
        <w:t>AML/CTF program documentation and approvals</w:t>
      </w:r>
      <w:bookmarkEnd w:id="116"/>
      <w:bookmarkEnd w:id="117"/>
      <w:bookmarkEnd w:id="118"/>
    </w:p>
    <w:p w14:paraId="071D1FCE" w14:textId="77777777" w:rsidR="00970B77" w:rsidRPr="0081146C" w:rsidRDefault="00970B77" w:rsidP="00970B77">
      <w:pPr>
        <w:pStyle w:val="ActHead5"/>
      </w:pPr>
      <w:bookmarkStart w:id="119" w:name="_Toc176444367"/>
      <w:bookmarkStart w:id="120" w:name="_Toc184033988"/>
      <w:bookmarkStart w:id="121" w:name="_Toc185415745"/>
      <w:r w:rsidRPr="0081146C">
        <w:rPr>
          <w:rStyle w:val="CharSectno"/>
        </w:rPr>
        <w:t>26N</w:t>
      </w:r>
      <w:r w:rsidRPr="0081146C">
        <w:t xml:space="preserve">  AML/CTF program documentation</w:t>
      </w:r>
      <w:bookmarkEnd w:id="119"/>
      <w:bookmarkEnd w:id="120"/>
      <w:bookmarkEnd w:id="121"/>
    </w:p>
    <w:p w14:paraId="0359E520" w14:textId="77777777" w:rsidR="00970B77" w:rsidRPr="0081146C" w:rsidRDefault="00970B77" w:rsidP="00970B77">
      <w:pPr>
        <w:pStyle w:val="subsection"/>
      </w:pPr>
      <w:r w:rsidRPr="0081146C">
        <w:tab/>
        <w:t>(1)</w:t>
      </w:r>
      <w:r w:rsidRPr="0081146C">
        <w:tab/>
        <w:t>A reporting entity must document the following, within the period (if any) specified in the AML/CTF Rules:</w:t>
      </w:r>
    </w:p>
    <w:p w14:paraId="2AB7B473" w14:textId="77777777" w:rsidR="00970B77" w:rsidRPr="0081146C" w:rsidRDefault="00970B77" w:rsidP="00970B77">
      <w:pPr>
        <w:pStyle w:val="paragraph"/>
      </w:pPr>
      <w:r w:rsidRPr="0081146C">
        <w:tab/>
        <w:t>(a)</w:t>
      </w:r>
      <w:r w:rsidRPr="0081146C">
        <w:tab/>
        <w:t>its AML/CTF program;</w:t>
      </w:r>
    </w:p>
    <w:p w14:paraId="64925F9D" w14:textId="77777777" w:rsidR="00970B77" w:rsidRPr="0081146C" w:rsidRDefault="00970B77" w:rsidP="00970B77">
      <w:pPr>
        <w:pStyle w:val="paragraph"/>
      </w:pPr>
      <w:r w:rsidRPr="0081146C">
        <w:tab/>
        <w:t>(b)</w:t>
      </w:r>
      <w:r w:rsidRPr="0081146C">
        <w:tab/>
        <w:t>any other matter relating to the AML/CTF program of the reporting entity specified in the AML/CTF Rules.</w:t>
      </w:r>
    </w:p>
    <w:p w14:paraId="5E6B00F2" w14:textId="77777777" w:rsidR="00970B77" w:rsidRPr="0081146C" w:rsidRDefault="00970B77" w:rsidP="00970B77">
      <w:pPr>
        <w:pStyle w:val="subsection"/>
      </w:pPr>
      <w:r w:rsidRPr="0081146C">
        <w:tab/>
        <w:t>(2)</w:t>
      </w:r>
      <w:r w:rsidRPr="0081146C">
        <w:tab/>
        <w:t>A reporting entity must comply with subsection (1).</w:t>
      </w:r>
    </w:p>
    <w:p w14:paraId="4A1027DE" w14:textId="77777777" w:rsidR="00970B77" w:rsidRPr="0081146C" w:rsidRDefault="00970B77" w:rsidP="00970B77">
      <w:pPr>
        <w:pStyle w:val="subsection"/>
      </w:pPr>
      <w:r w:rsidRPr="0081146C">
        <w:tab/>
        <w:t>(3)</w:t>
      </w:r>
      <w:r w:rsidRPr="0081146C">
        <w:tab/>
        <w:t>Subsection (2) is a civil penalty provision.</w:t>
      </w:r>
    </w:p>
    <w:p w14:paraId="68D65553" w14:textId="77777777" w:rsidR="00970B77" w:rsidRPr="0081146C" w:rsidRDefault="00970B77" w:rsidP="00970B77">
      <w:pPr>
        <w:pStyle w:val="subsection"/>
      </w:pPr>
      <w:r w:rsidRPr="0081146C">
        <w:tab/>
        <w:t>(4)</w:t>
      </w:r>
      <w:r w:rsidRPr="0081146C">
        <w:tab/>
        <w:t xml:space="preserve">If a reporting entity is the responsible entity of a registered scheme (within the meaning of the </w:t>
      </w:r>
      <w:r w:rsidRPr="0081146C">
        <w:rPr>
          <w:i/>
        </w:rPr>
        <w:t>Corporations Act 2001</w:t>
      </w:r>
      <w:r w:rsidRPr="0081146C">
        <w:t>), the reporting entity’s AML/CTF program may be documented in the same document as the registered scheme’s compliance plan under that Act.</w:t>
      </w:r>
    </w:p>
    <w:p w14:paraId="01943DA7" w14:textId="77777777" w:rsidR="00970B77" w:rsidRPr="0081146C" w:rsidRDefault="00970B77" w:rsidP="00970B77">
      <w:pPr>
        <w:pStyle w:val="ActHead5"/>
      </w:pPr>
      <w:bookmarkStart w:id="122" w:name="_Toc176444368"/>
      <w:bookmarkStart w:id="123" w:name="_Toc184033989"/>
      <w:bookmarkStart w:id="124" w:name="_Toc185415746"/>
      <w:r w:rsidRPr="0081146C">
        <w:rPr>
          <w:rStyle w:val="CharSectno"/>
        </w:rPr>
        <w:t>26P</w:t>
      </w:r>
      <w:r w:rsidRPr="0081146C">
        <w:t xml:space="preserve">  AML/CTF program approvals</w:t>
      </w:r>
      <w:bookmarkEnd w:id="122"/>
      <w:bookmarkEnd w:id="123"/>
      <w:bookmarkEnd w:id="124"/>
    </w:p>
    <w:p w14:paraId="2F0DE3BF" w14:textId="77777777" w:rsidR="00970B77" w:rsidRPr="0081146C" w:rsidRDefault="00970B77" w:rsidP="00970B77">
      <w:pPr>
        <w:pStyle w:val="subsection"/>
      </w:pPr>
      <w:r w:rsidRPr="0081146C">
        <w:tab/>
        <w:t>(1)</w:t>
      </w:r>
      <w:r w:rsidRPr="0081146C">
        <w:tab/>
        <w:t>A reporting entity’s ML/TF risk assessment and AML/CTF policies, including any updates to either, must be approved by a senior manager of the reporting entity.</w:t>
      </w:r>
    </w:p>
    <w:p w14:paraId="42E6D314" w14:textId="77777777" w:rsidR="00970B77" w:rsidRPr="0081146C" w:rsidRDefault="00970B77" w:rsidP="00970B77">
      <w:pPr>
        <w:pStyle w:val="subsection"/>
      </w:pPr>
      <w:r w:rsidRPr="0081146C">
        <w:tab/>
        <w:t>(2)</w:t>
      </w:r>
      <w:r w:rsidRPr="0081146C">
        <w:tab/>
        <w:t>Any updates to a reporting entity’s ML/TF risk assessment must be notified, in writing, to the governing body of the reporting entity as soon as practicable after the update is made.</w:t>
      </w:r>
    </w:p>
    <w:p w14:paraId="2C3C908E" w14:textId="77777777" w:rsidR="00970B77" w:rsidRPr="0081146C" w:rsidRDefault="00970B77" w:rsidP="00970B77">
      <w:pPr>
        <w:pStyle w:val="subsection"/>
      </w:pPr>
      <w:r w:rsidRPr="0081146C">
        <w:tab/>
        <w:t>(3)</w:t>
      </w:r>
      <w:r w:rsidRPr="0081146C">
        <w:tab/>
        <w:t>A reporting entity must comply with a requirement under this section.</w:t>
      </w:r>
    </w:p>
    <w:p w14:paraId="2A825122" w14:textId="77777777" w:rsidR="00970B77" w:rsidRPr="0081146C" w:rsidRDefault="00970B77" w:rsidP="00970B77">
      <w:pPr>
        <w:pStyle w:val="subsection"/>
      </w:pPr>
      <w:r w:rsidRPr="0081146C">
        <w:tab/>
        <w:t>(4)</w:t>
      </w:r>
      <w:r w:rsidRPr="0081146C">
        <w:tab/>
        <w:t>Subsection (3) is a civil penalty provision.</w:t>
      </w:r>
    </w:p>
    <w:p w14:paraId="646F4C02" w14:textId="77777777" w:rsidR="00970B77" w:rsidRPr="0081146C" w:rsidRDefault="00970B77" w:rsidP="00970B77">
      <w:pPr>
        <w:pStyle w:val="ActHead5"/>
      </w:pPr>
      <w:bookmarkStart w:id="125" w:name="_Toc176444369"/>
      <w:bookmarkStart w:id="126" w:name="_Toc184033990"/>
      <w:bookmarkStart w:id="127" w:name="_Toc185415747"/>
      <w:r w:rsidRPr="0081146C">
        <w:rPr>
          <w:rStyle w:val="CharSectno"/>
        </w:rPr>
        <w:t>26Q</w:t>
      </w:r>
      <w:r w:rsidRPr="0081146C">
        <w:t xml:space="preserve">  Requests for AML/CTF documentation</w:t>
      </w:r>
      <w:bookmarkEnd w:id="125"/>
      <w:bookmarkEnd w:id="126"/>
      <w:bookmarkEnd w:id="127"/>
    </w:p>
    <w:p w14:paraId="1CC3CD95" w14:textId="77777777" w:rsidR="00970B77" w:rsidRPr="0081146C" w:rsidRDefault="00970B77" w:rsidP="00970B77">
      <w:pPr>
        <w:pStyle w:val="subsection"/>
      </w:pPr>
      <w:r w:rsidRPr="0081146C">
        <w:tab/>
        <w:t>(1)</w:t>
      </w:r>
      <w:r w:rsidRPr="0081146C">
        <w:tab/>
        <w:t>The AUSTRAC CEO may, by written notice, request a reporting entity to produce one or more of the documents required by subsection 26N(1) within the period specified in the notice.</w:t>
      </w:r>
    </w:p>
    <w:p w14:paraId="1EB29357" w14:textId="77777777" w:rsidR="00970B77" w:rsidRPr="0081146C" w:rsidRDefault="00970B77" w:rsidP="00970B77">
      <w:pPr>
        <w:pStyle w:val="subsection"/>
      </w:pPr>
      <w:r w:rsidRPr="0081146C">
        <w:tab/>
        <w:t>(2)</w:t>
      </w:r>
      <w:r w:rsidRPr="0081146C">
        <w:tab/>
        <w:t>A reporting entity must comply with a notice given under subsection (1).</w:t>
      </w:r>
    </w:p>
    <w:p w14:paraId="69839AEF" w14:textId="77777777" w:rsidR="00EB7F1B" w:rsidRPr="0081146C" w:rsidRDefault="00EB7F1B" w:rsidP="00EB7F1B">
      <w:pPr>
        <w:pStyle w:val="subsection"/>
      </w:pPr>
      <w:r w:rsidRPr="0081146C">
        <w:tab/>
        <w:t>(2A)</w:t>
      </w:r>
      <w:r w:rsidRPr="0081146C">
        <w:tab/>
        <w:t>If:</w:t>
      </w:r>
    </w:p>
    <w:p w14:paraId="78DBA37B" w14:textId="77777777" w:rsidR="00EB7F1B" w:rsidRPr="0081146C" w:rsidRDefault="00EB7F1B" w:rsidP="00EB7F1B">
      <w:pPr>
        <w:pStyle w:val="paragraph"/>
      </w:pPr>
      <w:r w:rsidRPr="0081146C">
        <w:tab/>
        <w:t>(a)</w:t>
      </w:r>
      <w:r w:rsidRPr="0081146C">
        <w:tab/>
        <w:t>a person is given a notice under subsection (1) in relation to one or more documents; and</w:t>
      </w:r>
    </w:p>
    <w:p w14:paraId="1D1B8BAA" w14:textId="77777777" w:rsidR="00EB7F1B" w:rsidRPr="0081146C" w:rsidRDefault="00EB7F1B" w:rsidP="00EB7F1B">
      <w:pPr>
        <w:pStyle w:val="paragraph"/>
      </w:pPr>
      <w:r w:rsidRPr="0081146C">
        <w:tab/>
        <w:t>(b)</w:t>
      </w:r>
      <w:r w:rsidRPr="0081146C">
        <w:tab/>
        <w:t>the person reasonably believes that the documents are privileged from being produced on the ground of legal professional privilege;</w:t>
      </w:r>
    </w:p>
    <w:p w14:paraId="44C9B47A" w14:textId="77777777" w:rsidR="00EB7F1B" w:rsidRPr="0081146C" w:rsidRDefault="00EB7F1B" w:rsidP="00EB7F1B">
      <w:pPr>
        <w:pStyle w:val="subsection2"/>
      </w:pPr>
      <w:r w:rsidRPr="0081146C">
        <w:t>the person must give the AUSTRAC CEO an LPP form in relation to the documents within the period specified in the request.</w:t>
      </w:r>
    </w:p>
    <w:p w14:paraId="091D7D3F" w14:textId="77777777" w:rsidR="00EB7F1B" w:rsidRPr="0081146C" w:rsidRDefault="00EB7F1B" w:rsidP="00EB7F1B">
      <w:pPr>
        <w:pStyle w:val="notetext"/>
      </w:pPr>
      <w:r w:rsidRPr="0081146C">
        <w:t>Note:</w:t>
      </w:r>
      <w:r w:rsidRPr="0081146C">
        <w:tab/>
        <w:t>For other provisions dealing with legal professional privilege, see sections 242 and 242A.</w:t>
      </w:r>
    </w:p>
    <w:p w14:paraId="48BD8E40" w14:textId="77777777" w:rsidR="002F4208" w:rsidRPr="0081146C" w:rsidRDefault="002F4208" w:rsidP="002F4208">
      <w:pPr>
        <w:pStyle w:val="subsection"/>
      </w:pPr>
      <w:r w:rsidRPr="0081146C">
        <w:tab/>
        <w:t>(3)</w:t>
      </w:r>
      <w:r w:rsidRPr="0081146C">
        <w:tab/>
        <w:t>Subsections (2) and (2A) are civil penalty provisions.</w:t>
      </w:r>
    </w:p>
    <w:p w14:paraId="64565E3D" w14:textId="77777777" w:rsidR="00970B77" w:rsidRPr="0081146C" w:rsidRDefault="00970B77" w:rsidP="002838CD">
      <w:pPr>
        <w:pStyle w:val="ActHead3"/>
        <w:pageBreakBefore/>
      </w:pPr>
      <w:bookmarkStart w:id="128" w:name="_Toc176444370"/>
      <w:bookmarkStart w:id="129" w:name="_Toc184033991"/>
      <w:bookmarkStart w:id="130" w:name="_Toc185415748"/>
      <w:r w:rsidRPr="0081146C">
        <w:rPr>
          <w:rStyle w:val="CharDivNo"/>
        </w:rPr>
        <w:t>Division 7</w:t>
      </w:r>
      <w:r w:rsidRPr="0081146C">
        <w:t>—</w:t>
      </w:r>
      <w:r w:rsidRPr="0081146C">
        <w:rPr>
          <w:rStyle w:val="CharDivText"/>
        </w:rPr>
        <w:t>Other matters</w:t>
      </w:r>
      <w:bookmarkEnd w:id="128"/>
      <w:bookmarkEnd w:id="129"/>
      <w:bookmarkEnd w:id="130"/>
    </w:p>
    <w:p w14:paraId="606A2951" w14:textId="77777777" w:rsidR="00970B77" w:rsidRPr="0081146C" w:rsidRDefault="00970B77" w:rsidP="00970B77">
      <w:pPr>
        <w:pStyle w:val="ActHead5"/>
      </w:pPr>
      <w:bookmarkStart w:id="131" w:name="_Toc176444371"/>
      <w:bookmarkStart w:id="132" w:name="_Toc184033992"/>
      <w:bookmarkStart w:id="133" w:name="_Toc185415749"/>
      <w:r w:rsidRPr="0081146C">
        <w:rPr>
          <w:rStyle w:val="CharSectno"/>
        </w:rPr>
        <w:t>26R</w:t>
      </w:r>
      <w:r w:rsidRPr="0081146C">
        <w:t xml:space="preserve">  AUSTRAC CEO may require reporting entity to undertake ML/TF risk assessment etc.</w:t>
      </w:r>
      <w:bookmarkEnd w:id="131"/>
      <w:bookmarkEnd w:id="132"/>
      <w:bookmarkEnd w:id="133"/>
    </w:p>
    <w:p w14:paraId="63BFFC7D" w14:textId="77777777" w:rsidR="00970B77" w:rsidRPr="0081146C" w:rsidRDefault="00970B77" w:rsidP="00970B77">
      <w:pPr>
        <w:pStyle w:val="SubsectionHead"/>
      </w:pPr>
      <w:r w:rsidRPr="0081146C">
        <w:t>Scope</w:t>
      </w:r>
    </w:p>
    <w:p w14:paraId="57462F1C" w14:textId="77777777" w:rsidR="00970B77" w:rsidRPr="0081146C" w:rsidRDefault="00970B77" w:rsidP="00970B77">
      <w:pPr>
        <w:pStyle w:val="subsection"/>
      </w:pPr>
      <w:r w:rsidRPr="0081146C">
        <w:tab/>
        <w:t>(1)</w:t>
      </w:r>
      <w:r w:rsidRPr="0081146C">
        <w:tab/>
        <w:t>This section applies if the AUSTRAC CEO is satisfied that:</w:t>
      </w:r>
    </w:p>
    <w:p w14:paraId="3A8A2DFF" w14:textId="77777777" w:rsidR="00970B77" w:rsidRPr="0081146C" w:rsidRDefault="00970B77" w:rsidP="00970B77">
      <w:pPr>
        <w:pStyle w:val="paragraph"/>
      </w:pPr>
      <w:r w:rsidRPr="0081146C">
        <w:tab/>
        <w:t>(a)</w:t>
      </w:r>
      <w:r w:rsidRPr="0081146C">
        <w:tab/>
        <w:t>a reporting entity does not have an AML/CTF program; or</w:t>
      </w:r>
    </w:p>
    <w:p w14:paraId="62136DE5" w14:textId="77777777" w:rsidR="00970B77" w:rsidRPr="0081146C" w:rsidRDefault="00970B77" w:rsidP="00970B77">
      <w:pPr>
        <w:pStyle w:val="paragraph"/>
      </w:pPr>
      <w:r w:rsidRPr="0081146C">
        <w:tab/>
        <w:t>(b)</w:t>
      </w:r>
      <w:r w:rsidRPr="0081146C">
        <w:tab/>
        <w:t>the AML/CTF program of a reporting entity is not up to date; or</w:t>
      </w:r>
    </w:p>
    <w:p w14:paraId="1E6BD75D" w14:textId="77777777" w:rsidR="00970B77" w:rsidRPr="0081146C" w:rsidRDefault="00970B77" w:rsidP="00970B77">
      <w:pPr>
        <w:pStyle w:val="paragraph"/>
      </w:pPr>
      <w:r w:rsidRPr="0081146C">
        <w:tab/>
        <w:t>(c)</w:t>
      </w:r>
      <w:r w:rsidRPr="0081146C">
        <w:tab/>
        <w:t>the AML/CTF program of a reporting entity does not appropriately identify, assess, manage or mitigate the risk of money laundering, financing of terrorism and proliferation financing that the reporting entity may reasonably face in providing its designated services.</w:t>
      </w:r>
    </w:p>
    <w:p w14:paraId="2A31D737" w14:textId="77777777" w:rsidR="00970B77" w:rsidRPr="0081146C" w:rsidRDefault="00970B77" w:rsidP="00970B77">
      <w:pPr>
        <w:pStyle w:val="SubsectionHead"/>
      </w:pPr>
      <w:r w:rsidRPr="0081146C">
        <w:t>Requirement</w:t>
      </w:r>
    </w:p>
    <w:p w14:paraId="551A16F2" w14:textId="77777777" w:rsidR="00970B77" w:rsidRPr="0081146C" w:rsidRDefault="00970B77" w:rsidP="00970B77">
      <w:pPr>
        <w:pStyle w:val="subsection"/>
      </w:pPr>
      <w:r w:rsidRPr="0081146C">
        <w:tab/>
        <w:t>(2)</w:t>
      </w:r>
      <w:r w:rsidRPr="0081146C">
        <w:tab/>
        <w:t>The AUSTRAC CEO may, by written notice given to the reporting entity, require the reporting entity to:</w:t>
      </w:r>
    </w:p>
    <w:p w14:paraId="64EF2411" w14:textId="77777777" w:rsidR="00970B77" w:rsidRPr="0081146C" w:rsidRDefault="00970B77" w:rsidP="00970B77">
      <w:pPr>
        <w:pStyle w:val="paragraph"/>
      </w:pPr>
      <w:r w:rsidRPr="0081146C">
        <w:tab/>
        <w:t>(a)</w:t>
      </w:r>
      <w:r w:rsidRPr="0081146C">
        <w:tab/>
        <w:t>do one or more of the following:</w:t>
      </w:r>
    </w:p>
    <w:p w14:paraId="45479E6E" w14:textId="77777777" w:rsidR="00970B77" w:rsidRPr="0081146C" w:rsidRDefault="00970B77" w:rsidP="00970B77">
      <w:pPr>
        <w:pStyle w:val="paragraphsub"/>
      </w:pPr>
      <w:r w:rsidRPr="0081146C">
        <w:tab/>
        <w:t>(i)</w:t>
      </w:r>
      <w:r w:rsidRPr="0081146C">
        <w:tab/>
        <w:t>undertake and document an ML/TF risk assessment of the reporting entity;</w:t>
      </w:r>
    </w:p>
    <w:p w14:paraId="6795BE45" w14:textId="77777777" w:rsidR="00970B77" w:rsidRPr="0081146C" w:rsidRDefault="00970B77" w:rsidP="00970B77">
      <w:pPr>
        <w:pStyle w:val="paragraphsub"/>
      </w:pPr>
      <w:r w:rsidRPr="0081146C">
        <w:tab/>
        <w:t>(ii)</w:t>
      </w:r>
      <w:r w:rsidRPr="0081146C">
        <w:tab/>
        <w:t>review and update the ML/TF risk assessment of the reporting entity;</w:t>
      </w:r>
    </w:p>
    <w:p w14:paraId="76B154E0" w14:textId="77777777" w:rsidR="00970B77" w:rsidRPr="0081146C" w:rsidRDefault="00970B77" w:rsidP="00970B77">
      <w:pPr>
        <w:pStyle w:val="paragraphsub"/>
      </w:pPr>
      <w:r w:rsidRPr="0081146C">
        <w:tab/>
        <w:t>(iii)</w:t>
      </w:r>
      <w:r w:rsidRPr="0081146C">
        <w:tab/>
        <w:t>develop and document AML/CTF policies of the reporting entity;</w:t>
      </w:r>
    </w:p>
    <w:p w14:paraId="0C12003A" w14:textId="77777777" w:rsidR="00970B77" w:rsidRPr="0081146C" w:rsidRDefault="00970B77" w:rsidP="00970B77">
      <w:pPr>
        <w:pStyle w:val="paragraphsub"/>
      </w:pPr>
      <w:r w:rsidRPr="0081146C">
        <w:tab/>
        <w:t>(iv)</w:t>
      </w:r>
      <w:r w:rsidRPr="0081146C">
        <w:tab/>
        <w:t>review and update the AML/CTF policies of the reporting entity; and</w:t>
      </w:r>
    </w:p>
    <w:p w14:paraId="299F6572" w14:textId="77777777" w:rsidR="00970B77" w:rsidRPr="0081146C" w:rsidRDefault="00970B77" w:rsidP="00970B77">
      <w:pPr>
        <w:pStyle w:val="paragraph"/>
      </w:pPr>
      <w:r w:rsidRPr="0081146C">
        <w:tab/>
        <w:t>(b)</w:t>
      </w:r>
      <w:r w:rsidRPr="0081146C">
        <w:tab/>
        <w:t>provide a copy of the documentation within:</w:t>
      </w:r>
    </w:p>
    <w:p w14:paraId="63039EFA" w14:textId="77777777" w:rsidR="00970B77" w:rsidRPr="0081146C" w:rsidRDefault="00970B77" w:rsidP="00970B77">
      <w:pPr>
        <w:pStyle w:val="paragraphsub"/>
      </w:pPr>
      <w:r w:rsidRPr="0081146C">
        <w:tab/>
        <w:t>(i)</w:t>
      </w:r>
      <w:r w:rsidRPr="0081146C">
        <w:tab/>
        <w:t>the period specified in the notice; or</w:t>
      </w:r>
    </w:p>
    <w:p w14:paraId="1CF6D17C" w14:textId="77777777" w:rsidR="00970B77" w:rsidRPr="0081146C" w:rsidRDefault="00970B77" w:rsidP="00970B77">
      <w:pPr>
        <w:pStyle w:val="paragraphsub"/>
      </w:pPr>
      <w:r w:rsidRPr="0081146C">
        <w:tab/>
        <w:t>(ii)</w:t>
      </w:r>
      <w:r w:rsidRPr="0081146C">
        <w:tab/>
        <w:t>if the AUSTRAC CEO allows a longer period—that longer period.</w:t>
      </w:r>
    </w:p>
    <w:p w14:paraId="43CF54C5" w14:textId="77777777" w:rsidR="00970B77" w:rsidRPr="0081146C" w:rsidRDefault="00970B77" w:rsidP="00970B77">
      <w:pPr>
        <w:pStyle w:val="subsection"/>
      </w:pPr>
      <w:r w:rsidRPr="0081146C">
        <w:tab/>
        <w:t>(3)</w:t>
      </w:r>
      <w:r w:rsidRPr="0081146C">
        <w:tab/>
        <w:t>A person commits an offence if:</w:t>
      </w:r>
    </w:p>
    <w:p w14:paraId="03F3D16D" w14:textId="77777777" w:rsidR="00970B77" w:rsidRPr="0081146C" w:rsidRDefault="00970B77" w:rsidP="00970B77">
      <w:pPr>
        <w:pStyle w:val="paragraph"/>
      </w:pPr>
      <w:r w:rsidRPr="0081146C">
        <w:tab/>
        <w:t>(a)</w:t>
      </w:r>
      <w:r w:rsidRPr="0081146C">
        <w:tab/>
        <w:t>the person is subject to a requirement under subsection (2); and</w:t>
      </w:r>
    </w:p>
    <w:p w14:paraId="3BB5FD7E" w14:textId="77777777" w:rsidR="00970B77" w:rsidRPr="0081146C" w:rsidRDefault="00970B77" w:rsidP="00970B77">
      <w:pPr>
        <w:pStyle w:val="paragraph"/>
      </w:pPr>
      <w:r w:rsidRPr="0081146C">
        <w:tab/>
        <w:t>(b)</w:t>
      </w:r>
      <w:r w:rsidRPr="0081146C">
        <w:tab/>
        <w:t>the person engages in conduct; and</w:t>
      </w:r>
    </w:p>
    <w:p w14:paraId="4FCA9BC5" w14:textId="77777777" w:rsidR="00970B77" w:rsidRPr="0081146C" w:rsidRDefault="00970B77" w:rsidP="00970B77">
      <w:pPr>
        <w:pStyle w:val="paragraph"/>
      </w:pPr>
      <w:r w:rsidRPr="0081146C">
        <w:tab/>
        <w:t>(c)</w:t>
      </w:r>
      <w:r w:rsidRPr="0081146C">
        <w:tab/>
        <w:t>the person’s conduct breaches the requirement.</w:t>
      </w:r>
    </w:p>
    <w:p w14:paraId="2AC6BBF8" w14:textId="77777777" w:rsidR="00970B77" w:rsidRPr="0081146C" w:rsidRDefault="00970B77" w:rsidP="00970B77">
      <w:pPr>
        <w:pStyle w:val="Penalty"/>
      </w:pPr>
      <w:r w:rsidRPr="0081146C">
        <w:t>Penalty:</w:t>
      </w:r>
      <w:r w:rsidRPr="0081146C">
        <w:tab/>
        <w:t>Imprisonment for 6 months or 30 penalty units, or both.</w:t>
      </w:r>
    </w:p>
    <w:p w14:paraId="2525E60C" w14:textId="77777777" w:rsidR="00970B77" w:rsidRPr="0081146C" w:rsidRDefault="00970B77" w:rsidP="00970B77">
      <w:pPr>
        <w:pStyle w:val="SubsectionHead"/>
      </w:pPr>
      <w:r w:rsidRPr="0081146C">
        <w:t>Civil penalty</w:t>
      </w:r>
    </w:p>
    <w:p w14:paraId="39F722BE" w14:textId="77777777" w:rsidR="00970B77" w:rsidRPr="0081146C" w:rsidRDefault="00970B77" w:rsidP="00970B77">
      <w:pPr>
        <w:pStyle w:val="subsection"/>
      </w:pPr>
      <w:r w:rsidRPr="0081146C">
        <w:tab/>
        <w:t>(4)</w:t>
      </w:r>
      <w:r w:rsidRPr="0081146C">
        <w:tab/>
        <w:t>A reporting entity must comply with a requirement under subsection (2).</w:t>
      </w:r>
    </w:p>
    <w:p w14:paraId="58FC9855" w14:textId="77777777" w:rsidR="00970B77" w:rsidRPr="0081146C" w:rsidRDefault="00970B77" w:rsidP="00970B77">
      <w:pPr>
        <w:pStyle w:val="subsection"/>
      </w:pPr>
      <w:r w:rsidRPr="0081146C">
        <w:tab/>
        <w:t>(5)</w:t>
      </w:r>
      <w:r w:rsidRPr="0081146C">
        <w:tab/>
        <w:t>Subsection (4) is a civil penalty provision.</w:t>
      </w:r>
    </w:p>
    <w:p w14:paraId="6D6CCF64" w14:textId="77777777" w:rsidR="00970B77" w:rsidRPr="0081146C" w:rsidRDefault="00970B77" w:rsidP="00970B77">
      <w:pPr>
        <w:pStyle w:val="ActHead5"/>
      </w:pPr>
      <w:bookmarkStart w:id="134" w:name="_Toc176444372"/>
      <w:bookmarkStart w:id="135" w:name="_Toc184033993"/>
      <w:bookmarkStart w:id="136" w:name="_Toc185415750"/>
      <w:r w:rsidRPr="0081146C">
        <w:rPr>
          <w:rStyle w:val="CharSectno"/>
        </w:rPr>
        <w:t>26S</w:t>
      </w:r>
      <w:r w:rsidRPr="0081146C">
        <w:t xml:space="preserve">  Registered remittance affiliates of a registered remittance network provider</w:t>
      </w:r>
      <w:bookmarkEnd w:id="134"/>
      <w:bookmarkEnd w:id="135"/>
      <w:bookmarkEnd w:id="136"/>
    </w:p>
    <w:p w14:paraId="025D195B" w14:textId="77777777" w:rsidR="00970B77" w:rsidRPr="0081146C" w:rsidRDefault="00970B77" w:rsidP="00970B77">
      <w:pPr>
        <w:pStyle w:val="subsection"/>
      </w:pPr>
      <w:r w:rsidRPr="0081146C">
        <w:tab/>
        <w:t>(1)</w:t>
      </w:r>
      <w:r w:rsidRPr="0081146C">
        <w:tab/>
        <w:t>A reporting entity that is a registered remittance network provider must make available an AML/CTF program to its registered remittance affiliates.</w:t>
      </w:r>
    </w:p>
    <w:p w14:paraId="48A26C6F" w14:textId="77777777" w:rsidR="00970B77" w:rsidRPr="0081146C" w:rsidRDefault="00970B77" w:rsidP="00970B77">
      <w:pPr>
        <w:pStyle w:val="subsection"/>
      </w:pPr>
      <w:r w:rsidRPr="0081146C">
        <w:tab/>
        <w:t>(2)</w:t>
      </w:r>
      <w:r w:rsidRPr="0081146C">
        <w:tab/>
        <w:t>Subsection (1) is a civil penalty provision.</w:t>
      </w:r>
    </w:p>
    <w:p w14:paraId="1A26B6E5" w14:textId="77777777" w:rsidR="00970B77" w:rsidRPr="0081146C" w:rsidRDefault="00970B77" w:rsidP="00970B77">
      <w:pPr>
        <w:pStyle w:val="subsection"/>
      </w:pPr>
      <w:r w:rsidRPr="0081146C">
        <w:tab/>
        <w:t>(3)</w:t>
      </w:r>
      <w:r w:rsidRPr="0081146C">
        <w:tab/>
        <w:t>To avoid doubt, subsection (1) does not prevent any of the registered remittance affiliates from:</w:t>
      </w:r>
    </w:p>
    <w:p w14:paraId="5A432E21" w14:textId="77777777" w:rsidR="00970B77" w:rsidRPr="0081146C" w:rsidRDefault="00970B77" w:rsidP="00970B77">
      <w:pPr>
        <w:pStyle w:val="paragraph"/>
      </w:pPr>
      <w:r w:rsidRPr="0081146C">
        <w:tab/>
        <w:t>(a)</w:t>
      </w:r>
      <w:r w:rsidRPr="0081146C">
        <w:tab/>
        <w:t>undertaking a risk assessment for the remittance affiliate; or</w:t>
      </w:r>
    </w:p>
    <w:p w14:paraId="5E4D9801" w14:textId="77777777" w:rsidR="00970B77" w:rsidRPr="0081146C" w:rsidRDefault="00970B77" w:rsidP="00970B77">
      <w:pPr>
        <w:pStyle w:val="paragraph"/>
      </w:pPr>
      <w:r w:rsidRPr="0081146C">
        <w:tab/>
        <w:t>(b)</w:t>
      </w:r>
      <w:r w:rsidRPr="0081146C">
        <w:tab/>
        <w:t>developing AML/CTF policies for the remittance affiliate.</w:t>
      </w:r>
    </w:p>
    <w:p w14:paraId="61CD4D68" w14:textId="77777777" w:rsidR="00970B77" w:rsidRPr="0081146C" w:rsidRDefault="00970B77" w:rsidP="00970B77">
      <w:pPr>
        <w:pStyle w:val="subsection"/>
      </w:pPr>
      <w:r w:rsidRPr="0081146C">
        <w:tab/>
        <w:t>(4)</w:t>
      </w:r>
      <w:r w:rsidRPr="0081146C">
        <w:tab/>
        <w:t>If a senior manager of a remittance affiliate of a registered remittance network provider approves the registered remittance network provider’s:</w:t>
      </w:r>
    </w:p>
    <w:p w14:paraId="1C1F6FF7" w14:textId="77777777" w:rsidR="00970B77" w:rsidRPr="0081146C" w:rsidRDefault="00970B77" w:rsidP="00970B77">
      <w:pPr>
        <w:pStyle w:val="paragraph"/>
      </w:pPr>
      <w:r w:rsidRPr="0081146C">
        <w:tab/>
        <w:t>(a)</w:t>
      </w:r>
      <w:r w:rsidRPr="0081146C">
        <w:tab/>
        <w:t>ML/TF risk assessment; and</w:t>
      </w:r>
    </w:p>
    <w:p w14:paraId="7D1720C2" w14:textId="77777777" w:rsidR="00970B77" w:rsidRPr="0081146C" w:rsidRDefault="00970B77" w:rsidP="00970B77">
      <w:pPr>
        <w:pStyle w:val="paragraph"/>
      </w:pPr>
      <w:r w:rsidRPr="0081146C">
        <w:tab/>
        <w:t>(b)</w:t>
      </w:r>
      <w:r w:rsidRPr="0081146C">
        <w:tab/>
        <w:t>AML/CTF policies;</w:t>
      </w:r>
    </w:p>
    <w:p w14:paraId="7B509DFF" w14:textId="77777777" w:rsidR="00970B77" w:rsidRPr="0081146C" w:rsidRDefault="00970B77" w:rsidP="00970B77">
      <w:pPr>
        <w:pStyle w:val="subsection2"/>
      </w:pPr>
      <w:r w:rsidRPr="0081146C">
        <w:t>the remittance affiliate is taken to have complied with the remittance affiliate’s obligations under section 26C and 26F in respect of the remittance affiliate’s designated services to which the registered remittance network provider’s AML/CTF program applies.</w:t>
      </w:r>
    </w:p>
    <w:p w14:paraId="5ECA32A6" w14:textId="77777777" w:rsidR="00970B77" w:rsidRPr="0081146C" w:rsidRDefault="00970B77" w:rsidP="00970B77">
      <w:pPr>
        <w:pStyle w:val="ActHead5"/>
      </w:pPr>
      <w:bookmarkStart w:id="137" w:name="_Toc176444373"/>
      <w:bookmarkStart w:id="138" w:name="_Toc184033994"/>
      <w:bookmarkStart w:id="139" w:name="_Toc185415751"/>
      <w:r w:rsidRPr="0081146C">
        <w:rPr>
          <w:rStyle w:val="CharSectno"/>
        </w:rPr>
        <w:t>26T</w:t>
      </w:r>
      <w:r w:rsidRPr="0081146C">
        <w:t xml:space="preserve">  Application of Part to holders of Australian financial services licences</w:t>
      </w:r>
      <w:bookmarkEnd w:id="137"/>
      <w:bookmarkEnd w:id="138"/>
      <w:bookmarkEnd w:id="139"/>
    </w:p>
    <w:p w14:paraId="0E06039E" w14:textId="77777777" w:rsidR="00970B77" w:rsidRPr="0081146C" w:rsidRDefault="00970B77" w:rsidP="00970B77">
      <w:pPr>
        <w:pStyle w:val="subsection"/>
      </w:pPr>
      <w:r w:rsidRPr="0081146C">
        <w:tab/>
        <w:t>(1)</w:t>
      </w:r>
      <w:r w:rsidRPr="0081146C">
        <w:tab/>
        <w:t>This section applies if all of the designated services provided by a reporting entity are covered by item 54 of table 1 in section 6.</w:t>
      </w:r>
    </w:p>
    <w:p w14:paraId="17C57ACD" w14:textId="77777777" w:rsidR="00970B77" w:rsidRPr="0081146C" w:rsidRDefault="00970B77" w:rsidP="00970B77">
      <w:pPr>
        <w:pStyle w:val="notetext"/>
      </w:pPr>
      <w:r w:rsidRPr="0081146C">
        <w:t>Note:</w:t>
      </w:r>
      <w:r w:rsidRPr="0081146C">
        <w:tab/>
        <w:t>Item 54 of table 1 in section 6 covers a holder of an Australian financial services licence who arranges for a person to receive a designated service.</w:t>
      </w:r>
    </w:p>
    <w:p w14:paraId="0E04B902" w14:textId="77777777" w:rsidR="00970B77" w:rsidRPr="0081146C" w:rsidRDefault="00970B77" w:rsidP="00970B77">
      <w:pPr>
        <w:pStyle w:val="subsection"/>
      </w:pPr>
      <w:r w:rsidRPr="0081146C">
        <w:tab/>
        <w:t>(2)</w:t>
      </w:r>
      <w:r w:rsidRPr="0081146C">
        <w:tab/>
        <w:t>Paragraph 26F(1)(a) applies in relation to the reporting entity as if it instead required policies, procedures, systems and controls that:</w:t>
      </w:r>
    </w:p>
    <w:p w14:paraId="663A2D7C" w14:textId="77777777" w:rsidR="00970B77" w:rsidRPr="0081146C" w:rsidRDefault="00970B77" w:rsidP="00970B77">
      <w:pPr>
        <w:pStyle w:val="paragraph"/>
      </w:pPr>
      <w:r w:rsidRPr="0081146C">
        <w:tab/>
        <w:t>(a)</w:t>
      </w:r>
      <w:r w:rsidRPr="0081146C">
        <w:tab/>
        <w:t>relate to undertaking initial customer due diligence in accordance with section 28; and</w:t>
      </w:r>
    </w:p>
    <w:p w14:paraId="60EFCAE2" w14:textId="77777777" w:rsidR="00970B77" w:rsidRPr="0081146C" w:rsidRDefault="00970B77" w:rsidP="00970B77">
      <w:pPr>
        <w:pStyle w:val="paragraph"/>
      </w:pPr>
      <w:r w:rsidRPr="0081146C">
        <w:tab/>
        <w:t>(b)</w:t>
      </w:r>
      <w:r w:rsidRPr="0081146C">
        <w:tab/>
        <w:t>are appropriate to the risks of money laundering, financing of terrorism and proliferation financing that the reporting entity may reasonably face in providing its designated services.</w:t>
      </w:r>
    </w:p>
    <w:p w14:paraId="6A471BF6" w14:textId="77777777" w:rsidR="00970B77" w:rsidRPr="0081146C" w:rsidRDefault="00970B77" w:rsidP="00970B77">
      <w:pPr>
        <w:pStyle w:val="subsection"/>
      </w:pPr>
      <w:r w:rsidRPr="0081146C">
        <w:tab/>
        <w:t>(3)</w:t>
      </w:r>
      <w:r w:rsidRPr="0081146C">
        <w:tab/>
        <w:t>The following provisions of this Part do not apply to the reporting entity:</w:t>
      </w:r>
    </w:p>
    <w:p w14:paraId="4508A0BB" w14:textId="77777777" w:rsidR="00970B77" w:rsidRPr="0081146C" w:rsidRDefault="00970B77" w:rsidP="00970B77">
      <w:pPr>
        <w:pStyle w:val="paragraph"/>
      </w:pPr>
      <w:r w:rsidRPr="0081146C">
        <w:tab/>
        <w:t>(a)</w:t>
      </w:r>
      <w:r w:rsidRPr="0081146C">
        <w:tab/>
        <w:t>paragraphs 26F(1)(b) and (3)(a) to (d) and subsection 26F(4);</w:t>
      </w:r>
    </w:p>
    <w:p w14:paraId="770B0324" w14:textId="77777777" w:rsidR="00970B77" w:rsidRPr="0081146C" w:rsidRDefault="00970B77" w:rsidP="00970B77">
      <w:pPr>
        <w:pStyle w:val="paragraph"/>
      </w:pPr>
      <w:r w:rsidRPr="0081146C">
        <w:tab/>
        <w:t>(b)</w:t>
      </w:r>
      <w:r w:rsidRPr="0081146C">
        <w:tab/>
        <w:t>section 26H;</w:t>
      </w:r>
    </w:p>
    <w:p w14:paraId="7C847AC7" w14:textId="77777777" w:rsidR="00970B77" w:rsidRPr="0081146C" w:rsidRDefault="00970B77" w:rsidP="00970B77">
      <w:pPr>
        <w:pStyle w:val="paragraph"/>
      </w:pPr>
      <w:bookmarkStart w:id="140" w:name="_Toc176444374"/>
      <w:r w:rsidRPr="0081146C">
        <w:tab/>
        <w:t>(c)</w:t>
      </w:r>
      <w:r w:rsidRPr="0081146C">
        <w:tab/>
        <w:t>subsection 26P(2);</w:t>
      </w:r>
    </w:p>
    <w:p w14:paraId="01672A7E" w14:textId="77777777" w:rsidR="00970B77" w:rsidRPr="0081146C" w:rsidRDefault="00970B77" w:rsidP="00970B77">
      <w:pPr>
        <w:pStyle w:val="paragraph"/>
      </w:pPr>
      <w:r w:rsidRPr="0081146C">
        <w:tab/>
        <w:t>(d)</w:t>
      </w:r>
      <w:r w:rsidRPr="0081146C">
        <w:tab/>
        <w:t>Division 5.</w:t>
      </w:r>
    </w:p>
    <w:p w14:paraId="6DD5E389" w14:textId="77777777" w:rsidR="00970B77" w:rsidRPr="0081146C" w:rsidRDefault="00970B77" w:rsidP="00970B77">
      <w:pPr>
        <w:pStyle w:val="ActHead5"/>
      </w:pPr>
      <w:bookmarkStart w:id="141" w:name="_Toc184033995"/>
      <w:bookmarkStart w:id="142" w:name="_Toc185415752"/>
      <w:r w:rsidRPr="0081146C">
        <w:rPr>
          <w:rStyle w:val="CharSectno"/>
        </w:rPr>
        <w:t>26U</w:t>
      </w:r>
      <w:r w:rsidRPr="0081146C">
        <w:t xml:space="preserve">  Business of a lead entity of a reporting group</w:t>
      </w:r>
      <w:bookmarkEnd w:id="140"/>
      <w:bookmarkEnd w:id="141"/>
      <w:bookmarkEnd w:id="142"/>
    </w:p>
    <w:p w14:paraId="4186EEB7" w14:textId="77777777" w:rsidR="00970B77" w:rsidRPr="0081146C" w:rsidRDefault="00970B77" w:rsidP="00970B77">
      <w:pPr>
        <w:pStyle w:val="subsection"/>
      </w:pPr>
      <w:r w:rsidRPr="0081146C">
        <w:tab/>
      </w:r>
      <w:r w:rsidRPr="0081146C">
        <w:tab/>
        <w:t>In applying this Part in relation to a reporting entity that is the lead entity of a reporting group, a reference to the nature, size and complexity of the reporting entity’s business is taken to be a reference to the nature, size and complexity of the business of the lead entity and each other reporting entity that is a member of the reporting group.</w:t>
      </w:r>
    </w:p>
    <w:p w14:paraId="7080AFBB" w14:textId="77777777" w:rsidR="00970B77" w:rsidRPr="0081146C" w:rsidRDefault="00970B77" w:rsidP="00970B77">
      <w:pPr>
        <w:pStyle w:val="notetext"/>
      </w:pPr>
      <w:r w:rsidRPr="0081146C">
        <w:t>Note:</w:t>
      </w:r>
      <w:r w:rsidRPr="0081146C">
        <w:tab/>
        <w:t>For other rules about how this Part applies in relation to a lead entity of a reporting group, see section 236B.</w:t>
      </w:r>
    </w:p>
    <w:p w14:paraId="13E27D31" w14:textId="77777777" w:rsidR="00970B77" w:rsidRPr="0081146C" w:rsidRDefault="00970B77" w:rsidP="00970B77">
      <w:pPr>
        <w:pStyle w:val="ActHead5"/>
      </w:pPr>
      <w:bookmarkStart w:id="143" w:name="_Toc176444375"/>
      <w:bookmarkStart w:id="144" w:name="_Toc184033996"/>
      <w:bookmarkStart w:id="145" w:name="_Toc185415753"/>
      <w:r w:rsidRPr="0081146C">
        <w:rPr>
          <w:rStyle w:val="CharSectno"/>
        </w:rPr>
        <w:t>26V</w:t>
      </w:r>
      <w:r w:rsidRPr="0081146C">
        <w:t xml:space="preserve">  General exemptions</w:t>
      </w:r>
      <w:bookmarkEnd w:id="143"/>
      <w:bookmarkEnd w:id="144"/>
      <w:bookmarkEnd w:id="145"/>
    </w:p>
    <w:p w14:paraId="72E975C6" w14:textId="77777777" w:rsidR="00970B77" w:rsidRPr="0081146C" w:rsidRDefault="00970B77" w:rsidP="00970B77">
      <w:pPr>
        <w:pStyle w:val="subsection"/>
      </w:pPr>
      <w:r w:rsidRPr="0081146C">
        <w:tab/>
        <w:t>(1)</w:t>
      </w:r>
      <w:r w:rsidRPr="0081146C">
        <w:tab/>
        <w:t>This Part does not apply to a designated service that is of a kind specified in the AML/CTF Rules.</w:t>
      </w:r>
    </w:p>
    <w:p w14:paraId="015816E2" w14:textId="77777777" w:rsidR="00970B77" w:rsidRPr="0081146C" w:rsidRDefault="00970B77" w:rsidP="00970B77">
      <w:pPr>
        <w:pStyle w:val="subsection"/>
      </w:pPr>
      <w:r w:rsidRPr="0081146C">
        <w:tab/>
        <w:t>(2)</w:t>
      </w:r>
      <w:r w:rsidRPr="0081146C">
        <w:tab/>
        <w:t>The AML/CTF Rules may provide that a specified provision of this Part does not apply to a designated service that is of a kind specified in the AML/CTF Rules.</w:t>
      </w:r>
    </w:p>
    <w:p w14:paraId="2B728996" w14:textId="77777777" w:rsidR="00970B77" w:rsidRPr="0081146C" w:rsidRDefault="00970B77" w:rsidP="00970B77">
      <w:pPr>
        <w:pStyle w:val="subsection"/>
      </w:pPr>
      <w:r w:rsidRPr="0081146C">
        <w:tab/>
        <w:t>(3)</w:t>
      </w:r>
      <w:r w:rsidRPr="0081146C">
        <w:tab/>
        <w:t>This Part does not apply to a designated service that is provided in circumstances specified in the AML/CTF Rules.</w:t>
      </w:r>
    </w:p>
    <w:p w14:paraId="6414FCC8" w14:textId="77777777" w:rsidR="00970B77" w:rsidRPr="0081146C" w:rsidRDefault="00970B77" w:rsidP="00970B77">
      <w:pPr>
        <w:pStyle w:val="subsection"/>
      </w:pPr>
      <w:r w:rsidRPr="0081146C">
        <w:tab/>
        <w:t>(4)</w:t>
      </w:r>
      <w:r w:rsidRPr="0081146C">
        <w:tab/>
        <w:t>The AML/CTF Rules may provide that a specified provision of this Part does not apply to a designated service that is provided in circumstances specified in the AML/CTF Rules.</w:t>
      </w:r>
    </w:p>
    <w:p w14:paraId="309DB7BA" w14:textId="77777777" w:rsidR="00895996" w:rsidRPr="0081146C" w:rsidRDefault="00895996" w:rsidP="002838CD">
      <w:pPr>
        <w:pStyle w:val="ActHead2"/>
        <w:pageBreakBefore/>
      </w:pPr>
      <w:bookmarkStart w:id="146" w:name="_Toc176444384"/>
      <w:bookmarkStart w:id="147" w:name="_Toc184034005"/>
      <w:bookmarkStart w:id="148" w:name="_Toc185415754"/>
      <w:r w:rsidRPr="0081146C">
        <w:rPr>
          <w:rStyle w:val="CharPartNo"/>
        </w:rPr>
        <w:t>Part 2</w:t>
      </w:r>
      <w:r w:rsidRPr="0081146C">
        <w:t>—</w:t>
      </w:r>
      <w:r w:rsidRPr="0081146C">
        <w:rPr>
          <w:rStyle w:val="CharPartText"/>
        </w:rPr>
        <w:t>Customer due diligence</w:t>
      </w:r>
      <w:bookmarkEnd w:id="146"/>
      <w:bookmarkEnd w:id="147"/>
      <w:bookmarkEnd w:id="148"/>
    </w:p>
    <w:p w14:paraId="1E6D2D2F" w14:textId="77777777" w:rsidR="00895996" w:rsidRPr="0081146C" w:rsidRDefault="00895996" w:rsidP="00895996">
      <w:pPr>
        <w:pStyle w:val="ActHead3"/>
      </w:pPr>
      <w:bookmarkStart w:id="149" w:name="_Toc176444385"/>
      <w:bookmarkStart w:id="150" w:name="_Toc184034006"/>
      <w:bookmarkStart w:id="151" w:name="_Toc185415755"/>
      <w:r w:rsidRPr="0081146C">
        <w:rPr>
          <w:rStyle w:val="CharDivNo"/>
        </w:rPr>
        <w:t>Division 1</w:t>
      </w:r>
      <w:r w:rsidRPr="0081146C">
        <w:t>—</w:t>
      </w:r>
      <w:r w:rsidRPr="0081146C">
        <w:rPr>
          <w:rStyle w:val="CharDivText"/>
        </w:rPr>
        <w:t>Introduction</w:t>
      </w:r>
      <w:bookmarkEnd w:id="149"/>
      <w:bookmarkEnd w:id="150"/>
      <w:bookmarkEnd w:id="151"/>
    </w:p>
    <w:p w14:paraId="5D6B1779" w14:textId="77777777" w:rsidR="00895996" w:rsidRPr="0081146C" w:rsidRDefault="00895996" w:rsidP="00895996">
      <w:pPr>
        <w:pStyle w:val="ActHead5"/>
      </w:pPr>
      <w:bookmarkStart w:id="152" w:name="_Toc176444386"/>
      <w:bookmarkStart w:id="153" w:name="_Toc184034007"/>
      <w:bookmarkStart w:id="154" w:name="_Toc185415756"/>
      <w:r w:rsidRPr="0081146C">
        <w:rPr>
          <w:rStyle w:val="CharSectno"/>
        </w:rPr>
        <w:t>27</w:t>
      </w:r>
      <w:r w:rsidRPr="0081146C">
        <w:t xml:space="preserve">  Simplified outline</w:t>
      </w:r>
      <w:bookmarkEnd w:id="152"/>
      <w:bookmarkEnd w:id="153"/>
      <w:bookmarkEnd w:id="154"/>
    </w:p>
    <w:p w14:paraId="70706E05" w14:textId="77777777" w:rsidR="00895996" w:rsidRPr="0081146C" w:rsidRDefault="00895996" w:rsidP="00895996">
      <w:pPr>
        <w:pStyle w:val="subsection"/>
      </w:pPr>
      <w:r w:rsidRPr="0081146C">
        <w:tab/>
      </w:r>
      <w:r w:rsidRPr="0081146C">
        <w:tab/>
        <w:t>The following is a simplified outline of this Part:</w:t>
      </w:r>
    </w:p>
    <w:p w14:paraId="2439B9B1" w14:textId="77777777" w:rsidR="00895996" w:rsidRPr="0081146C" w:rsidRDefault="00895996" w:rsidP="00895996">
      <w:pPr>
        <w:pStyle w:val="SOBullet"/>
      </w:pPr>
      <w:r w:rsidRPr="0081146C">
        <w:t>•</w:t>
      </w:r>
      <w:r w:rsidRPr="0081146C">
        <w:tab/>
        <w:t>A reporting entity must undertake initial customer due diligence before providing a designated service to a customer. However, in special cases, initial customer due diligence may be carried out after the provision of the designated service.</w:t>
      </w:r>
    </w:p>
    <w:p w14:paraId="55958926" w14:textId="77777777" w:rsidR="00895996" w:rsidRPr="0081146C" w:rsidRDefault="00895996" w:rsidP="00895996">
      <w:pPr>
        <w:pStyle w:val="SOBullet"/>
      </w:pPr>
      <w:r w:rsidRPr="0081146C">
        <w:t>•</w:t>
      </w:r>
      <w:r w:rsidRPr="0081146C">
        <w:tab/>
        <w:t>A reporting entity must undertake ongoing customer due diligence in relation to the provision by the reporting entity of designated services.</w:t>
      </w:r>
    </w:p>
    <w:p w14:paraId="64BB6C71" w14:textId="77777777" w:rsidR="00895996" w:rsidRPr="0081146C" w:rsidRDefault="00895996" w:rsidP="00895996">
      <w:pPr>
        <w:pStyle w:val="SOBullet"/>
      </w:pPr>
      <w:r w:rsidRPr="0081146C">
        <w:t>•</w:t>
      </w:r>
      <w:r w:rsidRPr="0081146C">
        <w:tab/>
        <w:t>Simplified customer due diligence may be undertaken in certain low risk circumstances as part of initial and ongoing customer due diligence.</w:t>
      </w:r>
    </w:p>
    <w:p w14:paraId="053C0BA3" w14:textId="77777777" w:rsidR="00895996" w:rsidRPr="0081146C" w:rsidRDefault="00895996" w:rsidP="00895996">
      <w:pPr>
        <w:pStyle w:val="SOBullet"/>
      </w:pPr>
      <w:r w:rsidRPr="0081146C">
        <w:t>•</w:t>
      </w:r>
      <w:r w:rsidRPr="0081146C">
        <w:tab/>
        <w:t>Enhanced customer due diligence must be undertaken in certain circumstances as part of initial and ongoing customer due diligence.</w:t>
      </w:r>
    </w:p>
    <w:p w14:paraId="6B9724DC" w14:textId="77777777" w:rsidR="00895996" w:rsidRPr="0081146C" w:rsidRDefault="00895996" w:rsidP="00895996">
      <w:pPr>
        <w:pStyle w:val="SOBullet"/>
      </w:pPr>
      <w:r w:rsidRPr="0081146C">
        <w:t>•</w:t>
      </w:r>
      <w:r w:rsidRPr="0081146C">
        <w:tab/>
        <w:t>Certain pre</w:t>
      </w:r>
      <w:r w:rsidRPr="0081146C">
        <w:noBreakHyphen/>
        <w:t>commencement customers are subject to modified customer due diligence.</w:t>
      </w:r>
    </w:p>
    <w:p w14:paraId="206DF20D" w14:textId="77777777" w:rsidR="00895996" w:rsidRPr="0081146C" w:rsidRDefault="00895996" w:rsidP="00895996">
      <w:pPr>
        <w:pStyle w:val="SOBullet"/>
      </w:pPr>
      <w:r w:rsidRPr="0081146C">
        <w:t>•</w:t>
      </w:r>
      <w:r w:rsidRPr="0081146C">
        <w:tab/>
        <w:t>Exemptions from initial customer due diligence, and ongoing customer due diligence, apply in certain circumstances.</w:t>
      </w:r>
    </w:p>
    <w:p w14:paraId="34EBA661" w14:textId="77777777" w:rsidR="00895996" w:rsidRPr="0081146C" w:rsidRDefault="00895996" w:rsidP="002838CD">
      <w:pPr>
        <w:pStyle w:val="ActHead3"/>
        <w:pageBreakBefore/>
      </w:pPr>
      <w:bookmarkStart w:id="155" w:name="_Toc176444387"/>
      <w:bookmarkStart w:id="156" w:name="_Toc184034008"/>
      <w:bookmarkStart w:id="157" w:name="_Toc185415757"/>
      <w:r w:rsidRPr="0081146C">
        <w:rPr>
          <w:rStyle w:val="CharDivNo"/>
        </w:rPr>
        <w:t>Division 2</w:t>
      </w:r>
      <w:r w:rsidRPr="0081146C">
        <w:t>—</w:t>
      </w:r>
      <w:r w:rsidRPr="0081146C">
        <w:rPr>
          <w:rStyle w:val="CharDivText"/>
        </w:rPr>
        <w:t>Initial customer due diligence</w:t>
      </w:r>
      <w:bookmarkEnd w:id="155"/>
      <w:bookmarkEnd w:id="156"/>
      <w:bookmarkEnd w:id="157"/>
    </w:p>
    <w:p w14:paraId="4F5A9FEB" w14:textId="77777777" w:rsidR="00895996" w:rsidRPr="0081146C" w:rsidRDefault="00895996" w:rsidP="00895996">
      <w:pPr>
        <w:pStyle w:val="ActHead5"/>
      </w:pPr>
      <w:bookmarkStart w:id="158" w:name="_Toc176444388"/>
      <w:bookmarkStart w:id="159" w:name="_Toc184034009"/>
      <w:bookmarkStart w:id="160" w:name="_Toc185415758"/>
      <w:r w:rsidRPr="0081146C">
        <w:rPr>
          <w:rStyle w:val="CharSectno"/>
        </w:rPr>
        <w:t>28</w:t>
      </w:r>
      <w:r w:rsidRPr="0081146C">
        <w:t xml:space="preserve">  Undertaking initial customer due diligence</w:t>
      </w:r>
      <w:bookmarkEnd w:id="158"/>
      <w:bookmarkEnd w:id="159"/>
      <w:bookmarkEnd w:id="160"/>
    </w:p>
    <w:p w14:paraId="62B5DB8D" w14:textId="77777777" w:rsidR="00895996" w:rsidRPr="0081146C" w:rsidRDefault="00895996" w:rsidP="00895996">
      <w:pPr>
        <w:pStyle w:val="subsection"/>
      </w:pPr>
      <w:r w:rsidRPr="0081146C">
        <w:tab/>
        <w:t>(1)</w:t>
      </w:r>
      <w:r w:rsidRPr="0081146C">
        <w:tab/>
        <w:t>A reporting entity must not commence to provide a designated service to a customer if the reporting entity has not established on reasonable grounds each of the matters in subsection (2) in relation to the customer.</w:t>
      </w:r>
    </w:p>
    <w:p w14:paraId="75B4A09D" w14:textId="77777777" w:rsidR="00895996" w:rsidRPr="0081146C" w:rsidRDefault="00895996" w:rsidP="00895996">
      <w:pPr>
        <w:pStyle w:val="notetext"/>
      </w:pPr>
      <w:r w:rsidRPr="0081146C">
        <w:t>Note 1:</w:t>
      </w:r>
      <w:r w:rsidRPr="0081146C">
        <w:tab/>
        <w:t>See also section 31 (simplified customer due diligence).</w:t>
      </w:r>
    </w:p>
    <w:p w14:paraId="2D82928F" w14:textId="77777777" w:rsidR="00895996" w:rsidRPr="0081146C" w:rsidRDefault="00895996" w:rsidP="00895996">
      <w:pPr>
        <w:pStyle w:val="notetext"/>
      </w:pPr>
      <w:r w:rsidRPr="0081146C">
        <w:t>Note 2:</w:t>
      </w:r>
      <w:r w:rsidRPr="0081146C">
        <w:tab/>
        <w:t>See also section 32 (enhanced customer due diligence).</w:t>
      </w:r>
    </w:p>
    <w:p w14:paraId="053D449B" w14:textId="77777777" w:rsidR="00895996" w:rsidRPr="0081146C" w:rsidRDefault="00895996" w:rsidP="00895996">
      <w:pPr>
        <w:pStyle w:val="notetext"/>
      </w:pPr>
      <w:r w:rsidRPr="0081146C">
        <w:t>Note 3:</w:t>
      </w:r>
      <w:r w:rsidRPr="0081146C">
        <w:tab/>
        <w:t>See section 36 for rules that apply to pre</w:t>
      </w:r>
      <w:r w:rsidRPr="0081146C">
        <w:noBreakHyphen/>
        <w:t>commencement customers.</w:t>
      </w:r>
    </w:p>
    <w:p w14:paraId="1A7D9AD2" w14:textId="77777777" w:rsidR="00895996" w:rsidRPr="0081146C" w:rsidRDefault="00895996" w:rsidP="00895996">
      <w:pPr>
        <w:pStyle w:val="subsection"/>
      </w:pPr>
      <w:r w:rsidRPr="0081146C">
        <w:tab/>
        <w:t>(2)</w:t>
      </w:r>
      <w:r w:rsidRPr="0081146C">
        <w:tab/>
        <w:t>The matters are as follows:</w:t>
      </w:r>
    </w:p>
    <w:p w14:paraId="5FA919B8" w14:textId="77777777" w:rsidR="00895996" w:rsidRPr="0081146C" w:rsidRDefault="00895996" w:rsidP="00895996">
      <w:pPr>
        <w:pStyle w:val="paragraph"/>
      </w:pPr>
      <w:r w:rsidRPr="0081146C">
        <w:tab/>
        <w:t>(a)</w:t>
      </w:r>
      <w:r w:rsidRPr="0081146C">
        <w:tab/>
        <w:t>the identity of the customer;</w:t>
      </w:r>
    </w:p>
    <w:p w14:paraId="754C80DB" w14:textId="77777777" w:rsidR="00895996" w:rsidRPr="0081146C" w:rsidRDefault="00895996" w:rsidP="00895996">
      <w:pPr>
        <w:pStyle w:val="paragraph"/>
      </w:pPr>
      <w:r w:rsidRPr="0081146C">
        <w:tab/>
        <w:t>(b)</w:t>
      </w:r>
      <w:r w:rsidRPr="0081146C">
        <w:tab/>
        <w:t>the identity of any person on whose behalf the customer is receiving the designated service;</w:t>
      </w:r>
    </w:p>
    <w:p w14:paraId="12F849AC" w14:textId="77777777" w:rsidR="00895996" w:rsidRPr="0081146C" w:rsidRDefault="00895996" w:rsidP="00895996">
      <w:pPr>
        <w:pStyle w:val="paragraph"/>
      </w:pPr>
      <w:r w:rsidRPr="0081146C">
        <w:tab/>
        <w:t>(c)</w:t>
      </w:r>
      <w:r w:rsidRPr="0081146C">
        <w:tab/>
        <w:t>the identity of any person acting on behalf of the customer and their authority to act;</w:t>
      </w:r>
    </w:p>
    <w:p w14:paraId="5A2F058D" w14:textId="77777777" w:rsidR="00895996" w:rsidRPr="0081146C" w:rsidRDefault="00895996" w:rsidP="00895996">
      <w:pPr>
        <w:pStyle w:val="paragraph"/>
      </w:pPr>
      <w:r w:rsidRPr="0081146C">
        <w:tab/>
        <w:t>(d)</w:t>
      </w:r>
      <w:r w:rsidRPr="0081146C">
        <w:tab/>
        <w:t>if the customer is not an individual—the identity of any beneficial owners of the customer;</w:t>
      </w:r>
    </w:p>
    <w:p w14:paraId="58F4E9A8" w14:textId="77777777" w:rsidR="00895996" w:rsidRPr="0081146C" w:rsidRDefault="00895996" w:rsidP="00895996">
      <w:pPr>
        <w:pStyle w:val="paragraph"/>
      </w:pPr>
      <w:r w:rsidRPr="0081146C">
        <w:tab/>
        <w:t>(e)</w:t>
      </w:r>
      <w:r w:rsidRPr="0081146C">
        <w:tab/>
        <w:t>whether the customer, any beneficial owner of the customer, any person on whose behalf the customer is receiving the designated service, or any person acting on behalf of the customer is:</w:t>
      </w:r>
    </w:p>
    <w:p w14:paraId="46B4C067" w14:textId="77777777" w:rsidR="00895996" w:rsidRPr="0081146C" w:rsidRDefault="00895996" w:rsidP="00895996">
      <w:pPr>
        <w:pStyle w:val="paragraphsub"/>
      </w:pPr>
      <w:r w:rsidRPr="0081146C">
        <w:tab/>
        <w:t>(i)</w:t>
      </w:r>
      <w:r w:rsidRPr="0081146C">
        <w:tab/>
        <w:t xml:space="preserve"> a politically exposed person; or</w:t>
      </w:r>
    </w:p>
    <w:p w14:paraId="1F45F840" w14:textId="77777777" w:rsidR="00895996" w:rsidRPr="0081146C" w:rsidRDefault="00895996" w:rsidP="00895996">
      <w:pPr>
        <w:pStyle w:val="paragraphsub"/>
      </w:pPr>
      <w:r w:rsidRPr="0081146C">
        <w:tab/>
        <w:t>(ii)</w:t>
      </w:r>
      <w:r w:rsidRPr="0081146C">
        <w:tab/>
        <w:t>a person designated for targeted financial sanctions;</w:t>
      </w:r>
    </w:p>
    <w:p w14:paraId="5A517801" w14:textId="77777777" w:rsidR="00895996" w:rsidRPr="0081146C" w:rsidRDefault="00895996" w:rsidP="00895996">
      <w:pPr>
        <w:pStyle w:val="paragraph"/>
      </w:pPr>
      <w:r w:rsidRPr="0081146C">
        <w:tab/>
        <w:t>(f)</w:t>
      </w:r>
      <w:r w:rsidRPr="0081146C">
        <w:tab/>
        <w:t>the nature and purpose of the business relationship or occasional transaction;</w:t>
      </w:r>
    </w:p>
    <w:p w14:paraId="0275A685" w14:textId="77777777" w:rsidR="00895996" w:rsidRPr="0081146C" w:rsidRDefault="00895996" w:rsidP="00895996">
      <w:pPr>
        <w:pStyle w:val="paragraph"/>
      </w:pPr>
      <w:r w:rsidRPr="0081146C">
        <w:tab/>
        <w:t>(g)</w:t>
      </w:r>
      <w:r w:rsidRPr="0081146C">
        <w:tab/>
        <w:t>any other matter relating to the customer that is specified in the AML/CTF Rules.</w:t>
      </w:r>
    </w:p>
    <w:p w14:paraId="7681DBDC" w14:textId="77777777" w:rsidR="00895996" w:rsidRPr="0081146C" w:rsidRDefault="00895996" w:rsidP="00895996">
      <w:pPr>
        <w:pStyle w:val="subsection"/>
      </w:pPr>
      <w:r w:rsidRPr="0081146C">
        <w:tab/>
        <w:t>(3)</w:t>
      </w:r>
      <w:r w:rsidRPr="0081146C">
        <w:tab/>
        <w:t>Without limiting subsection (1), a reporting entity must do the following for the purposes of establishing on reasonable grounds the matters in subsection (2):</w:t>
      </w:r>
    </w:p>
    <w:p w14:paraId="6EDC72D2" w14:textId="77777777" w:rsidR="00895996" w:rsidRPr="0081146C" w:rsidRDefault="00895996" w:rsidP="00895996">
      <w:pPr>
        <w:pStyle w:val="paragraph"/>
      </w:pPr>
      <w:r w:rsidRPr="0081146C">
        <w:tab/>
        <w:t>(a)</w:t>
      </w:r>
      <w:r w:rsidRPr="0081146C">
        <w:tab/>
        <w:t>if the customer is an individual—take reasonable steps to establish that the customer is the person the customer claims to be;</w:t>
      </w:r>
    </w:p>
    <w:p w14:paraId="1A2DC26D" w14:textId="77777777" w:rsidR="00895996" w:rsidRPr="0081146C" w:rsidRDefault="00895996" w:rsidP="00895996">
      <w:pPr>
        <w:pStyle w:val="paragraph"/>
      </w:pPr>
      <w:r w:rsidRPr="0081146C">
        <w:tab/>
        <w:t>(b)</w:t>
      </w:r>
      <w:r w:rsidRPr="0081146C">
        <w:tab/>
        <w:t>identify the ML/TF risk of the customer, based on KYC information about the customer that is reasonably available to the reporting entity before commencing to provide the designated service;</w:t>
      </w:r>
    </w:p>
    <w:p w14:paraId="688884DF" w14:textId="77777777" w:rsidR="00895996" w:rsidRPr="0081146C" w:rsidRDefault="00895996" w:rsidP="00895996">
      <w:pPr>
        <w:pStyle w:val="paragraph"/>
      </w:pPr>
      <w:r w:rsidRPr="0081146C">
        <w:tab/>
        <w:t>(c)</w:t>
      </w:r>
      <w:r w:rsidRPr="0081146C">
        <w:tab/>
        <w:t>collect KYC information about the customer that is appropriate to the ML/TF risk of the customer;</w:t>
      </w:r>
    </w:p>
    <w:p w14:paraId="585E3E78" w14:textId="77777777" w:rsidR="00895996" w:rsidRPr="0081146C" w:rsidRDefault="00895996" w:rsidP="00895996">
      <w:pPr>
        <w:pStyle w:val="paragraph"/>
      </w:pPr>
      <w:r w:rsidRPr="0081146C">
        <w:tab/>
        <w:t>(d)</w:t>
      </w:r>
      <w:r w:rsidRPr="0081146C">
        <w:tab/>
        <w:t>verify, using reliable and independent data, such of the KYC information referred to in paragraph (c) as is appropriate to the ML/TF risk of the customer.</w:t>
      </w:r>
    </w:p>
    <w:p w14:paraId="328F6B2B" w14:textId="77777777" w:rsidR="00895996" w:rsidRPr="0081146C" w:rsidRDefault="00895996" w:rsidP="00895996">
      <w:pPr>
        <w:pStyle w:val="subsection"/>
      </w:pPr>
      <w:r w:rsidRPr="0081146C">
        <w:tab/>
        <w:t>(4)</w:t>
      </w:r>
      <w:r w:rsidRPr="0081146C">
        <w:tab/>
        <w:t>If a reporting entity provides its designated services at or through a permanent establishment of the reporting entity in Australia, a reporting entity must take into account the following matters when identifying the ML/TF risk of the customer for the purposes of paragraph (3)(b):</w:t>
      </w:r>
    </w:p>
    <w:p w14:paraId="430F27D6" w14:textId="77777777" w:rsidR="00895996" w:rsidRPr="0081146C" w:rsidRDefault="00895996" w:rsidP="00895996">
      <w:pPr>
        <w:pStyle w:val="paragraph"/>
      </w:pPr>
      <w:r w:rsidRPr="0081146C">
        <w:tab/>
        <w:t>(a)</w:t>
      </w:r>
      <w:r w:rsidRPr="0081146C">
        <w:tab/>
        <w:t>the reporting entity’s ML/TF risk assessment;</w:t>
      </w:r>
    </w:p>
    <w:p w14:paraId="37782711" w14:textId="77777777" w:rsidR="00895996" w:rsidRPr="0081146C" w:rsidRDefault="00895996" w:rsidP="00895996">
      <w:pPr>
        <w:pStyle w:val="paragraph"/>
      </w:pPr>
      <w:r w:rsidRPr="0081146C">
        <w:tab/>
        <w:t>(b)</w:t>
      </w:r>
      <w:r w:rsidRPr="0081146C">
        <w:tab/>
        <w:t>the kind of customer to whom the designated services will be provided;</w:t>
      </w:r>
    </w:p>
    <w:p w14:paraId="177F875A" w14:textId="77777777" w:rsidR="00895996" w:rsidRPr="0081146C" w:rsidRDefault="00895996" w:rsidP="00895996">
      <w:pPr>
        <w:pStyle w:val="paragraph"/>
      </w:pPr>
      <w:r w:rsidRPr="0081146C">
        <w:tab/>
        <w:t>(c)</w:t>
      </w:r>
      <w:r w:rsidRPr="0081146C">
        <w:tab/>
        <w:t>the kinds of designated services provided, or proposed to be provided, by the reporting entity to the customer;</w:t>
      </w:r>
    </w:p>
    <w:p w14:paraId="127848D0" w14:textId="77777777" w:rsidR="00895996" w:rsidRPr="0081146C" w:rsidRDefault="00895996" w:rsidP="00895996">
      <w:pPr>
        <w:pStyle w:val="paragraph"/>
      </w:pPr>
      <w:r w:rsidRPr="0081146C">
        <w:tab/>
        <w:t>(d)</w:t>
      </w:r>
      <w:r w:rsidRPr="0081146C">
        <w:tab/>
        <w:t>the delivery channels by which the reporting entity’s designated services are or will be provided to the customer;</w:t>
      </w:r>
    </w:p>
    <w:p w14:paraId="2B8E011F" w14:textId="77777777" w:rsidR="00895996" w:rsidRPr="0081146C" w:rsidRDefault="00895996" w:rsidP="00895996">
      <w:pPr>
        <w:pStyle w:val="paragraph"/>
      </w:pPr>
      <w:r w:rsidRPr="0081146C">
        <w:tab/>
        <w:t>(e)</w:t>
      </w:r>
      <w:r w:rsidRPr="0081146C">
        <w:tab/>
        <w:t>the countries with which the reporting entity deals, or will deal, in providing its designated services to the customer;</w:t>
      </w:r>
    </w:p>
    <w:p w14:paraId="01CDC687" w14:textId="77777777" w:rsidR="00895996" w:rsidRPr="0081146C" w:rsidRDefault="00895996" w:rsidP="00895996">
      <w:pPr>
        <w:pStyle w:val="paragraph"/>
      </w:pPr>
      <w:r w:rsidRPr="0081146C">
        <w:tab/>
        <w:t>(f)</w:t>
      </w:r>
      <w:r w:rsidRPr="0081146C">
        <w:tab/>
        <w:t>the matters (if any) specified in the AML/CTF Rules.</w:t>
      </w:r>
    </w:p>
    <w:p w14:paraId="4E45C85D" w14:textId="77777777" w:rsidR="00895996" w:rsidRPr="0081146C" w:rsidRDefault="00895996" w:rsidP="00895996">
      <w:pPr>
        <w:pStyle w:val="subsection"/>
      </w:pPr>
      <w:r w:rsidRPr="0081146C">
        <w:tab/>
        <w:t>(5)</w:t>
      </w:r>
      <w:r w:rsidRPr="0081146C">
        <w:tab/>
        <w:t>Subsection (4) does not limit the matters a reporting entity may take into account for the purposes of paragraph (3)(b).</w:t>
      </w:r>
    </w:p>
    <w:p w14:paraId="66246EC7" w14:textId="77777777" w:rsidR="00895996" w:rsidRPr="0081146C" w:rsidRDefault="00895996" w:rsidP="00895996">
      <w:pPr>
        <w:pStyle w:val="subsection"/>
      </w:pPr>
      <w:r w:rsidRPr="0081146C">
        <w:tab/>
        <w:t>(6)</w:t>
      </w:r>
      <w:r w:rsidRPr="0081146C">
        <w:tab/>
        <w:t>The AML/CTF Rules may do either or both of the following:</w:t>
      </w:r>
    </w:p>
    <w:p w14:paraId="1EBAB4B7" w14:textId="77777777" w:rsidR="00895996" w:rsidRPr="0081146C" w:rsidRDefault="00895996" w:rsidP="00895996">
      <w:pPr>
        <w:pStyle w:val="paragraph"/>
      </w:pPr>
      <w:r w:rsidRPr="0081146C">
        <w:tab/>
        <w:t>(a)</w:t>
      </w:r>
      <w:r w:rsidRPr="0081146C">
        <w:tab/>
        <w:t>specify requirements that must be complied with for the purposes of establishing on reasonable grounds the matters in subsection (2);</w:t>
      </w:r>
    </w:p>
    <w:p w14:paraId="7BB3A3F3" w14:textId="77777777" w:rsidR="00895996" w:rsidRPr="0081146C" w:rsidRDefault="00895996" w:rsidP="00895996">
      <w:pPr>
        <w:pStyle w:val="paragraph"/>
      </w:pPr>
      <w:r w:rsidRPr="0081146C">
        <w:tab/>
        <w:t>(b)</w:t>
      </w:r>
      <w:r w:rsidRPr="0081146C">
        <w:tab/>
        <w:t>set out circumstances in which a reporting entity is taken to comply with a matter mentioned in that subsection.</w:t>
      </w:r>
    </w:p>
    <w:p w14:paraId="35A58874" w14:textId="77777777" w:rsidR="00895996" w:rsidRPr="0081146C" w:rsidRDefault="00895996" w:rsidP="00895996">
      <w:pPr>
        <w:pStyle w:val="subsection"/>
      </w:pPr>
      <w:r w:rsidRPr="0081146C">
        <w:tab/>
        <w:t>(7)</w:t>
      </w:r>
      <w:r w:rsidRPr="0081146C">
        <w:tab/>
        <w:t>Without limiting paragraph (2)(g) or (4)(f) or subsection (6), AML/CTF Rules made for the purposes of any of those provisions may make different provision in relation to different classes of customers, including:</w:t>
      </w:r>
    </w:p>
    <w:p w14:paraId="2A70A8A0" w14:textId="77777777" w:rsidR="00895996" w:rsidRPr="0081146C" w:rsidRDefault="00895996" w:rsidP="00895996">
      <w:pPr>
        <w:pStyle w:val="paragraph"/>
      </w:pPr>
      <w:r w:rsidRPr="0081146C">
        <w:tab/>
        <w:t>(a)</w:t>
      </w:r>
      <w:r w:rsidRPr="0081146C">
        <w:tab/>
        <w:t>customers in relation to whom simplified due diligence measures may be taken in accordance with section 31; and</w:t>
      </w:r>
    </w:p>
    <w:p w14:paraId="3F01DDD6" w14:textId="77777777" w:rsidR="00895996" w:rsidRPr="0081146C" w:rsidRDefault="00895996" w:rsidP="00895996">
      <w:pPr>
        <w:pStyle w:val="paragraph"/>
      </w:pPr>
      <w:r w:rsidRPr="0081146C">
        <w:tab/>
        <w:t>(b)</w:t>
      </w:r>
      <w:r w:rsidRPr="0081146C">
        <w:tab/>
        <w:t>customers in relation to whom enhanced customer due diligence measures must be undertaken in accordance with section 32.</w:t>
      </w:r>
    </w:p>
    <w:p w14:paraId="45A8412B" w14:textId="77777777" w:rsidR="00895996" w:rsidRPr="0081146C" w:rsidRDefault="00895996" w:rsidP="00895996">
      <w:pPr>
        <w:pStyle w:val="notetext"/>
      </w:pPr>
      <w:r w:rsidRPr="0081146C">
        <w:t>Note:</w:t>
      </w:r>
      <w:r w:rsidRPr="0081146C">
        <w:tab/>
        <w:t xml:space="preserve">This subsection also does not limit subsection 13(3) of the </w:t>
      </w:r>
      <w:r w:rsidRPr="0081146C">
        <w:rPr>
          <w:i/>
        </w:rPr>
        <w:t>Legislation Act 2003</w:t>
      </w:r>
      <w:r w:rsidRPr="0081146C">
        <w:t xml:space="preserve"> or subsection 33(3AB) of the </w:t>
      </w:r>
      <w:r w:rsidRPr="0081146C">
        <w:rPr>
          <w:i/>
        </w:rPr>
        <w:t>Acts Interpretation Act 1901</w:t>
      </w:r>
      <w:r w:rsidRPr="0081146C">
        <w:t>: see section 249.</w:t>
      </w:r>
    </w:p>
    <w:p w14:paraId="62D8F412" w14:textId="77777777" w:rsidR="00895996" w:rsidRPr="0081146C" w:rsidRDefault="00895996" w:rsidP="00895996">
      <w:pPr>
        <w:pStyle w:val="subsection"/>
      </w:pPr>
      <w:r w:rsidRPr="0081146C">
        <w:tab/>
        <w:t>(8)</w:t>
      </w:r>
      <w:r w:rsidRPr="0081146C">
        <w:tab/>
        <w:t>Subsection (1) is a civil penalty provision.</w:t>
      </w:r>
    </w:p>
    <w:p w14:paraId="3818547F" w14:textId="77777777" w:rsidR="00895996" w:rsidRPr="0081146C" w:rsidRDefault="00895996" w:rsidP="00895996">
      <w:pPr>
        <w:pStyle w:val="subsection"/>
      </w:pPr>
      <w:bookmarkStart w:id="161" w:name="_Toc176444389"/>
      <w:r w:rsidRPr="0081146C">
        <w:tab/>
        <w:t>(9)</w:t>
      </w:r>
      <w:r w:rsidRPr="0081146C">
        <w:tab/>
        <w:t>A reporting entity that contravenes subsection (1) in relation to a customer commits a separate contravention of that subsection in respect of each designated service that the reporting entity provides to the customer at or through a permanent establishment of the reporting entity in Australia.</w:t>
      </w:r>
    </w:p>
    <w:p w14:paraId="186E4C94" w14:textId="77777777" w:rsidR="00895996" w:rsidRPr="0081146C" w:rsidRDefault="00895996" w:rsidP="00895996">
      <w:pPr>
        <w:pStyle w:val="subsection"/>
      </w:pPr>
      <w:r w:rsidRPr="0081146C">
        <w:tab/>
        <w:t>(10)</w:t>
      </w:r>
      <w:r w:rsidRPr="0081146C">
        <w:tab/>
        <w:t>A reporting entity that contravenes subsection (1) in relation to a customer commits a separate contravention of that subsection on each day that the reporting entity provides designated services to the customer at or through a permanent establishment of the reporting entity in a foreign country.</w:t>
      </w:r>
    </w:p>
    <w:p w14:paraId="5A7C8555" w14:textId="77777777" w:rsidR="00895996" w:rsidRPr="0081146C" w:rsidRDefault="00895996" w:rsidP="00895996">
      <w:pPr>
        <w:pStyle w:val="ActHead5"/>
      </w:pPr>
      <w:bookmarkStart w:id="162" w:name="_Toc184034010"/>
      <w:bookmarkStart w:id="163" w:name="_Toc185415759"/>
      <w:r w:rsidRPr="0081146C">
        <w:rPr>
          <w:rStyle w:val="CharSectno"/>
        </w:rPr>
        <w:t>29</w:t>
      </w:r>
      <w:r w:rsidRPr="0081146C">
        <w:t xml:space="preserve">  Exemptions from initial customer due diligence</w:t>
      </w:r>
      <w:bookmarkEnd w:id="161"/>
      <w:bookmarkEnd w:id="162"/>
      <w:bookmarkEnd w:id="163"/>
    </w:p>
    <w:p w14:paraId="7613F73A" w14:textId="77777777" w:rsidR="00895996" w:rsidRPr="0081146C" w:rsidRDefault="00895996" w:rsidP="00895996">
      <w:pPr>
        <w:pStyle w:val="subsection"/>
      </w:pPr>
      <w:r w:rsidRPr="0081146C">
        <w:tab/>
      </w:r>
      <w:r w:rsidRPr="0081146C">
        <w:tab/>
        <w:t>Despite subsection 28(1), a reporting entity may commence to provide a designated service to a customer before the reporting entity complies with that subsection if:</w:t>
      </w:r>
    </w:p>
    <w:p w14:paraId="770054BE" w14:textId="77777777" w:rsidR="00895996" w:rsidRPr="0081146C" w:rsidRDefault="00895996" w:rsidP="00895996">
      <w:pPr>
        <w:pStyle w:val="paragraph"/>
      </w:pPr>
      <w:r w:rsidRPr="0081146C">
        <w:tab/>
        <w:t>(a)</w:t>
      </w:r>
      <w:r w:rsidRPr="0081146C">
        <w:tab/>
        <w:t>circumstances specified in the AML/CTF Rules apply; and</w:t>
      </w:r>
    </w:p>
    <w:p w14:paraId="62BFF3C8" w14:textId="77777777" w:rsidR="00895996" w:rsidRPr="0081146C" w:rsidRDefault="00895996" w:rsidP="00895996">
      <w:pPr>
        <w:pStyle w:val="paragraph"/>
      </w:pPr>
      <w:r w:rsidRPr="0081146C">
        <w:tab/>
        <w:t>(b)</w:t>
      </w:r>
      <w:r w:rsidRPr="0081146C">
        <w:tab/>
        <w:t>the reporting entity determines on reasonable grounds that commencing to provide the designated service to the customer before subsection 28(1) is complied with in relation to the customer is essential to avoid interrupting the ordinary course of business; and</w:t>
      </w:r>
    </w:p>
    <w:p w14:paraId="78F83C1C" w14:textId="77777777" w:rsidR="00895996" w:rsidRPr="0081146C" w:rsidRDefault="00895996" w:rsidP="00895996">
      <w:pPr>
        <w:pStyle w:val="paragraph"/>
      </w:pPr>
      <w:r w:rsidRPr="0081146C">
        <w:tab/>
        <w:t>(c)</w:t>
      </w:r>
      <w:r w:rsidRPr="0081146C">
        <w:tab/>
        <w:t>the reporting entity has AML/CTF policies to comply with subsection 28(1) in relation to the customer:</w:t>
      </w:r>
    </w:p>
    <w:p w14:paraId="6626F30F" w14:textId="77777777" w:rsidR="00895996" w:rsidRPr="0081146C" w:rsidRDefault="00895996" w:rsidP="00895996">
      <w:pPr>
        <w:pStyle w:val="paragraphsub"/>
      </w:pPr>
      <w:r w:rsidRPr="0081146C">
        <w:tab/>
        <w:t>(i)</w:t>
      </w:r>
      <w:r w:rsidRPr="0081146C">
        <w:tab/>
        <w:t>as soon as reasonably practicable after commencing to provide the designated service to the customer; and</w:t>
      </w:r>
    </w:p>
    <w:p w14:paraId="7F476E12" w14:textId="77777777" w:rsidR="00895996" w:rsidRPr="0081146C" w:rsidRDefault="00895996" w:rsidP="00895996">
      <w:pPr>
        <w:pStyle w:val="paragraphsub"/>
      </w:pPr>
      <w:r w:rsidRPr="0081146C">
        <w:tab/>
        <w:t>(ii)</w:t>
      </w:r>
      <w:r w:rsidRPr="0081146C">
        <w:tab/>
        <w:t>within the period (if any) specified in the AML/CTF Rules; and</w:t>
      </w:r>
    </w:p>
    <w:p w14:paraId="7256B0C2" w14:textId="77777777" w:rsidR="00895996" w:rsidRPr="0081146C" w:rsidRDefault="00895996" w:rsidP="00895996">
      <w:pPr>
        <w:pStyle w:val="paragraph"/>
      </w:pPr>
      <w:r w:rsidRPr="0081146C">
        <w:tab/>
        <w:t>(d)</w:t>
      </w:r>
      <w:r w:rsidRPr="0081146C">
        <w:tab/>
        <w:t>the reporting entity determines on reasonable grounds that any additional risk of money laundering, terrorism financing or proliferation financing associated with complying with subsection 28(1) in relation to the customer after commencing to provide the designated service to the customer is low; and</w:t>
      </w:r>
    </w:p>
    <w:p w14:paraId="02C7E503" w14:textId="77777777" w:rsidR="00895996" w:rsidRPr="0081146C" w:rsidRDefault="00895996" w:rsidP="00895996">
      <w:pPr>
        <w:pStyle w:val="paragraph"/>
      </w:pPr>
      <w:r w:rsidRPr="0081146C">
        <w:tab/>
        <w:t>(e)</w:t>
      </w:r>
      <w:r w:rsidRPr="0081146C">
        <w:tab/>
        <w:t>the reporting entity implements AML/CTF policies to mitigate and manage the associated risks; and</w:t>
      </w:r>
    </w:p>
    <w:p w14:paraId="49A9522C" w14:textId="77777777" w:rsidR="00895996" w:rsidRPr="0081146C" w:rsidRDefault="00895996" w:rsidP="00895996">
      <w:pPr>
        <w:pStyle w:val="paragraph"/>
      </w:pPr>
      <w:r w:rsidRPr="0081146C">
        <w:tab/>
        <w:t>(f)</w:t>
      </w:r>
      <w:r w:rsidRPr="0081146C">
        <w:tab/>
        <w:t>the reporting entity complies with the requirements (if any) specified in the AML/CTF Rules.</w:t>
      </w:r>
    </w:p>
    <w:p w14:paraId="7FC230A8" w14:textId="77777777" w:rsidR="00895996" w:rsidRPr="0081146C" w:rsidRDefault="00895996" w:rsidP="002838CD">
      <w:pPr>
        <w:pStyle w:val="ActHead3"/>
        <w:pageBreakBefore/>
      </w:pPr>
      <w:bookmarkStart w:id="164" w:name="_Toc176444390"/>
      <w:bookmarkStart w:id="165" w:name="_Toc184034011"/>
      <w:bookmarkStart w:id="166" w:name="_Toc185415760"/>
      <w:r w:rsidRPr="0081146C">
        <w:rPr>
          <w:rStyle w:val="CharDivNo"/>
        </w:rPr>
        <w:t>Division 3</w:t>
      </w:r>
      <w:r w:rsidRPr="0081146C">
        <w:t>—</w:t>
      </w:r>
      <w:r w:rsidRPr="0081146C">
        <w:rPr>
          <w:rStyle w:val="CharDivText"/>
        </w:rPr>
        <w:t>Ongoing customer due diligence</w:t>
      </w:r>
      <w:bookmarkEnd w:id="164"/>
      <w:bookmarkEnd w:id="165"/>
      <w:bookmarkEnd w:id="166"/>
    </w:p>
    <w:p w14:paraId="57D1A998" w14:textId="77777777" w:rsidR="00895996" w:rsidRPr="0081146C" w:rsidRDefault="00895996" w:rsidP="00895996">
      <w:pPr>
        <w:pStyle w:val="ActHead5"/>
      </w:pPr>
      <w:bookmarkStart w:id="167" w:name="_Toc176444391"/>
      <w:bookmarkStart w:id="168" w:name="_Toc184034012"/>
      <w:bookmarkStart w:id="169" w:name="_Toc185415761"/>
      <w:r w:rsidRPr="0081146C">
        <w:rPr>
          <w:rStyle w:val="CharSectno"/>
        </w:rPr>
        <w:t>30</w:t>
      </w:r>
      <w:r w:rsidRPr="0081146C">
        <w:t xml:space="preserve">  Undertaking ongoing customer due diligence</w:t>
      </w:r>
      <w:bookmarkEnd w:id="167"/>
      <w:bookmarkEnd w:id="168"/>
      <w:bookmarkEnd w:id="169"/>
    </w:p>
    <w:p w14:paraId="21642322" w14:textId="77777777" w:rsidR="00895996" w:rsidRPr="0081146C" w:rsidRDefault="00895996" w:rsidP="00895996">
      <w:pPr>
        <w:pStyle w:val="subsection"/>
      </w:pPr>
      <w:r w:rsidRPr="0081146C">
        <w:tab/>
        <w:t>(1)</w:t>
      </w:r>
      <w:r w:rsidRPr="0081146C">
        <w:tab/>
        <w:t>A reporting entity must monitor its customers in relation to the provision of its designated services to appropriately identify, assess, manage and mitigate the risks of money laundering, financing of terrorism and proliferation financing that the reporting entity may reasonably face in providing designated services.</w:t>
      </w:r>
    </w:p>
    <w:p w14:paraId="19A48CF2" w14:textId="77777777" w:rsidR="00895996" w:rsidRPr="0081146C" w:rsidRDefault="00895996" w:rsidP="00895996">
      <w:pPr>
        <w:pStyle w:val="notetext"/>
      </w:pPr>
      <w:r w:rsidRPr="0081146C">
        <w:t>Note 1:</w:t>
      </w:r>
      <w:r w:rsidRPr="0081146C">
        <w:tab/>
        <w:t>See also section 31 (simplified customer due diligence).</w:t>
      </w:r>
    </w:p>
    <w:p w14:paraId="58BFDF3A" w14:textId="77777777" w:rsidR="00895996" w:rsidRPr="0081146C" w:rsidRDefault="00895996" w:rsidP="00895996">
      <w:pPr>
        <w:pStyle w:val="notetext"/>
      </w:pPr>
      <w:r w:rsidRPr="0081146C">
        <w:t>Note 2:</w:t>
      </w:r>
      <w:r w:rsidRPr="0081146C">
        <w:tab/>
        <w:t>See also section 32 (enhanced customer due diligence).</w:t>
      </w:r>
    </w:p>
    <w:p w14:paraId="53E3A091" w14:textId="77777777" w:rsidR="00895996" w:rsidRPr="0081146C" w:rsidRDefault="00895996" w:rsidP="00895996">
      <w:pPr>
        <w:pStyle w:val="notetext"/>
      </w:pPr>
      <w:r w:rsidRPr="0081146C">
        <w:t>Note 3:</w:t>
      </w:r>
      <w:r w:rsidRPr="0081146C">
        <w:tab/>
        <w:t>See section 36 for rules that apply to pre</w:t>
      </w:r>
      <w:r w:rsidRPr="0081146C">
        <w:noBreakHyphen/>
        <w:t>commencement customers.</w:t>
      </w:r>
    </w:p>
    <w:p w14:paraId="5E93B51D" w14:textId="77777777" w:rsidR="00895996" w:rsidRPr="0081146C" w:rsidRDefault="00895996" w:rsidP="00895996">
      <w:pPr>
        <w:pStyle w:val="subsection"/>
      </w:pPr>
      <w:r w:rsidRPr="0081146C">
        <w:tab/>
        <w:t>(2)</w:t>
      </w:r>
      <w:r w:rsidRPr="0081146C">
        <w:tab/>
        <w:t>Without limiting subsection (1), if the reporting entity provides its designated services at or through a permanent establishment of the reporting entity in Australia, the reporting entity must:</w:t>
      </w:r>
    </w:p>
    <w:p w14:paraId="6397FC97" w14:textId="77777777" w:rsidR="00895996" w:rsidRPr="0081146C" w:rsidRDefault="00895996" w:rsidP="00895996">
      <w:pPr>
        <w:pStyle w:val="paragraph"/>
      </w:pPr>
      <w:r w:rsidRPr="0081146C">
        <w:tab/>
        <w:t>(a)</w:t>
      </w:r>
      <w:r w:rsidRPr="0081146C">
        <w:tab/>
        <w:t>monitor for unusual transactions and behaviours of customers that may give rise to a suspicious matter reporting obligation; and</w:t>
      </w:r>
    </w:p>
    <w:p w14:paraId="58C20BA3" w14:textId="77777777" w:rsidR="00895996" w:rsidRPr="0081146C" w:rsidRDefault="00895996" w:rsidP="00895996">
      <w:pPr>
        <w:pStyle w:val="paragraph"/>
      </w:pPr>
      <w:r w:rsidRPr="0081146C">
        <w:tab/>
        <w:t>(b)</w:t>
      </w:r>
      <w:r w:rsidRPr="0081146C">
        <w:tab/>
        <w:t>if the reporting entity has a business relationship with a customer—review and, where appropriate, update the reporting entity’s identification and assessment of the ML/TF risk of the customer in the following circumstances:</w:t>
      </w:r>
    </w:p>
    <w:p w14:paraId="274563CD" w14:textId="77777777" w:rsidR="00895996" w:rsidRPr="0081146C" w:rsidRDefault="00895996" w:rsidP="00895996">
      <w:pPr>
        <w:pStyle w:val="paragraphsub"/>
      </w:pPr>
      <w:r w:rsidRPr="0081146C">
        <w:tab/>
        <w:t>(i)</w:t>
      </w:r>
      <w:r w:rsidRPr="0081146C">
        <w:tab/>
        <w:t>if there is a significant change to any of the matters mentioned in subsection 28(4);</w:t>
      </w:r>
    </w:p>
    <w:p w14:paraId="2C12856B" w14:textId="77777777" w:rsidR="00895996" w:rsidRPr="0081146C" w:rsidRDefault="00895996" w:rsidP="00895996">
      <w:pPr>
        <w:pStyle w:val="paragraphsub"/>
      </w:pPr>
      <w:r w:rsidRPr="0081146C">
        <w:tab/>
        <w:t>(ii)</w:t>
      </w:r>
      <w:r w:rsidRPr="0081146C">
        <w:tab/>
        <w:t>if there are unusual transactions and behaviours in relation to the customer that may give rise to a suspicious matter reporting obligation;</w:t>
      </w:r>
    </w:p>
    <w:p w14:paraId="5D951A75" w14:textId="77777777" w:rsidR="00895996" w:rsidRPr="0081146C" w:rsidRDefault="00895996" w:rsidP="00895996">
      <w:pPr>
        <w:pStyle w:val="paragraphsub"/>
      </w:pPr>
      <w:r w:rsidRPr="0081146C">
        <w:tab/>
        <w:t>(iii)</w:t>
      </w:r>
      <w:r w:rsidRPr="0081146C">
        <w:tab/>
        <w:t>circumstances specified in the AML/CTF Rules; and</w:t>
      </w:r>
    </w:p>
    <w:p w14:paraId="3C24EA5F" w14:textId="77777777" w:rsidR="00895996" w:rsidRPr="0081146C" w:rsidRDefault="00895996" w:rsidP="00895996">
      <w:pPr>
        <w:pStyle w:val="paragraph"/>
      </w:pPr>
      <w:r w:rsidRPr="0081146C">
        <w:tab/>
        <w:t>(c)</w:t>
      </w:r>
      <w:r w:rsidRPr="0081146C">
        <w:tab/>
        <w:t>if the reporting entity has a business relationship with a customer—review and, where appropriate, update and reverify KYC information relating to the customer at a frequency appropriate to the ML/TF risk of the customer, and if either of the following occur:</w:t>
      </w:r>
    </w:p>
    <w:p w14:paraId="6F401F9E" w14:textId="77777777" w:rsidR="00895996" w:rsidRPr="0081146C" w:rsidRDefault="00895996" w:rsidP="00895996">
      <w:pPr>
        <w:pStyle w:val="paragraphsub"/>
      </w:pPr>
      <w:r w:rsidRPr="0081146C">
        <w:tab/>
        <w:t>(i)</w:t>
      </w:r>
      <w:r w:rsidRPr="0081146C">
        <w:tab/>
        <w:t>the reporting entity has doubts about the adequacy or veracity of the KYC information relating to the customer;</w:t>
      </w:r>
    </w:p>
    <w:p w14:paraId="0A09D9D3" w14:textId="77777777" w:rsidR="00895996" w:rsidRPr="0081146C" w:rsidRDefault="00895996" w:rsidP="00895996">
      <w:pPr>
        <w:pStyle w:val="paragraphsub"/>
      </w:pPr>
      <w:r w:rsidRPr="0081146C">
        <w:tab/>
        <w:t>(ii)</w:t>
      </w:r>
      <w:r w:rsidRPr="0081146C">
        <w:tab/>
        <w:t>circumstances specified in the AML/CTF Rules; and</w:t>
      </w:r>
    </w:p>
    <w:p w14:paraId="36F63D02" w14:textId="77777777" w:rsidR="00895996" w:rsidRPr="0081146C" w:rsidRDefault="00895996" w:rsidP="00895996">
      <w:pPr>
        <w:pStyle w:val="paragraph"/>
      </w:pPr>
      <w:r w:rsidRPr="0081146C">
        <w:tab/>
        <w:t>(d)</w:t>
      </w:r>
      <w:r w:rsidRPr="0081146C">
        <w:tab/>
        <w:t>if the reporting entity has a business relationship with a customer that is a pre</w:t>
      </w:r>
      <w:r w:rsidRPr="0081146C">
        <w:noBreakHyphen/>
        <w:t>commencement customer—monitor for significant changes in the nature and purpose of the business relationship that may result in the ML/TF risk of the customer being medium or high; and</w:t>
      </w:r>
    </w:p>
    <w:p w14:paraId="1F8F48E6" w14:textId="77777777" w:rsidR="00895996" w:rsidRPr="0081146C" w:rsidRDefault="00895996" w:rsidP="00895996">
      <w:pPr>
        <w:pStyle w:val="paragraph"/>
      </w:pPr>
      <w:r w:rsidRPr="0081146C">
        <w:tab/>
        <w:t>(e)</w:t>
      </w:r>
      <w:r w:rsidRPr="0081146C">
        <w:tab/>
        <w:t>comply with any other requirements specified in the AML/CTF Rules.</w:t>
      </w:r>
    </w:p>
    <w:p w14:paraId="56EC6ADB" w14:textId="77777777" w:rsidR="00895996" w:rsidRPr="0081146C" w:rsidRDefault="00895996" w:rsidP="00895996">
      <w:pPr>
        <w:pStyle w:val="notetext"/>
      </w:pPr>
      <w:r w:rsidRPr="0081146C">
        <w:t>Note:</w:t>
      </w:r>
      <w:r w:rsidRPr="0081146C">
        <w:tab/>
        <w:t xml:space="preserve">For </w:t>
      </w:r>
      <w:r w:rsidRPr="0081146C">
        <w:rPr>
          <w:b/>
          <w:i/>
        </w:rPr>
        <w:t>suspicious matter reporting obligation</w:t>
      </w:r>
      <w:r w:rsidRPr="0081146C">
        <w:t>, see section 41.</w:t>
      </w:r>
    </w:p>
    <w:p w14:paraId="46CC4274" w14:textId="77777777" w:rsidR="00895996" w:rsidRPr="0081146C" w:rsidRDefault="00895996" w:rsidP="00895996">
      <w:pPr>
        <w:pStyle w:val="subsection"/>
      </w:pPr>
      <w:r w:rsidRPr="0081146C">
        <w:tab/>
        <w:t>(3)</w:t>
      </w:r>
      <w:r w:rsidRPr="0081146C">
        <w:tab/>
        <w:t>The AML/CTF Rules may do either or both of the following:</w:t>
      </w:r>
    </w:p>
    <w:p w14:paraId="251E2F63" w14:textId="77777777" w:rsidR="00895996" w:rsidRPr="0081146C" w:rsidRDefault="00895996" w:rsidP="00895996">
      <w:pPr>
        <w:pStyle w:val="paragraph"/>
      </w:pPr>
      <w:r w:rsidRPr="0081146C">
        <w:tab/>
        <w:t>(a)</w:t>
      </w:r>
      <w:r w:rsidRPr="0081146C">
        <w:tab/>
        <w:t>specify requirements that must be complied with in relation to the matters mentioned in subsection (2);</w:t>
      </w:r>
    </w:p>
    <w:p w14:paraId="120CBB3D" w14:textId="77777777" w:rsidR="00895996" w:rsidRPr="0081146C" w:rsidRDefault="00895996" w:rsidP="00895996">
      <w:pPr>
        <w:pStyle w:val="paragraph"/>
      </w:pPr>
      <w:r w:rsidRPr="0081146C">
        <w:tab/>
        <w:t>(b)</w:t>
      </w:r>
      <w:r w:rsidRPr="0081146C">
        <w:tab/>
        <w:t>set out circumstances in which a reporting entity is taken to comply with a matter mentioned in that subsection.</w:t>
      </w:r>
    </w:p>
    <w:p w14:paraId="0D77D793" w14:textId="77777777" w:rsidR="00895996" w:rsidRPr="0081146C" w:rsidRDefault="00895996" w:rsidP="00895996">
      <w:pPr>
        <w:pStyle w:val="subsection"/>
      </w:pPr>
      <w:r w:rsidRPr="0081146C">
        <w:tab/>
        <w:t>(4)</w:t>
      </w:r>
      <w:r w:rsidRPr="0081146C">
        <w:tab/>
        <w:t>Without limiting subparagraph (2)(b)(iii) or (2)(c)(ii), paragraph (2)(e) or subsection (3), AML/CTF Rules made for the purposes of any of those provisions may make different provision in relation to different classes of customers, including:</w:t>
      </w:r>
    </w:p>
    <w:p w14:paraId="4995CFA9" w14:textId="77777777" w:rsidR="00895996" w:rsidRPr="0081146C" w:rsidRDefault="00895996" w:rsidP="00895996">
      <w:pPr>
        <w:pStyle w:val="paragraph"/>
      </w:pPr>
      <w:r w:rsidRPr="0081146C">
        <w:tab/>
        <w:t>(a)</w:t>
      </w:r>
      <w:r w:rsidRPr="0081146C">
        <w:tab/>
        <w:t>customers in relation to whom simplified due diligence measures may be taken in accordance with section 31; and</w:t>
      </w:r>
    </w:p>
    <w:p w14:paraId="134C5526" w14:textId="77777777" w:rsidR="00895996" w:rsidRPr="0081146C" w:rsidRDefault="00895996" w:rsidP="00895996">
      <w:pPr>
        <w:pStyle w:val="paragraph"/>
      </w:pPr>
      <w:r w:rsidRPr="0081146C">
        <w:tab/>
        <w:t>(b)</w:t>
      </w:r>
      <w:r w:rsidRPr="0081146C">
        <w:tab/>
        <w:t>customers in relation to whom enhanced customer due diligence measures must be undertaken in accordance with section 32.</w:t>
      </w:r>
    </w:p>
    <w:p w14:paraId="726B429B" w14:textId="77777777" w:rsidR="00895996" w:rsidRPr="0081146C" w:rsidRDefault="00895996" w:rsidP="00895996">
      <w:pPr>
        <w:pStyle w:val="notetext"/>
      </w:pPr>
      <w:r w:rsidRPr="0081146C">
        <w:t>Note:</w:t>
      </w:r>
      <w:r w:rsidRPr="0081146C">
        <w:tab/>
        <w:t xml:space="preserve">This subsection also does not limit subsection 13(3) of the </w:t>
      </w:r>
      <w:r w:rsidRPr="0081146C">
        <w:rPr>
          <w:i/>
        </w:rPr>
        <w:t>Legislation Act 2003</w:t>
      </w:r>
      <w:r w:rsidRPr="0081146C">
        <w:t xml:space="preserve"> or subsection 33(3AB) of the </w:t>
      </w:r>
      <w:r w:rsidRPr="0081146C">
        <w:rPr>
          <w:i/>
        </w:rPr>
        <w:t>Acts Interpretation Act 1901</w:t>
      </w:r>
      <w:r w:rsidRPr="0081146C">
        <w:t>: see section 249.</w:t>
      </w:r>
    </w:p>
    <w:p w14:paraId="17E7302B" w14:textId="77777777" w:rsidR="00895996" w:rsidRPr="0081146C" w:rsidRDefault="00895996" w:rsidP="00895996">
      <w:pPr>
        <w:pStyle w:val="subsection"/>
      </w:pPr>
      <w:r w:rsidRPr="0081146C">
        <w:tab/>
        <w:t>(5)</w:t>
      </w:r>
      <w:r w:rsidRPr="0081146C">
        <w:tab/>
        <w:t xml:space="preserve">For the purposes of this section, </w:t>
      </w:r>
      <w:r w:rsidRPr="0081146C">
        <w:rPr>
          <w:b/>
          <w:i/>
        </w:rPr>
        <w:t>unusual transactions and behaviours</w:t>
      </w:r>
      <w:r w:rsidRPr="0081146C">
        <w:t xml:space="preserve"> of a customer include the following:</w:t>
      </w:r>
    </w:p>
    <w:p w14:paraId="1B2F9ED7" w14:textId="77777777" w:rsidR="00895996" w:rsidRPr="0081146C" w:rsidRDefault="00895996" w:rsidP="00895996">
      <w:pPr>
        <w:pStyle w:val="paragraph"/>
      </w:pPr>
      <w:r w:rsidRPr="0081146C">
        <w:tab/>
        <w:t>(a)</w:t>
      </w:r>
      <w:r w:rsidRPr="0081146C">
        <w:tab/>
        <w:t>unusually large or complex transactions relating to the customer;</w:t>
      </w:r>
    </w:p>
    <w:p w14:paraId="0CED60F2" w14:textId="77777777" w:rsidR="00895996" w:rsidRPr="0081146C" w:rsidRDefault="00895996" w:rsidP="00895996">
      <w:pPr>
        <w:pStyle w:val="paragraph"/>
      </w:pPr>
      <w:r w:rsidRPr="0081146C">
        <w:tab/>
        <w:t>(b)</w:t>
      </w:r>
      <w:r w:rsidRPr="0081146C">
        <w:tab/>
        <w:t>transactions and behaviours that are part of an unusual pattern of transactions and behaviours relating to the customer;</w:t>
      </w:r>
    </w:p>
    <w:p w14:paraId="09ACD84B" w14:textId="77777777" w:rsidR="00895996" w:rsidRPr="0081146C" w:rsidRDefault="00895996" w:rsidP="00895996">
      <w:pPr>
        <w:pStyle w:val="paragraph"/>
      </w:pPr>
      <w:r w:rsidRPr="0081146C">
        <w:tab/>
        <w:t>(c)</w:t>
      </w:r>
      <w:r w:rsidRPr="0081146C">
        <w:tab/>
        <w:t>transactions and behaviours that have no apparent economic or lawful purpose;</w:t>
      </w:r>
    </w:p>
    <w:p w14:paraId="46F26773" w14:textId="77777777" w:rsidR="00895996" w:rsidRPr="0081146C" w:rsidRDefault="00895996" w:rsidP="00895996">
      <w:pPr>
        <w:pStyle w:val="paragraph"/>
      </w:pPr>
      <w:r w:rsidRPr="0081146C">
        <w:tab/>
        <w:t>(d)</w:t>
      </w:r>
      <w:r w:rsidRPr="0081146C">
        <w:tab/>
        <w:t>transactions and behaviours that are inconsistent with what the reporting entity reasonably knows about any of the following:</w:t>
      </w:r>
    </w:p>
    <w:p w14:paraId="5C777513" w14:textId="77777777" w:rsidR="00895996" w:rsidRPr="0081146C" w:rsidRDefault="00895996" w:rsidP="00895996">
      <w:pPr>
        <w:pStyle w:val="paragraphsub"/>
      </w:pPr>
      <w:r w:rsidRPr="0081146C">
        <w:tab/>
        <w:t>(i)</w:t>
      </w:r>
      <w:r w:rsidRPr="0081146C">
        <w:tab/>
        <w:t>the customer;</w:t>
      </w:r>
    </w:p>
    <w:p w14:paraId="6DD352FC" w14:textId="77777777" w:rsidR="00895996" w:rsidRPr="0081146C" w:rsidRDefault="00895996" w:rsidP="00895996">
      <w:pPr>
        <w:pStyle w:val="paragraphsub"/>
      </w:pPr>
      <w:r w:rsidRPr="0081146C">
        <w:tab/>
        <w:t>(ii)</w:t>
      </w:r>
      <w:r w:rsidRPr="0081146C">
        <w:tab/>
        <w:t>the nature and purpose of the business relationship;</w:t>
      </w:r>
    </w:p>
    <w:p w14:paraId="5F237BC4" w14:textId="77777777" w:rsidR="00895996" w:rsidRPr="0081146C" w:rsidRDefault="00895996" w:rsidP="00895996">
      <w:pPr>
        <w:pStyle w:val="paragraphsub"/>
      </w:pPr>
      <w:r w:rsidRPr="0081146C">
        <w:tab/>
        <w:t>(iii)</w:t>
      </w:r>
      <w:r w:rsidRPr="0081146C">
        <w:tab/>
        <w:t>the ML/TF risk of the customer;</w:t>
      </w:r>
    </w:p>
    <w:p w14:paraId="6F4FEF88" w14:textId="77777777" w:rsidR="00895996" w:rsidRPr="0081146C" w:rsidRDefault="00895996" w:rsidP="00895996">
      <w:pPr>
        <w:pStyle w:val="paragraphsub"/>
      </w:pPr>
      <w:r w:rsidRPr="0081146C">
        <w:tab/>
        <w:t>(iv)</w:t>
      </w:r>
      <w:r w:rsidRPr="0081146C">
        <w:tab/>
        <w:t>where relevant, the customer’s source of funds or source of wealth.</w:t>
      </w:r>
    </w:p>
    <w:p w14:paraId="68A532BC" w14:textId="77777777" w:rsidR="00895996" w:rsidRPr="0081146C" w:rsidRDefault="00895996" w:rsidP="00895996">
      <w:pPr>
        <w:pStyle w:val="subsection"/>
      </w:pPr>
      <w:r w:rsidRPr="0081146C">
        <w:tab/>
        <w:t>(6)</w:t>
      </w:r>
      <w:r w:rsidRPr="0081146C">
        <w:tab/>
        <w:t>Subsection (1) is a civil penalty provision.</w:t>
      </w:r>
    </w:p>
    <w:p w14:paraId="249839BB" w14:textId="77777777" w:rsidR="00895996" w:rsidRPr="0081146C" w:rsidRDefault="00895996" w:rsidP="00895996">
      <w:pPr>
        <w:pStyle w:val="subsection"/>
      </w:pPr>
      <w:r w:rsidRPr="0081146C">
        <w:tab/>
        <w:t>(7)</w:t>
      </w:r>
      <w:r w:rsidRPr="0081146C">
        <w:tab/>
        <w:t>A reporting entity that contravenes subsection (1) in relation to a customer commits a separate contravention of that subsection in respect of each designated service that the reporting entity provides to the customer at or through a permanent establishment of the reporting entity in Australia.</w:t>
      </w:r>
    </w:p>
    <w:p w14:paraId="7EEB6FD4" w14:textId="77777777" w:rsidR="00895996" w:rsidRPr="0081146C" w:rsidRDefault="00895996" w:rsidP="00895996">
      <w:pPr>
        <w:pStyle w:val="subsection"/>
      </w:pPr>
      <w:r w:rsidRPr="0081146C">
        <w:tab/>
        <w:t>(8)</w:t>
      </w:r>
      <w:r w:rsidRPr="0081146C">
        <w:tab/>
        <w:t>A reporting entity that contravenes subsection (1) in relation to a customer commits a separate contravention of that subsection on each day that the reporting entity provides designated services to the customer at or through a permanent establishment of the reporting entity in a foreign country.</w:t>
      </w:r>
    </w:p>
    <w:p w14:paraId="292E215C" w14:textId="77777777" w:rsidR="00895996" w:rsidRPr="0081146C" w:rsidRDefault="00895996" w:rsidP="00895996">
      <w:pPr>
        <w:pStyle w:val="SubsectionHead"/>
      </w:pPr>
      <w:r w:rsidRPr="0081146C">
        <w:t>Registered remittance affiliates</w:t>
      </w:r>
    </w:p>
    <w:p w14:paraId="69C29E4F" w14:textId="77777777" w:rsidR="00895996" w:rsidRPr="0081146C" w:rsidRDefault="00895996" w:rsidP="00895996">
      <w:pPr>
        <w:pStyle w:val="subsection"/>
      </w:pPr>
      <w:r w:rsidRPr="0081146C">
        <w:tab/>
        <w:t>(9)</w:t>
      </w:r>
      <w:r w:rsidRPr="0081146C">
        <w:tab/>
        <w:t>If an obligation is imposed by subsection (1) on a reporting entity in its capacity as a registered remittance affiliate of a registered remittance network provider, the obligation may be discharged by the registered remittance network provider.</w:t>
      </w:r>
    </w:p>
    <w:p w14:paraId="6A403F5F" w14:textId="77777777" w:rsidR="00895996" w:rsidRPr="0081146C" w:rsidRDefault="00895996" w:rsidP="00895996">
      <w:pPr>
        <w:pStyle w:val="SubsectionHead"/>
      </w:pPr>
      <w:r w:rsidRPr="0081146C">
        <w:t>Exemption</w:t>
      </w:r>
    </w:p>
    <w:p w14:paraId="3DCC1753" w14:textId="77777777" w:rsidR="00895996" w:rsidRPr="0081146C" w:rsidRDefault="00895996" w:rsidP="00895996">
      <w:pPr>
        <w:pStyle w:val="subsection"/>
      </w:pPr>
      <w:r w:rsidRPr="0081146C">
        <w:tab/>
        <w:t>(10)</w:t>
      </w:r>
      <w:r w:rsidRPr="0081146C">
        <w:tab/>
        <w:t>This section does not apply to a designated service covered by item 54 of table 1 in section 6.</w:t>
      </w:r>
    </w:p>
    <w:p w14:paraId="59A78FA3" w14:textId="77777777" w:rsidR="00895996" w:rsidRPr="0081146C" w:rsidRDefault="00895996" w:rsidP="00895996">
      <w:pPr>
        <w:pStyle w:val="notetext"/>
      </w:pPr>
      <w:r w:rsidRPr="0081146C">
        <w:t>Note:</w:t>
      </w:r>
      <w:r w:rsidRPr="0081146C">
        <w:tab/>
        <w:t>Item 54 of table 1 in section 6 covers a holder of an Australian financial services licence who arranges for a person to receive a designated service.</w:t>
      </w:r>
    </w:p>
    <w:p w14:paraId="0C3E3ACE" w14:textId="77777777" w:rsidR="00895996" w:rsidRPr="0081146C" w:rsidRDefault="00895996" w:rsidP="002838CD">
      <w:pPr>
        <w:pStyle w:val="ActHead3"/>
        <w:pageBreakBefore/>
      </w:pPr>
      <w:bookmarkStart w:id="170" w:name="_Toc176444392"/>
      <w:bookmarkStart w:id="171" w:name="_Toc184034013"/>
      <w:bookmarkStart w:id="172" w:name="_Toc185415762"/>
      <w:r w:rsidRPr="0081146C">
        <w:rPr>
          <w:rStyle w:val="CharDivNo"/>
        </w:rPr>
        <w:t>Division 4</w:t>
      </w:r>
      <w:r w:rsidRPr="0081146C">
        <w:t>—</w:t>
      </w:r>
      <w:r w:rsidRPr="0081146C">
        <w:rPr>
          <w:rStyle w:val="CharDivText"/>
        </w:rPr>
        <w:t>Simplified and enhanced customer due diligence</w:t>
      </w:r>
      <w:bookmarkEnd w:id="170"/>
      <w:bookmarkEnd w:id="171"/>
      <w:bookmarkEnd w:id="172"/>
    </w:p>
    <w:p w14:paraId="4A62BB77" w14:textId="77777777" w:rsidR="00895996" w:rsidRPr="0081146C" w:rsidRDefault="00895996" w:rsidP="00895996">
      <w:pPr>
        <w:pStyle w:val="ActHead5"/>
      </w:pPr>
      <w:bookmarkStart w:id="173" w:name="_Toc176444393"/>
      <w:bookmarkStart w:id="174" w:name="_Toc184034014"/>
      <w:bookmarkStart w:id="175" w:name="_Toc185415763"/>
      <w:r w:rsidRPr="0081146C">
        <w:rPr>
          <w:rStyle w:val="CharSectno"/>
        </w:rPr>
        <w:t>31</w:t>
      </w:r>
      <w:r w:rsidRPr="0081146C">
        <w:t xml:space="preserve">  Simplified customer due diligence</w:t>
      </w:r>
      <w:bookmarkEnd w:id="173"/>
      <w:bookmarkEnd w:id="174"/>
      <w:bookmarkEnd w:id="175"/>
    </w:p>
    <w:p w14:paraId="48BE9AC6" w14:textId="77777777" w:rsidR="00895996" w:rsidRPr="0081146C" w:rsidRDefault="00895996" w:rsidP="00895996">
      <w:pPr>
        <w:pStyle w:val="subsection"/>
      </w:pPr>
      <w:r w:rsidRPr="0081146C">
        <w:tab/>
      </w:r>
      <w:r w:rsidRPr="0081146C">
        <w:tab/>
        <w:t>In complying with the obligation imposed on a reporting entity under subsection 28(1) or 30(1) in relation to a customer, the reporting entity may apply simplified customer due diligence measures if:</w:t>
      </w:r>
    </w:p>
    <w:p w14:paraId="53446FE6" w14:textId="77777777" w:rsidR="00895996" w:rsidRPr="0081146C" w:rsidRDefault="00895996" w:rsidP="00895996">
      <w:pPr>
        <w:pStyle w:val="paragraph"/>
      </w:pPr>
      <w:r w:rsidRPr="0081146C">
        <w:tab/>
        <w:t>(a)</w:t>
      </w:r>
      <w:r w:rsidRPr="0081146C">
        <w:tab/>
        <w:t>the ML/TF risk of the customer is low; and</w:t>
      </w:r>
    </w:p>
    <w:p w14:paraId="0385BFD2" w14:textId="77777777" w:rsidR="00895996" w:rsidRPr="0081146C" w:rsidRDefault="00895996" w:rsidP="00895996">
      <w:pPr>
        <w:pStyle w:val="paragraph"/>
      </w:pPr>
      <w:r w:rsidRPr="0081146C">
        <w:tab/>
        <w:t>(b)</w:t>
      </w:r>
      <w:r w:rsidRPr="0081146C">
        <w:tab/>
        <w:t>section 32 does not apply to the customer; and</w:t>
      </w:r>
    </w:p>
    <w:p w14:paraId="3D1C9908" w14:textId="77777777" w:rsidR="00895996" w:rsidRPr="0081146C" w:rsidRDefault="00895996" w:rsidP="00895996">
      <w:pPr>
        <w:pStyle w:val="paragraph"/>
      </w:pPr>
      <w:r w:rsidRPr="0081146C">
        <w:tab/>
        <w:t>(c)</w:t>
      </w:r>
      <w:r w:rsidRPr="0081146C">
        <w:tab/>
        <w:t>the reporting entity complies with the requirements specified in the AML/CTF Rules.</w:t>
      </w:r>
    </w:p>
    <w:p w14:paraId="0D279529" w14:textId="77777777" w:rsidR="00895996" w:rsidRPr="0081146C" w:rsidRDefault="00895996" w:rsidP="00895996">
      <w:pPr>
        <w:pStyle w:val="ActHead5"/>
      </w:pPr>
      <w:bookmarkStart w:id="176" w:name="_Toc176444394"/>
      <w:bookmarkStart w:id="177" w:name="_Toc184034015"/>
      <w:bookmarkStart w:id="178" w:name="_Toc185415764"/>
      <w:r w:rsidRPr="0081146C">
        <w:rPr>
          <w:rStyle w:val="CharSectno"/>
        </w:rPr>
        <w:t>32</w:t>
      </w:r>
      <w:r w:rsidRPr="0081146C">
        <w:t xml:space="preserve">  Enhanced customer due diligence obligation</w:t>
      </w:r>
      <w:bookmarkEnd w:id="176"/>
      <w:bookmarkEnd w:id="177"/>
      <w:bookmarkEnd w:id="178"/>
    </w:p>
    <w:p w14:paraId="429203C9" w14:textId="77777777" w:rsidR="00895996" w:rsidRPr="0081146C" w:rsidRDefault="00895996" w:rsidP="00895996">
      <w:pPr>
        <w:pStyle w:val="subsection"/>
      </w:pPr>
      <w:r w:rsidRPr="0081146C">
        <w:tab/>
      </w:r>
      <w:r w:rsidRPr="0081146C">
        <w:tab/>
        <w:t>In complying with the obligation imposed on a reporting entity under subsection 28(1) or 30(1) in relation to a customer, the reporting entity must apply enhanced customer due diligence measures appropriate to the ML/TF risk of the customer if one or more of the following apply to the customer:</w:t>
      </w:r>
    </w:p>
    <w:p w14:paraId="76A81134" w14:textId="77777777" w:rsidR="00895996" w:rsidRPr="0081146C" w:rsidRDefault="00895996" w:rsidP="00895996">
      <w:pPr>
        <w:pStyle w:val="paragraph"/>
      </w:pPr>
      <w:r w:rsidRPr="0081146C">
        <w:tab/>
        <w:t>(a)</w:t>
      </w:r>
      <w:r w:rsidRPr="0081146C">
        <w:tab/>
        <w:t>the ML/TF risk of the customer is high;</w:t>
      </w:r>
    </w:p>
    <w:p w14:paraId="28A8FA45" w14:textId="77777777" w:rsidR="00895996" w:rsidRPr="0081146C" w:rsidRDefault="00895996" w:rsidP="00895996">
      <w:pPr>
        <w:pStyle w:val="paragraph"/>
      </w:pPr>
      <w:r w:rsidRPr="0081146C">
        <w:tab/>
        <w:t>(b)</w:t>
      </w:r>
      <w:r w:rsidRPr="0081146C">
        <w:tab/>
        <w:t>if:</w:t>
      </w:r>
    </w:p>
    <w:p w14:paraId="7595DEA3" w14:textId="77777777" w:rsidR="00895996" w:rsidRPr="0081146C" w:rsidRDefault="00895996" w:rsidP="00895996">
      <w:pPr>
        <w:pStyle w:val="paragraphsub"/>
      </w:pPr>
      <w:r w:rsidRPr="0081146C">
        <w:tab/>
        <w:t>(i)</w:t>
      </w:r>
      <w:r w:rsidRPr="0081146C">
        <w:tab/>
        <w:t>a suspicious matter reporting obligation arises for the reporting entity in relation to the customer; and</w:t>
      </w:r>
    </w:p>
    <w:p w14:paraId="118B0E8D" w14:textId="77777777" w:rsidR="00895996" w:rsidRPr="0081146C" w:rsidRDefault="00895996" w:rsidP="00895996">
      <w:pPr>
        <w:pStyle w:val="paragraphsub"/>
      </w:pPr>
      <w:r w:rsidRPr="0081146C">
        <w:tab/>
        <w:t>(ii)</w:t>
      </w:r>
      <w:r w:rsidRPr="0081146C">
        <w:tab/>
        <w:t>the reporting entity proposes to continue to provide a designated service or designated services to the customer;</w:t>
      </w:r>
    </w:p>
    <w:p w14:paraId="1EB9EA1A" w14:textId="77777777" w:rsidR="00895996" w:rsidRPr="0081146C" w:rsidRDefault="00895996" w:rsidP="00895996">
      <w:pPr>
        <w:pStyle w:val="paragraph"/>
      </w:pPr>
      <w:r w:rsidRPr="0081146C">
        <w:tab/>
        <w:t>(c)</w:t>
      </w:r>
      <w:r w:rsidRPr="0081146C">
        <w:tab/>
        <w:t>the customer, any beneficial owner of the customer, any person on whose behalf the customer is receiving the designated service, or any person acting on behalf of the customer, is a foreign politically exposed person;</w:t>
      </w:r>
    </w:p>
    <w:p w14:paraId="5D56A7BB" w14:textId="77777777" w:rsidR="00895996" w:rsidRPr="0081146C" w:rsidRDefault="00895996" w:rsidP="00895996">
      <w:pPr>
        <w:pStyle w:val="paragraph"/>
      </w:pPr>
      <w:r w:rsidRPr="0081146C">
        <w:tab/>
        <w:t>(d)</w:t>
      </w:r>
      <w:r w:rsidRPr="0081146C">
        <w:tab/>
        <w:t>the customer, any beneficial owner of the customer, any person on whose behalf the customer is receiving the designated service, or any person acting on behalf of the customer, is:</w:t>
      </w:r>
    </w:p>
    <w:p w14:paraId="606DAB4A" w14:textId="77777777" w:rsidR="00895996" w:rsidRPr="0081146C" w:rsidRDefault="00895996" w:rsidP="00895996">
      <w:pPr>
        <w:pStyle w:val="paragraphsub"/>
      </w:pPr>
      <w:r w:rsidRPr="0081146C">
        <w:tab/>
        <w:t>(i)</w:t>
      </w:r>
      <w:r w:rsidRPr="0081146C">
        <w:tab/>
        <w:t>an individual who is physically present in a high risk jurisdiction for which the international body known as the Financial Action Task Force has called for enhanced due diligence to be applied; or</w:t>
      </w:r>
    </w:p>
    <w:p w14:paraId="6A512779" w14:textId="77777777" w:rsidR="00895996" w:rsidRPr="0081146C" w:rsidRDefault="00895996" w:rsidP="00895996">
      <w:pPr>
        <w:pStyle w:val="paragraphsub"/>
      </w:pPr>
      <w:r w:rsidRPr="0081146C">
        <w:tab/>
        <w:t>(ii)</w:t>
      </w:r>
      <w:r w:rsidRPr="0081146C">
        <w:tab/>
        <w:t>a body corporate or legal arrangement that was formed in a high risk jurisdiction for which the international body known as the Financial Action Task Force has called for enhanced due diligence to be applied;</w:t>
      </w:r>
    </w:p>
    <w:p w14:paraId="466434E2" w14:textId="77777777" w:rsidR="00895996" w:rsidRPr="0081146C" w:rsidRDefault="00895996" w:rsidP="00895996">
      <w:pPr>
        <w:pStyle w:val="paragraph"/>
      </w:pPr>
      <w:r w:rsidRPr="0081146C">
        <w:tab/>
        <w:t>(e)</w:t>
      </w:r>
      <w:r w:rsidRPr="0081146C">
        <w:tab/>
        <w:t>the designated service provided or proposed to be provided</w:t>
      </w:r>
      <w:r w:rsidRPr="0081146C">
        <w:rPr>
          <w:i/>
        </w:rPr>
        <w:t xml:space="preserve"> </w:t>
      </w:r>
      <w:r w:rsidRPr="0081146C">
        <w:t>to the customer is provided or proposed to be provided</w:t>
      </w:r>
      <w:r w:rsidRPr="0081146C">
        <w:rPr>
          <w:i/>
        </w:rPr>
        <w:t xml:space="preserve"> </w:t>
      </w:r>
      <w:r w:rsidRPr="0081146C">
        <w:t>as part of a nested services relationship;</w:t>
      </w:r>
    </w:p>
    <w:p w14:paraId="0D4D9979" w14:textId="77777777" w:rsidR="00895996" w:rsidRPr="0081146C" w:rsidRDefault="00895996" w:rsidP="00895996">
      <w:pPr>
        <w:pStyle w:val="paragraph"/>
      </w:pPr>
      <w:r w:rsidRPr="0081146C">
        <w:tab/>
        <w:t>(f)</w:t>
      </w:r>
      <w:r w:rsidRPr="0081146C">
        <w:tab/>
        <w:t>the customer is of a kind specified in the AML/CTF Rules.</w:t>
      </w:r>
    </w:p>
    <w:p w14:paraId="7505627D" w14:textId="77777777" w:rsidR="00895996" w:rsidRPr="0081146C" w:rsidRDefault="00895996" w:rsidP="00895996">
      <w:pPr>
        <w:pStyle w:val="notetext"/>
      </w:pPr>
      <w:r w:rsidRPr="0081146C">
        <w:t>Note:</w:t>
      </w:r>
      <w:r w:rsidRPr="0081146C">
        <w:tab/>
        <w:t xml:space="preserve">For </w:t>
      </w:r>
      <w:r w:rsidRPr="0081146C">
        <w:rPr>
          <w:b/>
          <w:i/>
        </w:rPr>
        <w:t>suspicious matter reporting obligation</w:t>
      </w:r>
      <w:r w:rsidRPr="0081146C">
        <w:t>, see section 41.</w:t>
      </w:r>
    </w:p>
    <w:p w14:paraId="0A735CD8" w14:textId="77777777" w:rsidR="00E60DA8" w:rsidRPr="0081146C" w:rsidRDefault="00CA78AA" w:rsidP="00AE2DA2">
      <w:pPr>
        <w:pStyle w:val="ActHead3"/>
        <w:pageBreakBefore/>
      </w:pPr>
      <w:bookmarkStart w:id="179" w:name="_Toc185415765"/>
      <w:r w:rsidRPr="0081146C">
        <w:rPr>
          <w:rStyle w:val="CharDivNo"/>
        </w:rPr>
        <w:t>Division 5</w:t>
      </w:r>
      <w:r w:rsidR="00E60DA8" w:rsidRPr="0081146C">
        <w:rPr>
          <w:rStyle w:val="CharDivNo"/>
        </w:rPr>
        <w:t>A</w:t>
      </w:r>
      <w:r w:rsidR="00E60DA8" w:rsidRPr="0081146C">
        <w:t>—</w:t>
      </w:r>
      <w:r w:rsidR="00E60DA8" w:rsidRPr="0081146C">
        <w:rPr>
          <w:rStyle w:val="CharDivText"/>
        </w:rPr>
        <w:t>Use and disclosure of personal information for the purposes of verifying an individual’s identity</w:t>
      </w:r>
      <w:bookmarkEnd w:id="179"/>
    </w:p>
    <w:p w14:paraId="06BD7F86" w14:textId="77777777" w:rsidR="00B939C5" w:rsidRPr="0081146C" w:rsidRDefault="00B939C5" w:rsidP="00B939C5">
      <w:pPr>
        <w:pStyle w:val="ActHead5"/>
      </w:pPr>
      <w:bookmarkStart w:id="180" w:name="_Toc185415766"/>
      <w:r w:rsidRPr="0081146C">
        <w:rPr>
          <w:rStyle w:val="CharSectno"/>
        </w:rPr>
        <w:t>35A</w:t>
      </w:r>
      <w:r w:rsidRPr="0081146C">
        <w:t xml:space="preserve">  Reporting entities may disclose certain personal information to credit reporting bodies for identity verification purposes</w:t>
      </w:r>
      <w:bookmarkEnd w:id="180"/>
    </w:p>
    <w:p w14:paraId="2ED1DBDF" w14:textId="77777777" w:rsidR="00E60DA8" w:rsidRPr="0081146C" w:rsidRDefault="00E60DA8" w:rsidP="00E60DA8">
      <w:pPr>
        <w:pStyle w:val="subsection"/>
      </w:pPr>
      <w:r w:rsidRPr="0081146C">
        <w:tab/>
        <w:t>(1)</w:t>
      </w:r>
      <w:r w:rsidRPr="0081146C">
        <w:tab/>
        <w:t>A reporting entity may, to assist in verifying the identity of an individual for the purposes of this Act, the regulations or the AML/CTF Rules:</w:t>
      </w:r>
    </w:p>
    <w:p w14:paraId="43ECC996" w14:textId="77777777" w:rsidR="00E60DA8" w:rsidRPr="0081146C" w:rsidRDefault="00E60DA8" w:rsidP="00E60DA8">
      <w:pPr>
        <w:pStyle w:val="paragraph"/>
      </w:pPr>
      <w:r w:rsidRPr="0081146C">
        <w:tab/>
        <w:t>(a)</w:t>
      </w:r>
      <w:r w:rsidRPr="0081146C">
        <w:tab/>
        <w:t xml:space="preserve">disclose any or all of the following personal information to a credit reporting </w:t>
      </w:r>
      <w:r w:rsidR="00B939C5" w:rsidRPr="0081146C">
        <w:t xml:space="preserve">body </w:t>
      </w:r>
      <w:r w:rsidRPr="0081146C">
        <w:t xml:space="preserve">for the purposes of making a request referred to in </w:t>
      </w:r>
      <w:r w:rsidR="004F64A4" w:rsidRPr="0081146C">
        <w:t>paragraph (</w:t>
      </w:r>
      <w:r w:rsidRPr="0081146C">
        <w:t>b):</w:t>
      </w:r>
    </w:p>
    <w:p w14:paraId="6DFE5595" w14:textId="77777777" w:rsidR="00E60DA8" w:rsidRPr="0081146C" w:rsidRDefault="00E60DA8" w:rsidP="00E60DA8">
      <w:pPr>
        <w:pStyle w:val="paragraphsub"/>
      </w:pPr>
      <w:r w:rsidRPr="0081146C">
        <w:tab/>
        <w:t>(i)</w:t>
      </w:r>
      <w:r w:rsidRPr="0081146C">
        <w:tab/>
        <w:t>the individual’s name;</w:t>
      </w:r>
    </w:p>
    <w:p w14:paraId="51262A04" w14:textId="77777777" w:rsidR="00E60DA8" w:rsidRPr="0081146C" w:rsidRDefault="00E60DA8" w:rsidP="00E60DA8">
      <w:pPr>
        <w:pStyle w:val="paragraphsub"/>
      </w:pPr>
      <w:r w:rsidRPr="0081146C">
        <w:tab/>
        <w:t>(ii)</w:t>
      </w:r>
      <w:r w:rsidRPr="0081146C">
        <w:tab/>
        <w:t>the individual’s residential address;</w:t>
      </w:r>
    </w:p>
    <w:p w14:paraId="4026C314" w14:textId="77777777" w:rsidR="00E60DA8" w:rsidRPr="0081146C" w:rsidRDefault="00E60DA8" w:rsidP="00E60DA8">
      <w:pPr>
        <w:pStyle w:val="paragraphsub"/>
      </w:pPr>
      <w:r w:rsidRPr="0081146C">
        <w:tab/>
        <w:t>(iii)</w:t>
      </w:r>
      <w:r w:rsidRPr="0081146C">
        <w:tab/>
        <w:t>the individual’s date of birth; and</w:t>
      </w:r>
    </w:p>
    <w:p w14:paraId="2A16B820" w14:textId="77777777" w:rsidR="00E60DA8" w:rsidRPr="0081146C" w:rsidRDefault="00E60DA8" w:rsidP="00E60DA8">
      <w:pPr>
        <w:pStyle w:val="paragraph"/>
      </w:pPr>
      <w:r w:rsidRPr="0081146C">
        <w:tab/>
        <w:t>(b)</w:t>
      </w:r>
      <w:r w:rsidRPr="0081146C">
        <w:tab/>
        <w:t xml:space="preserve">request the credit reporting </w:t>
      </w:r>
      <w:r w:rsidR="00B939C5" w:rsidRPr="0081146C">
        <w:t xml:space="preserve">body </w:t>
      </w:r>
      <w:r w:rsidRPr="0081146C">
        <w:t xml:space="preserve">to provide an assessment of whether the personal information so disclosed matches (in whole or part) personal information </w:t>
      </w:r>
      <w:r w:rsidR="00B939C5" w:rsidRPr="0081146C">
        <w:t>held by the credit reporting body</w:t>
      </w:r>
      <w:r w:rsidRPr="0081146C">
        <w:t>.</w:t>
      </w:r>
    </w:p>
    <w:p w14:paraId="44A25FA5" w14:textId="77777777" w:rsidR="00E60DA8" w:rsidRPr="0081146C" w:rsidRDefault="00E60DA8" w:rsidP="00E60DA8">
      <w:pPr>
        <w:pStyle w:val="subsection"/>
      </w:pPr>
      <w:r w:rsidRPr="0081146C">
        <w:tab/>
        <w:t>(2)</w:t>
      </w:r>
      <w:r w:rsidRPr="0081146C">
        <w:tab/>
        <w:t>A reporting entity must not make a verification request in relation to an individual unless, before making the request:</w:t>
      </w:r>
    </w:p>
    <w:p w14:paraId="243C0360" w14:textId="77777777" w:rsidR="00E60DA8" w:rsidRPr="0081146C" w:rsidRDefault="00606538" w:rsidP="00E60DA8">
      <w:pPr>
        <w:pStyle w:val="paragraph"/>
      </w:pPr>
      <w:r w:rsidRPr="0081146C">
        <w:tab/>
        <w:t>(a)</w:t>
      </w:r>
      <w:r w:rsidRPr="0081146C">
        <w:tab/>
      </w:r>
      <w:r w:rsidR="00E60DA8" w:rsidRPr="0081146C">
        <w:t>the individual was given information about:</w:t>
      </w:r>
    </w:p>
    <w:p w14:paraId="2D5A49D3" w14:textId="77777777" w:rsidR="00E60DA8" w:rsidRPr="0081146C" w:rsidRDefault="00E60DA8" w:rsidP="00E60DA8">
      <w:pPr>
        <w:pStyle w:val="paragraphsub"/>
      </w:pPr>
      <w:r w:rsidRPr="0081146C">
        <w:tab/>
        <w:t>(i)</w:t>
      </w:r>
      <w:r w:rsidRPr="0081146C">
        <w:tab/>
        <w:t>the reasons for making the request; and</w:t>
      </w:r>
    </w:p>
    <w:p w14:paraId="7BCEF638" w14:textId="77777777" w:rsidR="00E60DA8" w:rsidRPr="0081146C" w:rsidRDefault="00E60DA8" w:rsidP="00E60DA8">
      <w:pPr>
        <w:pStyle w:val="paragraphsub"/>
      </w:pPr>
      <w:r w:rsidRPr="0081146C">
        <w:tab/>
        <w:t>(ii)</w:t>
      </w:r>
      <w:r w:rsidRPr="0081146C">
        <w:tab/>
        <w:t xml:space="preserve">the personal information about the individual that may be disclosed to the credit reporting </w:t>
      </w:r>
      <w:r w:rsidR="00B939C5" w:rsidRPr="0081146C">
        <w:t>body</w:t>
      </w:r>
      <w:r w:rsidRPr="0081146C">
        <w:t>; and</w:t>
      </w:r>
    </w:p>
    <w:p w14:paraId="4DC8C8FD" w14:textId="77777777" w:rsidR="00E60DA8" w:rsidRPr="0081146C" w:rsidRDefault="00E60DA8" w:rsidP="00E60DA8">
      <w:pPr>
        <w:pStyle w:val="paragraphsub"/>
      </w:pPr>
      <w:r w:rsidRPr="0081146C">
        <w:tab/>
        <w:t>(iii)</w:t>
      </w:r>
      <w:r w:rsidRPr="0081146C">
        <w:tab/>
        <w:t xml:space="preserve">the fact that the reporting entity may request the credit reporting </w:t>
      </w:r>
      <w:r w:rsidR="00B939C5" w:rsidRPr="0081146C">
        <w:t>body</w:t>
      </w:r>
      <w:r w:rsidR="008440A7" w:rsidRPr="0081146C">
        <w:t xml:space="preserve"> </w:t>
      </w:r>
      <w:r w:rsidRPr="0081146C">
        <w:t xml:space="preserve">to provide an assessment of whether the personal information matches (in whole or part) personal information </w:t>
      </w:r>
      <w:r w:rsidR="00B939C5" w:rsidRPr="0081146C">
        <w:t>held by the credit reporting body</w:t>
      </w:r>
      <w:r w:rsidRPr="0081146C">
        <w:t>; and</w:t>
      </w:r>
    </w:p>
    <w:p w14:paraId="2AD37B7C" w14:textId="77777777" w:rsidR="00E60DA8" w:rsidRPr="0081146C" w:rsidRDefault="00E60DA8" w:rsidP="00E60DA8">
      <w:pPr>
        <w:pStyle w:val="paragraphsub"/>
      </w:pPr>
      <w:r w:rsidRPr="0081146C">
        <w:tab/>
        <w:t>(iv)</w:t>
      </w:r>
      <w:r w:rsidRPr="0081146C">
        <w:tab/>
        <w:t xml:space="preserve">the fact that the credit reporting </w:t>
      </w:r>
      <w:r w:rsidR="00B939C5" w:rsidRPr="0081146C">
        <w:t xml:space="preserve">body </w:t>
      </w:r>
      <w:r w:rsidRPr="0081146C">
        <w:t>may prepare and provide to the reporting entity such an assessment; and</w:t>
      </w:r>
    </w:p>
    <w:p w14:paraId="0E351B44" w14:textId="77777777" w:rsidR="00E60DA8" w:rsidRPr="0081146C" w:rsidRDefault="00E60DA8" w:rsidP="00E60DA8">
      <w:pPr>
        <w:pStyle w:val="paragraphsub"/>
      </w:pPr>
      <w:r w:rsidRPr="0081146C">
        <w:tab/>
        <w:t>(v)</w:t>
      </w:r>
      <w:r w:rsidRPr="0081146C">
        <w:tab/>
        <w:t xml:space="preserve">the fact that the credit reporting </w:t>
      </w:r>
      <w:r w:rsidR="00B939C5" w:rsidRPr="0081146C">
        <w:t xml:space="preserve">body </w:t>
      </w:r>
      <w:r w:rsidRPr="0081146C">
        <w:t xml:space="preserve">may use the personal information about the individual, and </w:t>
      </w:r>
      <w:r w:rsidR="00B939C5" w:rsidRPr="0081146C">
        <w:t>personal information held by the body that is the names, residential addresses and dates of birth of other individuals</w:t>
      </w:r>
      <w:r w:rsidRPr="0081146C">
        <w:t>, for the purpose of preparing such an assessment; and</w:t>
      </w:r>
    </w:p>
    <w:p w14:paraId="2663C3AA" w14:textId="77777777" w:rsidR="00E60DA8" w:rsidRPr="0081146C" w:rsidRDefault="00E60DA8" w:rsidP="00E60DA8">
      <w:pPr>
        <w:pStyle w:val="paragraph"/>
      </w:pPr>
      <w:r w:rsidRPr="0081146C">
        <w:tab/>
        <w:t>(b)</w:t>
      </w:r>
      <w:r w:rsidRPr="0081146C">
        <w:tab/>
        <w:t>the individual expressly agreed to the making of the request and the disclosure of the personal information; and</w:t>
      </w:r>
    </w:p>
    <w:p w14:paraId="5C5620EE" w14:textId="77777777" w:rsidR="00E60DA8" w:rsidRPr="0081146C" w:rsidRDefault="00E60DA8" w:rsidP="00E60DA8">
      <w:pPr>
        <w:pStyle w:val="paragraph"/>
      </w:pPr>
      <w:r w:rsidRPr="0081146C">
        <w:tab/>
        <w:t>(c)</w:t>
      </w:r>
      <w:r w:rsidRPr="0081146C">
        <w:tab/>
        <w:t>an alternative means of verifying the identity of the individual was made available to the individual.</w:t>
      </w:r>
    </w:p>
    <w:p w14:paraId="6F3A31EF" w14:textId="77777777" w:rsidR="00E60DA8" w:rsidRPr="0081146C" w:rsidRDefault="00E60DA8" w:rsidP="00E60DA8">
      <w:pPr>
        <w:pStyle w:val="subsection"/>
      </w:pPr>
      <w:r w:rsidRPr="0081146C">
        <w:tab/>
        <w:t>(3)</w:t>
      </w:r>
      <w:r w:rsidRPr="0081146C">
        <w:tab/>
        <w:t xml:space="preserve">A disclosure of personal information under </w:t>
      </w:r>
      <w:r w:rsidR="004F64A4" w:rsidRPr="0081146C">
        <w:t>paragraph (</w:t>
      </w:r>
      <w:r w:rsidRPr="0081146C">
        <w:t xml:space="preserve">1)(a) is taken to be authorised by </w:t>
      </w:r>
      <w:r w:rsidR="009816DF" w:rsidRPr="0081146C">
        <w:t>this Act for the purposes of paragraph</w:t>
      </w:r>
      <w:r w:rsidR="004F64A4" w:rsidRPr="0081146C">
        <w:t> </w:t>
      </w:r>
      <w:r w:rsidR="009816DF" w:rsidRPr="0081146C">
        <w:t>6.2(b) of Australian Privacy Principle</w:t>
      </w:r>
      <w:r w:rsidR="004F64A4" w:rsidRPr="0081146C">
        <w:t> </w:t>
      </w:r>
      <w:r w:rsidR="009816DF" w:rsidRPr="0081146C">
        <w:t>6</w:t>
      </w:r>
      <w:r w:rsidRPr="0081146C">
        <w:t>.</w:t>
      </w:r>
    </w:p>
    <w:p w14:paraId="269A981C" w14:textId="77777777" w:rsidR="00B939C5" w:rsidRPr="0081146C" w:rsidRDefault="00B939C5" w:rsidP="00B939C5">
      <w:pPr>
        <w:pStyle w:val="ActHead5"/>
      </w:pPr>
      <w:bookmarkStart w:id="181" w:name="_Toc185415767"/>
      <w:r w:rsidRPr="0081146C">
        <w:rPr>
          <w:rStyle w:val="CharSectno"/>
        </w:rPr>
        <w:t>35B</w:t>
      </w:r>
      <w:r w:rsidRPr="0081146C">
        <w:t xml:space="preserve">  Credit reporting bodies may use and disclose certain personal information for identity verification purposes</w:t>
      </w:r>
      <w:bookmarkEnd w:id="181"/>
    </w:p>
    <w:p w14:paraId="13CA2E6F" w14:textId="77777777" w:rsidR="00E60DA8" w:rsidRPr="0081146C" w:rsidRDefault="00E60DA8" w:rsidP="00E60DA8">
      <w:pPr>
        <w:pStyle w:val="subsection"/>
      </w:pPr>
      <w:r w:rsidRPr="0081146C">
        <w:tab/>
        <w:t>(1)</w:t>
      </w:r>
      <w:r w:rsidRPr="0081146C">
        <w:tab/>
        <w:t xml:space="preserve">A credit reporting </w:t>
      </w:r>
      <w:r w:rsidR="00B939C5" w:rsidRPr="0081146C">
        <w:t xml:space="preserve">body </w:t>
      </w:r>
      <w:r w:rsidRPr="0081146C">
        <w:t>that receives a verification request from a reporting entity in relation to an individual may:</w:t>
      </w:r>
    </w:p>
    <w:p w14:paraId="4E641E02" w14:textId="77777777" w:rsidR="00E60DA8" w:rsidRPr="0081146C" w:rsidRDefault="00E60DA8" w:rsidP="00E60DA8">
      <w:pPr>
        <w:pStyle w:val="paragraph"/>
      </w:pPr>
      <w:r w:rsidRPr="0081146C">
        <w:tab/>
        <w:t>(a)</w:t>
      </w:r>
      <w:r w:rsidRPr="0081146C">
        <w:tab/>
        <w:t xml:space="preserve">prepare and provide to the reporting entity an assessment in accordance with this section of whether any or all of the following personal information matches (in whole or part) personal information </w:t>
      </w:r>
      <w:r w:rsidR="00B939C5" w:rsidRPr="0081146C">
        <w:t>held by the credit reporting body</w:t>
      </w:r>
      <w:r w:rsidRPr="0081146C">
        <w:t>:</w:t>
      </w:r>
    </w:p>
    <w:p w14:paraId="71E009B7" w14:textId="77777777" w:rsidR="00E60DA8" w:rsidRPr="0081146C" w:rsidRDefault="00E60DA8" w:rsidP="00E60DA8">
      <w:pPr>
        <w:pStyle w:val="paragraphsub"/>
      </w:pPr>
      <w:r w:rsidRPr="0081146C">
        <w:tab/>
        <w:t>(i)</w:t>
      </w:r>
      <w:r w:rsidRPr="0081146C">
        <w:tab/>
        <w:t>the individual’s name;</w:t>
      </w:r>
    </w:p>
    <w:p w14:paraId="3AE1AD43" w14:textId="77777777" w:rsidR="00E60DA8" w:rsidRPr="0081146C" w:rsidRDefault="00E60DA8" w:rsidP="00E60DA8">
      <w:pPr>
        <w:pStyle w:val="paragraphsub"/>
      </w:pPr>
      <w:r w:rsidRPr="0081146C">
        <w:tab/>
        <w:t>(ii)</w:t>
      </w:r>
      <w:r w:rsidRPr="0081146C">
        <w:tab/>
        <w:t>the individual’s residential address;</w:t>
      </w:r>
    </w:p>
    <w:p w14:paraId="7EC0BFDF" w14:textId="77777777" w:rsidR="00E60DA8" w:rsidRPr="0081146C" w:rsidRDefault="00E60DA8" w:rsidP="00E60DA8">
      <w:pPr>
        <w:pStyle w:val="paragraphsub"/>
      </w:pPr>
      <w:r w:rsidRPr="0081146C">
        <w:tab/>
        <w:t>(iii)</w:t>
      </w:r>
      <w:r w:rsidRPr="0081146C">
        <w:tab/>
        <w:t>the individual’s date of birth; and</w:t>
      </w:r>
    </w:p>
    <w:p w14:paraId="438DDABA" w14:textId="77777777" w:rsidR="00E60DA8" w:rsidRPr="0081146C" w:rsidRDefault="00E60DA8" w:rsidP="00E60DA8">
      <w:pPr>
        <w:pStyle w:val="paragraph"/>
      </w:pPr>
      <w:r w:rsidRPr="0081146C">
        <w:tab/>
        <w:t>(b)</w:t>
      </w:r>
      <w:r w:rsidRPr="0081146C">
        <w:tab/>
        <w:t xml:space="preserve">use the personal information about the individual, and </w:t>
      </w:r>
      <w:r w:rsidR="00B939C5" w:rsidRPr="0081146C">
        <w:t>personal information held by the credit reporting body that is the names, residential addresses and dates of birth of other individuals</w:t>
      </w:r>
      <w:r w:rsidRPr="0081146C">
        <w:t>, for the purpose of preparing the assessment.</w:t>
      </w:r>
    </w:p>
    <w:p w14:paraId="340CF035" w14:textId="77777777" w:rsidR="00E60DA8" w:rsidRPr="0081146C" w:rsidRDefault="00E60DA8" w:rsidP="00E60DA8">
      <w:pPr>
        <w:pStyle w:val="subsection"/>
      </w:pPr>
      <w:r w:rsidRPr="0081146C">
        <w:tab/>
        <w:t>(2)</w:t>
      </w:r>
      <w:r w:rsidRPr="0081146C">
        <w:tab/>
        <w:t xml:space="preserve">An assessment provided under </w:t>
      </w:r>
      <w:r w:rsidR="004F64A4" w:rsidRPr="0081146C">
        <w:t>subsection (</w:t>
      </w:r>
      <w:r w:rsidRPr="0081146C">
        <w:t>1) to a reporting entity:</w:t>
      </w:r>
    </w:p>
    <w:p w14:paraId="6F67E489" w14:textId="77777777" w:rsidR="00E60DA8" w:rsidRPr="0081146C" w:rsidRDefault="00E60DA8" w:rsidP="00E60DA8">
      <w:pPr>
        <w:pStyle w:val="paragraph"/>
      </w:pPr>
      <w:r w:rsidRPr="0081146C">
        <w:tab/>
        <w:t>(a)</w:t>
      </w:r>
      <w:r w:rsidRPr="0081146C">
        <w:tab/>
        <w:t xml:space="preserve">must be an overall assessment of the extent of the match between the personal information disclosed by the reporting entity and personal information </w:t>
      </w:r>
      <w:r w:rsidR="00B939C5" w:rsidRPr="0081146C">
        <w:t>held by the credit reporting body</w:t>
      </w:r>
      <w:r w:rsidRPr="0081146C">
        <w:t>; and</w:t>
      </w:r>
    </w:p>
    <w:p w14:paraId="7FB76050" w14:textId="77777777" w:rsidR="00E60DA8" w:rsidRPr="0081146C" w:rsidRDefault="00E60DA8" w:rsidP="00E60DA8">
      <w:pPr>
        <w:pStyle w:val="paragraph"/>
      </w:pPr>
      <w:r w:rsidRPr="0081146C">
        <w:tab/>
        <w:t>(b)</w:t>
      </w:r>
      <w:r w:rsidRPr="0081146C">
        <w:tab/>
        <w:t>must not include separate assessments of the match between particular categories of that personal information.</w:t>
      </w:r>
    </w:p>
    <w:p w14:paraId="38F6E9B4" w14:textId="77777777" w:rsidR="00E60DA8" w:rsidRPr="0081146C" w:rsidRDefault="00E60DA8" w:rsidP="00E60DA8">
      <w:pPr>
        <w:pStyle w:val="subsection"/>
      </w:pPr>
      <w:r w:rsidRPr="0081146C">
        <w:tab/>
        <w:t>(3)</w:t>
      </w:r>
      <w:r w:rsidRPr="0081146C">
        <w:tab/>
        <w:t xml:space="preserve">To the extent that providing an assessment in relation to an individual involves a disclosure of personal information </w:t>
      </w:r>
      <w:r w:rsidR="00B939C5" w:rsidRPr="0081146C">
        <w:t>held by the credit reporting body</w:t>
      </w:r>
      <w:r w:rsidRPr="0081146C">
        <w:t xml:space="preserve"> to a person, body or agency other than the individual, the disclosure is taken to be authorised by </w:t>
      </w:r>
      <w:r w:rsidR="00B939C5" w:rsidRPr="0081146C">
        <w:t>this Act for the purposes of paragraph</w:t>
      </w:r>
      <w:r w:rsidR="004F64A4" w:rsidRPr="0081146C">
        <w:t> </w:t>
      </w:r>
      <w:r w:rsidR="00B939C5" w:rsidRPr="0081146C">
        <w:t>20E(3)(e)</w:t>
      </w:r>
      <w:r w:rsidRPr="0081146C">
        <w:t xml:space="preserve"> of the </w:t>
      </w:r>
      <w:r w:rsidRPr="0081146C">
        <w:rPr>
          <w:i/>
        </w:rPr>
        <w:t>Privacy Act 1988</w:t>
      </w:r>
      <w:r w:rsidRPr="0081146C">
        <w:t>.</w:t>
      </w:r>
    </w:p>
    <w:p w14:paraId="737075FB" w14:textId="77777777" w:rsidR="00E60DA8" w:rsidRPr="0081146C" w:rsidRDefault="00E60DA8" w:rsidP="00E60DA8">
      <w:pPr>
        <w:pStyle w:val="ActHead5"/>
      </w:pPr>
      <w:bookmarkStart w:id="182" w:name="_Toc185415768"/>
      <w:r w:rsidRPr="0081146C">
        <w:rPr>
          <w:rStyle w:val="CharSectno"/>
        </w:rPr>
        <w:t>35C</w:t>
      </w:r>
      <w:r w:rsidRPr="0081146C">
        <w:t xml:space="preserve">  Reporting entities to notify inability to verify identity</w:t>
      </w:r>
      <w:bookmarkEnd w:id="182"/>
    </w:p>
    <w:p w14:paraId="3C6B04FC" w14:textId="77777777" w:rsidR="00E60DA8" w:rsidRPr="0081146C" w:rsidRDefault="00E60DA8" w:rsidP="00E60DA8">
      <w:pPr>
        <w:pStyle w:val="subsection"/>
      </w:pPr>
      <w:r w:rsidRPr="0081146C">
        <w:tab/>
        <w:t>(1)</w:t>
      </w:r>
      <w:r w:rsidRPr="0081146C">
        <w:tab/>
        <w:t>This section applies if:</w:t>
      </w:r>
    </w:p>
    <w:p w14:paraId="70AB197A" w14:textId="77777777" w:rsidR="00E60DA8" w:rsidRPr="0081146C" w:rsidRDefault="00E60DA8" w:rsidP="00E60DA8">
      <w:pPr>
        <w:pStyle w:val="paragraph"/>
      </w:pPr>
      <w:r w:rsidRPr="0081146C">
        <w:tab/>
        <w:t>(a)</w:t>
      </w:r>
      <w:r w:rsidRPr="0081146C">
        <w:tab/>
        <w:t>a reporting entity makes a verification request in relation to an individual; and</w:t>
      </w:r>
    </w:p>
    <w:p w14:paraId="6EFD46AB" w14:textId="77777777" w:rsidR="00E60DA8" w:rsidRPr="0081146C" w:rsidRDefault="00E60DA8" w:rsidP="00E60DA8">
      <w:pPr>
        <w:pStyle w:val="paragraph"/>
      </w:pPr>
      <w:r w:rsidRPr="0081146C">
        <w:tab/>
        <w:t>(b)</w:t>
      </w:r>
      <w:r w:rsidRPr="0081146C">
        <w:tab/>
        <w:t>an assessment is provided in relation to the individual; and</w:t>
      </w:r>
    </w:p>
    <w:p w14:paraId="058CF6F3" w14:textId="77777777" w:rsidR="00E60DA8" w:rsidRPr="0081146C" w:rsidRDefault="00E60DA8" w:rsidP="00E60DA8">
      <w:pPr>
        <w:pStyle w:val="paragraph"/>
      </w:pPr>
      <w:r w:rsidRPr="0081146C">
        <w:tab/>
        <w:t>(c)</w:t>
      </w:r>
      <w:r w:rsidRPr="0081146C">
        <w:tab/>
        <w:t>the reporting entity is unable to verify the identity of the individual, having regard to the assessment.</w:t>
      </w:r>
    </w:p>
    <w:p w14:paraId="0BEA8041" w14:textId="77777777" w:rsidR="00E60DA8" w:rsidRPr="0081146C" w:rsidRDefault="00E60DA8" w:rsidP="00E60DA8">
      <w:pPr>
        <w:pStyle w:val="subsection"/>
      </w:pPr>
      <w:r w:rsidRPr="0081146C">
        <w:tab/>
        <w:t>(2)</w:t>
      </w:r>
      <w:r w:rsidRPr="0081146C">
        <w:tab/>
        <w:t>The reporting entity must give a written notice to the individual:</w:t>
      </w:r>
    </w:p>
    <w:p w14:paraId="3E46E507" w14:textId="77777777" w:rsidR="00E60DA8" w:rsidRPr="0081146C" w:rsidRDefault="00E60DA8" w:rsidP="00E60DA8">
      <w:pPr>
        <w:pStyle w:val="paragraph"/>
      </w:pPr>
      <w:r w:rsidRPr="0081146C">
        <w:tab/>
        <w:t>(a)</w:t>
      </w:r>
      <w:r w:rsidRPr="0081146C">
        <w:tab/>
        <w:t>stating that the reporting entity is unable to verify the identity of the individual having regard to the assessment; and</w:t>
      </w:r>
    </w:p>
    <w:p w14:paraId="40CD05D9" w14:textId="77777777" w:rsidR="00E60DA8" w:rsidRPr="0081146C" w:rsidRDefault="00E60DA8" w:rsidP="00E60DA8">
      <w:pPr>
        <w:pStyle w:val="paragraph"/>
      </w:pPr>
      <w:r w:rsidRPr="0081146C">
        <w:tab/>
        <w:t>(b)</w:t>
      </w:r>
      <w:r w:rsidRPr="0081146C">
        <w:tab/>
        <w:t xml:space="preserve">specifying the name of the credit reporting </w:t>
      </w:r>
      <w:r w:rsidR="00B939C5" w:rsidRPr="0081146C">
        <w:t xml:space="preserve">body </w:t>
      </w:r>
      <w:r w:rsidRPr="0081146C">
        <w:t>that provided the assessment; and</w:t>
      </w:r>
    </w:p>
    <w:p w14:paraId="14663A8A" w14:textId="77777777" w:rsidR="00E60DA8" w:rsidRPr="0081146C" w:rsidRDefault="00E60DA8" w:rsidP="00E60DA8">
      <w:pPr>
        <w:pStyle w:val="paragraph"/>
      </w:pPr>
      <w:r w:rsidRPr="0081146C">
        <w:tab/>
        <w:t>(c)</w:t>
      </w:r>
      <w:r w:rsidRPr="0081146C">
        <w:tab/>
        <w:t>offering the individual an alternative means of verifying the identity of the individual.</w:t>
      </w:r>
    </w:p>
    <w:p w14:paraId="30E07868" w14:textId="77777777" w:rsidR="00B939C5" w:rsidRPr="0081146C" w:rsidRDefault="00B939C5" w:rsidP="00B939C5">
      <w:pPr>
        <w:pStyle w:val="ActHead5"/>
      </w:pPr>
      <w:bookmarkStart w:id="183" w:name="_Toc185415769"/>
      <w:r w:rsidRPr="0081146C">
        <w:rPr>
          <w:rStyle w:val="CharSectno"/>
        </w:rPr>
        <w:t>35D</w:t>
      </w:r>
      <w:r w:rsidRPr="0081146C">
        <w:t xml:space="preserve">  Verification information not to be collected or held by a credit reporting body</w:t>
      </w:r>
      <w:bookmarkEnd w:id="183"/>
    </w:p>
    <w:p w14:paraId="2E77F111" w14:textId="77777777" w:rsidR="00B939C5" w:rsidRPr="0081146C" w:rsidRDefault="00B939C5" w:rsidP="00B939C5">
      <w:pPr>
        <w:pStyle w:val="subsection"/>
      </w:pPr>
      <w:r w:rsidRPr="0081146C">
        <w:tab/>
      </w:r>
      <w:r w:rsidRPr="0081146C">
        <w:tab/>
        <w:t>Subject to section</w:t>
      </w:r>
      <w:r w:rsidR="004F64A4" w:rsidRPr="0081146C">
        <w:t> </w:t>
      </w:r>
      <w:r w:rsidRPr="0081146C">
        <w:t>35E, a credit reporting body must not collect or hold personal information about an individual that relates to a verification request or an assessment in relation to the individual.</w:t>
      </w:r>
    </w:p>
    <w:p w14:paraId="4A67F75C" w14:textId="77777777" w:rsidR="00B939C5" w:rsidRPr="0081146C" w:rsidRDefault="00B939C5" w:rsidP="00B939C5">
      <w:pPr>
        <w:pStyle w:val="ActHead5"/>
      </w:pPr>
      <w:bookmarkStart w:id="184" w:name="_Toc185415770"/>
      <w:r w:rsidRPr="0081146C">
        <w:rPr>
          <w:rStyle w:val="CharSectno"/>
        </w:rPr>
        <w:t>35E</w:t>
      </w:r>
      <w:r w:rsidRPr="0081146C">
        <w:t xml:space="preserve">  Retention of verification information—credit reporting bodies</w:t>
      </w:r>
      <w:bookmarkEnd w:id="184"/>
    </w:p>
    <w:p w14:paraId="11896AA1" w14:textId="77777777" w:rsidR="00E60DA8" w:rsidRPr="0081146C" w:rsidRDefault="00E60DA8" w:rsidP="00E60DA8">
      <w:pPr>
        <w:pStyle w:val="subsection"/>
      </w:pPr>
      <w:r w:rsidRPr="0081146C">
        <w:tab/>
        <w:t>(1)</w:t>
      </w:r>
      <w:r w:rsidRPr="0081146C">
        <w:tab/>
        <w:t xml:space="preserve">A credit reporting </w:t>
      </w:r>
      <w:r w:rsidR="00B939C5" w:rsidRPr="0081146C">
        <w:t>body</w:t>
      </w:r>
      <w:r w:rsidRPr="0081146C">
        <w:t xml:space="preserve"> that receives a verification request in relation to an individual must retain the following information for 7 years after the request was received:</w:t>
      </w:r>
    </w:p>
    <w:p w14:paraId="5FCC4CAC" w14:textId="77777777" w:rsidR="00E60DA8" w:rsidRPr="0081146C" w:rsidRDefault="00E60DA8" w:rsidP="00E60DA8">
      <w:pPr>
        <w:pStyle w:val="paragraph"/>
      </w:pPr>
      <w:r w:rsidRPr="0081146C">
        <w:tab/>
        <w:t>(a)</w:t>
      </w:r>
      <w:r w:rsidRPr="0081146C">
        <w:tab/>
        <w:t>the name of the reporting entity that made the request;</w:t>
      </w:r>
    </w:p>
    <w:p w14:paraId="3BA64670" w14:textId="77777777" w:rsidR="00E60DA8" w:rsidRPr="0081146C" w:rsidRDefault="00E60DA8" w:rsidP="00E60DA8">
      <w:pPr>
        <w:pStyle w:val="paragraph"/>
      </w:pPr>
      <w:r w:rsidRPr="0081146C">
        <w:tab/>
        <w:t>(b)</w:t>
      </w:r>
      <w:r w:rsidRPr="0081146C">
        <w:tab/>
        <w:t>the date on which the request was made;</w:t>
      </w:r>
    </w:p>
    <w:p w14:paraId="74E91C5D" w14:textId="77777777" w:rsidR="00E60DA8" w:rsidRPr="0081146C" w:rsidRDefault="00E60DA8" w:rsidP="00E60DA8">
      <w:pPr>
        <w:pStyle w:val="paragraph"/>
      </w:pPr>
      <w:r w:rsidRPr="0081146C">
        <w:tab/>
        <w:t>(c)</w:t>
      </w:r>
      <w:r w:rsidRPr="0081146C">
        <w:tab/>
        <w:t xml:space="preserve">the personal information about the individual that was provided by the reporting entity to the credit reporting </w:t>
      </w:r>
      <w:r w:rsidR="00B939C5" w:rsidRPr="0081146C">
        <w:t>body</w:t>
      </w:r>
      <w:r w:rsidRPr="0081146C">
        <w:t>;</w:t>
      </w:r>
    </w:p>
    <w:p w14:paraId="2DF20848" w14:textId="77777777" w:rsidR="00E60DA8" w:rsidRPr="0081146C" w:rsidRDefault="00E60DA8" w:rsidP="00E60DA8">
      <w:pPr>
        <w:pStyle w:val="paragraph"/>
      </w:pPr>
      <w:r w:rsidRPr="0081146C">
        <w:tab/>
        <w:t>(d)</w:t>
      </w:r>
      <w:r w:rsidRPr="0081146C">
        <w:tab/>
        <w:t xml:space="preserve">the date on which the credit reporting </w:t>
      </w:r>
      <w:r w:rsidR="00B939C5" w:rsidRPr="0081146C">
        <w:t>body</w:t>
      </w:r>
      <w:r w:rsidRPr="0081146C">
        <w:t xml:space="preserve"> provided an assessment (if any) in relation to the individual;</w:t>
      </w:r>
    </w:p>
    <w:p w14:paraId="39348C98" w14:textId="77777777" w:rsidR="00E60DA8" w:rsidRPr="0081146C" w:rsidRDefault="00E60DA8" w:rsidP="00E60DA8">
      <w:pPr>
        <w:pStyle w:val="paragraph"/>
      </w:pPr>
      <w:r w:rsidRPr="0081146C">
        <w:tab/>
        <w:t>(e)</w:t>
      </w:r>
      <w:r w:rsidRPr="0081146C">
        <w:tab/>
        <w:t>such other information about the verification request as is specified in the AML/CTF Rules.</w:t>
      </w:r>
    </w:p>
    <w:p w14:paraId="30028646" w14:textId="77777777" w:rsidR="00E60DA8" w:rsidRPr="0081146C" w:rsidRDefault="00E60DA8" w:rsidP="00E60DA8">
      <w:pPr>
        <w:pStyle w:val="subsection"/>
      </w:pPr>
      <w:r w:rsidRPr="0081146C">
        <w:tab/>
        <w:t>(2)</w:t>
      </w:r>
      <w:r w:rsidRPr="0081146C">
        <w:tab/>
        <w:t xml:space="preserve">A credit reporting </w:t>
      </w:r>
      <w:r w:rsidR="00B939C5" w:rsidRPr="0081146C">
        <w:t>body</w:t>
      </w:r>
      <w:r w:rsidRPr="0081146C">
        <w:t xml:space="preserve"> that retains information under </w:t>
      </w:r>
      <w:r w:rsidR="004F64A4" w:rsidRPr="0081146C">
        <w:t>subsection (</w:t>
      </w:r>
      <w:r w:rsidRPr="0081146C">
        <w:t>1) must delete the information at the end of the 7 year period referred to in that subsection.</w:t>
      </w:r>
    </w:p>
    <w:p w14:paraId="6BE60A36" w14:textId="77777777" w:rsidR="00E60DA8" w:rsidRPr="0081146C" w:rsidRDefault="00E60DA8" w:rsidP="00E60DA8">
      <w:pPr>
        <w:pStyle w:val="SubsectionHead"/>
      </w:pPr>
      <w:r w:rsidRPr="0081146C">
        <w:t>Civil penalty</w:t>
      </w:r>
    </w:p>
    <w:p w14:paraId="7322B133" w14:textId="77777777" w:rsidR="00E60DA8" w:rsidRPr="0081146C" w:rsidRDefault="00E60DA8" w:rsidP="00E60DA8">
      <w:pPr>
        <w:pStyle w:val="subsection"/>
      </w:pPr>
      <w:r w:rsidRPr="0081146C">
        <w:tab/>
        <w:t>(3)</w:t>
      </w:r>
      <w:r w:rsidRPr="0081146C">
        <w:tab/>
      </w:r>
      <w:r w:rsidR="004F64A4" w:rsidRPr="0081146C">
        <w:t>Subsections (</w:t>
      </w:r>
      <w:r w:rsidRPr="0081146C">
        <w:t>1) and (2) are civil penalty provisions.</w:t>
      </w:r>
    </w:p>
    <w:p w14:paraId="14F4EDD6" w14:textId="77777777" w:rsidR="00E60DA8" w:rsidRPr="0081146C" w:rsidRDefault="00E60DA8" w:rsidP="00E60DA8">
      <w:pPr>
        <w:pStyle w:val="ActHead5"/>
      </w:pPr>
      <w:bookmarkStart w:id="185" w:name="_Toc185415771"/>
      <w:r w:rsidRPr="0081146C">
        <w:rPr>
          <w:rStyle w:val="CharSectno"/>
        </w:rPr>
        <w:t>35F</w:t>
      </w:r>
      <w:r w:rsidRPr="0081146C">
        <w:t xml:space="preserve">  Retention of verification information—reporting entities</w:t>
      </w:r>
      <w:bookmarkEnd w:id="185"/>
    </w:p>
    <w:p w14:paraId="1354EB69" w14:textId="77777777" w:rsidR="00E60DA8" w:rsidRPr="0081146C" w:rsidRDefault="00E60DA8" w:rsidP="00E60DA8">
      <w:pPr>
        <w:pStyle w:val="subsection"/>
        <w:rPr>
          <w:sz w:val="32"/>
        </w:rPr>
      </w:pPr>
      <w:r w:rsidRPr="0081146C">
        <w:tab/>
        <w:t>(1)</w:t>
      </w:r>
      <w:r w:rsidRPr="0081146C">
        <w:tab/>
        <w:t>A reporting entity that makes a verification request in relation to an individual must make a record of the following;</w:t>
      </w:r>
    </w:p>
    <w:p w14:paraId="3BD7C541" w14:textId="77777777" w:rsidR="00E60DA8" w:rsidRPr="0081146C" w:rsidRDefault="00E60DA8" w:rsidP="00E60DA8">
      <w:pPr>
        <w:pStyle w:val="paragraph"/>
      </w:pPr>
      <w:r w:rsidRPr="0081146C">
        <w:tab/>
        <w:t>(a)</w:t>
      </w:r>
      <w:r w:rsidRPr="0081146C">
        <w:tab/>
        <w:t xml:space="preserve">the name of the credit reporting </w:t>
      </w:r>
      <w:r w:rsidR="00B939C5" w:rsidRPr="0081146C">
        <w:t>body</w:t>
      </w:r>
      <w:r w:rsidRPr="0081146C">
        <w:t xml:space="preserve"> to which the request was made;</w:t>
      </w:r>
    </w:p>
    <w:p w14:paraId="5FB72B99" w14:textId="77777777" w:rsidR="00E60DA8" w:rsidRPr="0081146C" w:rsidRDefault="00E60DA8" w:rsidP="00E60DA8">
      <w:pPr>
        <w:pStyle w:val="paragraph"/>
      </w:pPr>
      <w:r w:rsidRPr="0081146C">
        <w:tab/>
        <w:t>(b)</w:t>
      </w:r>
      <w:r w:rsidRPr="0081146C">
        <w:tab/>
        <w:t xml:space="preserve">the personal information about the individual that was provided by the reporting entity to the credit reporting </w:t>
      </w:r>
      <w:r w:rsidR="00B939C5" w:rsidRPr="0081146C">
        <w:t>body</w:t>
      </w:r>
      <w:r w:rsidRPr="0081146C">
        <w:t>;</w:t>
      </w:r>
    </w:p>
    <w:p w14:paraId="11107662" w14:textId="77777777" w:rsidR="00E60DA8" w:rsidRPr="0081146C" w:rsidRDefault="00E60DA8" w:rsidP="00E60DA8">
      <w:pPr>
        <w:pStyle w:val="paragraph"/>
      </w:pPr>
      <w:r w:rsidRPr="0081146C">
        <w:tab/>
        <w:t>(c)</w:t>
      </w:r>
      <w:r w:rsidRPr="0081146C">
        <w:tab/>
        <w:t xml:space="preserve">the assessment (if any) provided by the credit reporting </w:t>
      </w:r>
      <w:r w:rsidR="00B939C5" w:rsidRPr="0081146C">
        <w:t>body</w:t>
      </w:r>
      <w:r w:rsidRPr="0081146C">
        <w:t xml:space="preserve"> in relation to the individual;</w:t>
      </w:r>
    </w:p>
    <w:p w14:paraId="3F9A535C" w14:textId="77777777" w:rsidR="00E60DA8" w:rsidRPr="0081146C" w:rsidRDefault="00E60DA8" w:rsidP="00E60DA8">
      <w:pPr>
        <w:pStyle w:val="paragraph"/>
      </w:pPr>
      <w:r w:rsidRPr="0081146C">
        <w:tab/>
        <w:t>(d)</w:t>
      </w:r>
      <w:r w:rsidRPr="0081146C">
        <w:tab/>
        <w:t>such other information about the verification request as is specified in the AML/CTF Rules.</w:t>
      </w:r>
    </w:p>
    <w:p w14:paraId="1E7CCE62" w14:textId="77777777" w:rsidR="00E60DA8" w:rsidRPr="0081146C" w:rsidRDefault="00E60DA8" w:rsidP="00E60DA8">
      <w:pPr>
        <w:pStyle w:val="subsection"/>
      </w:pPr>
      <w:r w:rsidRPr="0081146C">
        <w:tab/>
        <w:t>(2)</w:t>
      </w:r>
      <w:r w:rsidRPr="0081146C">
        <w:tab/>
        <w:t>The reporting entity must retain the record, or a copy of the record, until the end of the first 7 year period:</w:t>
      </w:r>
    </w:p>
    <w:p w14:paraId="350656E6" w14:textId="77777777" w:rsidR="00E60DA8" w:rsidRPr="0081146C" w:rsidRDefault="00E60DA8" w:rsidP="00E60DA8">
      <w:pPr>
        <w:pStyle w:val="paragraph"/>
      </w:pPr>
      <w:r w:rsidRPr="0081146C">
        <w:tab/>
        <w:t>(a)</w:t>
      </w:r>
      <w:r w:rsidRPr="0081146C">
        <w:tab/>
        <w:t>that began at a time after the verification request was made; and</w:t>
      </w:r>
    </w:p>
    <w:p w14:paraId="4F409277" w14:textId="77777777" w:rsidR="00E60DA8" w:rsidRPr="0081146C" w:rsidRDefault="00E60DA8" w:rsidP="00E60DA8">
      <w:pPr>
        <w:pStyle w:val="paragraph"/>
      </w:pPr>
      <w:r w:rsidRPr="0081146C">
        <w:tab/>
        <w:t>(b)</w:t>
      </w:r>
      <w:r w:rsidRPr="0081146C">
        <w:tab/>
        <w:t>throughout the whole of which the reporting entity did not provide any designated services to the individual.</w:t>
      </w:r>
    </w:p>
    <w:p w14:paraId="7B3FC20F" w14:textId="77777777" w:rsidR="00E60DA8" w:rsidRPr="0081146C" w:rsidRDefault="00E60DA8" w:rsidP="00E60DA8">
      <w:pPr>
        <w:pStyle w:val="subsection"/>
      </w:pPr>
      <w:r w:rsidRPr="0081146C">
        <w:tab/>
        <w:t>(3)</w:t>
      </w:r>
      <w:r w:rsidRPr="0081146C">
        <w:tab/>
        <w:t xml:space="preserve">A reporting entity that retains a record, or a copy of a record, under </w:t>
      </w:r>
      <w:r w:rsidR="004F64A4" w:rsidRPr="0081146C">
        <w:t>subsection (</w:t>
      </w:r>
      <w:r w:rsidRPr="0081146C">
        <w:t>2) must delete the record at the end of the 7 year period referred to in that subsection.</w:t>
      </w:r>
    </w:p>
    <w:p w14:paraId="5804A9B1" w14:textId="77777777" w:rsidR="00E60DA8" w:rsidRPr="0081146C" w:rsidRDefault="00E60DA8" w:rsidP="00E60DA8">
      <w:pPr>
        <w:pStyle w:val="SubsectionHead"/>
      </w:pPr>
      <w:r w:rsidRPr="0081146C">
        <w:t>Civil penalty</w:t>
      </w:r>
    </w:p>
    <w:p w14:paraId="45EEC909" w14:textId="77777777" w:rsidR="00E60DA8" w:rsidRPr="0081146C" w:rsidRDefault="00E60DA8" w:rsidP="00E60DA8">
      <w:pPr>
        <w:pStyle w:val="subsection"/>
      </w:pPr>
      <w:r w:rsidRPr="0081146C">
        <w:tab/>
        <w:t>(4)</w:t>
      </w:r>
      <w:r w:rsidRPr="0081146C">
        <w:tab/>
      </w:r>
      <w:r w:rsidR="004F64A4" w:rsidRPr="0081146C">
        <w:t>Subsections (</w:t>
      </w:r>
      <w:r w:rsidRPr="0081146C">
        <w:t>1), (2) and (3) are civil penalty provisions.</w:t>
      </w:r>
    </w:p>
    <w:p w14:paraId="1F88E0FF" w14:textId="77777777" w:rsidR="00E60DA8" w:rsidRPr="0081146C" w:rsidRDefault="00E60DA8" w:rsidP="00E60DA8">
      <w:pPr>
        <w:pStyle w:val="ActHead5"/>
      </w:pPr>
      <w:bookmarkStart w:id="186" w:name="_Toc185415772"/>
      <w:r w:rsidRPr="0081146C">
        <w:rPr>
          <w:rStyle w:val="CharSectno"/>
        </w:rPr>
        <w:t>35G</w:t>
      </w:r>
      <w:r w:rsidRPr="0081146C">
        <w:t xml:space="preserve">  Access to verification information</w:t>
      </w:r>
      <w:bookmarkEnd w:id="186"/>
    </w:p>
    <w:p w14:paraId="612C6CBA" w14:textId="77777777" w:rsidR="00E60DA8" w:rsidRPr="0081146C" w:rsidRDefault="00E60DA8" w:rsidP="00E60DA8">
      <w:pPr>
        <w:pStyle w:val="subsection"/>
      </w:pPr>
      <w:r w:rsidRPr="0081146C">
        <w:tab/>
      </w:r>
      <w:r w:rsidRPr="0081146C">
        <w:tab/>
        <w:t xml:space="preserve">A credit reporting </w:t>
      </w:r>
      <w:r w:rsidR="00B939C5" w:rsidRPr="0081146C">
        <w:t>body</w:t>
      </w:r>
      <w:r w:rsidRPr="0081146C">
        <w:t xml:space="preserve"> or a reporting entity in possession or control of personal information, or other information of a kind referred to in subsection</w:t>
      </w:r>
      <w:r w:rsidR="004F64A4" w:rsidRPr="0081146C">
        <w:t> </w:t>
      </w:r>
      <w:r w:rsidRPr="0081146C">
        <w:t>35E(1), that relates to a verification request or an assessment in relation to an individual must take reasonable steps to ensure that the individual can obtain access to the information.</w:t>
      </w:r>
    </w:p>
    <w:p w14:paraId="00541076" w14:textId="77777777" w:rsidR="00E60DA8" w:rsidRPr="0081146C" w:rsidRDefault="00E60DA8" w:rsidP="00E60DA8">
      <w:pPr>
        <w:pStyle w:val="ActHead5"/>
      </w:pPr>
      <w:bookmarkStart w:id="187" w:name="_Toc185415773"/>
      <w:r w:rsidRPr="0081146C">
        <w:rPr>
          <w:rStyle w:val="CharSectno"/>
        </w:rPr>
        <w:t>35H</w:t>
      </w:r>
      <w:r w:rsidRPr="0081146C">
        <w:t xml:space="preserve">  Unauthorised access to verification information—offence</w:t>
      </w:r>
      <w:bookmarkEnd w:id="187"/>
    </w:p>
    <w:p w14:paraId="34084021" w14:textId="77777777" w:rsidR="00E60DA8" w:rsidRPr="0081146C" w:rsidRDefault="00E60DA8" w:rsidP="00E60DA8">
      <w:pPr>
        <w:pStyle w:val="subsection"/>
      </w:pPr>
      <w:r w:rsidRPr="0081146C">
        <w:tab/>
        <w:t>(1)</w:t>
      </w:r>
      <w:r w:rsidRPr="0081146C">
        <w:tab/>
        <w:t>A person commits an offence if:</w:t>
      </w:r>
    </w:p>
    <w:p w14:paraId="3B9113D9" w14:textId="77777777" w:rsidR="00E60DA8" w:rsidRPr="0081146C" w:rsidRDefault="00E60DA8" w:rsidP="00E60DA8">
      <w:pPr>
        <w:pStyle w:val="paragraph"/>
      </w:pPr>
      <w:r w:rsidRPr="0081146C">
        <w:tab/>
        <w:t>(a)</w:t>
      </w:r>
      <w:r w:rsidRPr="0081146C">
        <w:tab/>
        <w:t>the person obtains access to information; and</w:t>
      </w:r>
    </w:p>
    <w:p w14:paraId="47B3363C" w14:textId="77777777" w:rsidR="00E60DA8" w:rsidRPr="0081146C" w:rsidRDefault="00E60DA8" w:rsidP="00E60DA8">
      <w:pPr>
        <w:pStyle w:val="paragraph"/>
      </w:pPr>
      <w:r w:rsidRPr="0081146C">
        <w:tab/>
        <w:t>(b)</w:t>
      </w:r>
      <w:r w:rsidRPr="0081146C">
        <w:tab/>
        <w:t>the information is personal information that relates to a verification request or an assessment in relation to an individual.</w:t>
      </w:r>
    </w:p>
    <w:p w14:paraId="413483CC" w14:textId="77777777" w:rsidR="00E60DA8" w:rsidRPr="0081146C" w:rsidRDefault="00E60DA8" w:rsidP="00E60DA8">
      <w:pPr>
        <w:pStyle w:val="Penalty"/>
      </w:pPr>
      <w:r w:rsidRPr="0081146C">
        <w:t>Penalty:</w:t>
      </w:r>
      <w:r w:rsidRPr="0081146C">
        <w:tab/>
        <w:t>300 penalty units.</w:t>
      </w:r>
    </w:p>
    <w:p w14:paraId="16B10772" w14:textId="77777777" w:rsidR="00E60DA8" w:rsidRPr="0081146C" w:rsidRDefault="00E60DA8" w:rsidP="00E60DA8">
      <w:pPr>
        <w:pStyle w:val="subsection"/>
      </w:pPr>
      <w:r w:rsidRPr="0081146C">
        <w:tab/>
        <w:t>(2)</w:t>
      </w:r>
      <w:r w:rsidRPr="0081146C">
        <w:tab/>
      </w:r>
      <w:r w:rsidR="004F64A4" w:rsidRPr="0081146C">
        <w:t>Subsection (</w:t>
      </w:r>
      <w:r w:rsidRPr="0081146C">
        <w:t>1) does not apply if the access is obtained in accordance with, or as otherwise authorised by, this Act or any other law.</w:t>
      </w:r>
    </w:p>
    <w:p w14:paraId="20776E31" w14:textId="77777777" w:rsidR="00E60DA8" w:rsidRPr="0081146C" w:rsidRDefault="00E60DA8" w:rsidP="00E60DA8">
      <w:pPr>
        <w:pStyle w:val="notetext"/>
      </w:pPr>
      <w:r w:rsidRPr="0081146C">
        <w:t>Note:</w:t>
      </w:r>
      <w:r w:rsidRPr="0081146C">
        <w:tab/>
        <w:t xml:space="preserve">A defendant bears an evidential burden in relation to the matter in </w:t>
      </w:r>
      <w:r w:rsidR="004F64A4" w:rsidRPr="0081146C">
        <w:t>subsection (</w:t>
      </w:r>
      <w:r w:rsidRPr="0081146C">
        <w:t>2) (see sub</w:t>
      </w:r>
      <w:r w:rsidR="003B7E15" w:rsidRPr="0081146C">
        <w:t>section 1</w:t>
      </w:r>
      <w:r w:rsidRPr="0081146C">
        <w:t xml:space="preserve">3.3(3) of the </w:t>
      </w:r>
      <w:r w:rsidRPr="0081146C">
        <w:rPr>
          <w:i/>
        </w:rPr>
        <w:t>Criminal Code</w:t>
      </w:r>
      <w:r w:rsidRPr="0081146C">
        <w:t>).</w:t>
      </w:r>
    </w:p>
    <w:p w14:paraId="20CB161C" w14:textId="77777777" w:rsidR="00E60DA8" w:rsidRPr="0081146C" w:rsidRDefault="00E60DA8" w:rsidP="00E60DA8">
      <w:pPr>
        <w:pStyle w:val="ActHead5"/>
      </w:pPr>
      <w:bookmarkStart w:id="188" w:name="_Toc185415774"/>
      <w:r w:rsidRPr="0081146C">
        <w:rPr>
          <w:rStyle w:val="CharSectno"/>
        </w:rPr>
        <w:t>35J</w:t>
      </w:r>
      <w:r w:rsidRPr="0081146C">
        <w:t xml:space="preserve">  Obtaining access to verification information by false pretences—offence</w:t>
      </w:r>
      <w:bookmarkEnd w:id="188"/>
    </w:p>
    <w:p w14:paraId="2A1BEE84" w14:textId="77777777" w:rsidR="00E60DA8" w:rsidRPr="0081146C" w:rsidRDefault="00E60DA8" w:rsidP="00E60DA8">
      <w:pPr>
        <w:pStyle w:val="subsection"/>
      </w:pPr>
      <w:r w:rsidRPr="0081146C">
        <w:tab/>
      </w:r>
      <w:r w:rsidRPr="0081146C">
        <w:tab/>
        <w:t>A person commits an offence if:</w:t>
      </w:r>
    </w:p>
    <w:p w14:paraId="0C99F63A" w14:textId="77777777" w:rsidR="00E60DA8" w:rsidRPr="0081146C" w:rsidRDefault="00E60DA8" w:rsidP="00E60DA8">
      <w:pPr>
        <w:pStyle w:val="paragraph"/>
      </w:pPr>
      <w:r w:rsidRPr="0081146C">
        <w:tab/>
        <w:t>(a)</w:t>
      </w:r>
      <w:r w:rsidRPr="0081146C">
        <w:tab/>
        <w:t>the person obtains access to information; and</w:t>
      </w:r>
    </w:p>
    <w:p w14:paraId="0987D25C" w14:textId="77777777" w:rsidR="00E60DA8" w:rsidRPr="0081146C" w:rsidRDefault="00E60DA8" w:rsidP="00E60DA8">
      <w:pPr>
        <w:pStyle w:val="paragraph"/>
      </w:pPr>
      <w:r w:rsidRPr="0081146C">
        <w:tab/>
        <w:t>(b)</w:t>
      </w:r>
      <w:r w:rsidRPr="0081146C">
        <w:tab/>
        <w:t>the information is personal information that relates to a verification request or an assessment in relation to an individual; and</w:t>
      </w:r>
    </w:p>
    <w:p w14:paraId="3A9DCB3E" w14:textId="77777777" w:rsidR="00E60DA8" w:rsidRPr="0081146C" w:rsidRDefault="00E60DA8" w:rsidP="00E60DA8">
      <w:pPr>
        <w:pStyle w:val="paragraph"/>
      </w:pPr>
      <w:r w:rsidRPr="0081146C">
        <w:tab/>
        <w:t>(c)</w:t>
      </w:r>
      <w:r w:rsidRPr="0081146C">
        <w:tab/>
        <w:t>the information is obtained by false pretence.</w:t>
      </w:r>
    </w:p>
    <w:p w14:paraId="528AEFBA" w14:textId="77777777" w:rsidR="00E60DA8" w:rsidRPr="0081146C" w:rsidRDefault="00E60DA8" w:rsidP="00E60DA8">
      <w:pPr>
        <w:pStyle w:val="Penalty"/>
      </w:pPr>
      <w:r w:rsidRPr="0081146C">
        <w:t>Penalty:</w:t>
      </w:r>
      <w:r w:rsidRPr="0081146C">
        <w:tab/>
        <w:t>300 penalty units.</w:t>
      </w:r>
    </w:p>
    <w:p w14:paraId="371B831E" w14:textId="77777777" w:rsidR="00E60DA8" w:rsidRPr="0081146C" w:rsidRDefault="00E60DA8" w:rsidP="00E60DA8">
      <w:pPr>
        <w:pStyle w:val="ActHead5"/>
      </w:pPr>
      <w:bookmarkStart w:id="189" w:name="_Toc185415775"/>
      <w:r w:rsidRPr="0081146C">
        <w:rPr>
          <w:rStyle w:val="CharSectno"/>
        </w:rPr>
        <w:t>35K</w:t>
      </w:r>
      <w:r w:rsidRPr="0081146C">
        <w:t xml:space="preserve">  Unauthorised use or disclosure of verification information—offence</w:t>
      </w:r>
      <w:bookmarkEnd w:id="189"/>
    </w:p>
    <w:p w14:paraId="3581F9DB" w14:textId="77777777" w:rsidR="00E60DA8" w:rsidRPr="0081146C" w:rsidRDefault="00E60DA8" w:rsidP="00E60DA8">
      <w:pPr>
        <w:pStyle w:val="subsection"/>
      </w:pPr>
      <w:r w:rsidRPr="0081146C">
        <w:tab/>
        <w:t>(1)</w:t>
      </w:r>
      <w:r w:rsidRPr="0081146C">
        <w:tab/>
        <w:t>A person commits an offence if:</w:t>
      </w:r>
    </w:p>
    <w:p w14:paraId="565B05DF" w14:textId="77777777" w:rsidR="00E60DA8" w:rsidRPr="0081146C" w:rsidRDefault="00E60DA8" w:rsidP="00E60DA8">
      <w:pPr>
        <w:pStyle w:val="paragraph"/>
      </w:pPr>
      <w:r w:rsidRPr="0081146C">
        <w:tab/>
        <w:t>(a)</w:t>
      </w:r>
      <w:r w:rsidRPr="0081146C">
        <w:tab/>
        <w:t>the person uses or discloses information; and</w:t>
      </w:r>
    </w:p>
    <w:p w14:paraId="7CFD2881" w14:textId="77777777" w:rsidR="00E60DA8" w:rsidRPr="0081146C" w:rsidRDefault="00E60DA8" w:rsidP="00E60DA8">
      <w:pPr>
        <w:pStyle w:val="paragraph"/>
      </w:pPr>
      <w:r w:rsidRPr="0081146C">
        <w:tab/>
        <w:t>(b)</w:t>
      </w:r>
      <w:r w:rsidRPr="0081146C">
        <w:tab/>
        <w:t>the information is personal information that relates to a verification request or an assessment in relation to an individual.</w:t>
      </w:r>
    </w:p>
    <w:p w14:paraId="1707DDAB" w14:textId="77777777" w:rsidR="00E60DA8" w:rsidRPr="0081146C" w:rsidRDefault="00E60DA8" w:rsidP="00E60DA8">
      <w:pPr>
        <w:pStyle w:val="Penalty"/>
      </w:pPr>
      <w:r w:rsidRPr="0081146C">
        <w:t>Penalty:</w:t>
      </w:r>
      <w:r w:rsidRPr="0081146C">
        <w:tab/>
        <w:t>300 penalty units.</w:t>
      </w:r>
    </w:p>
    <w:p w14:paraId="23CFA5E4" w14:textId="77777777" w:rsidR="00E60DA8" w:rsidRPr="0081146C" w:rsidRDefault="00E60DA8" w:rsidP="00E60DA8">
      <w:pPr>
        <w:pStyle w:val="subsection"/>
      </w:pPr>
      <w:r w:rsidRPr="0081146C">
        <w:tab/>
        <w:t>(2)</w:t>
      </w:r>
      <w:r w:rsidRPr="0081146C">
        <w:tab/>
      </w:r>
      <w:r w:rsidR="004F64A4" w:rsidRPr="0081146C">
        <w:t>Subsection (</w:t>
      </w:r>
      <w:r w:rsidRPr="0081146C">
        <w:t>1) does not apply if the use or disclosure is in accordance with, or as otherwise authorised by, this Act or any other law.</w:t>
      </w:r>
    </w:p>
    <w:p w14:paraId="701BDB37" w14:textId="77777777" w:rsidR="00E60DA8" w:rsidRPr="0081146C" w:rsidRDefault="00E60DA8" w:rsidP="00E60DA8">
      <w:pPr>
        <w:pStyle w:val="notetext"/>
      </w:pPr>
      <w:r w:rsidRPr="0081146C">
        <w:t>Note:</w:t>
      </w:r>
      <w:r w:rsidRPr="0081146C">
        <w:tab/>
        <w:t xml:space="preserve">A defendant bears an evidential burden in relation to the matter in </w:t>
      </w:r>
      <w:r w:rsidR="004F64A4" w:rsidRPr="0081146C">
        <w:t>subsection (</w:t>
      </w:r>
      <w:r w:rsidRPr="0081146C">
        <w:t>2) (see sub</w:t>
      </w:r>
      <w:r w:rsidR="003B7E15" w:rsidRPr="0081146C">
        <w:t>section 1</w:t>
      </w:r>
      <w:r w:rsidRPr="0081146C">
        <w:t xml:space="preserve">3.3(3) of the </w:t>
      </w:r>
      <w:r w:rsidRPr="0081146C">
        <w:rPr>
          <w:i/>
        </w:rPr>
        <w:t>Criminal Code</w:t>
      </w:r>
      <w:r w:rsidRPr="0081146C">
        <w:t>).</w:t>
      </w:r>
    </w:p>
    <w:p w14:paraId="77B5C071" w14:textId="77777777" w:rsidR="00B939C5" w:rsidRPr="0081146C" w:rsidRDefault="00B939C5" w:rsidP="00B939C5">
      <w:pPr>
        <w:pStyle w:val="ActHead5"/>
      </w:pPr>
      <w:bookmarkStart w:id="190" w:name="_Toc185415776"/>
      <w:r w:rsidRPr="0081146C">
        <w:rPr>
          <w:rStyle w:val="CharSectno"/>
        </w:rPr>
        <w:t>35L</w:t>
      </w:r>
      <w:r w:rsidRPr="0081146C">
        <w:t xml:space="preserve">  Breach of requirement is an interference with privacy</w:t>
      </w:r>
      <w:bookmarkEnd w:id="190"/>
    </w:p>
    <w:p w14:paraId="12A4ABCF" w14:textId="77777777" w:rsidR="00B939C5" w:rsidRPr="0081146C" w:rsidRDefault="00B939C5" w:rsidP="00B939C5">
      <w:pPr>
        <w:pStyle w:val="subsection"/>
      </w:pPr>
      <w:r w:rsidRPr="0081146C">
        <w:tab/>
      </w:r>
      <w:r w:rsidRPr="0081146C">
        <w:tab/>
        <w:t xml:space="preserve">A breach of a requirement of this Division in relation to an individual constitutes an act or practice involving an interference with the privacy of the individual for the purposes of </w:t>
      </w:r>
      <w:r w:rsidR="003B7E15" w:rsidRPr="0081146C">
        <w:t>section 1</w:t>
      </w:r>
      <w:r w:rsidRPr="0081146C">
        <w:t xml:space="preserve">3 of the </w:t>
      </w:r>
      <w:r w:rsidRPr="0081146C">
        <w:rPr>
          <w:i/>
        </w:rPr>
        <w:t>Privacy Act 1988</w:t>
      </w:r>
      <w:r w:rsidRPr="0081146C">
        <w:t>.</w:t>
      </w:r>
    </w:p>
    <w:p w14:paraId="525FE84F" w14:textId="77777777" w:rsidR="00B939C5" w:rsidRPr="0081146C" w:rsidRDefault="00B939C5" w:rsidP="00B939C5">
      <w:pPr>
        <w:pStyle w:val="notetext"/>
      </w:pPr>
      <w:r w:rsidRPr="0081146C">
        <w:t>Note:</w:t>
      </w:r>
      <w:r w:rsidRPr="0081146C">
        <w:tab/>
        <w:t>The act or practice may be the subject of a complaint under section</w:t>
      </w:r>
      <w:r w:rsidR="004F64A4" w:rsidRPr="0081146C">
        <w:t> </w:t>
      </w:r>
      <w:r w:rsidRPr="0081146C">
        <w:t>36 of that Act.</w:t>
      </w:r>
    </w:p>
    <w:p w14:paraId="687A8B1B" w14:textId="77777777" w:rsidR="00895996" w:rsidRPr="0081146C" w:rsidRDefault="00895996" w:rsidP="00F12F0D">
      <w:pPr>
        <w:pStyle w:val="ActHead3"/>
        <w:pageBreakBefore/>
      </w:pPr>
      <w:bookmarkStart w:id="191" w:name="_Toc176444395"/>
      <w:bookmarkStart w:id="192" w:name="_Toc184034016"/>
      <w:bookmarkStart w:id="193" w:name="_Toc185415777"/>
      <w:r w:rsidRPr="0081146C">
        <w:rPr>
          <w:rStyle w:val="CharDivNo"/>
        </w:rPr>
        <w:t>Division 6</w:t>
      </w:r>
      <w:r w:rsidRPr="0081146C">
        <w:t>—</w:t>
      </w:r>
      <w:r w:rsidRPr="0081146C">
        <w:rPr>
          <w:rStyle w:val="CharDivText"/>
        </w:rPr>
        <w:t>Pre</w:t>
      </w:r>
      <w:r w:rsidRPr="0081146C">
        <w:rPr>
          <w:rStyle w:val="CharDivText"/>
        </w:rPr>
        <w:noBreakHyphen/>
        <w:t>commencement customers</w:t>
      </w:r>
      <w:bookmarkEnd w:id="191"/>
      <w:bookmarkEnd w:id="192"/>
      <w:bookmarkEnd w:id="193"/>
    </w:p>
    <w:p w14:paraId="40378CBC" w14:textId="77777777" w:rsidR="00895996" w:rsidRPr="0081146C" w:rsidRDefault="00895996" w:rsidP="00895996">
      <w:pPr>
        <w:pStyle w:val="ActHead5"/>
      </w:pPr>
      <w:bookmarkStart w:id="194" w:name="_Toc176444396"/>
      <w:bookmarkStart w:id="195" w:name="_Toc184034017"/>
      <w:bookmarkStart w:id="196" w:name="_Toc185415778"/>
      <w:bookmarkStart w:id="197" w:name="_Hlk175301507"/>
      <w:r w:rsidRPr="0081146C">
        <w:rPr>
          <w:rStyle w:val="CharSectno"/>
        </w:rPr>
        <w:t>36</w:t>
      </w:r>
      <w:r w:rsidRPr="0081146C">
        <w:t xml:space="preserve">  Pre</w:t>
      </w:r>
      <w:r w:rsidRPr="0081146C">
        <w:noBreakHyphen/>
        <w:t>commencement customers</w:t>
      </w:r>
      <w:bookmarkEnd w:id="194"/>
      <w:bookmarkEnd w:id="195"/>
      <w:bookmarkEnd w:id="196"/>
    </w:p>
    <w:p w14:paraId="2E1EE0CA" w14:textId="77777777" w:rsidR="00895996" w:rsidRPr="0081146C" w:rsidRDefault="00895996" w:rsidP="00895996">
      <w:pPr>
        <w:pStyle w:val="subsection"/>
      </w:pPr>
      <w:r w:rsidRPr="0081146C">
        <w:tab/>
        <w:t>(1)</w:t>
      </w:r>
      <w:r w:rsidRPr="0081146C">
        <w:tab/>
        <w:t xml:space="preserve">A customer of a reporting entity is a </w:t>
      </w:r>
      <w:r w:rsidRPr="0081146C">
        <w:rPr>
          <w:b/>
          <w:i/>
        </w:rPr>
        <w:t>pre</w:t>
      </w:r>
      <w:r w:rsidRPr="0081146C">
        <w:rPr>
          <w:b/>
          <w:i/>
        </w:rPr>
        <w:noBreakHyphen/>
        <w:t>commencement customer</w:t>
      </w:r>
      <w:r w:rsidRPr="0081146C">
        <w:t xml:space="preserve"> if:</w:t>
      </w:r>
    </w:p>
    <w:p w14:paraId="71A26CB6" w14:textId="77777777" w:rsidR="00895996" w:rsidRPr="0081146C" w:rsidRDefault="00895996" w:rsidP="00895996">
      <w:pPr>
        <w:pStyle w:val="paragraph"/>
      </w:pPr>
      <w:r w:rsidRPr="0081146C">
        <w:tab/>
        <w:t>(a)</w:t>
      </w:r>
      <w:r w:rsidRPr="0081146C">
        <w:tab/>
        <w:t>the reporting entity commenced before 12 December 2007 to provide a designated service covered by an item of table 1, 2 or 3 in section 6 of this Act to the customer; or</w:t>
      </w:r>
    </w:p>
    <w:p w14:paraId="7F317F52" w14:textId="77777777" w:rsidR="00895996" w:rsidRPr="0081146C" w:rsidRDefault="00895996" w:rsidP="00895996">
      <w:pPr>
        <w:pStyle w:val="paragraph"/>
      </w:pPr>
      <w:r w:rsidRPr="0081146C">
        <w:tab/>
        <w:t>(b)</w:t>
      </w:r>
      <w:r w:rsidRPr="0081146C">
        <w:tab/>
        <w:t>the business relationship between the reporting entity and the customer involved the provision of only any of the following designated services</w:t>
      </w:r>
      <w:r w:rsidRPr="0081146C">
        <w:rPr>
          <w:i/>
        </w:rPr>
        <w:t xml:space="preserve"> </w:t>
      </w:r>
      <w:r w:rsidRPr="0081146C">
        <w:t>in section 6 of this Act as at the start of 1 July 2026:</w:t>
      </w:r>
    </w:p>
    <w:p w14:paraId="28EE5AB6" w14:textId="77777777" w:rsidR="00895996" w:rsidRPr="0081146C" w:rsidRDefault="00895996" w:rsidP="00895996">
      <w:pPr>
        <w:pStyle w:val="paragraphsub"/>
      </w:pPr>
      <w:r w:rsidRPr="0081146C">
        <w:tab/>
        <w:t>(i)</w:t>
      </w:r>
      <w:r w:rsidRPr="0081146C">
        <w:tab/>
        <w:t>designated services covered by item 2 of table 2 in section 6;</w:t>
      </w:r>
    </w:p>
    <w:p w14:paraId="5B1ABD93" w14:textId="77777777" w:rsidR="00895996" w:rsidRPr="0081146C" w:rsidRDefault="00895996" w:rsidP="00895996">
      <w:pPr>
        <w:pStyle w:val="paragraphsub"/>
      </w:pPr>
      <w:r w:rsidRPr="0081146C">
        <w:tab/>
        <w:t>(ii)</w:t>
      </w:r>
      <w:r w:rsidRPr="0081146C">
        <w:tab/>
        <w:t>designated services covered by table 5 in section 6;</w:t>
      </w:r>
    </w:p>
    <w:p w14:paraId="2BE798DB" w14:textId="77777777" w:rsidR="00895996" w:rsidRPr="0081146C" w:rsidRDefault="00895996" w:rsidP="00895996">
      <w:pPr>
        <w:pStyle w:val="paragraphsub"/>
      </w:pPr>
      <w:r w:rsidRPr="0081146C">
        <w:tab/>
        <w:t>(iii)</w:t>
      </w:r>
      <w:r w:rsidRPr="0081146C">
        <w:tab/>
        <w:t>designated services covered by table 6 in section 6.</w:t>
      </w:r>
    </w:p>
    <w:p w14:paraId="6EDFC4F9" w14:textId="77777777" w:rsidR="00895996" w:rsidRPr="0081146C" w:rsidRDefault="00895996" w:rsidP="00895996">
      <w:pPr>
        <w:pStyle w:val="subsection"/>
      </w:pPr>
      <w:r w:rsidRPr="0081146C">
        <w:tab/>
        <w:t>(2)</w:t>
      </w:r>
      <w:r w:rsidRPr="0081146C">
        <w:tab/>
        <w:t>A pre</w:t>
      </w:r>
      <w:r w:rsidRPr="0081146C">
        <w:noBreakHyphen/>
        <w:t>commencement customer of a reporting entity ceases to be a pre</w:t>
      </w:r>
      <w:r w:rsidRPr="0081146C">
        <w:noBreakHyphen/>
        <w:t>commencement customer when the reporting entity complies with subsection 28(1) in relation to the customer.</w:t>
      </w:r>
    </w:p>
    <w:p w14:paraId="1994863C" w14:textId="77777777" w:rsidR="00895996" w:rsidRPr="0081146C" w:rsidRDefault="00895996" w:rsidP="00895996">
      <w:pPr>
        <w:pStyle w:val="subsection"/>
      </w:pPr>
      <w:r w:rsidRPr="0081146C">
        <w:tab/>
        <w:t>(3)</w:t>
      </w:r>
      <w:r w:rsidRPr="0081146C">
        <w:tab/>
        <w:t>Subsection 28(1) and paragraph 30(2)(b) do not apply in relation to a customer that is a pre</w:t>
      </w:r>
      <w:r w:rsidRPr="0081146C">
        <w:noBreakHyphen/>
        <w:t>commencement customer.</w:t>
      </w:r>
    </w:p>
    <w:p w14:paraId="71EE7659" w14:textId="77777777" w:rsidR="00895996" w:rsidRPr="0081146C" w:rsidRDefault="00895996" w:rsidP="00895996">
      <w:pPr>
        <w:pStyle w:val="subsection"/>
      </w:pPr>
      <w:r w:rsidRPr="0081146C">
        <w:tab/>
        <w:t>(4)</w:t>
      </w:r>
      <w:r w:rsidRPr="0081146C">
        <w:tab/>
        <w:t>However, subsection 28(1) applies in relation to a customer that is a pre</w:t>
      </w:r>
      <w:r w:rsidRPr="0081146C">
        <w:noBreakHyphen/>
        <w:t>commencement customer if:</w:t>
      </w:r>
    </w:p>
    <w:p w14:paraId="643F2A44" w14:textId="77777777" w:rsidR="00895996" w:rsidRPr="0081146C" w:rsidRDefault="00895996" w:rsidP="00895996">
      <w:pPr>
        <w:pStyle w:val="paragraph"/>
      </w:pPr>
      <w:r w:rsidRPr="0081146C">
        <w:tab/>
        <w:t>(a)</w:t>
      </w:r>
      <w:r w:rsidRPr="0081146C">
        <w:tab/>
        <w:t>a suspicious matter reporting obligation arises for the reporting entity in relation to the customer; or</w:t>
      </w:r>
    </w:p>
    <w:p w14:paraId="66456F4F" w14:textId="77777777" w:rsidR="00895996" w:rsidRPr="0081146C" w:rsidRDefault="00895996" w:rsidP="00895996">
      <w:pPr>
        <w:pStyle w:val="paragraph"/>
        <w:rPr>
          <w:i/>
        </w:rPr>
      </w:pPr>
      <w:r w:rsidRPr="0081146C">
        <w:tab/>
        <w:t>(b)</w:t>
      </w:r>
      <w:r w:rsidRPr="0081146C">
        <w:tab/>
        <w:t>there is a significant change in the nature and purpose of the business relationship with the customer which results in the ML/TF risk of the customer being medium or high.</w:t>
      </w:r>
    </w:p>
    <w:p w14:paraId="10CC062A" w14:textId="77777777" w:rsidR="00895996" w:rsidRPr="0081146C" w:rsidRDefault="00895996" w:rsidP="00895996">
      <w:pPr>
        <w:pStyle w:val="notetext"/>
      </w:pPr>
      <w:r w:rsidRPr="0081146C">
        <w:t>Note:</w:t>
      </w:r>
      <w:r w:rsidRPr="0081146C">
        <w:tab/>
        <w:t xml:space="preserve">For </w:t>
      </w:r>
      <w:r w:rsidRPr="0081146C">
        <w:rPr>
          <w:b/>
          <w:i/>
        </w:rPr>
        <w:t>suspicious matter reporting obligation</w:t>
      </w:r>
      <w:r w:rsidRPr="0081146C">
        <w:t>, see section 41.</w:t>
      </w:r>
    </w:p>
    <w:p w14:paraId="668DF15D" w14:textId="77777777" w:rsidR="00035544" w:rsidRPr="0081146C" w:rsidRDefault="00CA78AA" w:rsidP="00AE2DA2">
      <w:pPr>
        <w:pStyle w:val="ActHead3"/>
        <w:pageBreakBefore/>
      </w:pPr>
      <w:bookmarkStart w:id="198" w:name="_Toc185415779"/>
      <w:bookmarkEnd w:id="197"/>
      <w:r w:rsidRPr="0081146C">
        <w:rPr>
          <w:rStyle w:val="CharDivNo"/>
        </w:rPr>
        <w:t>Division 7</w:t>
      </w:r>
      <w:r w:rsidR="00035544" w:rsidRPr="0081146C">
        <w:t>—</w:t>
      </w:r>
      <w:r w:rsidR="00035544" w:rsidRPr="0081146C">
        <w:rPr>
          <w:rStyle w:val="CharDivText"/>
        </w:rPr>
        <w:t>General provisions</w:t>
      </w:r>
      <w:bookmarkEnd w:id="198"/>
    </w:p>
    <w:p w14:paraId="6E715F8A" w14:textId="2ED2C4F6" w:rsidR="00035544" w:rsidRPr="0081146C" w:rsidRDefault="00035544" w:rsidP="00035544">
      <w:pPr>
        <w:pStyle w:val="ActHead5"/>
      </w:pPr>
      <w:bookmarkStart w:id="199" w:name="_Toc185415780"/>
      <w:r w:rsidRPr="0081146C">
        <w:rPr>
          <w:rStyle w:val="CharSectno"/>
        </w:rPr>
        <w:t>37</w:t>
      </w:r>
      <w:r w:rsidRPr="0081146C">
        <w:t xml:space="preserve">  </w:t>
      </w:r>
      <w:r w:rsidR="00895996" w:rsidRPr="0081146C">
        <w:t>Collection and verification of KYC information</w:t>
      </w:r>
      <w:r w:rsidRPr="0081146C">
        <w:t xml:space="preserve"> may be carried out by an agent of a reporting entity</w:t>
      </w:r>
      <w:bookmarkEnd w:id="199"/>
    </w:p>
    <w:p w14:paraId="0E6B1A69" w14:textId="52B6B53F" w:rsidR="00035544" w:rsidRPr="0081146C" w:rsidRDefault="00035544" w:rsidP="00035544">
      <w:pPr>
        <w:pStyle w:val="subsection"/>
      </w:pPr>
      <w:r w:rsidRPr="0081146C">
        <w:tab/>
        <w:t>(1)</w:t>
      </w:r>
      <w:r w:rsidRPr="0081146C">
        <w:tab/>
        <w:t xml:space="preserve">The principles of agency apply in relation to </w:t>
      </w:r>
      <w:r w:rsidR="00895996" w:rsidRPr="0081146C">
        <w:t>a reporting entity complying with paragraphs 28(3)(c) and (d)</w:t>
      </w:r>
      <w:r w:rsidRPr="0081146C">
        <w:t>.</w:t>
      </w:r>
    </w:p>
    <w:p w14:paraId="3DE0E990" w14:textId="2C2B0993" w:rsidR="00A060B0" w:rsidRPr="0081146C" w:rsidRDefault="00A060B0" w:rsidP="00A060B0">
      <w:pPr>
        <w:pStyle w:val="notetext"/>
      </w:pPr>
      <w:r w:rsidRPr="0081146C">
        <w:t>Note:</w:t>
      </w:r>
      <w:r w:rsidRPr="0081146C">
        <w:tab/>
        <w:t xml:space="preserve">The reporting entity (and not its agent) will be liable to civil penalties for contraventions of this Part for providing designated services to its customers without </w:t>
      </w:r>
      <w:r w:rsidR="00895996" w:rsidRPr="0081146C">
        <w:t>complying with paragraphs 28(3)(c) and (d)</w:t>
      </w:r>
      <w:r w:rsidRPr="0081146C">
        <w:t xml:space="preserve"> in respect of its customers.</w:t>
      </w:r>
    </w:p>
    <w:p w14:paraId="786D14B9" w14:textId="1C82A397" w:rsidR="00035544" w:rsidRPr="0081146C" w:rsidRDefault="00035544" w:rsidP="00035544">
      <w:pPr>
        <w:pStyle w:val="subsection"/>
      </w:pPr>
      <w:r w:rsidRPr="0081146C">
        <w:tab/>
        <w:t>(2)</w:t>
      </w:r>
      <w:r w:rsidRPr="0081146C">
        <w:tab/>
        <w:t xml:space="preserve">For example, a reporting entity may authorise another person to be its agent for the purposes of </w:t>
      </w:r>
      <w:r w:rsidR="00895996" w:rsidRPr="0081146C">
        <w:t>complying with paragraphs 28(3)(c) and (d)</w:t>
      </w:r>
      <w:r w:rsidRPr="0081146C">
        <w:t xml:space="preserve"> on the reporting entity’s behalf.</w:t>
      </w:r>
    </w:p>
    <w:p w14:paraId="0BC0EE21" w14:textId="77777777" w:rsidR="00035544" w:rsidRPr="0081146C" w:rsidRDefault="00035544" w:rsidP="00035544">
      <w:pPr>
        <w:pStyle w:val="subsection"/>
      </w:pPr>
      <w:r w:rsidRPr="0081146C">
        <w:tab/>
        <w:t>(3)</w:t>
      </w:r>
      <w:r w:rsidRPr="0081146C">
        <w:tab/>
        <w:t>To avoid doubt, if a reporting entity provides a designated service to a customer through an agent of the reporting entity, the reporting entity may authorise:</w:t>
      </w:r>
    </w:p>
    <w:p w14:paraId="037C1147" w14:textId="77777777" w:rsidR="00035544" w:rsidRPr="0081146C" w:rsidRDefault="00035544" w:rsidP="00035544">
      <w:pPr>
        <w:pStyle w:val="paragraph"/>
      </w:pPr>
      <w:r w:rsidRPr="0081146C">
        <w:tab/>
        <w:t>(a)</w:t>
      </w:r>
      <w:r w:rsidRPr="0081146C">
        <w:tab/>
        <w:t>that agent; or</w:t>
      </w:r>
    </w:p>
    <w:p w14:paraId="49AF877E" w14:textId="77777777" w:rsidR="00035544" w:rsidRPr="0081146C" w:rsidRDefault="00035544" w:rsidP="00035544">
      <w:pPr>
        <w:pStyle w:val="paragraph"/>
      </w:pPr>
      <w:r w:rsidRPr="0081146C">
        <w:tab/>
        <w:t>(b)</w:t>
      </w:r>
      <w:r w:rsidRPr="0081146C">
        <w:tab/>
        <w:t>any other person;</w:t>
      </w:r>
    </w:p>
    <w:p w14:paraId="6DEDB72D" w14:textId="6B7D6733" w:rsidR="00035544" w:rsidRPr="0081146C" w:rsidRDefault="00035544" w:rsidP="00035544">
      <w:pPr>
        <w:pStyle w:val="subsection2"/>
      </w:pPr>
      <w:r w:rsidRPr="0081146C">
        <w:t xml:space="preserve">to be its agent for the purposes of </w:t>
      </w:r>
      <w:r w:rsidR="00895996" w:rsidRPr="0081146C">
        <w:t>complying with paragraphs 28(3)(c) and (d)</w:t>
      </w:r>
      <w:r w:rsidR="00884F00" w:rsidRPr="0081146C">
        <w:t xml:space="preserve"> </w:t>
      </w:r>
      <w:r w:rsidRPr="0081146C">
        <w:t>in respect of the customer on the reporting entity’s behalf.</w:t>
      </w:r>
    </w:p>
    <w:p w14:paraId="53992159" w14:textId="77777777" w:rsidR="00FE2E90" w:rsidRPr="0081146C" w:rsidRDefault="00FE2E90" w:rsidP="00FE2E90">
      <w:pPr>
        <w:pStyle w:val="subsection"/>
      </w:pPr>
      <w:r w:rsidRPr="0081146C">
        <w:tab/>
        <w:t>(4)</w:t>
      </w:r>
      <w:r w:rsidRPr="0081146C">
        <w:tab/>
        <w:t>This section does not otherwise limit the operation of the principles of agency for the purposes of this Act.</w:t>
      </w:r>
    </w:p>
    <w:p w14:paraId="34A131AB" w14:textId="671989C1" w:rsidR="00017A82" w:rsidRPr="0081146C" w:rsidRDefault="00017A82" w:rsidP="00017A82">
      <w:pPr>
        <w:pStyle w:val="ActHead5"/>
      </w:pPr>
      <w:bookmarkStart w:id="200" w:name="_Toc185415781"/>
      <w:bookmarkStart w:id="201" w:name="_Hlk75772377"/>
      <w:r w:rsidRPr="0081146C">
        <w:rPr>
          <w:rStyle w:val="CharSectno"/>
        </w:rPr>
        <w:t>37A</w:t>
      </w:r>
      <w:r w:rsidRPr="0081146C">
        <w:t xml:space="preserve">  Reliance on </w:t>
      </w:r>
      <w:r w:rsidR="00895996" w:rsidRPr="0081146C">
        <w:t>collection and verification of KYC information</w:t>
      </w:r>
      <w:r w:rsidRPr="0081146C">
        <w:t xml:space="preserve"> or other procedures—agreements or arrangements</w:t>
      </w:r>
      <w:bookmarkEnd w:id="200"/>
    </w:p>
    <w:p w14:paraId="26FB3AE6" w14:textId="77777777" w:rsidR="00017A82" w:rsidRPr="0081146C" w:rsidRDefault="00017A82" w:rsidP="00017A82">
      <w:pPr>
        <w:pStyle w:val="subsection"/>
      </w:pPr>
      <w:r w:rsidRPr="0081146C">
        <w:tab/>
        <w:t>(1)</w:t>
      </w:r>
      <w:r w:rsidRPr="0081146C">
        <w:tab/>
        <w:t>This section applies if:</w:t>
      </w:r>
    </w:p>
    <w:p w14:paraId="0F0F51DD" w14:textId="0C99AF2E" w:rsidR="00017A82" w:rsidRPr="0081146C" w:rsidRDefault="00017A82" w:rsidP="00017A82">
      <w:pPr>
        <w:pStyle w:val="paragraph"/>
      </w:pPr>
      <w:r w:rsidRPr="0081146C">
        <w:tab/>
        <w:t>(a)</w:t>
      </w:r>
      <w:r w:rsidRPr="0081146C">
        <w:tab/>
        <w:t xml:space="preserve">a reporting entity (the </w:t>
      </w:r>
      <w:r w:rsidRPr="0081146C">
        <w:rPr>
          <w:b/>
          <w:i/>
        </w:rPr>
        <w:t>first entity</w:t>
      </w:r>
      <w:r w:rsidRPr="0081146C">
        <w:t xml:space="preserve">) enters into a written agreement or arrangement with another person relating to the first entity’s reliance on </w:t>
      </w:r>
      <w:r w:rsidR="007A1F56" w:rsidRPr="0081146C">
        <w:t>the collection and verification of KYC information relating to a customer in accordance with paragraphs 28(3)(c) and (d)</w:t>
      </w:r>
      <w:r w:rsidRPr="0081146C">
        <w:t>, or other procedures of a kind prescribed by the AML/CTF Rules, carried out by the other person; and</w:t>
      </w:r>
    </w:p>
    <w:p w14:paraId="59C449A0" w14:textId="77777777" w:rsidR="00017A82" w:rsidRPr="0081146C" w:rsidRDefault="00017A82" w:rsidP="00017A82">
      <w:pPr>
        <w:pStyle w:val="paragraph"/>
      </w:pPr>
      <w:r w:rsidRPr="0081146C">
        <w:tab/>
        <w:t>(b)</w:t>
      </w:r>
      <w:r w:rsidRPr="0081146C">
        <w:tab/>
        <w:t>at the time of entering into the agreement or arrangement, the first entity had reasonable grounds to believe that each of the requirements prescribed by the AML/CTF Rules were met.</w:t>
      </w:r>
    </w:p>
    <w:p w14:paraId="5A495DC2" w14:textId="77777777" w:rsidR="00017A82" w:rsidRPr="0081146C" w:rsidRDefault="00017A82" w:rsidP="00017A82">
      <w:pPr>
        <w:pStyle w:val="subsection"/>
      </w:pPr>
      <w:r w:rsidRPr="0081146C">
        <w:tab/>
        <w:t>(2)</w:t>
      </w:r>
      <w:r w:rsidRPr="0081146C">
        <w:tab/>
        <w:t>If:</w:t>
      </w:r>
    </w:p>
    <w:p w14:paraId="4B9EC520" w14:textId="77777777" w:rsidR="00017A82" w:rsidRPr="0081146C" w:rsidRDefault="00017A82" w:rsidP="00017A82">
      <w:pPr>
        <w:pStyle w:val="paragraph"/>
      </w:pPr>
      <w:r w:rsidRPr="0081146C">
        <w:tab/>
        <w:t>(a)</w:t>
      </w:r>
      <w:r w:rsidRPr="0081146C">
        <w:tab/>
        <w:t>the agreement or arrangement is in force; and</w:t>
      </w:r>
    </w:p>
    <w:p w14:paraId="24FD3AD0" w14:textId="77777777" w:rsidR="00017A82" w:rsidRPr="0081146C" w:rsidRDefault="00017A82" w:rsidP="00017A82">
      <w:pPr>
        <w:pStyle w:val="paragraph"/>
      </w:pPr>
      <w:r w:rsidRPr="0081146C">
        <w:tab/>
        <w:t>(b)</w:t>
      </w:r>
      <w:r w:rsidRPr="0081146C">
        <w:tab/>
        <w:t>the first entity has complied with section 37B in relation to the agreement or arrangement; and</w:t>
      </w:r>
    </w:p>
    <w:p w14:paraId="21C5FD67" w14:textId="77777777" w:rsidR="00017A82" w:rsidRPr="0081146C" w:rsidRDefault="00017A82" w:rsidP="00017A82">
      <w:pPr>
        <w:pStyle w:val="paragraph"/>
      </w:pPr>
      <w:r w:rsidRPr="0081146C">
        <w:tab/>
        <w:t>(c)</w:t>
      </w:r>
      <w:r w:rsidRPr="0081146C">
        <w:tab/>
        <w:t>the first entity is providing, or proposes to provide, a designated service to a customer; and</w:t>
      </w:r>
    </w:p>
    <w:p w14:paraId="439728F7" w14:textId="77777777" w:rsidR="00017A82" w:rsidRPr="0081146C" w:rsidRDefault="00017A82" w:rsidP="00017A82">
      <w:pPr>
        <w:pStyle w:val="paragraph"/>
      </w:pPr>
      <w:r w:rsidRPr="0081146C">
        <w:tab/>
        <w:t>(d)</w:t>
      </w:r>
      <w:r w:rsidRPr="0081146C">
        <w:tab/>
        <w:t>under the agreement or arrangement, the first entity has obtained information about the identity of that customer from the other party to the agreement or arrangement; and</w:t>
      </w:r>
    </w:p>
    <w:p w14:paraId="190B6FB0" w14:textId="77777777" w:rsidR="00017A82" w:rsidRPr="0081146C" w:rsidRDefault="00017A82" w:rsidP="00017A82">
      <w:pPr>
        <w:pStyle w:val="paragraph"/>
      </w:pPr>
      <w:r w:rsidRPr="0081146C">
        <w:tab/>
        <w:t>(e)</w:t>
      </w:r>
      <w:r w:rsidRPr="0081146C">
        <w:tab/>
        <w:t>the requirements prescribed by the AML/CTF Rules are satisfied;</w:t>
      </w:r>
    </w:p>
    <w:p w14:paraId="66C87240" w14:textId="276BEC91" w:rsidR="00017A82" w:rsidRPr="0081146C" w:rsidRDefault="00017A82" w:rsidP="00017A82">
      <w:pPr>
        <w:pStyle w:val="subsection2"/>
      </w:pPr>
      <w:r w:rsidRPr="0081146C">
        <w:t xml:space="preserve">this Act (other than </w:t>
      </w:r>
      <w:r w:rsidR="00CA78AA" w:rsidRPr="0081146C">
        <w:t>Part 1</w:t>
      </w:r>
      <w:r w:rsidRPr="0081146C">
        <w:t xml:space="preserve">0) has effect as if the first entity had </w:t>
      </w:r>
      <w:r w:rsidR="007A1F56" w:rsidRPr="0081146C">
        <w:t>complied with paragraphs 28(3)(c) and (d)</w:t>
      </w:r>
      <w:r w:rsidRPr="0081146C">
        <w:t xml:space="preserve"> in respect of that customer and that designated service.</w:t>
      </w:r>
    </w:p>
    <w:p w14:paraId="32D3EDBF" w14:textId="77777777" w:rsidR="00017A82" w:rsidRPr="0081146C" w:rsidRDefault="00017A82" w:rsidP="00017A82">
      <w:pPr>
        <w:pStyle w:val="subsection"/>
      </w:pPr>
      <w:r w:rsidRPr="0081146C">
        <w:tab/>
        <w:t>(3)</w:t>
      </w:r>
      <w:r w:rsidRPr="0081146C">
        <w:tab/>
        <w:t>If:</w:t>
      </w:r>
    </w:p>
    <w:p w14:paraId="075492D4" w14:textId="77777777" w:rsidR="00017A82" w:rsidRPr="0081146C" w:rsidRDefault="00017A82" w:rsidP="00017A82">
      <w:pPr>
        <w:pStyle w:val="paragraph"/>
      </w:pPr>
      <w:r w:rsidRPr="0081146C">
        <w:tab/>
        <w:t>(a)</w:t>
      </w:r>
      <w:r w:rsidRPr="0081146C">
        <w:tab/>
        <w:t>the agreement or arrangement is in force; and</w:t>
      </w:r>
    </w:p>
    <w:p w14:paraId="52918BB5" w14:textId="77777777" w:rsidR="00017A82" w:rsidRPr="0081146C" w:rsidRDefault="00017A82" w:rsidP="00017A82">
      <w:pPr>
        <w:pStyle w:val="paragraph"/>
      </w:pPr>
      <w:r w:rsidRPr="0081146C">
        <w:tab/>
        <w:t>(b)</w:t>
      </w:r>
      <w:r w:rsidRPr="0081146C">
        <w:tab/>
        <w:t>after completing an assessment under section 37B in relation to the agreement or arrangement, the first entity does not have reasonable grounds to believe that each of the requirements prescribed by the AML/CTF Rules for the purposes of paragraph (1)(b) is being met;</w:t>
      </w:r>
    </w:p>
    <w:p w14:paraId="34A97D8A" w14:textId="77777777" w:rsidR="00017A82" w:rsidRPr="0081146C" w:rsidRDefault="00017A82" w:rsidP="00017A82">
      <w:pPr>
        <w:pStyle w:val="subsection2"/>
      </w:pPr>
      <w:r w:rsidRPr="0081146C">
        <w:t>then subsection (2) does not apply in relation to the first entity and the agreement or arrangement in connection with the carrying out of procedures covered by paragraph (1)(a) after the completion of that assessment.</w:t>
      </w:r>
    </w:p>
    <w:p w14:paraId="6541E85A" w14:textId="77777777" w:rsidR="00017A82" w:rsidRPr="0081146C" w:rsidRDefault="00017A82" w:rsidP="00017A82">
      <w:pPr>
        <w:pStyle w:val="subsection"/>
      </w:pPr>
      <w:r w:rsidRPr="0081146C">
        <w:tab/>
        <w:t>(4)</w:t>
      </w:r>
      <w:r w:rsidRPr="0081146C">
        <w:tab/>
        <w:t>Subsection (3) ceases to apply once the first entity has reasonable grounds to believe</w:t>
      </w:r>
      <w:r w:rsidRPr="0081146C">
        <w:rPr>
          <w:rFonts w:eastAsiaTheme="minorHAnsi"/>
        </w:rPr>
        <w:t xml:space="preserve"> </w:t>
      </w:r>
      <w:r w:rsidRPr="0081146C">
        <w:t>that each of the requirements prescribed by the AML/CTF Rules for the purposes of paragraph (1)(b) is being met.</w:t>
      </w:r>
    </w:p>
    <w:p w14:paraId="2C7BC101" w14:textId="77777777" w:rsidR="00017A82" w:rsidRPr="0081146C" w:rsidRDefault="00017A82" w:rsidP="00017A82">
      <w:pPr>
        <w:pStyle w:val="ActHead5"/>
      </w:pPr>
      <w:bookmarkStart w:id="202" w:name="_Toc185415782"/>
      <w:r w:rsidRPr="0081146C">
        <w:rPr>
          <w:rStyle w:val="CharSectno"/>
        </w:rPr>
        <w:t>37B</w:t>
      </w:r>
      <w:r w:rsidRPr="0081146C">
        <w:t xml:space="preserve">  Regular assessments of agreement or arrangement covered by section 37A</w:t>
      </w:r>
      <w:bookmarkEnd w:id="202"/>
    </w:p>
    <w:p w14:paraId="22A803F4" w14:textId="77777777" w:rsidR="00017A82" w:rsidRPr="0081146C" w:rsidRDefault="00017A82" w:rsidP="00017A82">
      <w:pPr>
        <w:pStyle w:val="subsection"/>
      </w:pPr>
      <w:r w:rsidRPr="0081146C">
        <w:tab/>
        <w:t>(1)</w:t>
      </w:r>
      <w:r w:rsidRPr="0081146C">
        <w:tab/>
        <w:t>If a reporting entity enters into an agreement or arrangement of a kind referred to in subsection 37A(1), then, while the agreement or arrangement is in force, the reporting entity must:</w:t>
      </w:r>
    </w:p>
    <w:p w14:paraId="22AC7126" w14:textId="77777777" w:rsidR="00017A82" w:rsidRPr="0081146C" w:rsidRDefault="00017A82" w:rsidP="00017A82">
      <w:pPr>
        <w:pStyle w:val="paragraph"/>
      </w:pPr>
      <w:r w:rsidRPr="0081146C">
        <w:tab/>
        <w:t>(a)</w:t>
      </w:r>
      <w:r w:rsidRPr="0081146C">
        <w:tab/>
        <w:t>carry out assessments in accordance with the AML/CTF Rules; and</w:t>
      </w:r>
    </w:p>
    <w:p w14:paraId="4C7D798C" w14:textId="77777777" w:rsidR="00017A82" w:rsidRPr="0081146C" w:rsidRDefault="00017A82" w:rsidP="00017A82">
      <w:pPr>
        <w:pStyle w:val="paragraph"/>
      </w:pPr>
      <w:r w:rsidRPr="0081146C">
        <w:tab/>
        <w:t>(b)</w:t>
      </w:r>
      <w:r w:rsidRPr="0081146C">
        <w:tab/>
        <w:t>carry out those assessments at the times worked out in accordance with the AML/CTF Rules; and</w:t>
      </w:r>
    </w:p>
    <w:p w14:paraId="04ACD94A" w14:textId="77777777" w:rsidR="00017A82" w:rsidRPr="0081146C" w:rsidRDefault="00017A82" w:rsidP="00017A82">
      <w:pPr>
        <w:pStyle w:val="paragraph"/>
      </w:pPr>
      <w:r w:rsidRPr="0081146C">
        <w:tab/>
        <w:t>(c)</w:t>
      </w:r>
      <w:r w:rsidRPr="0081146C">
        <w:tab/>
        <w:t>prepare a written record of each assessment within 10 business days after the day of completing the assessment.</w:t>
      </w:r>
    </w:p>
    <w:p w14:paraId="76188ECC" w14:textId="77777777" w:rsidR="00017A82" w:rsidRPr="0081146C" w:rsidRDefault="00017A82" w:rsidP="00017A82">
      <w:pPr>
        <w:pStyle w:val="SubsectionHead"/>
      </w:pPr>
      <w:r w:rsidRPr="0081146C">
        <w:t>Civil penalty</w:t>
      </w:r>
    </w:p>
    <w:p w14:paraId="272B1AAD" w14:textId="77777777" w:rsidR="00017A82" w:rsidRPr="0081146C" w:rsidRDefault="00017A82" w:rsidP="00017A82">
      <w:pPr>
        <w:pStyle w:val="subsection"/>
      </w:pPr>
      <w:r w:rsidRPr="0081146C">
        <w:tab/>
        <w:t>(2)</w:t>
      </w:r>
      <w:r w:rsidRPr="0081146C">
        <w:tab/>
        <w:t>Subsection (1) is a civil penalty provision.</w:t>
      </w:r>
    </w:p>
    <w:p w14:paraId="3BAB2E59" w14:textId="227790FE" w:rsidR="00017A82" w:rsidRPr="0081146C" w:rsidRDefault="00017A82" w:rsidP="00017A82">
      <w:pPr>
        <w:pStyle w:val="ActHead5"/>
      </w:pPr>
      <w:bookmarkStart w:id="203" w:name="_Toc185415783"/>
      <w:bookmarkStart w:id="204" w:name="_Hlk75772433"/>
      <w:bookmarkEnd w:id="201"/>
      <w:r w:rsidRPr="0081146C">
        <w:rPr>
          <w:rStyle w:val="CharSectno"/>
        </w:rPr>
        <w:t>38</w:t>
      </w:r>
      <w:r w:rsidRPr="0081146C">
        <w:t xml:space="preserve">  Reliance on </w:t>
      </w:r>
      <w:r w:rsidR="007A1F56" w:rsidRPr="0081146C">
        <w:t>collection and verification of KYC information</w:t>
      </w:r>
      <w:r w:rsidRPr="0081146C">
        <w:t xml:space="preserve"> or other procedures—other circumstances</w:t>
      </w:r>
      <w:bookmarkEnd w:id="203"/>
    </w:p>
    <w:p w14:paraId="311DDB75" w14:textId="77777777" w:rsidR="00017A82" w:rsidRPr="0081146C" w:rsidRDefault="00017A82" w:rsidP="00017A82">
      <w:pPr>
        <w:pStyle w:val="subsection"/>
      </w:pPr>
      <w:r w:rsidRPr="0081146C">
        <w:tab/>
      </w:r>
      <w:r w:rsidRPr="0081146C">
        <w:tab/>
        <w:t>If:</w:t>
      </w:r>
    </w:p>
    <w:p w14:paraId="6178EA26" w14:textId="77777777" w:rsidR="00017A82" w:rsidRPr="0081146C" w:rsidRDefault="00017A82" w:rsidP="00017A82">
      <w:pPr>
        <w:pStyle w:val="paragraph"/>
      </w:pPr>
      <w:r w:rsidRPr="0081146C">
        <w:tab/>
        <w:t>(a)</w:t>
      </w:r>
      <w:r w:rsidRPr="0081146C">
        <w:tab/>
        <w:t xml:space="preserve">a reporting entity (the </w:t>
      </w:r>
      <w:r w:rsidRPr="0081146C">
        <w:rPr>
          <w:b/>
          <w:i/>
        </w:rPr>
        <w:t>first entity</w:t>
      </w:r>
      <w:r w:rsidRPr="0081146C">
        <w:t>) is providing, or proposes to provide, a designated service to a customer; and</w:t>
      </w:r>
    </w:p>
    <w:p w14:paraId="76BB9B0E" w14:textId="4166196F" w:rsidR="00017A82" w:rsidRPr="0081146C" w:rsidRDefault="00017A82" w:rsidP="00017A82">
      <w:pPr>
        <w:pStyle w:val="paragraph"/>
      </w:pPr>
      <w:r w:rsidRPr="0081146C">
        <w:tab/>
        <w:t>(b)</w:t>
      </w:r>
      <w:r w:rsidRPr="0081146C">
        <w:tab/>
        <w:t xml:space="preserve">another person has </w:t>
      </w:r>
      <w:r w:rsidR="009779DD" w:rsidRPr="0081146C">
        <w:t>complied with paragraph 28(3)(c) or (d)</w:t>
      </w:r>
      <w:r w:rsidRPr="0081146C">
        <w:t>, or another procedure of a kind prescribed by the AML/CTF Rules, in respect of that customer; and</w:t>
      </w:r>
    </w:p>
    <w:p w14:paraId="16384D78" w14:textId="77777777" w:rsidR="00017A82" w:rsidRPr="0081146C" w:rsidRDefault="00017A82" w:rsidP="00017A82">
      <w:pPr>
        <w:pStyle w:val="paragraph"/>
      </w:pPr>
      <w:r w:rsidRPr="0081146C">
        <w:tab/>
        <w:t>(c)</w:t>
      </w:r>
      <w:r w:rsidRPr="0081146C">
        <w:tab/>
        <w:t>the first entity has obtained, from the other person, information about the identity of that customer that was obtained by the other person in the course of carrying out that procedure; and</w:t>
      </w:r>
    </w:p>
    <w:p w14:paraId="09009EEF" w14:textId="20E9D149" w:rsidR="00017A82" w:rsidRPr="0081146C" w:rsidRDefault="00017A82" w:rsidP="00017A82">
      <w:pPr>
        <w:pStyle w:val="paragraph"/>
      </w:pPr>
      <w:r w:rsidRPr="0081146C">
        <w:tab/>
        <w:t>(d)</w:t>
      </w:r>
      <w:r w:rsidRPr="0081146C">
        <w:tab/>
        <w:t xml:space="preserve">the first entity has reasonable grounds to believe that it is appropriate to rely on that procedure in relation to that designated service having regard to the risk the first entity may reasonably face that the provision of that designated service might (whether inadvertently or otherwise) involve or facilitate </w:t>
      </w:r>
      <w:r w:rsidR="00970B77" w:rsidRPr="0081146C">
        <w:t>money laundering, financing of terrorism or proliferation financing</w:t>
      </w:r>
      <w:r w:rsidRPr="0081146C">
        <w:t>; and</w:t>
      </w:r>
    </w:p>
    <w:p w14:paraId="77DDDBFC" w14:textId="77777777" w:rsidR="00017A82" w:rsidRPr="0081146C" w:rsidRDefault="00017A82" w:rsidP="00017A82">
      <w:pPr>
        <w:pStyle w:val="paragraph"/>
      </w:pPr>
      <w:r w:rsidRPr="0081146C">
        <w:tab/>
        <w:t>(e)</w:t>
      </w:r>
      <w:r w:rsidRPr="0081146C">
        <w:tab/>
        <w:t>the requirements prescribed by the AML/CTF Rules are satisfied;</w:t>
      </w:r>
    </w:p>
    <w:p w14:paraId="154D5659" w14:textId="72F74EFF" w:rsidR="00017A82" w:rsidRPr="0081146C" w:rsidRDefault="00017A82" w:rsidP="00017A82">
      <w:pPr>
        <w:pStyle w:val="subsection2"/>
      </w:pPr>
      <w:r w:rsidRPr="0081146C">
        <w:t xml:space="preserve">this Act (other than </w:t>
      </w:r>
      <w:r w:rsidR="00CA78AA" w:rsidRPr="0081146C">
        <w:t>Part 1</w:t>
      </w:r>
      <w:r w:rsidRPr="0081146C">
        <w:t xml:space="preserve">0) has effect as if the first entity had </w:t>
      </w:r>
      <w:r w:rsidR="009779DD" w:rsidRPr="0081146C">
        <w:t>complied with paragraph 28(3)(c) or (d)</w:t>
      </w:r>
      <w:r w:rsidRPr="0081146C">
        <w:t xml:space="preserve"> in respect of that customer and that designated service.</w:t>
      </w:r>
    </w:p>
    <w:p w14:paraId="52F65B4A" w14:textId="77777777" w:rsidR="00035544" w:rsidRPr="0081146C" w:rsidRDefault="00035544" w:rsidP="00035544">
      <w:pPr>
        <w:pStyle w:val="ActHead5"/>
      </w:pPr>
      <w:bookmarkStart w:id="205" w:name="_Toc185415784"/>
      <w:bookmarkEnd w:id="204"/>
      <w:r w:rsidRPr="0081146C">
        <w:rPr>
          <w:rStyle w:val="CharSectno"/>
        </w:rPr>
        <w:t>39</w:t>
      </w:r>
      <w:r w:rsidRPr="0081146C">
        <w:t xml:space="preserve">  General exemptions</w:t>
      </w:r>
      <w:bookmarkEnd w:id="205"/>
    </w:p>
    <w:p w14:paraId="5019003F" w14:textId="77777777" w:rsidR="00035544" w:rsidRPr="0081146C" w:rsidRDefault="00035544" w:rsidP="00035544">
      <w:pPr>
        <w:pStyle w:val="subsection"/>
      </w:pPr>
      <w:r w:rsidRPr="0081146C">
        <w:tab/>
        <w:t>(1)</w:t>
      </w:r>
      <w:r w:rsidRPr="0081146C">
        <w:tab/>
        <w:t>This Part does not apply to a designated service that is of a kind specified in the AML/CTF Rules.</w:t>
      </w:r>
    </w:p>
    <w:p w14:paraId="6A2B4CF9" w14:textId="77777777" w:rsidR="00035544" w:rsidRPr="0081146C" w:rsidRDefault="00035544" w:rsidP="00035544">
      <w:pPr>
        <w:pStyle w:val="subsection"/>
      </w:pPr>
      <w:r w:rsidRPr="0081146C">
        <w:tab/>
        <w:t>(2)</w:t>
      </w:r>
      <w:r w:rsidRPr="0081146C">
        <w:tab/>
        <w:t>The AML/CTF Rules may provide that a specified provision of this Part does not apply to a designated service that is of a kind specified in the AML/CTF Rules.</w:t>
      </w:r>
    </w:p>
    <w:p w14:paraId="1A34CF5D" w14:textId="77777777" w:rsidR="00035544" w:rsidRPr="0081146C" w:rsidRDefault="00035544" w:rsidP="00035544">
      <w:pPr>
        <w:pStyle w:val="subsection"/>
      </w:pPr>
      <w:r w:rsidRPr="0081146C">
        <w:tab/>
        <w:t>(3)</w:t>
      </w:r>
      <w:r w:rsidRPr="0081146C">
        <w:tab/>
        <w:t>This Part does not apply to a designated service that is provided in circumstances specified in the AML/CTF Rules.</w:t>
      </w:r>
    </w:p>
    <w:p w14:paraId="7703F3A1" w14:textId="77777777" w:rsidR="00035544" w:rsidRPr="0081146C" w:rsidRDefault="00035544" w:rsidP="00035544">
      <w:pPr>
        <w:pStyle w:val="subsection"/>
      </w:pPr>
      <w:r w:rsidRPr="0081146C">
        <w:tab/>
        <w:t>(4)</w:t>
      </w:r>
      <w:r w:rsidRPr="0081146C">
        <w:tab/>
        <w:t>The AML/CTF Rules may provide that a specified provision of this Part does not apply to a designated service that is provided in circumstances specified in the AML/CTF Rules.</w:t>
      </w:r>
    </w:p>
    <w:p w14:paraId="23D663C5" w14:textId="2CA3004D" w:rsidR="00035544" w:rsidRPr="0081146C" w:rsidRDefault="00035544" w:rsidP="00035544">
      <w:pPr>
        <w:pStyle w:val="subsection"/>
      </w:pPr>
      <w:r w:rsidRPr="0081146C">
        <w:tab/>
        <w:t>(6)</w:t>
      </w:r>
      <w:r w:rsidRPr="0081146C">
        <w:tab/>
        <w:t xml:space="preserve">This Part (other than </w:t>
      </w:r>
      <w:r w:rsidR="009779DD" w:rsidRPr="0081146C">
        <w:t>Divisions 3 and 4</w:t>
      </w:r>
      <w:r w:rsidRPr="0081146C">
        <w:t>) does not apply to a designated service covered by item</w:t>
      </w:r>
      <w:r w:rsidR="004F64A4" w:rsidRPr="0081146C">
        <w:t> </w:t>
      </w:r>
      <w:r w:rsidRPr="0081146C">
        <w:t>40, 42 or 44 of table 1 in section</w:t>
      </w:r>
      <w:r w:rsidR="004F64A4" w:rsidRPr="0081146C">
        <w:t> </w:t>
      </w:r>
      <w:r w:rsidRPr="0081146C">
        <w:t>6.</w:t>
      </w:r>
    </w:p>
    <w:p w14:paraId="72BE5235" w14:textId="77777777" w:rsidR="00035544" w:rsidRPr="0081146C" w:rsidRDefault="00035544" w:rsidP="00035544">
      <w:pPr>
        <w:pStyle w:val="subsection"/>
      </w:pPr>
      <w:r w:rsidRPr="0081146C">
        <w:tab/>
        <w:t>(7)</w:t>
      </w:r>
      <w:r w:rsidRPr="0081146C">
        <w:tab/>
        <w:t xml:space="preserve">This Part does not apply to a designated service covered by </w:t>
      </w:r>
      <w:r w:rsidR="003B7E15" w:rsidRPr="0081146C">
        <w:t>item 5</w:t>
      </w:r>
      <w:r w:rsidRPr="0081146C">
        <w:t>4 of table 1 in section</w:t>
      </w:r>
      <w:r w:rsidR="004F64A4" w:rsidRPr="0081146C">
        <w:t> </w:t>
      </w:r>
      <w:r w:rsidRPr="0081146C">
        <w:t>6 if the service relates to arrangements for a person to receive a designated service covered by item</w:t>
      </w:r>
      <w:r w:rsidR="004F64A4" w:rsidRPr="0081146C">
        <w:t> </w:t>
      </w:r>
      <w:r w:rsidRPr="0081146C">
        <w:t>40, 42 or 44 of that table.</w:t>
      </w:r>
    </w:p>
    <w:p w14:paraId="0A64ACB3" w14:textId="77777777" w:rsidR="00035544" w:rsidRPr="0081146C" w:rsidRDefault="00035544" w:rsidP="00035544">
      <w:pPr>
        <w:pStyle w:val="notetext"/>
      </w:pPr>
      <w:r w:rsidRPr="0081146C">
        <w:t>Note 1:</w:t>
      </w:r>
      <w:r w:rsidRPr="0081146C">
        <w:tab/>
        <w:t>Item</w:t>
      </w:r>
      <w:r w:rsidR="004F64A4" w:rsidRPr="0081146C">
        <w:t> </w:t>
      </w:r>
      <w:r w:rsidRPr="0081146C">
        <w:t>40 of table 1 in section</w:t>
      </w:r>
      <w:r w:rsidR="004F64A4" w:rsidRPr="0081146C">
        <w:t> </w:t>
      </w:r>
      <w:r w:rsidRPr="0081146C">
        <w:t>6 deals with accepting payment of the purchase price for a new pension or annuity.</w:t>
      </w:r>
    </w:p>
    <w:p w14:paraId="534202CD" w14:textId="77777777" w:rsidR="00035544" w:rsidRPr="0081146C" w:rsidRDefault="00035544" w:rsidP="00035544">
      <w:pPr>
        <w:pStyle w:val="notetext"/>
      </w:pPr>
      <w:r w:rsidRPr="0081146C">
        <w:t>Note 2:</w:t>
      </w:r>
      <w:r w:rsidRPr="0081146C">
        <w:tab/>
        <w:t>Item</w:t>
      </w:r>
      <w:r w:rsidR="004F64A4" w:rsidRPr="0081146C">
        <w:t> </w:t>
      </w:r>
      <w:r w:rsidRPr="0081146C">
        <w:t>42 of table 1 in section</w:t>
      </w:r>
      <w:r w:rsidR="004F64A4" w:rsidRPr="0081146C">
        <w:t> </w:t>
      </w:r>
      <w:r w:rsidRPr="0081146C">
        <w:t>6 deals with accepting a superannuation contribution, roll</w:t>
      </w:r>
      <w:r w:rsidR="003B7E15" w:rsidRPr="0081146C">
        <w:noBreakHyphen/>
      </w:r>
      <w:r w:rsidRPr="0081146C">
        <w:t>over or transfer.</w:t>
      </w:r>
    </w:p>
    <w:p w14:paraId="26726005" w14:textId="77777777" w:rsidR="00035544" w:rsidRPr="0081146C" w:rsidRDefault="00035544" w:rsidP="00035544">
      <w:pPr>
        <w:pStyle w:val="notetext"/>
      </w:pPr>
      <w:r w:rsidRPr="0081146C">
        <w:t>Note 3:</w:t>
      </w:r>
      <w:r w:rsidRPr="0081146C">
        <w:tab/>
        <w:t>Item</w:t>
      </w:r>
      <w:r w:rsidR="004F64A4" w:rsidRPr="0081146C">
        <w:t> </w:t>
      </w:r>
      <w:r w:rsidRPr="0081146C">
        <w:t>44 of table 1 in section</w:t>
      </w:r>
      <w:r w:rsidR="004F64A4" w:rsidRPr="0081146C">
        <w:t> </w:t>
      </w:r>
      <w:r w:rsidRPr="0081146C">
        <w:t>6 deals with accepting an RSA contribution, roll</w:t>
      </w:r>
      <w:r w:rsidR="003B7E15" w:rsidRPr="0081146C">
        <w:noBreakHyphen/>
      </w:r>
      <w:r w:rsidRPr="0081146C">
        <w:t>over or transfer.</w:t>
      </w:r>
    </w:p>
    <w:p w14:paraId="0CDA68BA" w14:textId="77777777" w:rsidR="00035544" w:rsidRPr="0081146C" w:rsidRDefault="00035544" w:rsidP="00035544">
      <w:pPr>
        <w:pStyle w:val="notetext"/>
      </w:pPr>
      <w:r w:rsidRPr="0081146C">
        <w:t>Note 4:</w:t>
      </w:r>
      <w:r w:rsidRPr="0081146C">
        <w:tab/>
        <w:t>Item</w:t>
      </w:r>
      <w:r w:rsidR="004F64A4" w:rsidRPr="0081146C">
        <w:t> </w:t>
      </w:r>
      <w:r w:rsidRPr="0081146C">
        <w:t>54 of table 1 in section</w:t>
      </w:r>
      <w:r w:rsidR="004F64A4" w:rsidRPr="0081146C">
        <w:t> </w:t>
      </w:r>
      <w:r w:rsidRPr="0081146C">
        <w:t>6 covers a holder of an Australian financial services licence who arranges for a person to receive a designated service.</w:t>
      </w:r>
    </w:p>
    <w:p w14:paraId="5A0162EF" w14:textId="77777777" w:rsidR="00064C94" w:rsidRPr="0081146C" w:rsidRDefault="00064C94" w:rsidP="00064C94">
      <w:pPr>
        <w:pStyle w:val="ActHead5"/>
      </w:pPr>
      <w:bookmarkStart w:id="206" w:name="_Toc176444494"/>
      <w:bookmarkStart w:id="207" w:name="_Toc184034115"/>
      <w:bookmarkStart w:id="208" w:name="_Toc185415785"/>
      <w:r w:rsidRPr="0081146C">
        <w:rPr>
          <w:rStyle w:val="CharSectno"/>
        </w:rPr>
        <w:t>39A</w:t>
      </w:r>
      <w:r w:rsidRPr="0081146C">
        <w:t xml:space="preserve">  Exemption—assisting the investigation of certain offences</w:t>
      </w:r>
      <w:bookmarkEnd w:id="206"/>
      <w:bookmarkEnd w:id="207"/>
      <w:bookmarkEnd w:id="208"/>
    </w:p>
    <w:p w14:paraId="023D47BD" w14:textId="77777777" w:rsidR="00064C94" w:rsidRPr="0081146C" w:rsidRDefault="00064C94" w:rsidP="00064C94">
      <w:pPr>
        <w:pStyle w:val="subsection"/>
      </w:pPr>
      <w:r w:rsidRPr="0081146C">
        <w:tab/>
        <w:t>(1)</w:t>
      </w:r>
      <w:r w:rsidRPr="0081146C">
        <w:tab/>
        <w:t>This section applies if:</w:t>
      </w:r>
    </w:p>
    <w:p w14:paraId="03F5DA22" w14:textId="77777777" w:rsidR="00064C94" w:rsidRPr="0081146C" w:rsidRDefault="00064C94" w:rsidP="00064C94">
      <w:pPr>
        <w:pStyle w:val="paragraph"/>
      </w:pPr>
      <w:r w:rsidRPr="0081146C">
        <w:tab/>
        <w:t>(a)</w:t>
      </w:r>
      <w:r w:rsidRPr="0081146C">
        <w:tab/>
        <w:t>a reporting entity receives a keep open notice in relation to a customer; and</w:t>
      </w:r>
    </w:p>
    <w:p w14:paraId="09BDEDE0" w14:textId="77777777" w:rsidR="00064C94" w:rsidRPr="0081146C" w:rsidRDefault="00064C94" w:rsidP="00064C94">
      <w:pPr>
        <w:pStyle w:val="paragraph"/>
      </w:pPr>
      <w:r w:rsidRPr="0081146C">
        <w:tab/>
        <w:t>(b)</w:t>
      </w:r>
      <w:r w:rsidRPr="0081146C">
        <w:tab/>
        <w:t>the keep open notice is in force.</w:t>
      </w:r>
    </w:p>
    <w:p w14:paraId="565B523A" w14:textId="77777777" w:rsidR="00064C94" w:rsidRPr="0081146C" w:rsidRDefault="00064C94" w:rsidP="00064C94">
      <w:pPr>
        <w:pStyle w:val="subsection"/>
      </w:pPr>
      <w:r w:rsidRPr="0081146C">
        <w:tab/>
        <w:t>(2)</w:t>
      </w:r>
      <w:r w:rsidRPr="0081146C">
        <w:tab/>
        <w:t>Despite any other provision of this Part or Part 1A, section 28, 30 or 26G does not apply to the reporting entity in respect of the provision of a designated service to the customer to the extent that the reporting entity reasonably believes that compliance with that section would or could reasonably be expected to alert the customer to the existence of a criminal investigation.</w:t>
      </w:r>
    </w:p>
    <w:p w14:paraId="086E5DEF" w14:textId="77777777" w:rsidR="00064C94" w:rsidRPr="0081146C" w:rsidRDefault="00064C94" w:rsidP="00064C94">
      <w:pPr>
        <w:pStyle w:val="notetext"/>
      </w:pPr>
      <w:r w:rsidRPr="0081146C">
        <w:t>Note 1:</w:t>
      </w:r>
      <w:r w:rsidRPr="0081146C">
        <w:tab/>
        <w:t>A suspicious matter reporting obligation does not arise for a reporting entity in relation to a customer upon the receipt of a keep open notice. However, a suspicious matter reporting obligation may otherwise arise for the reporting entity in relation to the customer in accordance with section 41.</w:t>
      </w:r>
    </w:p>
    <w:p w14:paraId="0D1644C3" w14:textId="77777777" w:rsidR="00064C94" w:rsidRPr="0081146C" w:rsidRDefault="00064C94" w:rsidP="00064C94">
      <w:pPr>
        <w:pStyle w:val="notetext"/>
      </w:pPr>
      <w:r w:rsidRPr="0081146C">
        <w:t>Note 2:</w:t>
      </w:r>
      <w:r w:rsidRPr="0081146C">
        <w:tab/>
        <w:t>A keep open notice does not compel a reporting entity to continue to provide a designated service to a customer.</w:t>
      </w:r>
    </w:p>
    <w:p w14:paraId="2A58A364" w14:textId="77777777" w:rsidR="00064C94" w:rsidRPr="0081146C" w:rsidRDefault="00064C94" w:rsidP="00064C94">
      <w:pPr>
        <w:pStyle w:val="subsection"/>
      </w:pPr>
      <w:r w:rsidRPr="0081146C">
        <w:tab/>
        <w:t>(3)</w:t>
      </w:r>
      <w:r w:rsidRPr="0081146C">
        <w:tab/>
        <w:t>For the purposes of subsection (2), it is immaterial whether the reporting entity knows of the existence or otherwise of a criminal investigation.</w:t>
      </w:r>
    </w:p>
    <w:p w14:paraId="2580EFCC" w14:textId="77777777" w:rsidR="00064C94" w:rsidRPr="0081146C" w:rsidRDefault="00064C94" w:rsidP="00064C94">
      <w:pPr>
        <w:pStyle w:val="subsection"/>
      </w:pPr>
      <w:r w:rsidRPr="0081146C">
        <w:tab/>
        <w:t>(4)</w:t>
      </w:r>
      <w:r w:rsidRPr="0081146C">
        <w:tab/>
        <w:t>If subsection (2) applies in relation to the provision by a reporting entity of a designated service to a customer, section 139 (providing a designated service using a false customer name or customer anonymity) does not apply in relation to the provision by the reporting entity of that designated service to the customer.</w:t>
      </w:r>
    </w:p>
    <w:p w14:paraId="5E7C2EFD" w14:textId="77777777" w:rsidR="00064C94" w:rsidRPr="0081146C" w:rsidRDefault="00064C94" w:rsidP="00064C94">
      <w:pPr>
        <w:pStyle w:val="notetext"/>
      </w:pPr>
      <w:r w:rsidRPr="0081146C">
        <w:t>Note:</w:t>
      </w:r>
      <w:r w:rsidRPr="0081146C">
        <w:tab/>
        <w:t xml:space="preserve">A defendant bears an evidential burden in relation to the matter in subsection (4) (see subsection 13.3(3) of the </w:t>
      </w:r>
      <w:r w:rsidRPr="0081146C">
        <w:rPr>
          <w:i/>
        </w:rPr>
        <w:t>Criminal Code</w:t>
      </w:r>
      <w:r w:rsidRPr="0081146C">
        <w:t>).</w:t>
      </w:r>
    </w:p>
    <w:p w14:paraId="5D237D7E" w14:textId="77777777" w:rsidR="00064C94" w:rsidRPr="0081146C" w:rsidRDefault="00064C94" w:rsidP="00064C94">
      <w:pPr>
        <w:pStyle w:val="ActHead5"/>
      </w:pPr>
      <w:bookmarkStart w:id="209" w:name="_Toc176444495"/>
      <w:bookmarkStart w:id="210" w:name="_Toc184034116"/>
      <w:bookmarkStart w:id="211" w:name="_Toc185415786"/>
      <w:r w:rsidRPr="0081146C">
        <w:rPr>
          <w:rStyle w:val="CharSectno"/>
        </w:rPr>
        <w:t>39B</w:t>
      </w:r>
      <w:r w:rsidRPr="0081146C">
        <w:t xml:space="preserve">  Keep open notices</w:t>
      </w:r>
      <w:bookmarkEnd w:id="209"/>
      <w:bookmarkEnd w:id="210"/>
      <w:bookmarkEnd w:id="211"/>
    </w:p>
    <w:p w14:paraId="359245F5" w14:textId="77777777" w:rsidR="00064C94" w:rsidRPr="0081146C" w:rsidRDefault="00064C94" w:rsidP="00064C94">
      <w:pPr>
        <w:pStyle w:val="subsection"/>
      </w:pPr>
      <w:r w:rsidRPr="0081146C">
        <w:tab/>
        <w:t>(1)</w:t>
      </w:r>
      <w:r w:rsidRPr="0081146C">
        <w:tab/>
        <w:t xml:space="preserve">A senior member of an agency mentioned in subsection (4) may issue a notice (a </w:t>
      </w:r>
      <w:r w:rsidRPr="0081146C">
        <w:rPr>
          <w:b/>
          <w:i/>
        </w:rPr>
        <w:t>keep open notice</w:t>
      </w:r>
      <w:r w:rsidRPr="0081146C">
        <w:t>) to a reporting entity if the senior member reasonably believes that the provision of a designated service by the reporting entity to a customer would assist in the investigation by the agency of a serious offence.</w:t>
      </w:r>
    </w:p>
    <w:p w14:paraId="47929328" w14:textId="77777777" w:rsidR="00064C94" w:rsidRPr="0081146C" w:rsidRDefault="00064C94" w:rsidP="00064C94">
      <w:pPr>
        <w:pStyle w:val="subsection"/>
      </w:pPr>
      <w:r w:rsidRPr="0081146C">
        <w:tab/>
        <w:t>(2)</w:t>
      </w:r>
      <w:r w:rsidRPr="0081146C">
        <w:tab/>
        <w:t xml:space="preserve">A </w:t>
      </w:r>
      <w:r w:rsidRPr="0081146C">
        <w:rPr>
          <w:b/>
          <w:i/>
        </w:rPr>
        <w:t>serious offence</w:t>
      </w:r>
      <w:r w:rsidRPr="0081146C">
        <w:t xml:space="preserve"> is:</w:t>
      </w:r>
    </w:p>
    <w:p w14:paraId="5D24467D" w14:textId="77777777" w:rsidR="00064C94" w:rsidRPr="0081146C" w:rsidRDefault="00064C94" w:rsidP="00064C94">
      <w:pPr>
        <w:pStyle w:val="paragraph"/>
      </w:pPr>
      <w:r w:rsidRPr="0081146C">
        <w:tab/>
        <w:t>(a)</w:t>
      </w:r>
      <w:r w:rsidRPr="0081146C">
        <w:tab/>
        <w:t>an offence against a law of the Commonwealth, or a law of a State or Territory, that is punishable by imprisonment for 2 years or more; or</w:t>
      </w:r>
    </w:p>
    <w:p w14:paraId="53B104E6" w14:textId="77777777" w:rsidR="00064C94" w:rsidRPr="0081146C" w:rsidRDefault="00064C94" w:rsidP="00064C94">
      <w:pPr>
        <w:pStyle w:val="paragraph"/>
      </w:pPr>
      <w:r w:rsidRPr="0081146C">
        <w:tab/>
        <w:t>(b)</w:t>
      </w:r>
      <w:r w:rsidRPr="0081146C">
        <w:tab/>
        <w:t>an offence against a law of a foreign country that involves an act or omission that, if it had occurred in Australia, would have constituted an offence covered by paragraph (a).</w:t>
      </w:r>
    </w:p>
    <w:p w14:paraId="4915BD14" w14:textId="77777777" w:rsidR="00064C94" w:rsidRPr="0081146C" w:rsidRDefault="00064C94" w:rsidP="00064C94">
      <w:pPr>
        <w:pStyle w:val="subsection"/>
      </w:pPr>
      <w:r w:rsidRPr="0081146C">
        <w:tab/>
        <w:t>(3)</w:t>
      </w:r>
      <w:r w:rsidRPr="0081146C">
        <w:tab/>
        <w:t xml:space="preserve">A </w:t>
      </w:r>
      <w:r w:rsidRPr="0081146C">
        <w:rPr>
          <w:b/>
          <w:i/>
        </w:rPr>
        <w:t>senior member</w:t>
      </w:r>
      <w:r w:rsidRPr="0081146C">
        <w:t xml:space="preserve"> of an agency is:</w:t>
      </w:r>
    </w:p>
    <w:p w14:paraId="620373B7" w14:textId="77777777" w:rsidR="00064C94" w:rsidRPr="0081146C" w:rsidRDefault="00064C94" w:rsidP="00064C94">
      <w:pPr>
        <w:pStyle w:val="paragraph"/>
      </w:pPr>
      <w:r w:rsidRPr="0081146C">
        <w:tab/>
        <w:t>(a)</w:t>
      </w:r>
      <w:r w:rsidRPr="0081146C">
        <w:tab/>
        <w:t>the head of an agency mentioned in subsection (4); or</w:t>
      </w:r>
    </w:p>
    <w:p w14:paraId="397B3050" w14:textId="77777777" w:rsidR="00064C94" w:rsidRPr="0081146C" w:rsidRDefault="00064C94" w:rsidP="00064C94">
      <w:pPr>
        <w:pStyle w:val="paragraph"/>
      </w:pPr>
      <w:r w:rsidRPr="0081146C">
        <w:tab/>
        <w:t>(b)</w:t>
      </w:r>
      <w:r w:rsidRPr="0081146C">
        <w:tab/>
        <w:t>a statutory office holder of an agency mentioned in subsection (4); or</w:t>
      </w:r>
    </w:p>
    <w:p w14:paraId="45F93811" w14:textId="77777777" w:rsidR="00064C94" w:rsidRPr="0081146C" w:rsidRDefault="00064C94" w:rsidP="00064C94">
      <w:pPr>
        <w:pStyle w:val="paragraph"/>
      </w:pPr>
      <w:r w:rsidRPr="0081146C">
        <w:tab/>
        <w:t>(c)</w:t>
      </w:r>
      <w:r w:rsidRPr="0081146C">
        <w:tab/>
        <w:t>an officer or employee of an agency mentioned in subsection (4) that:</w:t>
      </w:r>
    </w:p>
    <w:p w14:paraId="04E8B733" w14:textId="77777777" w:rsidR="00064C94" w:rsidRPr="0081146C" w:rsidRDefault="00064C94" w:rsidP="00064C94">
      <w:pPr>
        <w:pStyle w:val="paragraphsub"/>
      </w:pPr>
      <w:r w:rsidRPr="0081146C">
        <w:tab/>
        <w:t>(i)</w:t>
      </w:r>
      <w:r w:rsidRPr="0081146C">
        <w:tab/>
        <w:t>is an SES employee or acting SES employee in the agency; or</w:t>
      </w:r>
    </w:p>
    <w:p w14:paraId="6EC8DCE4" w14:textId="77777777" w:rsidR="00064C94" w:rsidRPr="0081146C" w:rsidRDefault="00064C94" w:rsidP="00064C94">
      <w:pPr>
        <w:pStyle w:val="paragraphsub"/>
      </w:pPr>
      <w:r w:rsidRPr="0081146C">
        <w:tab/>
        <w:t>(ii)</w:t>
      </w:r>
      <w:r w:rsidRPr="0081146C">
        <w:tab/>
        <w:t>holds or is acting in a position in the agency that is equivalent to or higher than a position occupied by an SES employee; or</w:t>
      </w:r>
    </w:p>
    <w:p w14:paraId="2ACF0DF7" w14:textId="77777777" w:rsidR="00064C94" w:rsidRPr="0081146C" w:rsidRDefault="00064C94" w:rsidP="00064C94">
      <w:pPr>
        <w:pStyle w:val="paragraphsub"/>
      </w:pPr>
      <w:r w:rsidRPr="0081146C">
        <w:tab/>
        <w:t>(iii)</w:t>
      </w:r>
      <w:r w:rsidRPr="0081146C">
        <w:tab/>
        <w:t>holds or is acting in a position that is prescribed by the AML/CTF Rules for the purposes of this paragraph.</w:t>
      </w:r>
    </w:p>
    <w:p w14:paraId="64578F60" w14:textId="77777777" w:rsidR="00064C94" w:rsidRPr="0081146C" w:rsidRDefault="00064C94" w:rsidP="00064C94">
      <w:pPr>
        <w:pStyle w:val="subsection"/>
      </w:pPr>
      <w:r w:rsidRPr="0081146C">
        <w:tab/>
        <w:t>(4)</w:t>
      </w:r>
      <w:r w:rsidRPr="0081146C">
        <w:tab/>
        <w:t>The agencies are as follows:</w:t>
      </w:r>
    </w:p>
    <w:p w14:paraId="0E243D21" w14:textId="77777777" w:rsidR="00064C94" w:rsidRPr="0081146C" w:rsidRDefault="00064C94" w:rsidP="00064C94">
      <w:pPr>
        <w:pStyle w:val="paragraph"/>
      </w:pPr>
      <w:r w:rsidRPr="0081146C">
        <w:tab/>
        <w:t>(a)</w:t>
      </w:r>
      <w:r w:rsidRPr="0081146C">
        <w:tab/>
        <w:t>the Australian Border Force;</w:t>
      </w:r>
    </w:p>
    <w:p w14:paraId="1F49DA01" w14:textId="77777777" w:rsidR="00064C94" w:rsidRPr="0081146C" w:rsidRDefault="00064C94" w:rsidP="00064C94">
      <w:pPr>
        <w:pStyle w:val="paragraph"/>
      </w:pPr>
      <w:r w:rsidRPr="0081146C">
        <w:tab/>
        <w:t>(b)</w:t>
      </w:r>
      <w:r w:rsidRPr="0081146C">
        <w:tab/>
        <w:t>the Australian Crime Commission;</w:t>
      </w:r>
    </w:p>
    <w:p w14:paraId="6F3D28FC" w14:textId="77777777" w:rsidR="00064C94" w:rsidRPr="0081146C" w:rsidRDefault="00064C94" w:rsidP="00064C94">
      <w:pPr>
        <w:pStyle w:val="paragraph"/>
      </w:pPr>
      <w:r w:rsidRPr="0081146C">
        <w:tab/>
        <w:t>(c)</w:t>
      </w:r>
      <w:r w:rsidRPr="0081146C">
        <w:tab/>
        <w:t>the Australian Federal Police;</w:t>
      </w:r>
    </w:p>
    <w:p w14:paraId="185A3679" w14:textId="77777777" w:rsidR="00064C94" w:rsidRPr="0081146C" w:rsidRDefault="00064C94" w:rsidP="00064C94">
      <w:pPr>
        <w:pStyle w:val="paragraph"/>
      </w:pPr>
      <w:r w:rsidRPr="0081146C">
        <w:tab/>
        <w:t>(d)</w:t>
      </w:r>
      <w:r w:rsidRPr="0081146C">
        <w:tab/>
        <w:t>the National Anti</w:t>
      </w:r>
      <w:r w:rsidRPr="0081146C">
        <w:noBreakHyphen/>
        <w:t>Corruption Commission;</w:t>
      </w:r>
    </w:p>
    <w:p w14:paraId="57E87B39" w14:textId="77777777" w:rsidR="00064C94" w:rsidRPr="0081146C" w:rsidRDefault="00064C94" w:rsidP="00064C94">
      <w:pPr>
        <w:pStyle w:val="paragraph"/>
      </w:pPr>
      <w:r w:rsidRPr="0081146C">
        <w:tab/>
        <w:t>(e)</w:t>
      </w:r>
      <w:r w:rsidRPr="0081146C">
        <w:tab/>
        <w:t>the New South Wales Crime Commission</w:t>
      </w:r>
      <w:r w:rsidRPr="0081146C">
        <w:rPr>
          <w:i/>
        </w:rPr>
        <w:t>;</w:t>
      </w:r>
    </w:p>
    <w:p w14:paraId="0CCC2D8D" w14:textId="77777777" w:rsidR="00064C94" w:rsidRPr="0081146C" w:rsidRDefault="00064C94" w:rsidP="00064C94">
      <w:pPr>
        <w:pStyle w:val="paragraph"/>
      </w:pPr>
      <w:r w:rsidRPr="0081146C">
        <w:tab/>
        <w:t>(f)</w:t>
      </w:r>
      <w:r w:rsidRPr="0081146C">
        <w:tab/>
        <w:t>the police force or police service of a State or the Northern Territory;</w:t>
      </w:r>
    </w:p>
    <w:p w14:paraId="0FFC26A9" w14:textId="77777777" w:rsidR="00064C94" w:rsidRPr="0081146C" w:rsidRDefault="00064C94" w:rsidP="00064C94">
      <w:pPr>
        <w:pStyle w:val="paragraph"/>
      </w:pPr>
      <w:r w:rsidRPr="0081146C">
        <w:tab/>
        <w:t>(g)</w:t>
      </w:r>
      <w:r w:rsidRPr="0081146C">
        <w:tab/>
        <w:t>a Commonwealth, State or Territory agency prescribed by the AML/CTF Rules.</w:t>
      </w:r>
    </w:p>
    <w:p w14:paraId="5763C9DB" w14:textId="77777777" w:rsidR="00064C94" w:rsidRPr="0081146C" w:rsidRDefault="00064C94" w:rsidP="00064C94">
      <w:pPr>
        <w:pStyle w:val="subsection"/>
      </w:pPr>
      <w:r w:rsidRPr="0081146C">
        <w:tab/>
        <w:t>(5)</w:t>
      </w:r>
      <w:r w:rsidRPr="0081146C">
        <w:tab/>
        <w:t>A keep open notice must:</w:t>
      </w:r>
    </w:p>
    <w:p w14:paraId="2A43B3B2" w14:textId="77777777" w:rsidR="00064C94" w:rsidRPr="0081146C" w:rsidRDefault="00064C94" w:rsidP="00064C94">
      <w:pPr>
        <w:pStyle w:val="paragraph"/>
      </w:pPr>
      <w:r w:rsidRPr="0081146C">
        <w:tab/>
        <w:t>(a)</w:t>
      </w:r>
      <w:r w:rsidRPr="0081146C">
        <w:tab/>
        <w:t>be in the form prescribed by the AML/CTF Rules for the purposes of this paragraph; and</w:t>
      </w:r>
    </w:p>
    <w:p w14:paraId="0251850A" w14:textId="77777777" w:rsidR="00064C94" w:rsidRPr="0081146C" w:rsidRDefault="00064C94" w:rsidP="00064C94">
      <w:pPr>
        <w:pStyle w:val="paragraph"/>
      </w:pPr>
      <w:r w:rsidRPr="0081146C">
        <w:tab/>
        <w:t>(b)</w:t>
      </w:r>
      <w:r w:rsidRPr="0081146C">
        <w:tab/>
        <w:t>contain such information, and be accompanied by such documents, as is required by the AML/CTF Rules.</w:t>
      </w:r>
    </w:p>
    <w:p w14:paraId="0C698E27" w14:textId="77777777" w:rsidR="00064C94" w:rsidRPr="0081146C" w:rsidRDefault="00064C94" w:rsidP="00064C94">
      <w:pPr>
        <w:pStyle w:val="subsection"/>
      </w:pPr>
      <w:r w:rsidRPr="0081146C">
        <w:tab/>
        <w:t>(6)</w:t>
      </w:r>
      <w:r w:rsidRPr="0081146C">
        <w:tab/>
        <w:t>Subject to subsections (7) and (8), a keep open notice is in force for the period:</w:t>
      </w:r>
    </w:p>
    <w:p w14:paraId="487F2684" w14:textId="77777777" w:rsidR="00064C94" w:rsidRPr="0081146C" w:rsidRDefault="00064C94" w:rsidP="00064C94">
      <w:pPr>
        <w:pStyle w:val="paragraph"/>
      </w:pPr>
      <w:r w:rsidRPr="0081146C">
        <w:tab/>
        <w:t>(a)</w:t>
      </w:r>
      <w:r w:rsidRPr="0081146C">
        <w:tab/>
        <w:t>starting on the day specified in the notice; and</w:t>
      </w:r>
    </w:p>
    <w:p w14:paraId="50F57733" w14:textId="77777777" w:rsidR="00064C94" w:rsidRPr="0081146C" w:rsidRDefault="00064C94" w:rsidP="00064C94">
      <w:pPr>
        <w:pStyle w:val="paragraph"/>
      </w:pPr>
      <w:r w:rsidRPr="0081146C">
        <w:tab/>
        <w:t>(b)</w:t>
      </w:r>
      <w:r w:rsidRPr="0081146C">
        <w:tab/>
        <w:t>ending on the earlier of:</w:t>
      </w:r>
    </w:p>
    <w:p w14:paraId="73EAC79A" w14:textId="77777777" w:rsidR="00064C94" w:rsidRPr="0081146C" w:rsidRDefault="00064C94" w:rsidP="00064C94">
      <w:pPr>
        <w:pStyle w:val="paragraphsub"/>
      </w:pPr>
      <w:r w:rsidRPr="0081146C">
        <w:tab/>
        <w:t>(i)</w:t>
      </w:r>
      <w:r w:rsidRPr="0081146C">
        <w:tab/>
        <w:t>the day that is 6 months after the day specified in the notice; and</w:t>
      </w:r>
    </w:p>
    <w:p w14:paraId="10F84440" w14:textId="77777777" w:rsidR="00064C94" w:rsidRPr="0081146C" w:rsidRDefault="00064C94" w:rsidP="00064C94">
      <w:pPr>
        <w:pStyle w:val="paragraphsub"/>
      </w:pPr>
      <w:r w:rsidRPr="0081146C">
        <w:tab/>
        <w:t>(ii)</w:t>
      </w:r>
      <w:r w:rsidRPr="0081146C">
        <w:tab/>
        <w:t>if the investigation to which the notice relates has ended—the day the agency that issued the notice notifies the reporting entity and the AUSTRAC CEO that the relevant investigation has ended.</w:t>
      </w:r>
    </w:p>
    <w:p w14:paraId="1F5F14E8" w14:textId="77777777" w:rsidR="00064C94" w:rsidRPr="0081146C" w:rsidRDefault="00064C94" w:rsidP="00064C94">
      <w:pPr>
        <w:pStyle w:val="subsection"/>
      </w:pPr>
      <w:r w:rsidRPr="0081146C">
        <w:tab/>
        <w:t>(7)</w:t>
      </w:r>
      <w:r w:rsidRPr="0081146C">
        <w:tab/>
        <w:t xml:space="preserve">A senior member of an agency that issued a keep open notice to a reporting entity may, by notice (an </w:t>
      </w:r>
      <w:r w:rsidRPr="0081146C">
        <w:rPr>
          <w:b/>
          <w:i/>
        </w:rPr>
        <w:t>extension notice</w:t>
      </w:r>
      <w:r w:rsidRPr="0081146C">
        <w:t>) to the reporting entity in the form prescribed by the AML/CTF Rules for the purposes of this subsection, extend the period for which the keep open notice remains in force for a further period of 6 months if:</w:t>
      </w:r>
    </w:p>
    <w:p w14:paraId="1DB1D0F7" w14:textId="77777777" w:rsidR="00064C94" w:rsidRPr="0081146C" w:rsidRDefault="00064C94" w:rsidP="00064C94">
      <w:pPr>
        <w:pStyle w:val="paragraph"/>
      </w:pPr>
      <w:r w:rsidRPr="0081146C">
        <w:tab/>
        <w:t>(a)</w:t>
      </w:r>
      <w:r w:rsidRPr="0081146C">
        <w:tab/>
        <w:t>the extension notice is issued to the reporting entity before the expiry of the keep open notice; and</w:t>
      </w:r>
    </w:p>
    <w:p w14:paraId="49AA4E8D" w14:textId="77777777" w:rsidR="00064C94" w:rsidRPr="0081146C" w:rsidRDefault="00064C94" w:rsidP="00064C94">
      <w:pPr>
        <w:pStyle w:val="paragraph"/>
      </w:pPr>
      <w:r w:rsidRPr="0081146C">
        <w:tab/>
        <w:t>(b)</w:t>
      </w:r>
      <w:r w:rsidRPr="0081146C">
        <w:tab/>
        <w:t>subject to subsection (8), the keep open notice has not previously been extended more than once under this subsection; and</w:t>
      </w:r>
    </w:p>
    <w:p w14:paraId="25944141" w14:textId="77777777" w:rsidR="00064C94" w:rsidRPr="0081146C" w:rsidRDefault="00064C94" w:rsidP="00064C94">
      <w:pPr>
        <w:pStyle w:val="paragraph"/>
      </w:pPr>
      <w:r w:rsidRPr="0081146C">
        <w:tab/>
        <w:t>(c)</w:t>
      </w:r>
      <w:r w:rsidRPr="0081146C">
        <w:tab/>
        <w:t>the senior member of the agency reasonably believes that the continued provision of a designated service by the reporting entity to the customer would assist in the investigation by the agency of a serious offence.</w:t>
      </w:r>
    </w:p>
    <w:p w14:paraId="43981FC6" w14:textId="77777777" w:rsidR="00064C94" w:rsidRPr="0081146C" w:rsidRDefault="00064C94" w:rsidP="00064C94">
      <w:pPr>
        <w:pStyle w:val="subsection"/>
      </w:pPr>
      <w:r w:rsidRPr="0081146C">
        <w:tab/>
        <w:t>(8)</w:t>
      </w:r>
      <w:r w:rsidRPr="0081146C">
        <w:tab/>
        <w:t>Paragraph (7)(b) does not apply in relation to an extension notice if:</w:t>
      </w:r>
    </w:p>
    <w:p w14:paraId="3E07BB82" w14:textId="77777777" w:rsidR="00064C94" w:rsidRPr="0081146C" w:rsidRDefault="00064C94" w:rsidP="00064C94">
      <w:pPr>
        <w:pStyle w:val="paragraph"/>
      </w:pPr>
      <w:r w:rsidRPr="0081146C">
        <w:tab/>
        <w:t>(a)</w:t>
      </w:r>
      <w:r w:rsidRPr="0081146C">
        <w:tab/>
        <w:t>the keep open notice has previously been extended at least twice under subsection (7); and</w:t>
      </w:r>
    </w:p>
    <w:p w14:paraId="49B13621" w14:textId="77777777" w:rsidR="00064C94" w:rsidRPr="0081146C" w:rsidRDefault="00064C94" w:rsidP="00064C94">
      <w:pPr>
        <w:pStyle w:val="paragraph"/>
      </w:pPr>
      <w:r w:rsidRPr="0081146C">
        <w:tab/>
        <w:t>(b)</w:t>
      </w:r>
      <w:r w:rsidRPr="0081146C">
        <w:tab/>
        <w:t>a senior member of the agency that issued the keep open notice applies to the AUSTRAC CEO in the form prescribed by the AML/CTF Rules for the purposes of this paragraph; and</w:t>
      </w:r>
    </w:p>
    <w:p w14:paraId="2E7669E7" w14:textId="77777777" w:rsidR="00064C94" w:rsidRPr="0081146C" w:rsidRDefault="00064C94" w:rsidP="00064C94">
      <w:pPr>
        <w:pStyle w:val="paragraph"/>
      </w:pPr>
      <w:r w:rsidRPr="0081146C">
        <w:tab/>
        <w:t>(c)</w:t>
      </w:r>
      <w:r w:rsidRPr="0081146C">
        <w:tab/>
        <w:t>the AUSTRAC CEO is satisfied that the continued provision of a designated service by the reporting entity to the customer would assist in the investigation by the agency of a serious offence; and</w:t>
      </w:r>
    </w:p>
    <w:p w14:paraId="0FC99B90" w14:textId="77777777" w:rsidR="00064C94" w:rsidRPr="0081146C" w:rsidRDefault="00064C94" w:rsidP="00064C94">
      <w:pPr>
        <w:pStyle w:val="paragraph"/>
      </w:pPr>
      <w:r w:rsidRPr="0081146C">
        <w:tab/>
        <w:t>(d)</w:t>
      </w:r>
      <w:r w:rsidRPr="0081146C">
        <w:tab/>
        <w:t>the AUSTRAC CEO gives notice, in writing, to the agency that paragraph (7)(b) does not apply in relation to the extension notice.</w:t>
      </w:r>
    </w:p>
    <w:p w14:paraId="44619238" w14:textId="77777777" w:rsidR="00064C94" w:rsidRPr="0081146C" w:rsidRDefault="00064C94" w:rsidP="00064C94">
      <w:pPr>
        <w:pStyle w:val="subsection"/>
      </w:pPr>
      <w:r w:rsidRPr="0081146C">
        <w:tab/>
        <w:t>(9)</w:t>
      </w:r>
      <w:r w:rsidRPr="0081146C">
        <w:tab/>
        <w:t>The AUSTRAC CEO may give a notice under paragraph (8)(d) more than once in relation to a particular keep open notice.</w:t>
      </w:r>
    </w:p>
    <w:p w14:paraId="6E333CF1" w14:textId="77777777" w:rsidR="00064C94" w:rsidRPr="0081146C" w:rsidRDefault="00064C94" w:rsidP="00064C94">
      <w:pPr>
        <w:pStyle w:val="ActHead5"/>
      </w:pPr>
      <w:bookmarkStart w:id="212" w:name="_Toc176444496"/>
      <w:bookmarkStart w:id="213" w:name="_Toc184034117"/>
      <w:bookmarkStart w:id="214" w:name="_Toc185415787"/>
      <w:r w:rsidRPr="0081146C">
        <w:rPr>
          <w:rStyle w:val="CharSectno"/>
        </w:rPr>
        <w:t>39C</w:t>
      </w:r>
      <w:r w:rsidRPr="0081146C">
        <w:t xml:space="preserve">  Keep open notices—AUSTRAC oversight</w:t>
      </w:r>
      <w:bookmarkEnd w:id="212"/>
      <w:bookmarkEnd w:id="213"/>
      <w:bookmarkEnd w:id="214"/>
    </w:p>
    <w:p w14:paraId="3EB5D825" w14:textId="77777777" w:rsidR="00064C94" w:rsidRPr="0081146C" w:rsidRDefault="00064C94" w:rsidP="00064C94">
      <w:pPr>
        <w:pStyle w:val="subsection"/>
      </w:pPr>
      <w:r w:rsidRPr="0081146C">
        <w:tab/>
        <w:t>(1)</w:t>
      </w:r>
      <w:r w:rsidRPr="0081146C">
        <w:tab/>
        <w:t>This section applies if a senior member of an agency mentioned in subsection 39B(4) issues to a reporting entity:</w:t>
      </w:r>
    </w:p>
    <w:p w14:paraId="6131E12D" w14:textId="77777777" w:rsidR="00064C94" w:rsidRPr="0081146C" w:rsidRDefault="00064C94" w:rsidP="00064C94">
      <w:pPr>
        <w:pStyle w:val="paragraph"/>
      </w:pPr>
      <w:r w:rsidRPr="0081146C">
        <w:tab/>
        <w:t>(a)</w:t>
      </w:r>
      <w:r w:rsidRPr="0081146C">
        <w:tab/>
        <w:t>a keep open notice under subsection 39B(1); or</w:t>
      </w:r>
    </w:p>
    <w:p w14:paraId="51985E1A" w14:textId="77777777" w:rsidR="00064C94" w:rsidRPr="0081146C" w:rsidRDefault="00064C94" w:rsidP="00064C94">
      <w:pPr>
        <w:pStyle w:val="paragraph"/>
      </w:pPr>
      <w:r w:rsidRPr="0081146C">
        <w:tab/>
        <w:t>(b)</w:t>
      </w:r>
      <w:r w:rsidRPr="0081146C">
        <w:tab/>
        <w:t>an extension notice under subsection 39B(7).</w:t>
      </w:r>
    </w:p>
    <w:p w14:paraId="5D5EF4B8" w14:textId="77777777" w:rsidR="00064C94" w:rsidRPr="0081146C" w:rsidRDefault="00064C94" w:rsidP="00064C94">
      <w:pPr>
        <w:pStyle w:val="subsection"/>
      </w:pPr>
      <w:r w:rsidRPr="0081146C">
        <w:tab/>
        <w:t>(2)</w:t>
      </w:r>
      <w:r w:rsidRPr="0081146C">
        <w:tab/>
        <w:t>The senior member of the agency must send a copy of the keep open notice or extension notice to the AUSTRAC CEO at the same time the notice is issued to the reporting entity.</w:t>
      </w:r>
    </w:p>
    <w:p w14:paraId="1EDF188D" w14:textId="77777777" w:rsidR="00064C94" w:rsidRPr="0081146C" w:rsidRDefault="00064C94" w:rsidP="00064C94">
      <w:pPr>
        <w:pStyle w:val="subsection"/>
      </w:pPr>
      <w:r w:rsidRPr="0081146C">
        <w:tab/>
        <w:t>(3)</w:t>
      </w:r>
      <w:r w:rsidRPr="0081146C">
        <w:tab/>
        <w:t>The AUSTRAC CEO may revoke:</w:t>
      </w:r>
    </w:p>
    <w:p w14:paraId="6FBDADAA" w14:textId="77777777" w:rsidR="00064C94" w:rsidRPr="0081146C" w:rsidRDefault="00064C94" w:rsidP="00064C94">
      <w:pPr>
        <w:pStyle w:val="paragraph"/>
      </w:pPr>
      <w:r w:rsidRPr="0081146C">
        <w:tab/>
        <w:t>(a)</w:t>
      </w:r>
      <w:r w:rsidRPr="0081146C">
        <w:tab/>
        <w:t>a keep open notice issued under subsection 39B(1); or</w:t>
      </w:r>
    </w:p>
    <w:p w14:paraId="5ABC47CB" w14:textId="77777777" w:rsidR="00064C94" w:rsidRPr="0081146C" w:rsidRDefault="00064C94" w:rsidP="00064C94">
      <w:pPr>
        <w:pStyle w:val="paragraph"/>
      </w:pPr>
      <w:r w:rsidRPr="0081146C">
        <w:tab/>
        <w:t>(b)</w:t>
      </w:r>
      <w:r w:rsidRPr="0081146C">
        <w:tab/>
        <w:t>an extension notice under subsection 39B(7);</w:t>
      </w:r>
    </w:p>
    <w:p w14:paraId="041B2C76" w14:textId="77777777" w:rsidR="00064C94" w:rsidRPr="0081146C" w:rsidRDefault="00064C94" w:rsidP="00064C94">
      <w:pPr>
        <w:pStyle w:val="subsection2"/>
      </w:pPr>
      <w:r w:rsidRPr="0081146C">
        <w:t>if the AUSTRAC CEO is satisfied that the notice does not comply with the requirements of this Act or the AML/CTF Rules.</w:t>
      </w:r>
    </w:p>
    <w:p w14:paraId="21856C0F" w14:textId="77777777" w:rsidR="00064C94" w:rsidRPr="0081146C" w:rsidRDefault="00064C94" w:rsidP="00064C94">
      <w:pPr>
        <w:pStyle w:val="subsection"/>
      </w:pPr>
      <w:r w:rsidRPr="0081146C">
        <w:tab/>
        <w:t>(4)</w:t>
      </w:r>
      <w:r w:rsidRPr="0081146C">
        <w:tab/>
        <w:t>If the AUSTRAC CEO revokes a notice under subsection (3), the AUSTRAC CEO must notify:</w:t>
      </w:r>
    </w:p>
    <w:p w14:paraId="168F2FFA" w14:textId="77777777" w:rsidR="00064C94" w:rsidRPr="0081146C" w:rsidRDefault="00064C94" w:rsidP="00064C94">
      <w:pPr>
        <w:pStyle w:val="paragraph"/>
      </w:pPr>
      <w:r w:rsidRPr="0081146C">
        <w:tab/>
        <w:t>(a)</w:t>
      </w:r>
      <w:r w:rsidRPr="0081146C">
        <w:tab/>
        <w:t>the agency that issued the notice; and</w:t>
      </w:r>
    </w:p>
    <w:p w14:paraId="0E3049F6" w14:textId="77777777" w:rsidR="00064C94" w:rsidRPr="0081146C" w:rsidRDefault="00064C94" w:rsidP="00064C94">
      <w:pPr>
        <w:pStyle w:val="paragraph"/>
      </w:pPr>
      <w:r w:rsidRPr="0081146C">
        <w:tab/>
        <w:t>(b)</w:t>
      </w:r>
      <w:r w:rsidRPr="0081146C">
        <w:tab/>
        <w:t>the reporting entity to whom the notice was issued.</w:t>
      </w:r>
    </w:p>
    <w:p w14:paraId="6D92286C" w14:textId="77777777" w:rsidR="00064C94" w:rsidRPr="0081146C" w:rsidRDefault="00064C94" w:rsidP="00064C94">
      <w:pPr>
        <w:pStyle w:val="ActHead5"/>
      </w:pPr>
      <w:bookmarkStart w:id="215" w:name="_Toc176444497"/>
      <w:bookmarkStart w:id="216" w:name="_Toc184034118"/>
      <w:bookmarkStart w:id="217" w:name="_Toc185415788"/>
      <w:r w:rsidRPr="0081146C">
        <w:rPr>
          <w:rStyle w:val="CharSectno"/>
        </w:rPr>
        <w:t>39D</w:t>
      </w:r>
      <w:r w:rsidRPr="0081146C">
        <w:t xml:space="preserve">  Exemption—when a suspicious matter reporting obligation arises</w:t>
      </w:r>
      <w:bookmarkEnd w:id="215"/>
      <w:bookmarkEnd w:id="216"/>
      <w:bookmarkEnd w:id="217"/>
    </w:p>
    <w:p w14:paraId="1B25B112" w14:textId="77777777" w:rsidR="00064C94" w:rsidRPr="0081146C" w:rsidRDefault="00064C94" w:rsidP="00064C94">
      <w:pPr>
        <w:pStyle w:val="subsection"/>
      </w:pPr>
      <w:r w:rsidRPr="0081146C">
        <w:tab/>
        <w:t>(1)</w:t>
      </w:r>
      <w:r w:rsidRPr="0081146C">
        <w:tab/>
        <w:t>This section applies if a suspicious matter reporting obligation arises for a reporting entity in relation to a customer.</w:t>
      </w:r>
    </w:p>
    <w:p w14:paraId="1006C081" w14:textId="77777777" w:rsidR="00064C94" w:rsidRPr="0081146C" w:rsidRDefault="00064C94" w:rsidP="00064C94">
      <w:pPr>
        <w:pStyle w:val="notetext"/>
      </w:pPr>
      <w:r w:rsidRPr="0081146C">
        <w:t>Note:</w:t>
      </w:r>
      <w:r w:rsidRPr="0081146C">
        <w:tab/>
        <w:t xml:space="preserve">For </w:t>
      </w:r>
      <w:r w:rsidRPr="0081146C">
        <w:rPr>
          <w:b/>
          <w:i/>
        </w:rPr>
        <w:t>suspicious matter reporting obligation</w:t>
      </w:r>
      <w:r w:rsidRPr="0081146C">
        <w:t>, see section 41.</w:t>
      </w:r>
    </w:p>
    <w:p w14:paraId="6E13DAD8" w14:textId="77777777" w:rsidR="00064C94" w:rsidRPr="0081146C" w:rsidRDefault="00064C94" w:rsidP="00064C94">
      <w:pPr>
        <w:pStyle w:val="subsection"/>
      </w:pPr>
      <w:r w:rsidRPr="0081146C">
        <w:tab/>
        <w:t>(2)</w:t>
      </w:r>
      <w:r w:rsidRPr="0081146C">
        <w:tab/>
        <w:t>Despite any other provision of this Part or Part 1A, section 28, 30, or 26G does not apply to the reporting entity in respect of the provision of a designated service to the customer to the extent that the reporting entity reasonably believes that compliance with that section would or could reasonably be expected to alert the customer to the reporting entity’s suspicion.</w:t>
      </w:r>
    </w:p>
    <w:p w14:paraId="0ABF8356" w14:textId="77777777" w:rsidR="00064C94" w:rsidRPr="0081146C" w:rsidRDefault="00064C94" w:rsidP="00064C94">
      <w:pPr>
        <w:pStyle w:val="ActHead5"/>
      </w:pPr>
      <w:bookmarkStart w:id="218" w:name="_Toc176444498"/>
      <w:bookmarkStart w:id="219" w:name="_Toc184034119"/>
      <w:bookmarkStart w:id="220" w:name="_Toc185415789"/>
      <w:r w:rsidRPr="0081146C">
        <w:rPr>
          <w:rStyle w:val="CharSectno"/>
        </w:rPr>
        <w:t>39E</w:t>
      </w:r>
      <w:r w:rsidRPr="0081146C">
        <w:t xml:space="preserve">  Exemptions—specified conditions</w:t>
      </w:r>
      <w:bookmarkEnd w:id="218"/>
      <w:bookmarkEnd w:id="219"/>
      <w:bookmarkEnd w:id="220"/>
    </w:p>
    <w:p w14:paraId="701E3F40" w14:textId="77777777" w:rsidR="00064C94" w:rsidRPr="0081146C" w:rsidRDefault="00064C94" w:rsidP="00064C94">
      <w:pPr>
        <w:pStyle w:val="subsection"/>
      </w:pPr>
      <w:r w:rsidRPr="0081146C">
        <w:tab/>
      </w:r>
      <w:r w:rsidRPr="0081146C">
        <w:tab/>
        <w:t>Section 28 (undertaking initial customer due diligence) does not apply to a reporting entity in respect of the provision of a designated service to a customer if:</w:t>
      </w:r>
    </w:p>
    <w:p w14:paraId="536D5F41" w14:textId="77777777" w:rsidR="00064C94" w:rsidRPr="0081146C" w:rsidRDefault="00064C94" w:rsidP="00064C94">
      <w:pPr>
        <w:pStyle w:val="paragraph"/>
      </w:pPr>
      <w:r w:rsidRPr="0081146C">
        <w:tab/>
        <w:t>(a)</w:t>
      </w:r>
      <w:r w:rsidRPr="0081146C">
        <w:tab/>
        <w:t>the designated service is specified in column 1 of an item of the following table; and</w:t>
      </w:r>
    </w:p>
    <w:p w14:paraId="25EC14C2" w14:textId="77777777" w:rsidR="00064C94" w:rsidRPr="0081146C" w:rsidRDefault="00064C94" w:rsidP="00064C94">
      <w:pPr>
        <w:pStyle w:val="paragraph"/>
      </w:pPr>
      <w:r w:rsidRPr="0081146C">
        <w:tab/>
        <w:t>(b)</w:t>
      </w:r>
      <w:r w:rsidRPr="0081146C">
        <w:tab/>
        <w:t>the conditions (if any) specified in column 2 of the item are satisfied; and</w:t>
      </w:r>
    </w:p>
    <w:p w14:paraId="6CE52FA4" w14:textId="77777777" w:rsidR="00064C94" w:rsidRPr="0081146C" w:rsidRDefault="00064C94" w:rsidP="00064C94">
      <w:pPr>
        <w:pStyle w:val="paragraph"/>
      </w:pPr>
      <w:r w:rsidRPr="0081146C">
        <w:tab/>
        <w:t>(c)</w:t>
      </w:r>
      <w:r w:rsidRPr="0081146C">
        <w:tab/>
        <w:t>the reporting entity does not have an enhanced due diligence obligation in relation to the customer under section 32.</w:t>
      </w:r>
    </w:p>
    <w:p w14:paraId="2F618643" w14:textId="77777777" w:rsidR="00064C94" w:rsidRPr="0081146C" w:rsidRDefault="00064C94" w:rsidP="00064C9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064C94" w:rsidRPr="0081146C" w14:paraId="057D833B" w14:textId="77777777" w:rsidTr="00015444">
        <w:trPr>
          <w:tblHeader/>
        </w:trPr>
        <w:tc>
          <w:tcPr>
            <w:tcW w:w="7086" w:type="dxa"/>
            <w:gridSpan w:val="3"/>
            <w:tcBorders>
              <w:top w:val="single" w:sz="12" w:space="0" w:color="auto"/>
              <w:bottom w:val="single" w:sz="6" w:space="0" w:color="auto"/>
            </w:tcBorders>
            <w:shd w:val="clear" w:color="auto" w:fill="auto"/>
          </w:tcPr>
          <w:p w14:paraId="4B689088" w14:textId="77777777" w:rsidR="00064C94" w:rsidRPr="0081146C" w:rsidRDefault="00064C94" w:rsidP="00015444">
            <w:pPr>
              <w:pStyle w:val="TableHeading"/>
            </w:pPr>
            <w:r w:rsidRPr="0081146C">
              <w:t>Exemptions—specified conditions</w:t>
            </w:r>
          </w:p>
        </w:tc>
      </w:tr>
      <w:tr w:rsidR="00064C94" w:rsidRPr="0081146C" w14:paraId="6227C3CD" w14:textId="77777777" w:rsidTr="00015444">
        <w:trPr>
          <w:tblHeader/>
        </w:trPr>
        <w:tc>
          <w:tcPr>
            <w:tcW w:w="714" w:type="dxa"/>
            <w:tcBorders>
              <w:top w:val="single" w:sz="6" w:space="0" w:color="auto"/>
              <w:bottom w:val="single" w:sz="12" w:space="0" w:color="auto"/>
            </w:tcBorders>
            <w:shd w:val="clear" w:color="auto" w:fill="auto"/>
          </w:tcPr>
          <w:p w14:paraId="3B202F66" w14:textId="77777777" w:rsidR="00064C94" w:rsidRPr="0081146C" w:rsidRDefault="00064C94" w:rsidP="00015444">
            <w:pPr>
              <w:pStyle w:val="TableHeading"/>
            </w:pPr>
          </w:p>
          <w:p w14:paraId="5CC72209" w14:textId="77777777" w:rsidR="00064C94" w:rsidRPr="0081146C" w:rsidRDefault="00064C94" w:rsidP="00015444">
            <w:pPr>
              <w:pStyle w:val="TableHeading"/>
            </w:pPr>
            <w:r w:rsidRPr="0081146C">
              <w:t>Item</w:t>
            </w:r>
          </w:p>
        </w:tc>
        <w:tc>
          <w:tcPr>
            <w:tcW w:w="2400" w:type="dxa"/>
            <w:tcBorders>
              <w:top w:val="single" w:sz="6" w:space="0" w:color="auto"/>
              <w:bottom w:val="single" w:sz="12" w:space="0" w:color="auto"/>
            </w:tcBorders>
            <w:shd w:val="clear" w:color="auto" w:fill="auto"/>
          </w:tcPr>
          <w:p w14:paraId="5E71A622" w14:textId="77777777" w:rsidR="00064C94" w:rsidRPr="0081146C" w:rsidRDefault="00064C94" w:rsidP="00015444">
            <w:pPr>
              <w:pStyle w:val="TableHeading"/>
            </w:pPr>
            <w:r w:rsidRPr="0081146C">
              <w:t>Column 1</w:t>
            </w:r>
          </w:p>
          <w:p w14:paraId="48FF51A6" w14:textId="77777777" w:rsidR="00064C94" w:rsidRPr="0081146C" w:rsidRDefault="00064C94" w:rsidP="00015444">
            <w:pPr>
              <w:pStyle w:val="TableHeading"/>
            </w:pPr>
            <w:r w:rsidRPr="0081146C">
              <w:t>Designated service</w:t>
            </w:r>
          </w:p>
        </w:tc>
        <w:tc>
          <w:tcPr>
            <w:tcW w:w="3972" w:type="dxa"/>
            <w:tcBorders>
              <w:top w:val="single" w:sz="6" w:space="0" w:color="auto"/>
              <w:bottom w:val="single" w:sz="12" w:space="0" w:color="auto"/>
            </w:tcBorders>
            <w:shd w:val="clear" w:color="auto" w:fill="auto"/>
          </w:tcPr>
          <w:p w14:paraId="05EC2B58" w14:textId="77777777" w:rsidR="00064C94" w:rsidRPr="0081146C" w:rsidRDefault="00064C94" w:rsidP="00015444">
            <w:pPr>
              <w:pStyle w:val="TableHeading"/>
            </w:pPr>
            <w:r w:rsidRPr="0081146C">
              <w:t>Column 2</w:t>
            </w:r>
          </w:p>
          <w:p w14:paraId="504780DF" w14:textId="77777777" w:rsidR="00064C94" w:rsidRPr="0081146C" w:rsidRDefault="00064C94" w:rsidP="00015444">
            <w:pPr>
              <w:pStyle w:val="TableHeading"/>
            </w:pPr>
            <w:r w:rsidRPr="0081146C">
              <w:t>Conditions</w:t>
            </w:r>
          </w:p>
        </w:tc>
      </w:tr>
      <w:tr w:rsidR="00064C94" w:rsidRPr="0081146C" w14:paraId="37DAF05B" w14:textId="77777777" w:rsidTr="00015444">
        <w:tc>
          <w:tcPr>
            <w:tcW w:w="714" w:type="dxa"/>
            <w:tcBorders>
              <w:top w:val="single" w:sz="12" w:space="0" w:color="auto"/>
            </w:tcBorders>
            <w:shd w:val="clear" w:color="auto" w:fill="auto"/>
          </w:tcPr>
          <w:p w14:paraId="2A8F72AE" w14:textId="77777777" w:rsidR="00064C94" w:rsidRPr="0081146C" w:rsidRDefault="00064C94" w:rsidP="00015444">
            <w:pPr>
              <w:pStyle w:val="Tabletext"/>
            </w:pPr>
            <w:r w:rsidRPr="0081146C">
              <w:t>1</w:t>
            </w:r>
          </w:p>
        </w:tc>
        <w:tc>
          <w:tcPr>
            <w:tcW w:w="2400" w:type="dxa"/>
            <w:tcBorders>
              <w:top w:val="single" w:sz="12" w:space="0" w:color="auto"/>
            </w:tcBorders>
            <w:shd w:val="clear" w:color="auto" w:fill="auto"/>
          </w:tcPr>
          <w:p w14:paraId="5C2F4391" w14:textId="77777777" w:rsidR="00064C94" w:rsidRPr="0081146C" w:rsidRDefault="00064C94" w:rsidP="00015444">
            <w:pPr>
              <w:pStyle w:val="Tabletext"/>
            </w:pPr>
            <w:r w:rsidRPr="0081146C">
              <w:t>item 2 or 3 of table 1 in section 6</w:t>
            </w:r>
          </w:p>
        </w:tc>
        <w:tc>
          <w:tcPr>
            <w:tcW w:w="3972" w:type="dxa"/>
            <w:tcBorders>
              <w:top w:val="single" w:sz="12" w:space="0" w:color="auto"/>
            </w:tcBorders>
            <w:shd w:val="clear" w:color="auto" w:fill="auto"/>
          </w:tcPr>
          <w:p w14:paraId="1C400106" w14:textId="77777777" w:rsidR="00064C94" w:rsidRPr="0081146C" w:rsidRDefault="00064C94" w:rsidP="00015444">
            <w:pPr>
              <w:pStyle w:val="Tablea"/>
            </w:pPr>
            <w:r w:rsidRPr="0081146C">
              <w:t>(a) the reporting entity providing the designated service is a financial institution; and</w:t>
            </w:r>
          </w:p>
          <w:p w14:paraId="5E73F382" w14:textId="77777777" w:rsidR="00064C94" w:rsidRPr="0081146C" w:rsidRDefault="00064C94" w:rsidP="00015444">
            <w:pPr>
              <w:pStyle w:val="Tablea"/>
            </w:pPr>
            <w:r w:rsidRPr="0081146C">
              <w:t>(b) the designated service:</w:t>
            </w:r>
          </w:p>
          <w:p w14:paraId="2151A223" w14:textId="77777777" w:rsidR="00064C94" w:rsidRPr="0081146C" w:rsidRDefault="00064C94" w:rsidP="00015444">
            <w:pPr>
              <w:pStyle w:val="Tablei"/>
            </w:pPr>
            <w:r w:rsidRPr="0081146C">
              <w:t>(i) relates to a correspondent banking relationship; and</w:t>
            </w:r>
          </w:p>
          <w:p w14:paraId="53C5DF5F" w14:textId="77777777" w:rsidR="00064C94" w:rsidRPr="0081146C" w:rsidRDefault="00064C94" w:rsidP="00015444">
            <w:pPr>
              <w:pStyle w:val="Tablei"/>
            </w:pPr>
            <w:r w:rsidRPr="0081146C">
              <w:t>(ii) occurs in circumstances where there is a geographical link in accordance with section 100; and</w:t>
            </w:r>
          </w:p>
          <w:p w14:paraId="6917245D" w14:textId="77777777" w:rsidR="00064C94" w:rsidRPr="0081146C" w:rsidRDefault="00064C94" w:rsidP="00015444">
            <w:pPr>
              <w:pStyle w:val="Tablei"/>
            </w:pPr>
            <w:r w:rsidRPr="0081146C">
              <w:t>(iii) relates to signatories to the account who are employees of the other financial institution</w:t>
            </w:r>
          </w:p>
        </w:tc>
      </w:tr>
      <w:tr w:rsidR="00064C94" w:rsidRPr="0081146C" w14:paraId="3D303AB6" w14:textId="77777777" w:rsidTr="00015444">
        <w:tc>
          <w:tcPr>
            <w:tcW w:w="714" w:type="dxa"/>
            <w:shd w:val="clear" w:color="auto" w:fill="auto"/>
          </w:tcPr>
          <w:p w14:paraId="6543B477" w14:textId="77777777" w:rsidR="00064C94" w:rsidRPr="0081146C" w:rsidRDefault="00064C94" w:rsidP="00015444">
            <w:pPr>
              <w:pStyle w:val="Tabletext"/>
            </w:pPr>
            <w:r w:rsidRPr="0081146C">
              <w:t>2</w:t>
            </w:r>
          </w:p>
        </w:tc>
        <w:tc>
          <w:tcPr>
            <w:tcW w:w="2400" w:type="dxa"/>
            <w:shd w:val="clear" w:color="auto" w:fill="auto"/>
          </w:tcPr>
          <w:p w14:paraId="716F1829" w14:textId="77777777" w:rsidR="00064C94" w:rsidRPr="0081146C" w:rsidRDefault="00064C94" w:rsidP="00015444">
            <w:pPr>
              <w:pStyle w:val="Tabletext"/>
            </w:pPr>
            <w:r w:rsidRPr="0081146C">
              <w:t>paragraph (a) of item 17 of table 1 in section 6</w:t>
            </w:r>
          </w:p>
        </w:tc>
        <w:tc>
          <w:tcPr>
            <w:tcW w:w="3972" w:type="dxa"/>
            <w:shd w:val="clear" w:color="auto" w:fill="auto"/>
          </w:tcPr>
          <w:p w14:paraId="4DFEE26B" w14:textId="77777777" w:rsidR="00064C94" w:rsidRPr="0081146C" w:rsidRDefault="00064C94" w:rsidP="00015444">
            <w:pPr>
              <w:pStyle w:val="Tablea"/>
            </w:pPr>
            <w:r w:rsidRPr="0081146C">
              <w:t>(a) the reporting entity issues a cheque that the reporting entity draws on itself; and</w:t>
            </w:r>
          </w:p>
          <w:p w14:paraId="4640F0B9" w14:textId="77777777" w:rsidR="00064C94" w:rsidRPr="0081146C" w:rsidRDefault="00064C94" w:rsidP="00015444">
            <w:pPr>
              <w:pStyle w:val="Tablea"/>
            </w:pPr>
            <w:r w:rsidRPr="0081146C">
              <w:t>(b) the cheque is drawn from an account held at the issuing ADI, building society, credit union or representative office of a foreign bank; and</w:t>
            </w:r>
          </w:p>
          <w:p w14:paraId="445FB87B" w14:textId="77777777" w:rsidR="00064C94" w:rsidRPr="0081146C" w:rsidRDefault="00064C94" w:rsidP="00015444">
            <w:pPr>
              <w:pStyle w:val="Tablea"/>
            </w:pPr>
            <w:r w:rsidRPr="0081146C">
              <w:t>(c) the cheque contains details of the payee; and</w:t>
            </w:r>
          </w:p>
          <w:p w14:paraId="27352745" w14:textId="77777777" w:rsidR="00064C94" w:rsidRPr="0081146C" w:rsidRDefault="00064C94" w:rsidP="00015444">
            <w:pPr>
              <w:pStyle w:val="Tablea"/>
            </w:pPr>
            <w:r w:rsidRPr="0081146C">
              <w:t>(d) the face value of the cheque is less than $5,000</w:t>
            </w:r>
          </w:p>
        </w:tc>
      </w:tr>
      <w:tr w:rsidR="00064C94" w:rsidRPr="0081146C" w14:paraId="19709DE3" w14:textId="77777777" w:rsidTr="00015444">
        <w:tc>
          <w:tcPr>
            <w:tcW w:w="714" w:type="dxa"/>
            <w:shd w:val="clear" w:color="auto" w:fill="auto"/>
          </w:tcPr>
          <w:p w14:paraId="7E493E3E" w14:textId="77777777" w:rsidR="00064C94" w:rsidRPr="0081146C" w:rsidRDefault="00064C94" w:rsidP="00015444">
            <w:pPr>
              <w:pStyle w:val="Tabletext"/>
            </w:pPr>
            <w:r w:rsidRPr="0081146C">
              <w:t>3</w:t>
            </w:r>
          </w:p>
        </w:tc>
        <w:tc>
          <w:tcPr>
            <w:tcW w:w="2400" w:type="dxa"/>
            <w:shd w:val="clear" w:color="auto" w:fill="auto"/>
          </w:tcPr>
          <w:p w14:paraId="5AE5C077" w14:textId="77777777" w:rsidR="00064C94" w:rsidRPr="0081146C" w:rsidRDefault="00064C94" w:rsidP="00015444">
            <w:pPr>
              <w:pStyle w:val="Tabletext"/>
            </w:pPr>
            <w:r w:rsidRPr="0081146C">
              <w:t>paragraph (a) of item 17 of table 1 in section 6</w:t>
            </w:r>
          </w:p>
        </w:tc>
        <w:tc>
          <w:tcPr>
            <w:tcW w:w="3972" w:type="dxa"/>
            <w:shd w:val="clear" w:color="auto" w:fill="auto"/>
          </w:tcPr>
          <w:p w14:paraId="3B157D75" w14:textId="77777777" w:rsidR="00064C94" w:rsidRPr="0081146C" w:rsidRDefault="00064C94" w:rsidP="00015444">
            <w:pPr>
              <w:pStyle w:val="Tablea"/>
            </w:pPr>
            <w:r w:rsidRPr="0081146C">
              <w:t>(a) the reporting entity issues a cheque that the reporting entity draws on itself; and</w:t>
            </w:r>
          </w:p>
          <w:p w14:paraId="427ABE61" w14:textId="77777777" w:rsidR="00064C94" w:rsidRPr="0081146C" w:rsidRDefault="00064C94" w:rsidP="00015444">
            <w:pPr>
              <w:pStyle w:val="Tablea"/>
            </w:pPr>
            <w:r w:rsidRPr="0081146C">
              <w:t>(b) the cheque is funded by physical currency; and</w:t>
            </w:r>
          </w:p>
          <w:p w14:paraId="79E67703" w14:textId="77777777" w:rsidR="00064C94" w:rsidRPr="0081146C" w:rsidRDefault="00064C94" w:rsidP="00015444">
            <w:pPr>
              <w:pStyle w:val="Tablea"/>
            </w:pPr>
            <w:r w:rsidRPr="0081146C">
              <w:t>(c) the face value of the cheque is less than $1,000</w:t>
            </w:r>
          </w:p>
        </w:tc>
      </w:tr>
      <w:tr w:rsidR="00064C94" w:rsidRPr="0081146C" w14:paraId="06BA891F" w14:textId="77777777" w:rsidTr="00015444">
        <w:tc>
          <w:tcPr>
            <w:tcW w:w="714" w:type="dxa"/>
            <w:shd w:val="clear" w:color="auto" w:fill="auto"/>
          </w:tcPr>
          <w:p w14:paraId="1065C13E" w14:textId="77777777" w:rsidR="00064C94" w:rsidRPr="0081146C" w:rsidRDefault="00064C94" w:rsidP="00015444">
            <w:pPr>
              <w:pStyle w:val="Tabletext"/>
            </w:pPr>
            <w:r w:rsidRPr="0081146C">
              <w:t>4</w:t>
            </w:r>
          </w:p>
        </w:tc>
        <w:tc>
          <w:tcPr>
            <w:tcW w:w="2400" w:type="dxa"/>
            <w:shd w:val="clear" w:color="auto" w:fill="auto"/>
          </w:tcPr>
          <w:p w14:paraId="2AB32EB5" w14:textId="77777777" w:rsidR="00064C94" w:rsidRPr="0081146C" w:rsidRDefault="00064C94" w:rsidP="00015444">
            <w:pPr>
              <w:pStyle w:val="Tabletext"/>
            </w:pPr>
            <w:r w:rsidRPr="0081146C">
              <w:t>item 25 or 26 of table 1 in section 6</w:t>
            </w:r>
          </w:p>
        </w:tc>
        <w:tc>
          <w:tcPr>
            <w:tcW w:w="3972" w:type="dxa"/>
            <w:shd w:val="clear" w:color="auto" w:fill="auto"/>
          </w:tcPr>
          <w:p w14:paraId="37139EA9" w14:textId="77777777" w:rsidR="00064C94" w:rsidRPr="0081146C" w:rsidRDefault="00064C94" w:rsidP="00015444">
            <w:pPr>
              <w:pStyle w:val="Tabletext"/>
            </w:pPr>
            <w:r w:rsidRPr="0081146C">
              <w:t>the sum of the face value of the traveller’s cheque or traveller’s cheques issued, cashed or redeemed in any one transaction is less than $1,000</w:t>
            </w:r>
          </w:p>
        </w:tc>
      </w:tr>
      <w:tr w:rsidR="00064C94" w:rsidRPr="0081146C" w14:paraId="3D110B2F" w14:textId="77777777" w:rsidTr="00015444">
        <w:tc>
          <w:tcPr>
            <w:tcW w:w="714" w:type="dxa"/>
            <w:shd w:val="clear" w:color="auto" w:fill="auto"/>
          </w:tcPr>
          <w:p w14:paraId="3D2B27EE" w14:textId="77777777" w:rsidR="00064C94" w:rsidRPr="0081146C" w:rsidRDefault="00064C94" w:rsidP="00015444">
            <w:pPr>
              <w:pStyle w:val="Tabletext"/>
            </w:pPr>
            <w:r w:rsidRPr="0081146C">
              <w:t>5</w:t>
            </w:r>
          </w:p>
        </w:tc>
        <w:tc>
          <w:tcPr>
            <w:tcW w:w="2400" w:type="dxa"/>
            <w:shd w:val="clear" w:color="auto" w:fill="auto"/>
          </w:tcPr>
          <w:p w14:paraId="3BA79BBF" w14:textId="77777777" w:rsidR="00064C94" w:rsidRPr="0081146C" w:rsidRDefault="00064C94" w:rsidP="00015444">
            <w:pPr>
              <w:pStyle w:val="Tabletext"/>
            </w:pPr>
            <w:r w:rsidRPr="0081146C">
              <w:t>item 25 or 26 of table 1 in section 6</w:t>
            </w:r>
          </w:p>
        </w:tc>
        <w:tc>
          <w:tcPr>
            <w:tcW w:w="3972" w:type="dxa"/>
            <w:shd w:val="clear" w:color="auto" w:fill="auto"/>
          </w:tcPr>
          <w:p w14:paraId="280EB066" w14:textId="77777777" w:rsidR="00064C94" w:rsidRPr="0081146C" w:rsidRDefault="00064C94" w:rsidP="00015444">
            <w:pPr>
              <w:pStyle w:val="Tablea"/>
            </w:pPr>
            <w:r w:rsidRPr="0081146C">
              <w:t>(a) the issuing, cashing or redeeming of the traveller’s cheque or traveller’s cheques is one of 2 or more transactions that the reporting entity reasonably believes to be linked; and</w:t>
            </w:r>
          </w:p>
          <w:p w14:paraId="569213DE" w14:textId="77777777" w:rsidR="00064C94" w:rsidRPr="0081146C" w:rsidRDefault="00064C94" w:rsidP="00015444">
            <w:pPr>
              <w:pStyle w:val="Tablea"/>
            </w:pPr>
            <w:r w:rsidRPr="0081146C">
              <w:t>(b) the sum of the face value of the traveller’s cheque or traveller’s cheques issued, cashed or redeemed as part of the linked transactions is less than $1,000</w:t>
            </w:r>
          </w:p>
        </w:tc>
      </w:tr>
      <w:tr w:rsidR="00064C94" w:rsidRPr="0081146C" w14:paraId="75AE4EFC" w14:textId="77777777" w:rsidTr="00015444">
        <w:tc>
          <w:tcPr>
            <w:tcW w:w="714" w:type="dxa"/>
            <w:shd w:val="clear" w:color="auto" w:fill="auto"/>
          </w:tcPr>
          <w:p w14:paraId="51E6D441" w14:textId="77777777" w:rsidR="00064C94" w:rsidRPr="0081146C" w:rsidRDefault="00064C94" w:rsidP="00015444">
            <w:pPr>
              <w:pStyle w:val="Tabletext"/>
            </w:pPr>
            <w:r w:rsidRPr="0081146C">
              <w:t>6</w:t>
            </w:r>
          </w:p>
        </w:tc>
        <w:tc>
          <w:tcPr>
            <w:tcW w:w="2400" w:type="dxa"/>
            <w:shd w:val="clear" w:color="auto" w:fill="auto"/>
          </w:tcPr>
          <w:p w14:paraId="1F6994B6" w14:textId="77777777" w:rsidR="00064C94" w:rsidRPr="0081146C" w:rsidRDefault="00064C94" w:rsidP="00015444">
            <w:pPr>
              <w:pStyle w:val="Tabletext"/>
            </w:pPr>
            <w:r w:rsidRPr="0081146C">
              <w:t>item 33 of table 1 in section 6</w:t>
            </w:r>
          </w:p>
        </w:tc>
        <w:tc>
          <w:tcPr>
            <w:tcW w:w="3972" w:type="dxa"/>
            <w:shd w:val="clear" w:color="auto" w:fill="auto"/>
          </w:tcPr>
          <w:p w14:paraId="307ACE74" w14:textId="77777777" w:rsidR="00064C94" w:rsidRPr="0081146C" w:rsidRDefault="00064C94" w:rsidP="00015444">
            <w:pPr>
              <w:pStyle w:val="Tablea"/>
            </w:pPr>
            <w:r w:rsidRPr="0081146C">
              <w:t>(a) the designated service is a disposal; and</w:t>
            </w:r>
          </w:p>
          <w:p w14:paraId="724F04CA" w14:textId="77777777" w:rsidR="00064C94" w:rsidRPr="0081146C" w:rsidRDefault="00064C94" w:rsidP="00015444">
            <w:pPr>
              <w:pStyle w:val="Tablea"/>
            </w:pPr>
            <w:r w:rsidRPr="0081146C">
              <w:t xml:space="preserve">(b) the disposal occurs on a prescribed financial market (within the meaning of the </w:t>
            </w:r>
            <w:r w:rsidRPr="0081146C">
              <w:rPr>
                <w:i/>
              </w:rPr>
              <w:t>Corporations Act 2001</w:t>
            </w:r>
            <w:r w:rsidRPr="0081146C">
              <w:t>); and</w:t>
            </w:r>
          </w:p>
          <w:p w14:paraId="5C77B29E" w14:textId="77777777" w:rsidR="00064C94" w:rsidRPr="0081146C" w:rsidRDefault="00064C94" w:rsidP="00015444">
            <w:pPr>
              <w:pStyle w:val="Tablea"/>
            </w:pPr>
            <w:r w:rsidRPr="0081146C">
              <w:t xml:space="preserve">(c) the agent gives the proceeds of the disposal directly to an ancillary fund (within the meaning of the </w:t>
            </w:r>
            <w:r w:rsidRPr="0081146C">
              <w:rPr>
                <w:i/>
              </w:rPr>
              <w:t>Income Tax Assessment Act 1997</w:t>
            </w:r>
            <w:r w:rsidRPr="0081146C">
              <w:t>) that provides an undertaking to:</w:t>
            </w:r>
          </w:p>
          <w:p w14:paraId="770C2D57" w14:textId="77777777" w:rsidR="00064C94" w:rsidRPr="0081146C" w:rsidRDefault="00064C94" w:rsidP="00015444">
            <w:pPr>
              <w:pStyle w:val="Tablei"/>
            </w:pPr>
            <w:r w:rsidRPr="0081146C">
              <w:t>(i) distribute, by cheque or electronic funds transfer, the proceeds of the disposal of the security to a deductible gift recipient; and</w:t>
            </w:r>
          </w:p>
          <w:p w14:paraId="2934498F" w14:textId="77777777" w:rsidR="00064C94" w:rsidRPr="0081146C" w:rsidRDefault="00064C94" w:rsidP="00015444">
            <w:pPr>
              <w:pStyle w:val="Tablei"/>
            </w:pPr>
            <w:r w:rsidRPr="0081146C">
              <w:t>(ii) list on its public website within 14 business days, for a period of 12 months, the details of the distribution of the proceeds of the disposal of the security to the deductible gift recipient; and</w:t>
            </w:r>
          </w:p>
          <w:p w14:paraId="55F6BC9A" w14:textId="77777777" w:rsidR="00064C94" w:rsidRPr="0081146C" w:rsidRDefault="00064C94" w:rsidP="00015444">
            <w:pPr>
              <w:pStyle w:val="Tablea"/>
            </w:pPr>
            <w:r w:rsidRPr="0081146C">
              <w:t>(d) the value of the security does not exceed $10,000</w:t>
            </w:r>
          </w:p>
        </w:tc>
      </w:tr>
      <w:tr w:rsidR="00064C94" w:rsidRPr="0081146C" w14:paraId="4C52CCFA" w14:textId="77777777" w:rsidTr="00015444">
        <w:tc>
          <w:tcPr>
            <w:tcW w:w="714" w:type="dxa"/>
            <w:shd w:val="clear" w:color="auto" w:fill="auto"/>
          </w:tcPr>
          <w:p w14:paraId="3B192118" w14:textId="77777777" w:rsidR="00064C94" w:rsidRPr="0081146C" w:rsidRDefault="00064C94" w:rsidP="00015444">
            <w:pPr>
              <w:pStyle w:val="Tabletext"/>
            </w:pPr>
            <w:r w:rsidRPr="0081146C">
              <w:t>7</w:t>
            </w:r>
          </w:p>
        </w:tc>
        <w:tc>
          <w:tcPr>
            <w:tcW w:w="2400" w:type="dxa"/>
            <w:shd w:val="clear" w:color="auto" w:fill="auto"/>
          </w:tcPr>
          <w:p w14:paraId="4E175FD3" w14:textId="77777777" w:rsidR="00064C94" w:rsidRPr="0081146C" w:rsidRDefault="00064C94" w:rsidP="00015444">
            <w:pPr>
              <w:pStyle w:val="Tabletext"/>
            </w:pPr>
            <w:r w:rsidRPr="0081146C">
              <w:t>paragraph (a) of item 43 of table 1 in section 6</w:t>
            </w:r>
          </w:p>
        </w:tc>
        <w:tc>
          <w:tcPr>
            <w:tcW w:w="3972" w:type="dxa"/>
            <w:shd w:val="clear" w:color="auto" w:fill="auto"/>
          </w:tcPr>
          <w:p w14:paraId="71C3EDC7" w14:textId="77777777" w:rsidR="00064C94" w:rsidRPr="0081146C" w:rsidRDefault="00064C94" w:rsidP="00015444">
            <w:pPr>
              <w:pStyle w:val="Tablea"/>
            </w:pPr>
            <w:r w:rsidRPr="0081146C">
              <w:t>(a) no additional contributions from the customer are accepted in relation to the interest; and</w:t>
            </w:r>
          </w:p>
          <w:p w14:paraId="0485DA1E" w14:textId="77777777" w:rsidR="00064C94" w:rsidRPr="0081146C" w:rsidRDefault="00064C94" w:rsidP="00015444">
            <w:pPr>
              <w:pStyle w:val="Tablea"/>
            </w:pPr>
            <w:r w:rsidRPr="0081146C">
              <w:t>(b) the whole of the interest of the customer in the superannuation fund is cashed out; and</w:t>
            </w:r>
          </w:p>
          <w:p w14:paraId="1E0D56E4" w14:textId="77777777" w:rsidR="00064C94" w:rsidRPr="0081146C" w:rsidRDefault="00064C94" w:rsidP="00015444">
            <w:pPr>
              <w:pStyle w:val="Tablea"/>
            </w:pPr>
            <w:r w:rsidRPr="0081146C">
              <w:t>(c) the account in which the interest of the customer in the superannuation fund was held is closed as soon as practicable after the cashing out of that interest; and</w:t>
            </w:r>
          </w:p>
          <w:p w14:paraId="00CB1FD4" w14:textId="77777777" w:rsidR="00064C94" w:rsidRPr="0081146C" w:rsidRDefault="00064C94" w:rsidP="00015444">
            <w:pPr>
              <w:pStyle w:val="Tablea"/>
            </w:pPr>
            <w:r w:rsidRPr="0081146C">
              <w:t>(d) the application for the interest in the superannuation fund to be cashed out was not made online using the Departing Australia Superannuation Payment internet</w:t>
            </w:r>
            <w:r w:rsidRPr="0081146C">
              <w:noBreakHyphen/>
              <w:t>based application system administered by the Australian Taxation Office; and</w:t>
            </w:r>
          </w:p>
          <w:p w14:paraId="0B90C7EF" w14:textId="77777777" w:rsidR="00064C94" w:rsidRPr="0081146C" w:rsidRDefault="00064C94" w:rsidP="00015444">
            <w:pPr>
              <w:pStyle w:val="Tablea"/>
            </w:pPr>
            <w:r w:rsidRPr="0081146C">
              <w:t>(e) on the date the customer applies for the interest in the superannuation fund to be cashed out, the value of the interest does not exceed $1,000</w:t>
            </w:r>
          </w:p>
        </w:tc>
      </w:tr>
      <w:tr w:rsidR="00064C94" w:rsidRPr="0081146C" w14:paraId="14405B81" w14:textId="77777777" w:rsidTr="00015444">
        <w:tc>
          <w:tcPr>
            <w:tcW w:w="714" w:type="dxa"/>
            <w:shd w:val="clear" w:color="auto" w:fill="auto"/>
          </w:tcPr>
          <w:p w14:paraId="1F8E7E28" w14:textId="77777777" w:rsidR="00064C94" w:rsidRPr="0081146C" w:rsidRDefault="00064C94" w:rsidP="00015444">
            <w:pPr>
              <w:pStyle w:val="Tabletext"/>
            </w:pPr>
            <w:r w:rsidRPr="0081146C">
              <w:t>8</w:t>
            </w:r>
          </w:p>
        </w:tc>
        <w:tc>
          <w:tcPr>
            <w:tcW w:w="2400" w:type="dxa"/>
            <w:shd w:val="clear" w:color="auto" w:fill="auto"/>
          </w:tcPr>
          <w:p w14:paraId="388A92E8" w14:textId="77777777" w:rsidR="00064C94" w:rsidRPr="0081146C" w:rsidRDefault="00064C94" w:rsidP="00015444">
            <w:pPr>
              <w:pStyle w:val="Tabletext"/>
            </w:pPr>
            <w:r w:rsidRPr="0081146C">
              <w:t>item 43 or 45 of table 1 in section 6</w:t>
            </w:r>
          </w:p>
        </w:tc>
        <w:tc>
          <w:tcPr>
            <w:tcW w:w="3972" w:type="dxa"/>
            <w:shd w:val="clear" w:color="auto" w:fill="auto"/>
          </w:tcPr>
          <w:p w14:paraId="3732A7F9" w14:textId="77777777" w:rsidR="00064C94" w:rsidRPr="0081146C" w:rsidRDefault="00064C94" w:rsidP="00015444">
            <w:pPr>
              <w:pStyle w:val="Tablea"/>
            </w:pPr>
            <w:r w:rsidRPr="0081146C">
              <w:t>(a) the application of the member relates to the cashing out of the interest held by the customer in:</w:t>
            </w:r>
          </w:p>
          <w:p w14:paraId="2D62BF32" w14:textId="77777777" w:rsidR="00064C94" w:rsidRPr="0081146C" w:rsidRDefault="00064C94" w:rsidP="00015444">
            <w:pPr>
              <w:pStyle w:val="Tablei"/>
            </w:pPr>
            <w:r w:rsidRPr="0081146C">
              <w:t>(i) a superannuation fund; or</w:t>
            </w:r>
          </w:p>
          <w:p w14:paraId="404D9C6F" w14:textId="77777777" w:rsidR="00064C94" w:rsidRPr="0081146C" w:rsidRDefault="00064C94" w:rsidP="00015444">
            <w:pPr>
              <w:pStyle w:val="Tablei"/>
            </w:pPr>
            <w:r w:rsidRPr="0081146C">
              <w:t>(ii) an approved deposit fund; or</w:t>
            </w:r>
          </w:p>
          <w:p w14:paraId="7C771BCC" w14:textId="77777777" w:rsidR="00064C94" w:rsidRPr="0081146C" w:rsidRDefault="00064C94" w:rsidP="00015444">
            <w:pPr>
              <w:pStyle w:val="Tablei"/>
            </w:pPr>
            <w:r w:rsidRPr="0081146C">
              <w:t xml:space="preserve">(iii) </w:t>
            </w:r>
            <w:r w:rsidRPr="0081146C">
              <w:tab/>
              <w:t>a RSA; and</w:t>
            </w:r>
          </w:p>
          <w:p w14:paraId="00725A46" w14:textId="77777777" w:rsidR="00064C94" w:rsidRPr="0081146C" w:rsidRDefault="00064C94" w:rsidP="00015444">
            <w:pPr>
              <w:pStyle w:val="Tablea"/>
            </w:pPr>
            <w:r w:rsidRPr="0081146C">
              <w:t>(b) the application was made online using the Departing Australia Superannuation Payment internet</w:t>
            </w:r>
            <w:r w:rsidRPr="0081146C">
              <w:noBreakHyphen/>
              <w:t>based application system administered by the Australian Taxation Office; and</w:t>
            </w:r>
          </w:p>
          <w:p w14:paraId="3DFDD7F7" w14:textId="77777777" w:rsidR="00064C94" w:rsidRPr="0081146C" w:rsidRDefault="00064C94" w:rsidP="00015444">
            <w:pPr>
              <w:pStyle w:val="Tablea"/>
            </w:pPr>
            <w:r w:rsidRPr="0081146C">
              <w:t>(c) the whole of the interest of the member is cashed out; and</w:t>
            </w:r>
          </w:p>
          <w:p w14:paraId="4E5302D6" w14:textId="77777777" w:rsidR="00064C94" w:rsidRPr="0081146C" w:rsidRDefault="00064C94" w:rsidP="00015444">
            <w:pPr>
              <w:pStyle w:val="Tablea"/>
            </w:pPr>
            <w:r w:rsidRPr="0081146C">
              <w:t>(d) no additional contributions from the customer are accepted in relation to the customer’s interest; and</w:t>
            </w:r>
          </w:p>
          <w:p w14:paraId="61A0A475" w14:textId="77777777" w:rsidR="00064C94" w:rsidRPr="0081146C" w:rsidRDefault="00064C94" w:rsidP="00015444">
            <w:pPr>
              <w:pStyle w:val="Tablea"/>
            </w:pPr>
            <w:r w:rsidRPr="0081146C">
              <w:t>(e) the account in which the interest of the customer was held is closed as soon as practicable after the cashing out of that interest; and</w:t>
            </w:r>
          </w:p>
          <w:p w14:paraId="6AD1F8BD" w14:textId="77777777" w:rsidR="00064C94" w:rsidRPr="0081146C" w:rsidRDefault="00064C94" w:rsidP="00015444">
            <w:pPr>
              <w:pStyle w:val="Tablea"/>
            </w:pPr>
            <w:r w:rsidRPr="0081146C">
              <w:t>(f) the value of the interest in the customer’s superannuation fund, approved deposit fund or RSA does not exceed $5,000 on the date of the application</w:t>
            </w:r>
          </w:p>
        </w:tc>
      </w:tr>
      <w:tr w:rsidR="00064C94" w:rsidRPr="0081146C" w14:paraId="1EF0ADFB" w14:textId="77777777" w:rsidTr="00015444">
        <w:tc>
          <w:tcPr>
            <w:tcW w:w="714" w:type="dxa"/>
            <w:shd w:val="clear" w:color="auto" w:fill="auto"/>
          </w:tcPr>
          <w:p w14:paraId="04032C9F" w14:textId="77777777" w:rsidR="00064C94" w:rsidRPr="0081146C" w:rsidRDefault="00064C94" w:rsidP="00015444">
            <w:pPr>
              <w:pStyle w:val="Tabletext"/>
            </w:pPr>
            <w:r w:rsidRPr="0081146C">
              <w:t>9</w:t>
            </w:r>
          </w:p>
        </w:tc>
        <w:tc>
          <w:tcPr>
            <w:tcW w:w="2400" w:type="dxa"/>
            <w:shd w:val="clear" w:color="auto" w:fill="auto"/>
          </w:tcPr>
          <w:p w14:paraId="08D3918D" w14:textId="77777777" w:rsidR="00064C94" w:rsidRPr="0081146C" w:rsidRDefault="00064C94" w:rsidP="00015444">
            <w:pPr>
              <w:pStyle w:val="Tabletext"/>
            </w:pPr>
            <w:r w:rsidRPr="0081146C">
              <w:t>item 50 of table 1 or item 14 of table 3 in section 6</w:t>
            </w:r>
          </w:p>
        </w:tc>
        <w:tc>
          <w:tcPr>
            <w:tcW w:w="3972" w:type="dxa"/>
            <w:shd w:val="clear" w:color="auto" w:fill="auto"/>
          </w:tcPr>
          <w:p w14:paraId="37839422" w14:textId="77777777" w:rsidR="00064C94" w:rsidRPr="0081146C" w:rsidRDefault="00064C94" w:rsidP="00015444">
            <w:pPr>
              <w:pStyle w:val="Tablea"/>
            </w:pPr>
            <w:r w:rsidRPr="0081146C">
              <w:t>(a) currency is moved into or out of an account; and</w:t>
            </w:r>
          </w:p>
          <w:p w14:paraId="4DD6A1E2" w14:textId="77777777" w:rsidR="00064C94" w:rsidRPr="0081146C" w:rsidRDefault="00064C94" w:rsidP="00015444">
            <w:pPr>
              <w:pStyle w:val="Tablea"/>
            </w:pPr>
            <w:r w:rsidRPr="0081146C">
              <w:t>(b) the provider of the account is an ADI, a building society, a bank, a credit union or a representative office of a foreign bank; and</w:t>
            </w:r>
          </w:p>
          <w:p w14:paraId="3E0D4A85" w14:textId="77777777" w:rsidR="00064C94" w:rsidRPr="0081146C" w:rsidRDefault="00064C94" w:rsidP="00015444">
            <w:pPr>
              <w:pStyle w:val="Tablea"/>
            </w:pPr>
            <w:r w:rsidRPr="0081146C">
              <w:t>(c) the value of the currency is less than $1,000</w:t>
            </w:r>
          </w:p>
        </w:tc>
      </w:tr>
      <w:tr w:rsidR="00064C94" w:rsidRPr="0081146C" w14:paraId="41E85D64" w14:textId="77777777" w:rsidTr="00015444">
        <w:tc>
          <w:tcPr>
            <w:tcW w:w="714" w:type="dxa"/>
            <w:shd w:val="clear" w:color="auto" w:fill="auto"/>
          </w:tcPr>
          <w:p w14:paraId="124F2B9C" w14:textId="77777777" w:rsidR="00064C94" w:rsidRPr="0081146C" w:rsidRDefault="00064C94" w:rsidP="00015444">
            <w:pPr>
              <w:pStyle w:val="Tabletext"/>
            </w:pPr>
            <w:r w:rsidRPr="0081146C">
              <w:t>10</w:t>
            </w:r>
          </w:p>
        </w:tc>
        <w:tc>
          <w:tcPr>
            <w:tcW w:w="2400" w:type="dxa"/>
            <w:shd w:val="clear" w:color="auto" w:fill="auto"/>
          </w:tcPr>
          <w:p w14:paraId="0248C6B5" w14:textId="77777777" w:rsidR="00064C94" w:rsidRPr="0081146C" w:rsidRDefault="00064C94" w:rsidP="00015444">
            <w:pPr>
              <w:pStyle w:val="Tabletext"/>
            </w:pPr>
            <w:r w:rsidRPr="0081146C">
              <w:t>item 50 of table 1 or item 14 of table 3 in section 6</w:t>
            </w:r>
          </w:p>
        </w:tc>
        <w:tc>
          <w:tcPr>
            <w:tcW w:w="3972" w:type="dxa"/>
            <w:shd w:val="clear" w:color="auto" w:fill="auto"/>
          </w:tcPr>
          <w:p w14:paraId="3CFBC8B9" w14:textId="77777777" w:rsidR="00064C94" w:rsidRPr="0081146C" w:rsidRDefault="00064C94" w:rsidP="00015444">
            <w:pPr>
              <w:pStyle w:val="Tablea"/>
            </w:pPr>
            <w:r w:rsidRPr="0081146C">
              <w:t>(a) currency is not moved into or out of an account where the account provider is an ADI, a building society, a bank, a credit union or a representative office of a foreign bank; and</w:t>
            </w:r>
          </w:p>
          <w:p w14:paraId="2250392D" w14:textId="77777777" w:rsidR="00064C94" w:rsidRPr="0081146C" w:rsidRDefault="00064C94" w:rsidP="00015444">
            <w:pPr>
              <w:pStyle w:val="Tablea"/>
            </w:pPr>
            <w:r w:rsidRPr="0081146C">
              <w:t>(b) either or both of the following apply:</w:t>
            </w:r>
          </w:p>
          <w:p w14:paraId="7AAE4744" w14:textId="77777777" w:rsidR="00064C94" w:rsidRPr="0081146C" w:rsidRDefault="00064C94" w:rsidP="00015444">
            <w:pPr>
              <w:pStyle w:val="Tablei"/>
            </w:pPr>
            <w:r w:rsidRPr="0081146C">
              <w:t>(i) the proceeds are in the form of physical currency;</w:t>
            </w:r>
          </w:p>
          <w:p w14:paraId="0AF0E654" w14:textId="77777777" w:rsidR="00064C94" w:rsidRPr="0081146C" w:rsidRDefault="00064C94" w:rsidP="00015444">
            <w:pPr>
              <w:pStyle w:val="Tablei"/>
            </w:pPr>
            <w:r w:rsidRPr="0081146C">
              <w:t>(ii) the funding source is in the form of physical currency; and</w:t>
            </w:r>
          </w:p>
          <w:p w14:paraId="56C0EA46" w14:textId="77777777" w:rsidR="00064C94" w:rsidRPr="0081146C" w:rsidRDefault="00064C94" w:rsidP="00015444">
            <w:pPr>
              <w:pStyle w:val="Tablea"/>
            </w:pPr>
            <w:r w:rsidRPr="0081146C">
              <w:t>(c) the value of the currency is less than $1,000</w:t>
            </w:r>
          </w:p>
        </w:tc>
      </w:tr>
      <w:tr w:rsidR="00064C94" w:rsidRPr="0081146C" w14:paraId="1A9E3854" w14:textId="77777777" w:rsidTr="00015444">
        <w:tc>
          <w:tcPr>
            <w:tcW w:w="714" w:type="dxa"/>
            <w:shd w:val="clear" w:color="auto" w:fill="auto"/>
          </w:tcPr>
          <w:p w14:paraId="0A5396A1" w14:textId="77777777" w:rsidR="00064C94" w:rsidRPr="0081146C" w:rsidRDefault="00064C94" w:rsidP="00015444">
            <w:pPr>
              <w:pStyle w:val="Tabletext"/>
            </w:pPr>
            <w:r w:rsidRPr="0081146C">
              <w:t>11</w:t>
            </w:r>
          </w:p>
        </w:tc>
        <w:tc>
          <w:tcPr>
            <w:tcW w:w="2400" w:type="dxa"/>
            <w:shd w:val="clear" w:color="auto" w:fill="auto"/>
          </w:tcPr>
          <w:p w14:paraId="43C65509" w14:textId="77777777" w:rsidR="00064C94" w:rsidRPr="0081146C" w:rsidRDefault="00064C94" w:rsidP="00015444">
            <w:pPr>
              <w:pStyle w:val="Tabletext"/>
            </w:pPr>
            <w:r w:rsidRPr="0081146C">
              <w:t>item 1 of table 2 in section 6</w:t>
            </w:r>
          </w:p>
        </w:tc>
        <w:tc>
          <w:tcPr>
            <w:tcW w:w="3972" w:type="dxa"/>
            <w:shd w:val="clear" w:color="auto" w:fill="auto"/>
          </w:tcPr>
          <w:p w14:paraId="2AB91D1A" w14:textId="77777777" w:rsidR="00064C94" w:rsidRPr="0081146C" w:rsidRDefault="00064C94" w:rsidP="00015444">
            <w:pPr>
              <w:pStyle w:val="Tabletext"/>
            </w:pPr>
            <w:r w:rsidRPr="0081146C">
              <w:t>the retail value of the bullion is less than $5,000</w:t>
            </w:r>
          </w:p>
        </w:tc>
      </w:tr>
      <w:tr w:rsidR="00064C94" w:rsidRPr="0081146C" w14:paraId="31AC867A" w14:textId="77777777" w:rsidTr="00015444">
        <w:tc>
          <w:tcPr>
            <w:tcW w:w="714" w:type="dxa"/>
            <w:shd w:val="clear" w:color="auto" w:fill="auto"/>
          </w:tcPr>
          <w:p w14:paraId="42E3A5BD" w14:textId="77777777" w:rsidR="00064C94" w:rsidRPr="0081146C" w:rsidRDefault="00064C94" w:rsidP="00015444">
            <w:pPr>
              <w:pStyle w:val="Tabletext"/>
            </w:pPr>
            <w:r w:rsidRPr="0081146C">
              <w:t>12</w:t>
            </w:r>
          </w:p>
        </w:tc>
        <w:tc>
          <w:tcPr>
            <w:tcW w:w="2400" w:type="dxa"/>
            <w:shd w:val="clear" w:color="auto" w:fill="auto"/>
          </w:tcPr>
          <w:p w14:paraId="325A187B" w14:textId="77777777" w:rsidR="00064C94" w:rsidRPr="0081146C" w:rsidRDefault="00064C94" w:rsidP="00015444">
            <w:pPr>
              <w:pStyle w:val="Tabletext"/>
            </w:pPr>
            <w:r w:rsidRPr="0081146C">
              <w:t>item 1, 2, 4, 6, 7, 8 or 9 of table 3 in section 6</w:t>
            </w:r>
          </w:p>
        </w:tc>
        <w:tc>
          <w:tcPr>
            <w:tcW w:w="3972" w:type="dxa"/>
            <w:shd w:val="clear" w:color="auto" w:fill="auto"/>
          </w:tcPr>
          <w:p w14:paraId="4569F1D6" w14:textId="77777777" w:rsidR="00064C94" w:rsidRPr="0081146C" w:rsidRDefault="00064C94" w:rsidP="00015444">
            <w:pPr>
              <w:pStyle w:val="Tablea"/>
            </w:pPr>
            <w:r w:rsidRPr="0081146C">
              <w:t>(a) the reporting entity is a casino; and</w:t>
            </w:r>
          </w:p>
          <w:p w14:paraId="0C6F7FB4" w14:textId="77777777" w:rsidR="00064C94" w:rsidRPr="0081146C" w:rsidRDefault="00064C94" w:rsidP="00015444">
            <w:pPr>
              <w:pStyle w:val="Tablea"/>
            </w:pPr>
            <w:r w:rsidRPr="0081146C">
              <w:t>(b) the designated service does not involve online gambling services; and</w:t>
            </w:r>
          </w:p>
          <w:p w14:paraId="2C82D184" w14:textId="77777777" w:rsidR="00064C94" w:rsidRPr="0081146C" w:rsidRDefault="00064C94" w:rsidP="00015444">
            <w:pPr>
              <w:pStyle w:val="Tablea"/>
            </w:pPr>
            <w:r w:rsidRPr="0081146C">
              <w:t>(c) the designated service involves an amount of less than $5,000</w:t>
            </w:r>
          </w:p>
        </w:tc>
      </w:tr>
      <w:tr w:rsidR="00064C94" w:rsidRPr="0081146C" w14:paraId="0D28F5CE" w14:textId="77777777" w:rsidTr="00015444">
        <w:tc>
          <w:tcPr>
            <w:tcW w:w="714" w:type="dxa"/>
            <w:shd w:val="clear" w:color="auto" w:fill="auto"/>
          </w:tcPr>
          <w:p w14:paraId="42AFC1C6" w14:textId="77777777" w:rsidR="00064C94" w:rsidRPr="0081146C" w:rsidRDefault="00064C94" w:rsidP="00015444">
            <w:pPr>
              <w:pStyle w:val="Tabletext"/>
            </w:pPr>
            <w:r w:rsidRPr="0081146C">
              <w:t>13</w:t>
            </w:r>
          </w:p>
        </w:tc>
        <w:tc>
          <w:tcPr>
            <w:tcW w:w="2400" w:type="dxa"/>
            <w:shd w:val="clear" w:color="auto" w:fill="auto"/>
          </w:tcPr>
          <w:p w14:paraId="6BA99F65" w14:textId="77777777" w:rsidR="00064C94" w:rsidRPr="0081146C" w:rsidRDefault="00064C94" w:rsidP="00015444">
            <w:pPr>
              <w:pStyle w:val="Tabletext"/>
            </w:pPr>
            <w:r w:rsidRPr="0081146C">
              <w:t>item 1, 2, 4, 6, 7, 8 or 9 of table 3 in section 6</w:t>
            </w:r>
          </w:p>
        </w:tc>
        <w:tc>
          <w:tcPr>
            <w:tcW w:w="3972" w:type="dxa"/>
            <w:shd w:val="clear" w:color="auto" w:fill="auto"/>
          </w:tcPr>
          <w:p w14:paraId="6554D70E" w14:textId="77777777" w:rsidR="00064C94" w:rsidRPr="0081146C" w:rsidRDefault="00064C94" w:rsidP="00015444">
            <w:pPr>
              <w:pStyle w:val="Tablea"/>
            </w:pPr>
            <w:r w:rsidRPr="0081146C">
              <w:t>(a) the reporting entity is a casino; and</w:t>
            </w:r>
          </w:p>
          <w:p w14:paraId="02CB2D8C" w14:textId="77777777" w:rsidR="00064C94" w:rsidRPr="0081146C" w:rsidRDefault="00064C94" w:rsidP="00015444">
            <w:pPr>
              <w:pStyle w:val="Tablea"/>
            </w:pPr>
            <w:r w:rsidRPr="0081146C">
              <w:t>(b) the designated service does not involve online gambling services; and</w:t>
            </w:r>
          </w:p>
          <w:p w14:paraId="479F1832" w14:textId="77777777" w:rsidR="00064C94" w:rsidRPr="0081146C" w:rsidRDefault="00064C94" w:rsidP="00015444">
            <w:pPr>
              <w:pStyle w:val="Tablea"/>
            </w:pPr>
            <w:r w:rsidRPr="0081146C">
              <w:t>(c) the designated service involves the customer giving or receiving only gaming chips or tokens; and</w:t>
            </w:r>
          </w:p>
          <w:p w14:paraId="3D7002D2" w14:textId="77777777" w:rsidR="00064C94" w:rsidRPr="0081146C" w:rsidRDefault="00064C94" w:rsidP="00015444">
            <w:pPr>
              <w:pStyle w:val="Tablea"/>
            </w:pPr>
            <w:r w:rsidRPr="0081146C">
              <w:t>(d) the designated service involves an amount of $5,000 or more</w:t>
            </w:r>
          </w:p>
        </w:tc>
      </w:tr>
      <w:tr w:rsidR="00064C94" w:rsidRPr="0081146C" w14:paraId="5820A88C" w14:textId="77777777" w:rsidTr="00015444">
        <w:tc>
          <w:tcPr>
            <w:tcW w:w="714" w:type="dxa"/>
            <w:shd w:val="clear" w:color="auto" w:fill="auto"/>
          </w:tcPr>
          <w:p w14:paraId="776A8632" w14:textId="77777777" w:rsidR="00064C94" w:rsidRPr="0081146C" w:rsidRDefault="00064C94" w:rsidP="00015444">
            <w:pPr>
              <w:pStyle w:val="Tabletext"/>
            </w:pPr>
            <w:r w:rsidRPr="0081146C">
              <w:t>14</w:t>
            </w:r>
          </w:p>
        </w:tc>
        <w:tc>
          <w:tcPr>
            <w:tcW w:w="2400" w:type="dxa"/>
            <w:shd w:val="clear" w:color="auto" w:fill="auto"/>
          </w:tcPr>
          <w:p w14:paraId="4CAB2C5E" w14:textId="77777777" w:rsidR="00064C94" w:rsidRPr="0081146C" w:rsidRDefault="00064C94" w:rsidP="00015444">
            <w:pPr>
              <w:pStyle w:val="Tabletext"/>
            </w:pPr>
            <w:r w:rsidRPr="0081146C">
              <w:t>item 1 or 2 of table 3 in section 6</w:t>
            </w:r>
          </w:p>
        </w:tc>
        <w:tc>
          <w:tcPr>
            <w:tcW w:w="3972" w:type="dxa"/>
            <w:shd w:val="clear" w:color="auto" w:fill="auto"/>
          </w:tcPr>
          <w:p w14:paraId="5DD1E3E5" w14:textId="77777777" w:rsidR="00064C94" w:rsidRPr="0081146C" w:rsidRDefault="00064C94" w:rsidP="00015444">
            <w:pPr>
              <w:pStyle w:val="Tabletext"/>
            </w:pPr>
            <w:r w:rsidRPr="0081146C">
              <w:t>the reporting entity providing the designated service is an on</w:t>
            </w:r>
            <w:r w:rsidRPr="0081146C">
              <w:noBreakHyphen/>
              <w:t>course bookmaker or a totalisator agency board</w:t>
            </w:r>
          </w:p>
        </w:tc>
      </w:tr>
      <w:tr w:rsidR="00064C94" w:rsidRPr="0081146C" w14:paraId="2EC09346" w14:textId="77777777" w:rsidTr="00015444">
        <w:tc>
          <w:tcPr>
            <w:tcW w:w="714" w:type="dxa"/>
            <w:shd w:val="clear" w:color="auto" w:fill="auto"/>
          </w:tcPr>
          <w:p w14:paraId="77EEF353" w14:textId="77777777" w:rsidR="00064C94" w:rsidRPr="0081146C" w:rsidRDefault="00064C94" w:rsidP="00015444">
            <w:pPr>
              <w:pStyle w:val="Tabletext"/>
            </w:pPr>
            <w:r w:rsidRPr="0081146C">
              <w:t>15</w:t>
            </w:r>
          </w:p>
        </w:tc>
        <w:tc>
          <w:tcPr>
            <w:tcW w:w="2400" w:type="dxa"/>
            <w:shd w:val="clear" w:color="auto" w:fill="auto"/>
          </w:tcPr>
          <w:p w14:paraId="24F9A9A5" w14:textId="77777777" w:rsidR="00064C94" w:rsidRPr="0081146C" w:rsidRDefault="00064C94" w:rsidP="00015444">
            <w:pPr>
              <w:pStyle w:val="Tabletext"/>
            </w:pPr>
            <w:r w:rsidRPr="0081146C">
              <w:t>item 4, 7 or 8 of table 3 in section 6</w:t>
            </w:r>
          </w:p>
        </w:tc>
        <w:tc>
          <w:tcPr>
            <w:tcW w:w="3972" w:type="dxa"/>
            <w:shd w:val="clear" w:color="auto" w:fill="auto"/>
          </w:tcPr>
          <w:p w14:paraId="18EDE766" w14:textId="77777777" w:rsidR="00064C94" w:rsidRPr="0081146C" w:rsidRDefault="00064C94" w:rsidP="00015444">
            <w:pPr>
              <w:pStyle w:val="Tablea"/>
            </w:pPr>
            <w:r w:rsidRPr="0081146C">
              <w:t>(a) the reporting entity is an on</w:t>
            </w:r>
            <w:r w:rsidRPr="0081146C">
              <w:noBreakHyphen/>
              <w:t>course bookmaker or totalisator agency board; and</w:t>
            </w:r>
          </w:p>
          <w:p w14:paraId="79D30054" w14:textId="77777777" w:rsidR="00064C94" w:rsidRPr="0081146C" w:rsidRDefault="00064C94" w:rsidP="00015444">
            <w:pPr>
              <w:pStyle w:val="Tablea"/>
            </w:pPr>
            <w:r w:rsidRPr="0081146C">
              <w:t>(b) the designated service involves an amount of less than $5,000</w:t>
            </w:r>
          </w:p>
        </w:tc>
      </w:tr>
      <w:tr w:rsidR="00064C94" w:rsidRPr="0081146C" w14:paraId="41AA4EE4" w14:textId="77777777" w:rsidTr="00015444">
        <w:tc>
          <w:tcPr>
            <w:tcW w:w="714" w:type="dxa"/>
            <w:tcBorders>
              <w:bottom w:val="single" w:sz="2" w:space="0" w:color="auto"/>
            </w:tcBorders>
            <w:shd w:val="clear" w:color="auto" w:fill="auto"/>
          </w:tcPr>
          <w:p w14:paraId="2CDEA88A" w14:textId="77777777" w:rsidR="00064C94" w:rsidRPr="0081146C" w:rsidRDefault="00064C94" w:rsidP="00015444">
            <w:pPr>
              <w:pStyle w:val="Tabletext"/>
            </w:pPr>
            <w:r w:rsidRPr="0081146C">
              <w:t>16</w:t>
            </w:r>
          </w:p>
        </w:tc>
        <w:tc>
          <w:tcPr>
            <w:tcW w:w="2400" w:type="dxa"/>
            <w:tcBorders>
              <w:bottom w:val="single" w:sz="2" w:space="0" w:color="auto"/>
            </w:tcBorders>
            <w:shd w:val="clear" w:color="auto" w:fill="auto"/>
          </w:tcPr>
          <w:p w14:paraId="74F4943D" w14:textId="77777777" w:rsidR="00064C94" w:rsidRPr="0081146C" w:rsidRDefault="00064C94" w:rsidP="00015444">
            <w:pPr>
              <w:pStyle w:val="Tabletext"/>
            </w:pPr>
            <w:r w:rsidRPr="0081146C">
              <w:t>item 5 or 6 of table 3 in section 6</w:t>
            </w:r>
          </w:p>
        </w:tc>
        <w:tc>
          <w:tcPr>
            <w:tcW w:w="3972" w:type="dxa"/>
            <w:tcBorders>
              <w:bottom w:val="single" w:sz="2" w:space="0" w:color="auto"/>
            </w:tcBorders>
            <w:shd w:val="clear" w:color="auto" w:fill="auto"/>
          </w:tcPr>
          <w:p w14:paraId="65E7EDC1" w14:textId="77777777" w:rsidR="00064C94" w:rsidRPr="0081146C" w:rsidRDefault="00064C94" w:rsidP="00015444">
            <w:pPr>
              <w:pStyle w:val="Tablea"/>
            </w:pPr>
            <w:r w:rsidRPr="0081146C">
              <w:t>(a) the designated service is provided by the reporting entity by way of a gaming machine; and</w:t>
            </w:r>
          </w:p>
          <w:p w14:paraId="0D990039" w14:textId="77777777" w:rsidR="00064C94" w:rsidRPr="0081146C" w:rsidRDefault="00064C94" w:rsidP="00015444">
            <w:pPr>
              <w:pStyle w:val="Tablea"/>
            </w:pPr>
            <w:r w:rsidRPr="0081146C">
              <w:t>(b) the designated service is not provided at a casino</w:t>
            </w:r>
          </w:p>
        </w:tc>
      </w:tr>
      <w:tr w:rsidR="00064C94" w:rsidRPr="0081146C" w14:paraId="4FC0F70A" w14:textId="77777777" w:rsidTr="00015444">
        <w:tc>
          <w:tcPr>
            <w:tcW w:w="714" w:type="dxa"/>
            <w:tcBorders>
              <w:top w:val="single" w:sz="2" w:space="0" w:color="auto"/>
              <w:bottom w:val="single" w:sz="12" w:space="0" w:color="auto"/>
            </w:tcBorders>
            <w:shd w:val="clear" w:color="auto" w:fill="auto"/>
          </w:tcPr>
          <w:p w14:paraId="3DA165E8" w14:textId="77777777" w:rsidR="00064C94" w:rsidRPr="0081146C" w:rsidRDefault="00064C94" w:rsidP="00015444">
            <w:pPr>
              <w:pStyle w:val="Tabletext"/>
            </w:pPr>
            <w:r w:rsidRPr="0081146C">
              <w:t>17</w:t>
            </w:r>
          </w:p>
        </w:tc>
        <w:tc>
          <w:tcPr>
            <w:tcW w:w="2400" w:type="dxa"/>
            <w:tcBorders>
              <w:top w:val="single" w:sz="2" w:space="0" w:color="auto"/>
              <w:bottom w:val="single" w:sz="12" w:space="0" w:color="auto"/>
            </w:tcBorders>
            <w:shd w:val="clear" w:color="auto" w:fill="auto"/>
          </w:tcPr>
          <w:p w14:paraId="73CF5064" w14:textId="77777777" w:rsidR="00064C94" w:rsidRPr="0081146C" w:rsidRDefault="00064C94" w:rsidP="00015444">
            <w:pPr>
              <w:pStyle w:val="Tabletext"/>
            </w:pPr>
            <w:r w:rsidRPr="0081146C">
              <w:t>item 8, 9 or 10 of table 3 in section 6</w:t>
            </w:r>
          </w:p>
        </w:tc>
        <w:tc>
          <w:tcPr>
            <w:tcW w:w="3972" w:type="dxa"/>
            <w:tcBorders>
              <w:top w:val="single" w:sz="2" w:space="0" w:color="auto"/>
              <w:bottom w:val="single" w:sz="12" w:space="0" w:color="auto"/>
            </w:tcBorders>
            <w:shd w:val="clear" w:color="auto" w:fill="auto"/>
          </w:tcPr>
          <w:p w14:paraId="734C07BB" w14:textId="77777777" w:rsidR="00064C94" w:rsidRPr="0081146C" w:rsidRDefault="00064C94" w:rsidP="00015444">
            <w:pPr>
              <w:pStyle w:val="Tablea"/>
            </w:pPr>
            <w:r w:rsidRPr="0081146C">
              <w:t>(a) the designated service is provided by the reporting entity by way of a gaming machine; and</w:t>
            </w:r>
          </w:p>
          <w:p w14:paraId="46D1976E" w14:textId="77777777" w:rsidR="00064C94" w:rsidRPr="0081146C" w:rsidRDefault="00064C94" w:rsidP="00015444">
            <w:pPr>
              <w:pStyle w:val="Tablea"/>
            </w:pPr>
            <w:r w:rsidRPr="0081146C">
              <w:t>(b) the designated service is not provided at a casino; and</w:t>
            </w:r>
          </w:p>
          <w:p w14:paraId="71AB3298" w14:textId="77777777" w:rsidR="00064C94" w:rsidRPr="0081146C" w:rsidRDefault="00064C94" w:rsidP="00015444">
            <w:pPr>
              <w:pStyle w:val="Tablea"/>
            </w:pPr>
            <w:r w:rsidRPr="0081146C">
              <w:t>(c) the designated service involves an amount of less than $5,000</w:t>
            </w:r>
          </w:p>
        </w:tc>
      </w:tr>
    </w:tbl>
    <w:p w14:paraId="38D2245B" w14:textId="77777777" w:rsidR="00064C94" w:rsidRPr="0081146C" w:rsidRDefault="00064C94" w:rsidP="00064C94">
      <w:pPr>
        <w:pStyle w:val="ActHead5"/>
      </w:pPr>
      <w:bookmarkStart w:id="221" w:name="_Toc176444499"/>
      <w:bookmarkStart w:id="222" w:name="_Toc184034120"/>
      <w:bookmarkStart w:id="223" w:name="_Toc185415790"/>
      <w:r w:rsidRPr="0081146C">
        <w:rPr>
          <w:rStyle w:val="CharSectno"/>
        </w:rPr>
        <w:t>39F</w:t>
      </w:r>
      <w:r w:rsidRPr="0081146C">
        <w:t xml:space="preserve">  Exemption—intermediary institutions</w:t>
      </w:r>
      <w:bookmarkEnd w:id="221"/>
      <w:bookmarkEnd w:id="222"/>
      <w:bookmarkEnd w:id="223"/>
    </w:p>
    <w:p w14:paraId="70C99C36" w14:textId="77777777" w:rsidR="00064C94" w:rsidRPr="0081146C" w:rsidRDefault="00064C94" w:rsidP="00064C94">
      <w:pPr>
        <w:pStyle w:val="subsection"/>
      </w:pPr>
      <w:r w:rsidRPr="0081146C">
        <w:tab/>
        <w:t>(1)</w:t>
      </w:r>
      <w:r w:rsidRPr="0081146C">
        <w:tab/>
        <w:t>Divisions 1 to 6 do not apply to a designated service covered by item 31 of table 1 in section 6.</w:t>
      </w:r>
    </w:p>
    <w:p w14:paraId="017AA5B4" w14:textId="77777777" w:rsidR="00064C94" w:rsidRPr="0081146C" w:rsidRDefault="00064C94" w:rsidP="00064C94">
      <w:pPr>
        <w:pStyle w:val="notetext"/>
      </w:pPr>
      <w:r w:rsidRPr="0081146C">
        <w:t>Note:</w:t>
      </w:r>
      <w:r w:rsidRPr="0081146C">
        <w:tab/>
        <w:t>Item 31 of table 1 in section 6 deals with an intermediary institution passing on a transfer message in a value transfer chain.</w:t>
      </w:r>
    </w:p>
    <w:p w14:paraId="59339506" w14:textId="77777777" w:rsidR="00064C94" w:rsidRPr="0081146C" w:rsidRDefault="00064C94" w:rsidP="00064C94">
      <w:pPr>
        <w:pStyle w:val="subsection"/>
      </w:pPr>
      <w:r w:rsidRPr="0081146C">
        <w:tab/>
        <w:t>(2)</w:t>
      </w:r>
      <w:r w:rsidRPr="0081146C">
        <w:tab/>
        <w:t>A reporting entity must monitor its customers, in relation to the provision of a designated service covered by item 31 of table 1 in section 6 at or through a permanent establishment of the reporting entity in Australia, to identify unusual transactions and behaviours of the customers (within the meaning of section 30) that may give rise to a suspicious matter reporting obligation.</w:t>
      </w:r>
    </w:p>
    <w:p w14:paraId="2AE8EE95" w14:textId="77777777" w:rsidR="00064C94" w:rsidRPr="0081146C" w:rsidRDefault="00064C94" w:rsidP="00064C94">
      <w:pPr>
        <w:pStyle w:val="notetext"/>
      </w:pPr>
      <w:r w:rsidRPr="0081146C">
        <w:t>Note:</w:t>
      </w:r>
      <w:r w:rsidRPr="0081146C">
        <w:tab/>
        <w:t xml:space="preserve">For </w:t>
      </w:r>
      <w:r w:rsidRPr="0081146C">
        <w:rPr>
          <w:b/>
          <w:i/>
        </w:rPr>
        <w:t>suspicious matter reporting obligation</w:t>
      </w:r>
      <w:r w:rsidRPr="0081146C">
        <w:t>, see section 41.</w:t>
      </w:r>
    </w:p>
    <w:p w14:paraId="4515A28B" w14:textId="77777777" w:rsidR="00064C94" w:rsidRPr="0081146C" w:rsidRDefault="00064C94" w:rsidP="00064C94">
      <w:pPr>
        <w:pStyle w:val="subsection"/>
      </w:pPr>
      <w:r w:rsidRPr="0081146C">
        <w:tab/>
        <w:t>(3)</w:t>
      </w:r>
      <w:r w:rsidRPr="0081146C">
        <w:tab/>
        <w:t>Subsection (2) is a civil penalty provision.</w:t>
      </w:r>
    </w:p>
    <w:p w14:paraId="6A099538" w14:textId="77777777" w:rsidR="00064C94" w:rsidRPr="0081146C" w:rsidRDefault="00064C94" w:rsidP="00064C94">
      <w:pPr>
        <w:pStyle w:val="subsection"/>
      </w:pPr>
      <w:r w:rsidRPr="0081146C">
        <w:tab/>
        <w:t>(4)</w:t>
      </w:r>
      <w:r w:rsidRPr="0081146C">
        <w:tab/>
        <w:t>A reporting entity that contravenes subsection (2) commits a separate contravention of that subsection in respect of each designated service that the reporting entity provides to a customer.</w:t>
      </w:r>
    </w:p>
    <w:p w14:paraId="31F050EF" w14:textId="77777777" w:rsidR="00035544" w:rsidRPr="0081146C" w:rsidRDefault="00035544" w:rsidP="00AE2DA2">
      <w:pPr>
        <w:pStyle w:val="ActHead2"/>
        <w:pageBreakBefore/>
      </w:pPr>
      <w:bookmarkStart w:id="224" w:name="_Toc185415791"/>
      <w:r w:rsidRPr="0081146C">
        <w:rPr>
          <w:rStyle w:val="CharPartNo"/>
        </w:rPr>
        <w:t>Part</w:t>
      </w:r>
      <w:r w:rsidR="004F64A4" w:rsidRPr="0081146C">
        <w:rPr>
          <w:rStyle w:val="CharPartNo"/>
        </w:rPr>
        <w:t> </w:t>
      </w:r>
      <w:r w:rsidRPr="0081146C">
        <w:rPr>
          <w:rStyle w:val="CharPartNo"/>
        </w:rPr>
        <w:t>3</w:t>
      </w:r>
      <w:r w:rsidRPr="0081146C">
        <w:t>—</w:t>
      </w:r>
      <w:r w:rsidRPr="0081146C">
        <w:rPr>
          <w:rStyle w:val="CharPartText"/>
        </w:rPr>
        <w:t>Reporting obligations</w:t>
      </w:r>
      <w:bookmarkEnd w:id="224"/>
    </w:p>
    <w:p w14:paraId="6B5D9E7D" w14:textId="77777777" w:rsidR="00035544" w:rsidRPr="0081146C" w:rsidRDefault="00CA78AA" w:rsidP="00035544">
      <w:pPr>
        <w:pStyle w:val="ActHead3"/>
      </w:pPr>
      <w:bookmarkStart w:id="225" w:name="_Toc185415792"/>
      <w:r w:rsidRPr="0081146C">
        <w:rPr>
          <w:rStyle w:val="CharDivNo"/>
        </w:rPr>
        <w:t>Division 1</w:t>
      </w:r>
      <w:r w:rsidR="00035544" w:rsidRPr="0081146C">
        <w:t>—</w:t>
      </w:r>
      <w:r w:rsidR="00035544" w:rsidRPr="0081146C">
        <w:rPr>
          <w:rStyle w:val="CharDivText"/>
        </w:rPr>
        <w:t>Introduction</w:t>
      </w:r>
      <w:bookmarkEnd w:id="225"/>
    </w:p>
    <w:p w14:paraId="01960E0F" w14:textId="77777777" w:rsidR="00035544" w:rsidRPr="0081146C" w:rsidRDefault="00035544" w:rsidP="00035544">
      <w:pPr>
        <w:pStyle w:val="ActHead5"/>
      </w:pPr>
      <w:bookmarkStart w:id="226" w:name="_Toc185415793"/>
      <w:r w:rsidRPr="0081146C">
        <w:rPr>
          <w:rStyle w:val="CharSectno"/>
        </w:rPr>
        <w:t>40</w:t>
      </w:r>
      <w:r w:rsidRPr="0081146C">
        <w:t xml:space="preserve">  Simplified outline</w:t>
      </w:r>
      <w:bookmarkEnd w:id="226"/>
    </w:p>
    <w:p w14:paraId="74A6179C" w14:textId="77777777" w:rsidR="00035544" w:rsidRPr="0081146C" w:rsidRDefault="00035544" w:rsidP="00035544">
      <w:pPr>
        <w:pStyle w:val="subsection"/>
      </w:pPr>
      <w:r w:rsidRPr="0081146C">
        <w:tab/>
      </w:r>
      <w:r w:rsidRPr="0081146C">
        <w:tab/>
        <w:t>The following is a simplified outline of this Part:</w:t>
      </w:r>
    </w:p>
    <w:p w14:paraId="22E4A46D" w14:textId="77777777" w:rsidR="00035544" w:rsidRPr="0081146C" w:rsidRDefault="00035544" w:rsidP="009E2BDF">
      <w:pPr>
        <w:pStyle w:val="SOBullet"/>
      </w:pPr>
      <w:r w:rsidRPr="0081146C">
        <w:t>•</w:t>
      </w:r>
      <w:r w:rsidRPr="0081146C">
        <w:tab/>
        <w:t>A reporting entity must give the AUSTRAC CEO reports about suspicious matters.</w:t>
      </w:r>
    </w:p>
    <w:p w14:paraId="3884A611" w14:textId="77777777" w:rsidR="00035544" w:rsidRPr="0081146C" w:rsidRDefault="00035544" w:rsidP="009E2BDF">
      <w:pPr>
        <w:pStyle w:val="SOBullet"/>
      </w:pPr>
      <w:r w:rsidRPr="0081146C">
        <w:t>•</w:t>
      </w:r>
      <w:r w:rsidRPr="0081146C">
        <w:tab/>
        <w:t>If a reporting entity provides a designated service that involves a threshold transaction, the reporting entity must give the AUSTRAC CEO a report about the transaction.</w:t>
      </w:r>
    </w:p>
    <w:p w14:paraId="1409A293" w14:textId="3EC8DF43" w:rsidR="00250C0B" w:rsidRPr="0081146C" w:rsidRDefault="00250C0B" w:rsidP="00250C0B">
      <w:pPr>
        <w:pStyle w:val="SOBullet"/>
      </w:pPr>
      <w:r w:rsidRPr="0081146C">
        <w:t>•</w:t>
      </w:r>
      <w:r w:rsidRPr="0081146C">
        <w:tab/>
        <w:t>If a person provides an international value transfer service, the person must give the AUSTRAC CEO a report about the provision of the service.</w:t>
      </w:r>
    </w:p>
    <w:p w14:paraId="45D9F2BF" w14:textId="5AC6FC08" w:rsidR="00250C0B" w:rsidRPr="0081146C" w:rsidRDefault="00250C0B" w:rsidP="00250C0B">
      <w:pPr>
        <w:pStyle w:val="SOBullet"/>
      </w:pPr>
      <w:r w:rsidRPr="0081146C">
        <w:t>•</w:t>
      </w:r>
      <w:r w:rsidRPr="0081146C">
        <w:tab/>
        <w:t xml:space="preserve">If a person provides a designated service involving a transfer of virtual assets to or from an unverified </w:t>
      </w:r>
      <w:r w:rsidR="009A60F6" w:rsidRPr="009A60F6">
        <w:rPr>
          <w:rFonts w:eastAsia="Calibri" w:cs="Times New Roman"/>
        </w:rPr>
        <w:t>self</w:t>
      </w:r>
      <w:r w:rsidR="009A60F6" w:rsidRPr="009A60F6">
        <w:rPr>
          <w:rFonts w:eastAsia="Calibri" w:cs="Times New Roman"/>
        </w:rPr>
        <w:noBreakHyphen/>
        <w:t xml:space="preserve">hosted </w:t>
      </w:r>
      <w:r w:rsidRPr="0081146C">
        <w:t>virtual asset wallet, the person must give the AUSTRAC CEO a report about the provision of the service.</w:t>
      </w:r>
    </w:p>
    <w:p w14:paraId="5F198AAB" w14:textId="77777777" w:rsidR="00035544" w:rsidRPr="0081146C" w:rsidRDefault="00035544" w:rsidP="009E2BDF">
      <w:pPr>
        <w:pStyle w:val="SOBullet"/>
      </w:pPr>
      <w:r w:rsidRPr="0081146C">
        <w:t>•</w:t>
      </w:r>
      <w:r w:rsidRPr="0081146C">
        <w:tab/>
        <w:t>A reporting entity may be required to give AML/CTF compliance reports to the AUSTRAC CEO.</w:t>
      </w:r>
    </w:p>
    <w:p w14:paraId="71E9BD4D" w14:textId="77777777" w:rsidR="00035544" w:rsidRPr="0081146C" w:rsidRDefault="00CA78AA" w:rsidP="00AE2DA2">
      <w:pPr>
        <w:pStyle w:val="ActHead3"/>
        <w:pageBreakBefore/>
      </w:pPr>
      <w:bookmarkStart w:id="227" w:name="_Toc185415794"/>
      <w:r w:rsidRPr="0081146C">
        <w:rPr>
          <w:rStyle w:val="CharDivNo"/>
        </w:rPr>
        <w:t>Division 2</w:t>
      </w:r>
      <w:r w:rsidR="00035544" w:rsidRPr="0081146C">
        <w:t>—</w:t>
      </w:r>
      <w:r w:rsidR="00035544" w:rsidRPr="0081146C">
        <w:rPr>
          <w:rStyle w:val="CharDivText"/>
        </w:rPr>
        <w:t>Suspicious matters</w:t>
      </w:r>
      <w:bookmarkEnd w:id="227"/>
    </w:p>
    <w:p w14:paraId="2F10247E" w14:textId="77777777" w:rsidR="00035544" w:rsidRPr="0081146C" w:rsidRDefault="00035544" w:rsidP="00035544">
      <w:pPr>
        <w:pStyle w:val="ActHead5"/>
      </w:pPr>
      <w:bookmarkStart w:id="228" w:name="_Toc185415795"/>
      <w:r w:rsidRPr="0081146C">
        <w:rPr>
          <w:rStyle w:val="CharSectno"/>
        </w:rPr>
        <w:t>41</w:t>
      </w:r>
      <w:r w:rsidRPr="0081146C">
        <w:t xml:space="preserve">  Reports of suspicious matters</w:t>
      </w:r>
      <w:bookmarkEnd w:id="228"/>
    </w:p>
    <w:p w14:paraId="1954B072" w14:textId="77777777" w:rsidR="00035544" w:rsidRPr="0081146C" w:rsidRDefault="00035544" w:rsidP="00035544">
      <w:pPr>
        <w:pStyle w:val="SubsectionHead"/>
      </w:pPr>
      <w:r w:rsidRPr="0081146C">
        <w:t>Suspicious matter reporting obligation</w:t>
      </w:r>
    </w:p>
    <w:p w14:paraId="6101C181" w14:textId="77777777" w:rsidR="00035544" w:rsidRPr="0081146C" w:rsidRDefault="00035544" w:rsidP="00035544">
      <w:pPr>
        <w:pStyle w:val="subsection"/>
      </w:pPr>
      <w:r w:rsidRPr="0081146C">
        <w:tab/>
        <w:t>(1)</w:t>
      </w:r>
      <w:r w:rsidRPr="0081146C">
        <w:tab/>
        <w:t xml:space="preserve">A suspicious matter reporting obligation arises for a reporting entity in relation to a person (the </w:t>
      </w:r>
      <w:r w:rsidRPr="0081146C">
        <w:rPr>
          <w:b/>
          <w:i/>
        </w:rPr>
        <w:t>first person</w:t>
      </w:r>
      <w:r w:rsidRPr="0081146C">
        <w:t xml:space="preserve">) if, at a particular time (the </w:t>
      </w:r>
      <w:r w:rsidRPr="0081146C">
        <w:rPr>
          <w:b/>
          <w:i/>
        </w:rPr>
        <w:t>relevant time</w:t>
      </w:r>
      <w:r w:rsidRPr="0081146C">
        <w:t>):</w:t>
      </w:r>
    </w:p>
    <w:p w14:paraId="1B6965A1" w14:textId="77777777" w:rsidR="00035544" w:rsidRPr="0081146C" w:rsidRDefault="00035544" w:rsidP="00035544">
      <w:pPr>
        <w:pStyle w:val="paragraph"/>
      </w:pPr>
      <w:r w:rsidRPr="0081146C">
        <w:tab/>
        <w:t>(a)</w:t>
      </w:r>
      <w:r w:rsidRPr="0081146C">
        <w:tab/>
        <w:t>the reporting entity commences to provide, or proposes to provide, a designated service to the first person; or</w:t>
      </w:r>
    </w:p>
    <w:p w14:paraId="356C9D51" w14:textId="77777777" w:rsidR="00035544" w:rsidRPr="0081146C" w:rsidRDefault="00035544" w:rsidP="00035544">
      <w:pPr>
        <w:pStyle w:val="paragraph"/>
      </w:pPr>
      <w:r w:rsidRPr="0081146C">
        <w:tab/>
        <w:t>(b)</w:t>
      </w:r>
      <w:r w:rsidRPr="0081146C">
        <w:tab/>
        <w:t>both:</w:t>
      </w:r>
    </w:p>
    <w:p w14:paraId="22DBFF60" w14:textId="77777777" w:rsidR="00035544" w:rsidRPr="0081146C" w:rsidRDefault="00035544" w:rsidP="00035544">
      <w:pPr>
        <w:pStyle w:val="paragraphsub"/>
      </w:pPr>
      <w:r w:rsidRPr="0081146C">
        <w:tab/>
        <w:t>(i)</w:t>
      </w:r>
      <w:r w:rsidRPr="0081146C">
        <w:tab/>
        <w:t>the first person requests the reporting entity to provide a designated service to the first person; and</w:t>
      </w:r>
    </w:p>
    <w:p w14:paraId="6CE0BC45" w14:textId="77777777" w:rsidR="00035544" w:rsidRPr="0081146C" w:rsidRDefault="00035544" w:rsidP="00035544">
      <w:pPr>
        <w:pStyle w:val="paragraphsub"/>
      </w:pPr>
      <w:r w:rsidRPr="0081146C">
        <w:tab/>
        <w:t>(ii)</w:t>
      </w:r>
      <w:r w:rsidRPr="0081146C">
        <w:tab/>
        <w:t>the designated service is of a kind ordinarily provided by the reporting entity; or</w:t>
      </w:r>
    </w:p>
    <w:p w14:paraId="04A39E54" w14:textId="77777777" w:rsidR="00035544" w:rsidRPr="0081146C" w:rsidRDefault="00035544" w:rsidP="00035544">
      <w:pPr>
        <w:pStyle w:val="paragraph"/>
      </w:pPr>
      <w:r w:rsidRPr="0081146C">
        <w:tab/>
        <w:t>(c)</w:t>
      </w:r>
      <w:r w:rsidRPr="0081146C">
        <w:tab/>
        <w:t>both:</w:t>
      </w:r>
    </w:p>
    <w:p w14:paraId="13FDA85A" w14:textId="77777777" w:rsidR="00035544" w:rsidRPr="0081146C" w:rsidRDefault="00035544" w:rsidP="00035544">
      <w:pPr>
        <w:pStyle w:val="paragraphsub"/>
      </w:pPr>
      <w:r w:rsidRPr="0081146C">
        <w:tab/>
        <w:t>(i)</w:t>
      </w:r>
      <w:r w:rsidRPr="0081146C">
        <w:tab/>
        <w:t>the first person inquires of the reporting entity whether the reporting entity would be willing or prepared to provide a designated service to the first person; and</w:t>
      </w:r>
    </w:p>
    <w:p w14:paraId="05304224" w14:textId="77777777" w:rsidR="00035544" w:rsidRPr="0081146C" w:rsidRDefault="00035544" w:rsidP="00035544">
      <w:pPr>
        <w:pStyle w:val="paragraphsub"/>
      </w:pPr>
      <w:r w:rsidRPr="0081146C">
        <w:tab/>
        <w:t>(ii)</w:t>
      </w:r>
      <w:r w:rsidRPr="0081146C">
        <w:tab/>
        <w:t>the designated service is of a kind ordinarily provided by the reporting entity;</w:t>
      </w:r>
    </w:p>
    <w:p w14:paraId="27661075" w14:textId="77777777" w:rsidR="00035544" w:rsidRPr="0081146C" w:rsidRDefault="00035544" w:rsidP="00035544">
      <w:pPr>
        <w:pStyle w:val="subsection2"/>
      </w:pPr>
      <w:r w:rsidRPr="0081146C">
        <w:t>and any of the following conditions is satisfied:</w:t>
      </w:r>
    </w:p>
    <w:p w14:paraId="119226E2" w14:textId="77777777" w:rsidR="00035544" w:rsidRPr="0081146C" w:rsidRDefault="00035544" w:rsidP="00035544">
      <w:pPr>
        <w:pStyle w:val="paragraph"/>
      </w:pPr>
      <w:r w:rsidRPr="0081146C">
        <w:tab/>
        <w:t>(d)</w:t>
      </w:r>
      <w:r w:rsidRPr="0081146C">
        <w:tab/>
        <w:t>at the relevant time or a later time, the reporting entity suspects on reasonable grounds that the first person is not the person the first person claims to be;</w:t>
      </w:r>
    </w:p>
    <w:p w14:paraId="2EEA5F6E" w14:textId="77777777" w:rsidR="00035544" w:rsidRPr="0081146C" w:rsidRDefault="00035544" w:rsidP="00035544">
      <w:pPr>
        <w:pStyle w:val="paragraph"/>
      </w:pPr>
      <w:r w:rsidRPr="0081146C">
        <w:tab/>
        <w:t>(e)</w:t>
      </w:r>
      <w:r w:rsidRPr="0081146C">
        <w:tab/>
        <w:t>at the relevant time or a later time, the reporting entity suspects on reasonable grounds that an agent of the first person who deals with the reporting entity in relation to the provision or prospective provision of the designated service is not the person the agent claims to be;</w:t>
      </w:r>
    </w:p>
    <w:p w14:paraId="705BC2B2" w14:textId="77777777" w:rsidR="00035544" w:rsidRPr="0081146C" w:rsidRDefault="00035544" w:rsidP="00035544">
      <w:pPr>
        <w:pStyle w:val="paragraph"/>
      </w:pPr>
      <w:r w:rsidRPr="0081146C">
        <w:tab/>
        <w:t>(f)</w:t>
      </w:r>
      <w:r w:rsidRPr="0081146C">
        <w:tab/>
        <w:t>at the relevant time or a later time, the reporting entity suspects on reasonable grounds that information that the reporting entity has concerning the provision, or prospective provision, of the service:</w:t>
      </w:r>
    </w:p>
    <w:p w14:paraId="0B49084D" w14:textId="77777777" w:rsidR="00035544" w:rsidRPr="0081146C" w:rsidRDefault="00035544" w:rsidP="00035544">
      <w:pPr>
        <w:pStyle w:val="paragraphsub"/>
      </w:pPr>
      <w:r w:rsidRPr="0081146C">
        <w:tab/>
        <w:t>(i)</w:t>
      </w:r>
      <w:r w:rsidRPr="0081146C">
        <w:tab/>
        <w:t>may be relevant to investigation of, or prosecution of a person for, an evasion, or an attempted evasion, of a taxation law; or</w:t>
      </w:r>
    </w:p>
    <w:p w14:paraId="0BD0192A" w14:textId="77777777" w:rsidR="00035544" w:rsidRPr="0081146C" w:rsidRDefault="00035544" w:rsidP="00035544">
      <w:pPr>
        <w:pStyle w:val="paragraphsub"/>
      </w:pPr>
      <w:r w:rsidRPr="0081146C">
        <w:tab/>
        <w:t>(ii)</w:t>
      </w:r>
      <w:r w:rsidRPr="0081146C">
        <w:tab/>
        <w:t>may be relevant to investigation of, or prosecution of a person for, an evasion, or an attempted evasion, of a law of a State or Territory that deals with taxation; or</w:t>
      </w:r>
    </w:p>
    <w:p w14:paraId="496213A9" w14:textId="77777777" w:rsidR="00035544" w:rsidRPr="0081146C" w:rsidRDefault="00035544" w:rsidP="00035544">
      <w:pPr>
        <w:pStyle w:val="paragraphsub"/>
      </w:pPr>
      <w:r w:rsidRPr="0081146C">
        <w:tab/>
        <w:t>(iii)</w:t>
      </w:r>
      <w:r w:rsidRPr="0081146C">
        <w:tab/>
        <w:t>may be relevant to investigation of, or prosecution of a person for, an offence against a law of the Commonwealth or of a State or Territory; or</w:t>
      </w:r>
    </w:p>
    <w:p w14:paraId="52990519" w14:textId="77777777" w:rsidR="00035544" w:rsidRPr="0081146C" w:rsidRDefault="00035544" w:rsidP="00035544">
      <w:pPr>
        <w:pStyle w:val="paragraphsub"/>
      </w:pPr>
      <w:r w:rsidRPr="0081146C">
        <w:tab/>
        <w:t>(iv)</w:t>
      </w:r>
      <w:r w:rsidRPr="0081146C">
        <w:tab/>
        <w:t xml:space="preserve">may be of assistance in the enforcement of the </w:t>
      </w:r>
      <w:r w:rsidRPr="0081146C">
        <w:rPr>
          <w:i/>
        </w:rPr>
        <w:t xml:space="preserve">Proceeds of Crime Act 2002 </w:t>
      </w:r>
      <w:r w:rsidRPr="0081146C">
        <w:t>or regulations under that Act; or</w:t>
      </w:r>
    </w:p>
    <w:p w14:paraId="53656D97" w14:textId="77777777" w:rsidR="00035544" w:rsidRPr="0081146C" w:rsidRDefault="00035544" w:rsidP="00035544">
      <w:pPr>
        <w:pStyle w:val="paragraphsub"/>
      </w:pPr>
      <w:r w:rsidRPr="0081146C">
        <w:tab/>
        <w:t>(v)</w:t>
      </w:r>
      <w:r w:rsidRPr="0081146C">
        <w:tab/>
        <w:t xml:space="preserve">may be of assistance in the enforcement of a law of a State or Territory that corresponds to the </w:t>
      </w:r>
      <w:r w:rsidRPr="0081146C">
        <w:rPr>
          <w:i/>
        </w:rPr>
        <w:t xml:space="preserve">Proceeds of Crime Act 2002 </w:t>
      </w:r>
      <w:r w:rsidRPr="0081146C">
        <w:t>or regulations under that Act;</w:t>
      </w:r>
    </w:p>
    <w:p w14:paraId="752A2E11" w14:textId="77777777" w:rsidR="00035544" w:rsidRPr="0081146C" w:rsidRDefault="00035544" w:rsidP="00035544">
      <w:pPr>
        <w:pStyle w:val="paragraph"/>
      </w:pPr>
      <w:r w:rsidRPr="0081146C">
        <w:tab/>
        <w:t>(g)</w:t>
      </w:r>
      <w:r w:rsidRPr="0081146C">
        <w:tab/>
        <w:t xml:space="preserve">at the relevant time or a later time, the reporting entity suspects on reasonable grounds that the provision, or prospective provision, of the service is preparatory to the commission of an offence covered by </w:t>
      </w:r>
      <w:r w:rsidR="004F64A4" w:rsidRPr="0081146C">
        <w:t>paragraph (</w:t>
      </w:r>
      <w:r w:rsidRPr="0081146C">
        <w:t xml:space="preserve">a), (b) or (c) of the definition of </w:t>
      </w:r>
      <w:r w:rsidRPr="0081146C">
        <w:rPr>
          <w:b/>
          <w:i/>
        </w:rPr>
        <w:t>financing of terrorism</w:t>
      </w:r>
      <w:r w:rsidRPr="0081146C">
        <w:t xml:space="preserve"> in section</w:t>
      </w:r>
      <w:r w:rsidR="004F64A4" w:rsidRPr="0081146C">
        <w:t> </w:t>
      </w:r>
      <w:r w:rsidRPr="0081146C">
        <w:t>5;</w:t>
      </w:r>
    </w:p>
    <w:p w14:paraId="6E3637D0" w14:textId="77777777" w:rsidR="00035544" w:rsidRPr="0081146C" w:rsidRDefault="00035544" w:rsidP="00035544">
      <w:pPr>
        <w:pStyle w:val="paragraph"/>
      </w:pPr>
      <w:r w:rsidRPr="0081146C">
        <w:tab/>
        <w:t>(h)</w:t>
      </w:r>
      <w:r w:rsidRPr="0081146C">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w:t>
      </w:r>
      <w:r w:rsidR="004F64A4" w:rsidRPr="0081146C">
        <w:t>paragraph (</w:t>
      </w:r>
      <w:r w:rsidRPr="0081146C">
        <w:t xml:space="preserve">a), (b) or (c) of the definition of </w:t>
      </w:r>
      <w:r w:rsidRPr="0081146C">
        <w:rPr>
          <w:b/>
          <w:i/>
        </w:rPr>
        <w:t>financing of terrorism</w:t>
      </w:r>
      <w:r w:rsidRPr="0081146C">
        <w:t xml:space="preserve"> in section</w:t>
      </w:r>
      <w:r w:rsidR="004F64A4" w:rsidRPr="0081146C">
        <w:t> </w:t>
      </w:r>
      <w:r w:rsidRPr="0081146C">
        <w:t>5;</w:t>
      </w:r>
    </w:p>
    <w:p w14:paraId="3108074C" w14:textId="77777777" w:rsidR="00035544" w:rsidRPr="0081146C" w:rsidRDefault="00035544" w:rsidP="00035544">
      <w:pPr>
        <w:pStyle w:val="paragraph"/>
      </w:pPr>
      <w:r w:rsidRPr="0081146C">
        <w:tab/>
        <w:t>(i)</w:t>
      </w:r>
      <w:r w:rsidRPr="0081146C">
        <w:tab/>
        <w:t xml:space="preserve">at the relevant time or a later time, the reporting entity suspects on reasonable grounds that the provision, or prospective provision, of the service is preparatory to the commission of an offence covered by </w:t>
      </w:r>
      <w:r w:rsidR="004F64A4" w:rsidRPr="0081146C">
        <w:t>paragraph (</w:t>
      </w:r>
      <w:r w:rsidRPr="0081146C">
        <w:t xml:space="preserve">a) or (b) of the definition of </w:t>
      </w:r>
      <w:r w:rsidRPr="0081146C">
        <w:rPr>
          <w:b/>
          <w:i/>
        </w:rPr>
        <w:t>money laundering</w:t>
      </w:r>
      <w:r w:rsidRPr="0081146C">
        <w:t xml:space="preserve"> in section</w:t>
      </w:r>
      <w:r w:rsidR="004F64A4" w:rsidRPr="0081146C">
        <w:t> </w:t>
      </w:r>
      <w:r w:rsidRPr="0081146C">
        <w:t>5;</w:t>
      </w:r>
    </w:p>
    <w:p w14:paraId="1C0CB545" w14:textId="77777777" w:rsidR="00035544" w:rsidRPr="0081146C" w:rsidRDefault="00035544" w:rsidP="00035544">
      <w:pPr>
        <w:pStyle w:val="paragraph"/>
      </w:pPr>
      <w:r w:rsidRPr="0081146C">
        <w:tab/>
        <w:t>(j)</w:t>
      </w:r>
      <w:r w:rsidRPr="0081146C">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w:t>
      </w:r>
      <w:r w:rsidR="004F64A4" w:rsidRPr="0081146C">
        <w:t>paragraph (</w:t>
      </w:r>
      <w:r w:rsidRPr="0081146C">
        <w:t xml:space="preserve">a) or (b) of the definition of </w:t>
      </w:r>
      <w:r w:rsidRPr="0081146C">
        <w:rPr>
          <w:b/>
          <w:i/>
        </w:rPr>
        <w:t>money laundering</w:t>
      </w:r>
      <w:r w:rsidRPr="0081146C">
        <w:t xml:space="preserve"> in section</w:t>
      </w:r>
      <w:r w:rsidR="004F64A4" w:rsidRPr="0081146C">
        <w:t> </w:t>
      </w:r>
      <w:r w:rsidRPr="0081146C">
        <w:t>5.</w:t>
      </w:r>
    </w:p>
    <w:p w14:paraId="2E92D68F" w14:textId="77777777" w:rsidR="00035544" w:rsidRPr="0081146C" w:rsidRDefault="00035544" w:rsidP="00035544">
      <w:pPr>
        <w:pStyle w:val="SubsectionHead"/>
      </w:pPr>
      <w:r w:rsidRPr="0081146C">
        <w:t>Report</w:t>
      </w:r>
    </w:p>
    <w:p w14:paraId="523DF228" w14:textId="77777777" w:rsidR="00035544" w:rsidRPr="0081146C" w:rsidRDefault="00035544" w:rsidP="00035544">
      <w:pPr>
        <w:pStyle w:val="subsection"/>
      </w:pPr>
      <w:r w:rsidRPr="0081146C">
        <w:tab/>
        <w:t>(2)</w:t>
      </w:r>
      <w:r w:rsidRPr="0081146C">
        <w:tab/>
        <w:t>If a suspicious matter reporting obligation arises for a reporting entity in relation to a person, the reporting entity must give the AUSTRAC CEO a report about the matter within:</w:t>
      </w:r>
    </w:p>
    <w:p w14:paraId="2D7FC9F1" w14:textId="4A9F9339" w:rsidR="00035544" w:rsidRPr="0081146C" w:rsidRDefault="00035544" w:rsidP="00035544">
      <w:pPr>
        <w:pStyle w:val="paragraph"/>
      </w:pPr>
      <w:r w:rsidRPr="0081146C">
        <w:tab/>
        <w:t>(a)</w:t>
      </w:r>
      <w:r w:rsidRPr="0081146C">
        <w:tab/>
        <w:t xml:space="preserve">if </w:t>
      </w:r>
      <w:r w:rsidR="004F64A4" w:rsidRPr="0081146C">
        <w:t>paragraph (</w:t>
      </w:r>
      <w:r w:rsidRPr="0081146C">
        <w:t>1)(d), (e), (f), (i) or (j) applies</w:t>
      </w:r>
      <w:r w:rsidR="002F4208" w:rsidRPr="0081146C">
        <w:t xml:space="preserve"> and paragraph (aa) of this subsection does not apply</w:t>
      </w:r>
      <w:r w:rsidRPr="0081146C">
        <w:t>—3 business days after the day on which the reporting entity forms the relevant suspicion; or</w:t>
      </w:r>
    </w:p>
    <w:p w14:paraId="42D4C5B1" w14:textId="77777777" w:rsidR="002F4208" w:rsidRPr="0081146C" w:rsidRDefault="002F4208" w:rsidP="002F4208">
      <w:pPr>
        <w:pStyle w:val="paragraph"/>
      </w:pPr>
      <w:r w:rsidRPr="0081146C">
        <w:tab/>
        <w:t>(aa)</w:t>
      </w:r>
      <w:r w:rsidRPr="0081146C">
        <w:tab/>
        <w:t>if:</w:t>
      </w:r>
    </w:p>
    <w:p w14:paraId="77B0DEB4" w14:textId="77777777" w:rsidR="002F4208" w:rsidRPr="0081146C" w:rsidRDefault="002F4208" w:rsidP="002F4208">
      <w:pPr>
        <w:pStyle w:val="paragraphsub"/>
      </w:pPr>
      <w:r w:rsidRPr="0081146C">
        <w:tab/>
        <w:t>(i)</w:t>
      </w:r>
      <w:r w:rsidRPr="0081146C">
        <w:tab/>
        <w:t>paragraph (1)(d), (e), (f), (i) or (j) applies; and</w:t>
      </w:r>
    </w:p>
    <w:p w14:paraId="575CA390" w14:textId="77777777" w:rsidR="002F4208" w:rsidRPr="0081146C" w:rsidRDefault="002F4208" w:rsidP="002F4208">
      <w:pPr>
        <w:pStyle w:val="paragraphsub"/>
      </w:pPr>
      <w:r w:rsidRPr="0081146C">
        <w:tab/>
        <w:t>(ii)</w:t>
      </w:r>
      <w:r w:rsidRPr="0081146C">
        <w:tab/>
        <w:t>the reporting entity reasonably believes that some (but not all) of the information required to be contained in the report may be privileged from being given on the ground of legal professional privilege; and</w:t>
      </w:r>
    </w:p>
    <w:p w14:paraId="17FBB50A" w14:textId="77777777" w:rsidR="002F4208" w:rsidRPr="0081146C" w:rsidRDefault="002F4208" w:rsidP="002F4208">
      <w:pPr>
        <w:pStyle w:val="paragraphsub"/>
      </w:pPr>
      <w:r w:rsidRPr="0081146C">
        <w:tab/>
        <w:t>(iii)</w:t>
      </w:r>
      <w:r w:rsidRPr="0081146C">
        <w:tab/>
        <w:t>the privilege, if it exists, belongs to a person other than the reporting entity;</w:t>
      </w:r>
    </w:p>
    <w:p w14:paraId="2E5CFF6D" w14:textId="77777777" w:rsidR="002F4208" w:rsidRPr="0081146C" w:rsidRDefault="002F4208" w:rsidP="002F4208">
      <w:pPr>
        <w:pStyle w:val="paragraph"/>
      </w:pPr>
      <w:r w:rsidRPr="0081146C">
        <w:tab/>
      </w:r>
      <w:r w:rsidRPr="0081146C">
        <w:tab/>
        <w:t>5 business days after the day on which the reporting entity forms the relevant suspicion; or</w:t>
      </w:r>
    </w:p>
    <w:p w14:paraId="1A72DB20" w14:textId="77777777" w:rsidR="00035544" w:rsidRPr="0081146C" w:rsidRDefault="00035544" w:rsidP="00035544">
      <w:pPr>
        <w:pStyle w:val="paragraph"/>
      </w:pPr>
      <w:r w:rsidRPr="0081146C">
        <w:tab/>
        <w:t>(b)</w:t>
      </w:r>
      <w:r w:rsidRPr="0081146C">
        <w:tab/>
        <w:t xml:space="preserve">if </w:t>
      </w:r>
      <w:r w:rsidR="004F64A4" w:rsidRPr="0081146C">
        <w:t>paragraph (</w:t>
      </w:r>
      <w:r w:rsidRPr="0081146C">
        <w:t>1)(g) or (h) applies—24 hours after the time when the reporting entity forms the relevant suspicion.</w:t>
      </w:r>
    </w:p>
    <w:p w14:paraId="76567AC8" w14:textId="77777777" w:rsidR="002F4208" w:rsidRPr="0081146C" w:rsidRDefault="002F4208" w:rsidP="002F4208">
      <w:pPr>
        <w:pStyle w:val="subsection"/>
      </w:pPr>
      <w:r w:rsidRPr="0081146C">
        <w:tab/>
        <w:t>(2A)</w:t>
      </w:r>
      <w:r w:rsidRPr="0081146C">
        <w:tab/>
        <w:t>Despite subsection (2), the reporting entity may refuse to give the AUSTRAC CEO a report about the matter if the reporting entity reasonably believes that all of the information comprising the grounds on which the reporting entity holds the relevant suspicion is privileged from being given on the ground of legal professional privilege.</w:t>
      </w:r>
    </w:p>
    <w:p w14:paraId="6EB136ED" w14:textId="77777777" w:rsidR="002F4208" w:rsidRPr="0081146C" w:rsidRDefault="002F4208" w:rsidP="002F4208">
      <w:pPr>
        <w:pStyle w:val="notetext"/>
      </w:pPr>
      <w:r w:rsidRPr="0081146C">
        <w:t>Note:</w:t>
      </w:r>
      <w:r w:rsidRPr="0081146C">
        <w:tab/>
        <w:t>For other provisions dealing with legal professional privilege, see sections 242 and 242A.</w:t>
      </w:r>
    </w:p>
    <w:p w14:paraId="434D136C" w14:textId="77777777" w:rsidR="00035544" w:rsidRPr="0081146C" w:rsidRDefault="00035544" w:rsidP="00035544">
      <w:pPr>
        <w:pStyle w:val="subsection"/>
      </w:pPr>
      <w:r w:rsidRPr="0081146C">
        <w:tab/>
        <w:t>(3)</w:t>
      </w:r>
      <w:r w:rsidRPr="0081146C">
        <w:tab/>
        <w:t xml:space="preserve">A report under </w:t>
      </w:r>
      <w:r w:rsidR="004F64A4" w:rsidRPr="0081146C">
        <w:t>subsection (</w:t>
      </w:r>
      <w:r w:rsidRPr="0081146C">
        <w:t>2) must:</w:t>
      </w:r>
    </w:p>
    <w:p w14:paraId="7EEEE3EE" w14:textId="77777777" w:rsidR="00035544" w:rsidRPr="0081146C" w:rsidRDefault="00035544" w:rsidP="00035544">
      <w:pPr>
        <w:pStyle w:val="paragraph"/>
      </w:pPr>
      <w:r w:rsidRPr="0081146C">
        <w:tab/>
        <w:t>(a)</w:t>
      </w:r>
      <w:r w:rsidRPr="0081146C">
        <w:tab/>
        <w:t>be in the approved form; and</w:t>
      </w:r>
    </w:p>
    <w:p w14:paraId="4B8D4765" w14:textId="77777777" w:rsidR="002F4208" w:rsidRPr="0081146C" w:rsidRDefault="002F4208" w:rsidP="002F4208">
      <w:pPr>
        <w:pStyle w:val="paragraph"/>
      </w:pPr>
      <w:r w:rsidRPr="0081146C">
        <w:tab/>
        <w:t>(aa)</w:t>
      </w:r>
      <w:r w:rsidRPr="0081146C">
        <w:tab/>
        <w:t>if the reporting entity reasonably believes that some (but not all) of the information required to be contained in the report about the matter is privileged from being given on the ground of legal professional privilege—be accompanied by an LPP form in relation to the information; and</w:t>
      </w:r>
    </w:p>
    <w:p w14:paraId="2DAB2F87" w14:textId="77777777" w:rsidR="00035544" w:rsidRPr="0081146C" w:rsidRDefault="00035544" w:rsidP="00035544">
      <w:pPr>
        <w:pStyle w:val="paragraph"/>
      </w:pPr>
      <w:r w:rsidRPr="0081146C">
        <w:tab/>
        <w:t>(b)</w:t>
      </w:r>
      <w:r w:rsidRPr="0081146C">
        <w:tab/>
        <w:t>contain such information relating to the matter as is specified in the AML/CTF Rules; and</w:t>
      </w:r>
    </w:p>
    <w:p w14:paraId="1B4B1082" w14:textId="77777777" w:rsidR="00035544" w:rsidRPr="0081146C" w:rsidRDefault="00035544" w:rsidP="00035544">
      <w:pPr>
        <w:pStyle w:val="paragraph"/>
      </w:pPr>
      <w:r w:rsidRPr="0081146C">
        <w:tab/>
        <w:t>(c)</w:t>
      </w:r>
      <w:r w:rsidRPr="0081146C">
        <w:tab/>
        <w:t>contain a statement of the grounds on which the reporting entity holds the relevant suspicion.</w:t>
      </w:r>
    </w:p>
    <w:p w14:paraId="29C50320" w14:textId="77777777" w:rsidR="00035544" w:rsidRPr="0081146C" w:rsidRDefault="00035544" w:rsidP="00035544">
      <w:pPr>
        <w:pStyle w:val="notetext"/>
      </w:pPr>
      <w:r w:rsidRPr="0081146C">
        <w:t>Note 1:</w:t>
      </w:r>
      <w:r w:rsidRPr="0081146C">
        <w:tab/>
        <w:t>For additional rules about reports, see section</w:t>
      </w:r>
      <w:r w:rsidR="004F64A4" w:rsidRPr="0081146C">
        <w:t> </w:t>
      </w:r>
      <w:r w:rsidRPr="0081146C">
        <w:t>244.</w:t>
      </w:r>
    </w:p>
    <w:p w14:paraId="0615A970" w14:textId="77777777" w:rsidR="00035544" w:rsidRPr="0081146C" w:rsidRDefault="00035544" w:rsidP="00035544">
      <w:pPr>
        <w:pStyle w:val="notetext"/>
      </w:pPr>
      <w:r w:rsidRPr="0081146C">
        <w:t>Note 2:</w:t>
      </w:r>
      <w:r w:rsidRPr="0081146C">
        <w:tab/>
        <w:t>Section</w:t>
      </w:r>
      <w:r w:rsidR="004F64A4" w:rsidRPr="0081146C">
        <w:t> </w:t>
      </w:r>
      <w:r w:rsidRPr="0081146C">
        <w:t>49 deals with the provision of further information, and the production of documents, by the reporting entity.</w:t>
      </w:r>
    </w:p>
    <w:p w14:paraId="4D01A621" w14:textId="77777777" w:rsidR="002F4208" w:rsidRPr="0081146C" w:rsidRDefault="002F4208" w:rsidP="002F4208">
      <w:pPr>
        <w:pStyle w:val="notetext"/>
      </w:pPr>
      <w:r w:rsidRPr="0081146C">
        <w:t>Note 3:</w:t>
      </w:r>
      <w:r w:rsidRPr="0081146C">
        <w:tab/>
        <w:t>For other provisions dealing with legal professional privilege, see sections 242 and 242A.</w:t>
      </w:r>
    </w:p>
    <w:p w14:paraId="0811D3C1" w14:textId="77777777" w:rsidR="00035544" w:rsidRPr="0081146C" w:rsidRDefault="00035544" w:rsidP="00035544">
      <w:pPr>
        <w:pStyle w:val="SubsectionHead"/>
      </w:pPr>
      <w:r w:rsidRPr="0081146C">
        <w:t>Civil penalty</w:t>
      </w:r>
    </w:p>
    <w:p w14:paraId="2EF55115" w14:textId="77777777" w:rsidR="00035544" w:rsidRPr="0081146C" w:rsidRDefault="00035544" w:rsidP="00035544">
      <w:pPr>
        <w:pStyle w:val="subsection"/>
      </w:pPr>
      <w:r w:rsidRPr="0081146C">
        <w:tab/>
        <w:t>(4)</w:t>
      </w:r>
      <w:r w:rsidRPr="0081146C">
        <w:tab/>
      </w:r>
      <w:r w:rsidR="004F64A4" w:rsidRPr="0081146C">
        <w:t>Subsection (</w:t>
      </w:r>
      <w:r w:rsidRPr="0081146C">
        <w:t>2) is a civil penalty provision.</w:t>
      </w:r>
    </w:p>
    <w:p w14:paraId="14344E6D" w14:textId="77777777" w:rsidR="00035544" w:rsidRPr="0081146C" w:rsidRDefault="00035544" w:rsidP="00035544">
      <w:pPr>
        <w:pStyle w:val="SubsectionHead"/>
      </w:pPr>
      <w:r w:rsidRPr="0081146C">
        <w:t>Reasonable grounds for suspicion</w:t>
      </w:r>
    </w:p>
    <w:p w14:paraId="35B15D20" w14:textId="77777777" w:rsidR="00035544" w:rsidRPr="0081146C" w:rsidRDefault="00035544" w:rsidP="00035544">
      <w:pPr>
        <w:pStyle w:val="subsection"/>
      </w:pPr>
      <w:r w:rsidRPr="0081146C">
        <w:tab/>
        <w:t>(5)</w:t>
      </w:r>
      <w:r w:rsidRPr="0081146C">
        <w:tab/>
        <w:t xml:space="preserve">The AML/CTF Rules may specify matters that are to be taken into account in determining whether there are reasonable grounds for a reporting entity to form a suspicion of a kind mentioned in </w:t>
      </w:r>
      <w:r w:rsidR="004F64A4" w:rsidRPr="0081146C">
        <w:t>paragraph (</w:t>
      </w:r>
      <w:r w:rsidRPr="0081146C">
        <w:t>1)(d), (e), (f), (g), (h), (i) or (j).</w:t>
      </w:r>
    </w:p>
    <w:p w14:paraId="704E70EF" w14:textId="77777777" w:rsidR="00035544" w:rsidRPr="0081146C" w:rsidRDefault="00035544" w:rsidP="00035544">
      <w:pPr>
        <w:pStyle w:val="notetext"/>
      </w:pPr>
      <w:r w:rsidRPr="0081146C">
        <w:t>Note:</w:t>
      </w:r>
      <w:r w:rsidRPr="0081146C">
        <w:tab/>
        <w:t>For specification by class, see sub</w:t>
      </w:r>
      <w:r w:rsidR="003B7E15" w:rsidRPr="0081146C">
        <w:t>section 1</w:t>
      </w:r>
      <w:r w:rsidRPr="0081146C">
        <w:t xml:space="preserve">3(3) of the </w:t>
      </w:r>
      <w:r w:rsidR="00503747" w:rsidRPr="0081146C">
        <w:rPr>
          <w:i/>
        </w:rPr>
        <w:t>Legislation Act 2003</w:t>
      </w:r>
      <w:r w:rsidRPr="0081146C">
        <w:t>.</w:t>
      </w:r>
    </w:p>
    <w:p w14:paraId="0C4F78A3" w14:textId="77777777" w:rsidR="00035544" w:rsidRPr="0081146C" w:rsidRDefault="00035544" w:rsidP="00035544">
      <w:pPr>
        <w:pStyle w:val="ActHead5"/>
      </w:pPr>
      <w:bookmarkStart w:id="229" w:name="_Toc185415796"/>
      <w:r w:rsidRPr="0081146C">
        <w:rPr>
          <w:rStyle w:val="CharSectno"/>
        </w:rPr>
        <w:t>42</w:t>
      </w:r>
      <w:r w:rsidRPr="0081146C">
        <w:t xml:space="preserve">  Exemptions</w:t>
      </w:r>
      <w:bookmarkEnd w:id="229"/>
    </w:p>
    <w:p w14:paraId="5FD3C9C6" w14:textId="77777777" w:rsidR="00035544" w:rsidRPr="0081146C" w:rsidRDefault="00035544" w:rsidP="00035544">
      <w:pPr>
        <w:pStyle w:val="subsection"/>
      </w:pPr>
      <w:r w:rsidRPr="0081146C">
        <w:tab/>
        <w:t>(1)</w:t>
      </w:r>
      <w:r w:rsidRPr="0081146C">
        <w:tab/>
        <w:t>This Division does not apply to a designated service that is of a kind specified in the AML/CTF Rules.</w:t>
      </w:r>
    </w:p>
    <w:p w14:paraId="5AF0927C" w14:textId="77777777" w:rsidR="00035544" w:rsidRPr="0081146C" w:rsidRDefault="00035544" w:rsidP="00035544">
      <w:pPr>
        <w:pStyle w:val="subsection"/>
      </w:pPr>
      <w:r w:rsidRPr="0081146C">
        <w:tab/>
        <w:t>(2)</w:t>
      </w:r>
      <w:r w:rsidRPr="0081146C">
        <w:tab/>
        <w:t>The AML/CTF Rules may provide that a specified provision of this Division does not apply to a designated service that is of a kind specified in the AML/CTF Rules.</w:t>
      </w:r>
    </w:p>
    <w:p w14:paraId="5A308BEB" w14:textId="77777777" w:rsidR="00035544" w:rsidRPr="0081146C" w:rsidRDefault="00035544" w:rsidP="00035544">
      <w:pPr>
        <w:pStyle w:val="subsection"/>
      </w:pPr>
      <w:r w:rsidRPr="0081146C">
        <w:tab/>
        <w:t>(3)</w:t>
      </w:r>
      <w:r w:rsidRPr="0081146C">
        <w:tab/>
        <w:t>This Division does not apply to a designated service that is provided in circumstances specified in the AML/CTF Rules.</w:t>
      </w:r>
    </w:p>
    <w:p w14:paraId="13748D4A" w14:textId="77777777" w:rsidR="00035544" w:rsidRPr="0081146C" w:rsidRDefault="00035544" w:rsidP="00035544">
      <w:pPr>
        <w:pStyle w:val="subsection"/>
      </w:pPr>
      <w:r w:rsidRPr="0081146C">
        <w:tab/>
        <w:t>(4)</w:t>
      </w:r>
      <w:r w:rsidRPr="0081146C">
        <w:tab/>
        <w:t>The AML/CTF Rules may provide that a specified provision of this Division does not apply to a designated service that is provided in circumstances specified in the AML/CTF Rules.</w:t>
      </w:r>
    </w:p>
    <w:p w14:paraId="795D1E54" w14:textId="77777777" w:rsidR="00035544" w:rsidRPr="0081146C" w:rsidRDefault="00035544" w:rsidP="00035544">
      <w:pPr>
        <w:pStyle w:val="subsection"/>
      </w:pPr>
      <w:r w:rsidRPr="0081146C">
        <w:tab/>
        <w:t>(5)</w:t>
      </w:r>
      <w:r w:rsidRPr="0081146C">
        <w:tab/>
        <w:t>This Division does not apply to a designated service that is provided by a reporting entity at or through a permanent establishment of the entity in a foreign country</w:t>
      </w:r>
      <w:r w:rsidR="00082190" w:rsidRPr="0081146C">
        <w:t xml:space="preserve">, other than a service covered by </w:t>
      </w:r>
      <w:r w:rsidR="003B7E15" w:rsidRPr="0081146C">
        <w:t>item 3</w:t>
      </w:r>
      <w:r w:rsidR="00082190" w:rsidRPr="0081146C">
        <w:t>2A of table 1 in section</w:t>
      </w:r>
      <w:r w:rsidR="004F64A4" w:rsidRPr="0081146C">
        <w:t> </w:t>
      </w:r>
      <w:r w:rsidR="00082190" w:rsidRPr="0081146C">
        <w:t>6</w:t>
      </w:r>
      <w:r w:rsidRPr="0081146C">
        <w:t>.</w:t>
      </w:r>
    </w:p>
    <w:p w14:paraId="0461838A" w14:textId="77777777" w:rsidR="00035544" w:rsidRPr="0081146C" w:rsidRDefault="00CA78AA" w:rsidP="00AE2DA2">
      <w:pPr>
        <w:pStyle w:val="ActHead3"/>
        <w:pageBreakBefore/>
      </w:pPr>
      <w:bookmarkStart w:id="230" w:name="_Toc185415797"/>
      <w:r w:rsidRPr="0081146C">
        <w:rPr>
          <w:rStyle w:val="CharDivNo"/>
        </w:rPr>
        <w:t>Division 3</w:t>
      </w:r>
      <w:r w:rsidR="00035544" w:rsidRPr="0081146C">
        <w:t>—</w:t>
      </w:r>
      <w:r w:rsidR="00035544" w:rsidRPr="0081146C">
        <w:rPr>
          <w:rStyle w:val="CharDivText"/>
        </w:rPr>
        <w:t>Threshold transactions</w:t>
      </w:r>
      <w:bookmarkEnd w:id="230"/>
    </w:p>
    <w:p w14:paraId="2C0004E6" w14:textId="77777777" w:rsidR="00035544" w:rsidRPr="0081146C" w:rsidRDefault="00035544" w:rsidP="00035544">
      <w:pPr>
        <w:pStyle w:val="ActHead5"/>
      </w:pPr>
      <w:bookmarkStart w:id="231" w:name="_Toc185415798"/>
      <w:r w:rsidRPr="0081146C">
        <w:rPr>
          <w:rStyle w:val="CharSectno"/>
        </w:rPr>
        <w:t>43</w:t>
      </w:r>
      <w:r w:rsidRPr="0081146C">
        <w:t xml:space="preserve">  Reports of threshold transactions</w:t>
      </w:r>
      <w:bookmarkEnd w:id="231"/>
    </w:p>
    <w:p w14:paraId="17C8B523" w14:textId="77777777" w:rsidR="00035544" w:rsidRPr="0081146C" w:rsidRDefault="00035544" w:rsidP="00035544">
      <w:pPr>
        <w:pStyle w:val="SubsectionHead"/>
      </w:pPr>
      <w:r w:rsidRPr="0081146C">
        <w:t>Scope</w:t>
      </w:r>
    </w:p>
    <w:p w14:paraId="09D9C16E" w14:textId="77777777" w:rsidR="00035544" w:rsidRPr="0081146C" w:rsidRDefault="00035544" w:rsidP="00035544">
      <w:pPr>
        <w:pStyle w:val="subsection"/>
      </w:pPr>
      <w:r w:rsidRPr="0081146C">
        <w:tab/>
        <w:t>(1)</w:t>
      </w:r>
      <w:r w:rsidRPr="0081146C">
        <w:tab/>
        <w:t>This section applies to a reporting entity if:</w:t>
      </w:r>
    </w:p>
    <w:p w14:paraId="01DE57E8" w14:textId="77777777" w:rsidR="00035544" w:rsidRPr="0081146C" w:rsidRDefault="00035544" w:rsidP="00035544">
      <w:pPr>
        <w:pStyle w:val="paragraph"/>
      </w:pPr>
      <w:r w:rsidRPr="0081146C">
        <w:tab/>
        <w:t>(a)</w:t>
      </w:r>
      <w:r w:rsidRPr="0081146C">
        <w:tab/>
        <w:t>the reporting entity commences to provide, or provides, a designated service to a customer; and</w:t>
      </w:r>
    </w:p>
    <w:p w14:paraId="49DF0292" w14:textId="77777777" w:rsidR="00035544" w:rsidRPr="0081146C" w:rsidRDefault="00035544" w:rsidP="00035544">
      <w:pPr>
        <w:pStyle w:val="paragraph"/>
      </w:pPr>
      <w:r w:rsidRPr="0081146C">
        <w:tab/>
        <w:t>(b)</w:t>
      </w:r>
      <w:r w:rsidRPr="0081146C">
        <w:tab/>
        <w:t>the provision of the service involves a threshold transaction.</w:t>
      </w:r>
    </w:p>
    <w:p w14:paraId="0B728A17" w14:textId="77777777" w:rsidR="00035544" w:rsidRPr="0081146C" w:rsidRDefault="00035544" w:rsidP="00035544">
      <w:pPr>
        <w:pStyle w:val="SubsectionHead"/>
      </w:pPr>
      <w:r w:rsidRPr="0081146C">
        <w:t>Report</w:t>
      </w:r>
    </w:p>
    <w:p w14:paraId="44283FD0" w14:textId="77777777" w:rsidR="00035544" w:rsidRPr="0081146C" w:rsidRDefault="00035544" w:rsidP="00035544">
      <w:pPr>
        <w:pStyle w:val="subsection"/>
      </w:pPr>
      <w:r w:rsidRPr="0081146C">
        <w:tab/>
        <w:t>(2)</w:t>
      </w:r>
      <w:r w:rsidRPr="0081146C">
        <w:tab/>
        <w:t>The reporting entity must, within 10 business days after the day on which the transaction takes place, give the AUSTRAC CEO a report of the transaction.</w:t>
      </w:r>
    </w:p>
    <w:p w14:paraId="5724F5E3" w14:textId="77777777" w:rsidR="00035544" w:rsidRPr="0081146C" w:rsidRDefault="00035544" w:rsidP="00035544">
      <w:pPr>
        <w:pStyle w:val="subsection"/>
      </w:pPr>
      <w:r w:rsidRPr="0081146C">
        <w:tab/>
        <w:t>(3)</w:t>
      </w:r>
      <w:r w:rsidRPr="0081146C">
        <w:tab/>
        <w:t xml:space="preserve">A report under </w:t>
      </w:r>
      <w:r w:rsidR="004F64A4" w:rsidRPr="0081146C">
        <w:t>subsection (</w:t>
      </w:r>
      <w:r w:rsidRPr="0081146C">
        <w:t>2) must:</w:t>
      </w:r>
    </w:p>
    <w:p w14:paraId="3FF9F1D0" w14:textId="77777777" w:rsidR="00035544" w:rsidRPr="0081146C" w:rsidRDefault="00035544" w:rsidP="00035544">
      <w:pPr>
        <w:pStyle w:val="paragraph"/>
      </w:pPr>
      <w:r w:rsidRPr="0081146C">
        <w:tab/>
        <w:t>(a)</w:t>
      </w:r>
      <w:r w:rsidRPr="0081146C">
        <w:tab/>
        <w:t>be in the approved form; and</w:t>
      </w:r>
    </w:p>
    <w:p w14:paraId="6F9298F1" w14:textId="77777777" w:rsidR="003D4689" w:rsidRPr="008976BD" w:rsidRDefault="003D4689" w:rsidP="003D4689">
      <w:pPr>
        <w:pStyle w:val="paragraph"/>
      </w:pPr>
      <w:r w:rsidRPr="00382659">
        <w:tab/>
        <w:t>(aa)</w:t>
      </w:r>
      <w:r w:rsidRPr="00382659">
        <w:tab/>
        <w:t>if the reporting entity reasonably believes that information required to be contained in the report about the transaction is privileged from being given on the ground of legal professional privilege—be accompanied by an LPP form in relation to the information; and</w:t>
      </w:r>
    </w:p>
    <w:p w14:paraId="72BE8510" w14:textId="77777777" w:rsidR="00035544" w:rsidRPr="0081146C" w:rsidRDefault="00035544" w:rsidP="00035544">
      <w:pPr>
        <w:pStyle w:val="paragraph"/>
      </w:pPr>
      <w:r w:rsidRPr="0081146C">
        <w:tab/>
        <w:t>(b)</w:t>
      </w:r>
      <w:r w:rsidRPr="0081146C">
        <w:tab/>
        <w:t>contain such information relating to the transaction as is specified in the AML/CTF Rules.</w:t>
      </w:r>
    </w:p>
    <w:p w14:paraId="1203A21D" w14:textId="77777777" w:rsidR="00035544" w:rsidRPr="0081146C" w:rsidRDefault="00035544" w:rsidP="00035544">
      <w:pPr>
        <w:pStyle w:val="notetext"/>
      </w:pPr>
      <w:r w:rsidRPr="0081146C">
        <w:t>Note 1:</w:t>
      </w:r>
      <w:r w:rsidRPr="0081146C">
        <w:tab/>
        <w:t>For additional rules about reports, see section</w:t>
      </w:r>
      <w:r w:rsidR="004F64A4" w:rsidRPr="0081146C">
        <w:t> </w:t>
      </w:r>
      <w:r w:rsidRPr="0081146C">
        <w:t>244.</w:t>
      </w:r>
    </w:p>
    <w:p w14:paraId="306EEA35" w14:textId="77777777" w:rsidR="00035544" w:rsidRPr="0081146C" w:rsidRDefault="00035544" w:rsidP="00035544">
      <w:pPr>
        <w:pStyle w:val="notetext"/>
      </w:pPr>
      <w:r w:rsidRPr="0081146C">
        <w:t>Note 2:</w:t>
      </w:r>
      <w:r w:rsidRPr="0081146C">
        <w:tab/>
        <w:t>Section</w:t>
      </w:r>
      <w:r w:rsidR="004F64A4" w:rsidRPr="0081146C">
        <w:t> </w:t>
      </w:r>
      <w:r w:rsidRPr="0081146C">
        <w:t>49 deals with the provision of further information, and the production of documents, by the reporting entity.</w:t>
      </w:r>
    </w:p>
    <w:p w14:paraId="0CAF66E9" w14:textId="77777777" w:rsidR="002F4208" w:rsidRPr="0081146C" w:rsidRDefault="002F4208" w:rsidP="002F4208">
      <w:pPr>
        <w:pStyle w:val="notetext"/>
      </w:pPr>
      <w:r w:rsidRPr="0081146C">
        <w:t>Note 3:</w:t>
      </w:r>
      <w:r w:rsidRPr="0081146C">
        <w:tab/>
        <w:t>For other provisions dealing with legal professional privilege, see sections 242 and 242A.</w:t>
      </w:r>
    </w:p>
    <w:p w14:paraId="2A1BCB85" w14:textId="77777777" w:rsidR="00035544" w:rsidRPr="0081146C" w:rsidRDefault="00035544" w:rsidP="00035544">
      <w:pPr>
        <w:pStyle w:val="SubsectionHead"/>
      </w:pPr>
      <w:r w:rsidRPr="0081146C">
        <w:t>Civil penalty</w:t>
      </w:r>
    </w:p>
    <w:p w14:paraId="075B861C" w14:textId="77777777" w:rsidR="00035544" w:rsidRPr="0081146C" w:rsidRDefault="00035544" w:rsidP="00035544">
      <w:pPr>
        <w:pStyle w:val="subsection"/>
      </w:pPr>
      <w:r w:rsidRPr="0081146C">
        <w:tab/>
        <w:t>(4)</w:t>
      </w:r>
      <w:r w:rsidRPr="0081146C">
        <w:tab/>
      </w:r>
      <w:r w:rsidR="004F64A4" w:rsidRPr="0081146C">
        <w:t>Subsection (</w:t>
      </w:r>
      <w:r w:rsidRPr="0081146C">
        <w:t>2) is a civil penalty provision.</w:t>
      </w:r>
    </w:p>
    <w:p w14:paraId="5D349D03" w14:textId="77777777" w:rsidR="00035544" w:rsidRPr="0081146C" w:rsidRDefault="00035544" w:rsidP="00035544">
      <w:pPr>
        <w:pStyle w:val="ActHead5"/>
      </w:pPr>
      <w:bookmarkStart w:id="232" w:name="_Toc185415799"/>
      <w:r w:rsidRPr="0081146C">
        <w:rPr>
          <w:rStyle w:val="CharSectno"/>
        </w:rPr>
        <w:t>44</w:t>
      </w:r>
      <w:r w:rsidRPr="0081146C">
        <w:t xml:space="preserve">  Exemptions</w:t>
      </w:r>
      <w:bookmarkEnd w:id="232"/>
    </w:p>
    <w:p w14:paraId="467868D0" w14:textId="77777777" w:rsidR="00035544" w:rsidRPr="0081146C" w:rsidRDefault="00035544" w:rsidP="00035544">
      <w:pPr>
        <w:pStyle w:val="subsection"/>
      </w:pPr>
      <w:r w:rsidRPr="0081146C">
        <w:tab/>
        <w:t>(1)</w:t>
      </w:r>
      <w:r w:rsidRPr="0081146C">
        <w:tab/>
        <w:t>This Division does not apply to a designated service that is of a kind specified in the AML/CTF Rules.</w:t>
      </w:r>
    </w:p>
    <w:p w14:paraId="1459BC8C" w14:textId="77777777" w:rsidR="00035544" w:rsidRPr="0081146C" w:rsidRDefault="00035544" w:rsidP="00035544">
      <w:pPr>
        <w:pStyle w:val="subsection"/>
      </w:pPr>
      <w:r w:rsidRPr="0081146C">
        <w:tab/>
        <w:t>(2)</w:t>
      </w:r>
      <w:r w:rsidRPr="0081146C">
        <w:tab/>
        <w:t>The AML/CTF Rules may provide that a specified provision of this Division does not apply to a designated service that is of a kind specified in the AML/CTF Rules.</w:t>
      </w:r>
    </w:p>
    <w:p w14:paraId="51A2F730" w14:textId="77777777" w:rsidR="00035544" w:rsidRPr="0081146C" w:rsidRDefault="00035544" w:rsidP="00035544">
      <w:pPr>
        <w:pStyle w:val="subsection"/>
      </w:pPr>
      <w:r w:rsidRPr="0081146C">
        <w:tab/>
        <w:t>(3)</w:t>
      </w:r>
      <w:r w:rsidRPr="0081146C">
        <w:tab/>
        <w:t>This Division does not apply to a designated service that is provided in circumstances specified in the AML/CTF Rules.</w:t>
      </w:r>
    </w:p>
    <w:p w14:paraId="73F1CC58" w14:textId="77777777" w:rsidR="00035544" w:rsidRPr="0081146C" w:rsidRDefault="00035544" w:rsidP="00035544">
      <w:pPr>
        <w:pStyle w:val="subsection"/>
      </w:pPr>
      <w:r w:rsidRPr="0081146C">
        <w:tab/>
        <w:t>(4)</w:t>
      </w:r>
      <w:r w:rsidRPr="0081146C">
        <w:tab/>
        <w:t>The AML/CTF Rules may provide that a specified provision of this Division does not apply to a designated service that is provided in circumstances specified in the AML/CTF Rules.</w:t>
      </w:r>
    </w:p>
    <w:p w14:paraId="1E3938FE" w14:textId="77777777" w:rsidR="00035544" w:rsidRPr="0081146C" w:rsidRDefault="00035544" w:rsidP="00035544">
      <w:pPr>
        <w:pStyle w:val="subsection"/>
      </w:pPr>
      <w:r w:rsidRPr="0081146C">
        <w:tab/>
        <w:t>(5)</w:t>
      </w:r>
      <w:r w:rsidRPr="0081146C">
        <w:tab/>
        <w:t>This Division does not apply to a designated service that is provided by a reporting entity at or through a permanent establishment of the entity in a foreign country</w:t>
      </w:r>
      <w:r w:rsidR="00082190" w:rsidRPr="0081146C">
        <w:t xml:space="preserve">, other than a service covered by </w:t>
      </w:r>
      <w:r w:rsidR="003B7E15" w:rsidRPr="0081146C">
        <w:t>item 3</w:t>
      </w:r>
      <w:r w:rsidR="00082190" w:rsidRPr="0081146C">
        <w:t>2A of table 1 in section</w:t>
      </w:r>
      <w:r w:rsidR="004F64A4" w:rsidRPr="0081146C">
        <w:t> </w:t>
      </w:r>
      <w:r w:rsidR="00082190" w:rsidRPr="0081146C">
        <w:t>6</w:t>
      </w:r>
      <w:r w:rsidRPr="0081146C">
        <w:t>.</w:t>
      </w:r>
    </w:p>
    <w:p w14:paraId="144C26D7" w14:textId="77777777" w:rsidR="00035544" w:rsidRPr="0081146C" w:rsidRDefault="00035544" w:rsidP="00035544">
      <w:pPr>
        <w:pStyle w:val="subsection"/>
      </w:pPr>
      <w:r w:rsidRPr="0081146C">
        <w:tab/>
        <w:t>(6)</w:t>
      </w:r>
      <w:r w:rsidRPr="0081146C">
        <w:tab/>
        <w:t xml:space="preserve">This Division does not apply to a designated service covered by </w:t>
      </w:r>
      <w:r w:rsidR="003B7E15" w:rsidRPr="0081146C">
        <w:t>item 5</w:t>
      </w:r>
      <w:r w:rsidRPr="0081146C">
        <w:t>4 of table 1 in section</w:t>
      </w:r>
      <w:r w:rsidR="004F64A4" w:rsidRPr="0081146C">
        <w:t> </w:t>
      </w:r>
      <w:r w:rsidRPr="0081146C">
        <w:t>6.</w:t>
      </w:r>
    </w:p>
    <w:p w14:paraId="487AD348" w14:textId="77777777" w:rsidR="00035544" w:rsidRPr="0081146C" w:rsidRDefault="00035544" w:rsidP="00035544">
      <w:pPr>
        <w:pStyle w:val="notetext"/>
      </w:pPr>
      <w:r w:rsidRPr="0081146C">
        <w:t>Note:</w:t>
      </w:r>
      <w:r w:rsidRPr="0081146C">
        <w:tab/>
        <w:t>Item</w:t>
      </w:r>
      <w:r w:rsidR="004F64A4" w:rsidRPr="0081146C">
        <w:t> </w:t>
      </w:r>
      <w:r w:rsidRPr="0081146C">
        <w:t>54 of table 1 in section</w:t>
      </w:r>
      <w:r w:rsidR="004F64A4" w:rsidRPr="0081146C">
        <w:t> </w:t>
      </w:r>
      <w:r w:rsidRPr="0081146C">
        <w:t>6 covers a holder of an Australian financial services licence who arranges for a person to receive a designated service.</w:t>
      </w:r>
    </w:p>
    <w:p w14:paraId="541A8E87" w14:textId="77777777" w:rsidR="00064C94" w:rsidRPr="0081146C" w:rsidRDefault="00064C94" w:rsidP="00064C94">
      <w:pPr>
        <w:pStyle w:val="subsection"/>
      </w:pPr>
      <w:bookmarkStart w:id="233" w:name="_Toc176444449"/>
      <w:bookmarkStart w:id="234" w:name="_Toc184034070"/>
      <w:r w:rsidRPr="0081146C">
        <w:tab/>
        <w:t>(7)</w:t>
      </w:r>
      <w:r w:rsidRPr="0081146C">
        <w:tab/>
        <w:t>Section 43 does not apply to a designated service that is:</w:t>
      </w:r>
    </w:p>
    <w:p w14:paraId="19DAC615" w14:textId="77777777" w:rsidR="00064C94" w:rsidRPr="0081146C" w:rsidRDefault="00064C94" w:rsidP="00064C94">
      <w:pPr>
        <w:pStyle w:val="paragraph"/>
      </w:pPr>
      <w:r w:rsidRPr="0081146C">
        <w:tab/>
        <w:t>(a)</w:t>
      </w:r>
      <w:r w:rsidRPr="0081146C">
        <w:tab/>
        <w:t>provided by a reporting entity that is an ADI; and</w:t>
      </w:r>
    </w:p>
    <w:p w14:paraId="78EDE2D3" w14:textId="77777777" w:rsidR="00064C94" w:rsidRPr="0081146C" w:rsidRDefault="00064C94" w:rsidP="00064C94">
      <w:pPr>
        <w:pStyle w:val="paragraph"/>
      </w:pPr>
      <w:r w:rsidRPr="0081146C">
        <w:tab/>
        <w:t>(b)</w:t>
      </w:r>
      <w:r w:rsidRPr="0081146C">
        <w:tab/>
        <w:t>provided to a customer that is an ADI.</w:t>
      </w:r>
    </w:p>
    <w:p w14:paraId="5923B8A1" w14:textId="77777777" w:rsidR="00064C94" w:rsidRPr="0081146C" w:rsidRDefault="00064C94" w:rsidP="00064C94">
      <w:pPr>
        <w:pStyle w:val="subsection"/>
      </w:pPr>
      <w:r w:rsidRPr="0081146C">
        <w:tab/>
        <w:t>(8)</w:t>
      </w:r>
      <w:r w:rsidRPr="0081146C">
        <w:tab/>
        <w:t>Section 43 does not apply to a designated service that is:</w:t>
      </w:r>
    </w:p>
    <w:p w14:paraId="4A6EDB9E" w14:textId="77777777" w:rsidR="00064C94" w:rsidRPr="0081146C" w:rsidRDefault="00064C94" w:rsidP="00064C94">
      <w:pPr>
        <w:pStyle w:val="paragraph"/>
      </w:pPr>
      <w:r w:rsidRPr="0081146C">
        <w:tab/>
        <w:t>(a)</w:t>
      </w:r>
      <w:r w:rsidRPr="0081146C">
        <w:tab/>
        <w:t>provided by a reporting entity that is the holder of an exchange settlement account; and</w:t>
      </w:r>
    </w:p>
    <w:p w14:paraId="19EC2227" w14:textId="77777777" w:rsidR="00064C94" w:rsidRPr="0081146C" w:rsidRDefault="00064C94" w:rsidP="00064C94">
      <w:pPr>
        <w:pStyle w:val="paragraph"/>
      </w:pPr>
      <w:r w:rsidRPr="0081146C">
        <w:tab/>
        <w:t>(b)</w:t>
      </w:r>
      <w:r w:rsidRPr="0081146C">
        <w:tab/>
        <w:t>provided to a customer that is the holder of an exchange settlement account; and</w:t>
      </w:r>
    </w:p>
    <w:p w14:paraId="12E6FF46" w14:textId="77777777" w:rsidR="00064C94" w:rsidRPr="0081146C" w:rsidRDefault="00064C94" w:rsidP="00064C94">
      <w:pPr>
        <w:pStyle w:val="paragraph"/>
      </w:pPr>
      <w:r w:rsidRPr="0081146C">
        <w:tab/>
        <w:t>(c)</w:t>
      </w:r>
      <w:r w:rsidRPr="0081146C">
        <w:tab/>
        <w:t>provided using the exchange settlement accounts held by the reporting entity and the customer.</w:t>
      </w:r>
    </w:p>
    <w:p w14:paraId="5FF29438" w14:textId="77777777" w:rsidR="00250C0B" w:rsidRPr="0081146C" w:rsidRDefault="00250C0B" w:rsidP="000D6FE2">
      <w:pPr>
        <w:pStyle w:val="ActHead3"/>
        <w:pageBreakBefore/>
      </w:pPr>
      <w:bookmarkStart w:id="235" w:name="_Toc185415800"/>
      <w:r w:rsidRPr="0081146C">
        <w:rPr>
          <w:rStyle w:val="CharDivNo"/>
        </w:rPr>
        <w:t>Division 4</w:t>
      </w:r>
      <w:r w:rsidRPr="0081146C">
        <w:t>—</w:t>
      </w:r>
      <w:r w:rsidRPr="0081146C">
        <w:rPr>
          <w:rStyle w:val="CharDivText"/>
        </w:rPr>
        <w:t>International value transfer services and transfers of value involving unverified self</w:t>
      </w:r>
      <w:r w:rsidRPr="0081146C">
        <w:rPr>
          <w:rStyle w:val="CharDivText"/>
        </w:rPr>
        <w:noBreakHyphen/>
        <w:t>hosted virtual asset wallets</w:t>
      </w:r>
      <w:bookmarkEnd w:id="233"/>
      <w:bookmarkEnd w:id="234"/>
      <w:bookmarkEnd w:id="235"/>
    </w:p>
    <w:p w14:paraId="782D09AC" w14:textId="77777777" w:rsidR="00250C0B" w:rsidRPr="0081146C" w:rsidRDefault="00250C0B" w:rsidP="00250C0B">
      <w:pPr>
        <w:pStyle w:val="ActHead5"/>
      </w:pPr>
      <w:bookmarkStart w:id="236" w:name="_Toc176444450"/>
      <w:bookmarkStart w:id="237" w:name="_Toc184034071"/>
      <w:bookmarkStart w:id="238" w:name="_Toc185415801"/>
      <w:r w:rsidRPr="0081146C">
        <w:rPr>
          <w:rStyle w:val="CharSectno"/>
        </w:rPr>
        <w:t>45</w:t>
      </w:r>
      <w:r w:rsidRPr="0081146C">
        <w:t xml:space="preserve">  International value transfer services</w:t>
      </w:r>
      <w:bookmarkEnd w:id="236"/>
      <w:bookmarkEnd w:id="237"/>
      <w:bookmarkEnd w:id="238"/>
    </w:p>
    <w:p w14:paraId="72D909D0" w14:textId="77777777" w:rsidR="00250C0B" w:rsidRPr="0081146C" w:rsidRDefault="00250C0B" w:rsidP="00250C0B">
      <w:pPr>
        <w:pStyle w:val="subsection"/>
      </w:pPr>
      <w:r w:rsidRPr="0081146C">
        <w:tab/>
        <w:t>(1)</w:t>
      </w:r>
      <w:r w:rsidRPr="0081146C">
        <w:tab/>
        <w:t xml:space="preserve">A service is an </w:t>
      </w:r>
      <w:r w:rsidRPr="0081146C">
        <w:rPr>
          <w:b/>
          <w:i/>
        </w:rPr>
        <w:t>international value transfer service</w:t>
      </w:r>
      <w:r w:rsidRPr="0081146C">
        <w:t xml:space="preserve"> if:</w:t>
      </w:r>
    </w:p>
    <w:p w14:paraId="0B5A53FF" w14:textId="77777777" w:rsidR="00250C0B" w:rsidRPr="0081146C" w:rsidRDefault="00250C0B" w:rsidP="00250C0B">
      <w:pPr>
        <w:pStyle w:val="paragraph"/>
      </w:pPr>
      <w:r w:rsidRPr="0081146C">
        <w:tab/>
        <w:t>(a)</w:t>
      </w:r>
      <w:r w:rsidRPr="0081146C">
        <w:tab/>
        <w:t>the service is covered by item 29 or 30 of table 1 in section 6; and</w:t>
      </w:r>
    </w:p>
    <w:p w14:paraId="2355129D" w14:textId="77777777" w:rsidR="00250C0B" w:rsidRPr="0081146C" w:rsidRDefault="00250C0B" w:rsidP="00250C0B">
      <w:pPr>
        <w:pStyle w:val="paragraph"/>
      </w:pPr>
      <w:r w:rsidRPr="0081146C">
        <w:tab/>
        <w:t>(b)</w:t>
      </w:r>
      <w:r w:rsidRPr="0081146C">
        <w:tab/>
        <w:t>either:</w:t>
      </w:r>
    </w:p>
    <w:p w14:paraId="11B7D4A0" w14:textId="77777777" w:rsidR="00250C0B" w:rsidRPr="0081146C" w:rsidRDefault="00250C0B" w:rsidP="00250C0B">
      <w:pPr>
        <w:pStyle w:val="paragraphsub"/>
      </w:pPr>
      <w:r w:rsidRPr="0081146C">
        <w:tab/>
        <w:t>(i)</w:t>
      </w:r>
      <w:r w:rsidRPr="0081146C">
        <w:tab/>
        <w:t>the value to be transferred is in Australia and, as a result of the provision of the service, the value will be in a foreign country; or</w:t>
      </w:r>
    </w:p>
    <w:p w14:paraId="5464AB75" w14:textId="77777777" w:rsidR="00250C0B" w:rsidRPr="0081146C" w:rsidRDefault="00250C0B" w:rsidP="00250C0B">
      <w:pPr>
        <w:pStyle w:val="paragraphsub"/>
      </w:pPr>
      <w:r w:rsidRPr="0081146C">
        <w:tab/>
        <w:t>(ii)</w:t>
      </w:r>
      <w:r w:rsidRPr="0081146C">
        <w:tab/>
        <w:t>the value to be transferred is in a foreign country and, as a result of the provision of the service, the value will be in Australia.</w:t>
      </w:r>
    </w:p>
    <w:p w14:paraId="35127D39" w14:textId="77777777" w:rsidR="00250C0B" w:rsidRPr="0081146C" w:rsidRDefault="00250C0B" w:rsidP="00250C0B">
      <w:pPr>
        <w:pStyle w:val="subsection"/>
      </w:pPr>
      <w:r w:rsidRPr="0081146C">
        <w:tab/>
        <w:t>(2)</w:t>
      </w:r>
      <w:r w:rsidRPr="0081146C">
        <w:tab/>
        <w:t xml:space="preserve">For the purposes of subsection (1), the AML/CTF Rules may specify the circumstances in which the value is </w:t>
      </w:r>
      <w:r w:rsidRPr="0081146C">
        <w:rPr>
          <w:b/>
          <w:i/>
        </w:rPr>
        <w:t>in</w:t>
      </w:r>
      <w:r w:rsidRPr="0081146C">
        <w:t xml:space="preserve"> a country.</w:t>
      </w:r>
    </w:p>
    <w:p w14:paraId="215AC5C1" w14:textId="77777777" w:rsidR="00250C0B" w:rsidRPr="0081146C" w:rsidRDefault="00250C0B" w:rsidP="00250C0B">
      <w:pPr>
        <w:pStyle w:val="ActHead5"/>
      </w:pPr>
      <w:bookmarkStart w:id="239" w:name="_Toc176444451"/>
      <w:bookmarkStart w:id="240" w:name="_Toc184034072"/>
      <w:bookmarkStart w:id="241" w:name="_Toc185415802"/>
      <w:r w:rsidRPr="0081146C">
        <w:rPr>
          <w:rStyle w:val="CharSectno"/>
        </w:rPr>
        <w:t>46</w:t>
      </w:r>
      <w:r w:rsidRPr="0081146C">
        <w:t xml:space="preserve">  Reports of international value transfer services</w:t>
      </w:r>
      <w:bookmarkEnd w:id="239"/>
      <w:bookmarkEnd w:id="240"/>
      <w:bookmarkEnd w:id="241"/>
    </w:p>
    <w:p w14:paraId="326152FB" w14:textId="77777777" w:rsidR="00250C0B" w:rsidRPr="0081146C" w:rsidRDefault="00250C0B" w:rsidP="00250C0B">
      <w:pPr>
        <w:pStyle w:val="SubsectionHead"/>
      </w:pPr>
      <w:r w:rsidRPr="0081146C">
        <w:t>Scope</w:t>
      </w:r>
    </w:p>
    <w:p w14:paraId="5AB9472A" w14:textId="77777777" w:rsidR="00250C0B" w:rsidRPr="0081146C" w:rsidRDefault="00250C0B" w:rsidP="00250C0B">
      <w:pPr>
        <w:pStyle w:val="subsection"/>
      </w:pPr>
      <w:r w:rsidRPr="0081146C">
        <w:tab/>
        <w:t>(1)</w:t>
      </w:r>
      <w:r w:rsidRPr="0081146C">
        <w:tab/>
        <w:t>This section applies to a reporting entity if:</w:t>
      </w:r>
    </w:p>
    <w:p w14:paraId="10EC0A40" w14:textId="77777777" w:rsidR="00250C0B" w:rsidRPr="0081146C" w:rsidRDefault="00250C0B" w:rsidP="00250C0B">
      <w:pPr>
        <w:pStyle w:val="paragraph"/>
      </w:pPr>
      <w:r w:rsidRPr="0081146C">
        <w:tab/>
        <w:t>(a)</w:t>
      </w:r>
      <w:r w:rsidRPr="0081146C">
        <w:tab/>
        <w:t>the reporting entity commences to provide an international value transfer service at or through a permanent establishment of the reporting entity in Australia; and</w:t>
      </w:r>
    </w:p>
    <w:p w14:paraId="4A51F39E" w14:textId="77777777" w:rsidR="00250C0B" w:rsidRPr="0081146C" w:rsidRDefault="00250C0B" w:rsidP="00250C0B">
      <w:pPr>
        <w:pStyle w:val="paragraph"/>
      </w:pPr>
      <w:r w:rsidRPr="0081146C">
        <w:tab/>
        <w:t>(b)</w:t>
      </w:r>
      <w:r w:rsidRPr="0081146C">
        <w:tab/>
        <w:t>such other conditions (if any) as are set out in the AML/CTF Rules are satisfied.</w:t>
      </w:r>
    </w:p>
    <w:p w14:paraId="44FBE158" w14:textId="77777777" w:rsidR="00250C0B" w:rsidRPr="0081146C" w:rsidRDefault="00250C0B" w:rsidP="00250C0B">
      <w:pPr>
        <w:pStyle w:val="SubsectionHead"/>
      </w:pPr>
      <w:r w:rsidRPr="0081146C">
        <w:t>Report</w:t>
      </w:r>
    </w:p>
    <w:p w14:paraId="0E00CADB" w14:textId="77777777" w:rsidR="00250C0B" w:rsidRPr="0081146C" w:rsidRDefault="00250C0B" w:rsidP="00250C0B">
      <w:pPr>
        <w:pStyle w:val="subsection"/>
      </w:pPr>
      <w:r w:rsidRPr="0081146C">
        <w:tab/>
        <w:t>(2)</w:t>
      </w:r>
      <w:r w:rsidRPr="0081146C">
        <w:tab/>
        <w:t>The reporting entity must give the AUSTRAC CEO a report about the provision of the international value transfer service within 10 business days after the reporting entity passes on or receives the transfer message for the transfer of value.</w:t>
      </w:r>
    </w:p>
    <w:p w14:paraId="4F72FDE3" w14:textId="77777777" w:rsidR="00250C0B" w:rsidRPr="0081146C" w:rsidRDefault="00250C0B" w:rsidP="00250C0B">
      <w:pPr>
        <w:pStyle w:val="subsection"/>
      </w:pPr>
      <w:r w:rsidRPr="0081146C">
        <w:tab/>
        <w:t>(3)</w:t>
      </w:r>
      <w:r w:rsidRPr="0081146C">
        <w:tab/>
        <w:t>Subsection (2) does not apply if, within the 10 business day period mentioned in that subsection, the reporting entity:</w:t>
      </w:r>
    </w:p>
    <w:p w14:paraId="0982CE80" w14:textId="77777777" w:rsidR="00250C0B" w:rsidRPr="0081146C" w:rsidRDefault="00250C0B" w:rsidP="00250C0B">
      <w:pPr>
        <w:pStyle w:val="paragraph"/>
      </w:pPr>
      <w:r w:rsidRPr="0081146C">
        <w:tab/>
        <w:t>(a)</w:t>
      </w:r>
      <w:r w:rsidRPr="0081146C">
        <w:tab/>
        <w:t>reasonably determines that the transfer of value will not occur; and</w:t>
      </w:r>
    </w:p>
    <w:p w14:paraId="7A38C097" w14:textId="77777777" w:rsidR="00250C0B" w:rsidRPr="0081146C" w:rsidRDefault="00250C0B" w:rsidP="00250C0B">
      <w:pPr>
        <w:pStyle w:val="paragraph"/>
      </w:pPr>
      <w:r w:rsidRPr="0081146C">
        <w:tab/>
        <w:t>(b)</w:t>
      </w:r>
      <w:r w:rsidRPr="0081146C">
        <w:tab/>
        <w:t>takes reasonable steps to ensure that the transfer of value will not occur.</w:t>
      </w:r>
    </w:p>
    <w:p w14:paraId="6E41549E" w14:textId="77777777" w:rsidR="00250C0B" w:rsidRPr="0081146C" w:rsidRDefault="00250C0B" w:rsidP="00250C0B">
      <w:pPr>
        <w:pStyle w:val="subsection"/>
      </w:pPr>
      <w:r w:rsidRPr="0081146C">
        <w:tab/>
        <w:t>(4)</w:t>
      </w:r>
      <w:r w:rsidRPr="0081146C">
        <w:tab/>
        <w:t>A report under subsection (2) must:</w:t>
      </w:r>
    </w:p>
    <w:p w14:paraId="5B5823AA" w14:textId="77777777" w:rsidR="00250C0B" w:rsidRPr="0081146C" w:rsidRDefault="00250C0B" w:rsidP="00250C0B">
      <w:pPr>
        <w:pStyle w:val="paragraph"/>
      </w:pPr>
      <w:r w:rsidRPr="0081146C">
        <w:tab/>
        <w:t>(a)</w:t>
      </w:r>
      <w:r w:rsidRPr="0081146C">
        <w:tab/>
        <w:t>be in accordance with the approved form, or in a manner specified in the AML/CTF Rules; and</w:t>
      </w:r>
    </w:p>
    <w:p w14:paraId="5F5D0ABF" w14:textId="77777777" w:rsidR="00250C0B" w:rsidRPr="0081146C" w:rsidRDefault="00250C0B" w:rsidP="00250C0B">
      <w:pPr>
        <w:pStyle w:val="paragraph"/>
      </w:pPr>
      <w:r w:rsidRPr="0081146C">
        <w:tab/>
        <w:t>(b)</w:t>
      </w:r>
      <w:r w:rsidRPr="0081146C">
        <w:tab/>
        <w:t>contain the information required by the AML/CTF Rules.</w:t>
      </w:r>
    </w:p>
    <w:p w14:paraId="0F722100" w14:textId="77777777" w:rsidR="00250C0B" w:rsidRPr="0081146C" w:rsidRDefault="00250C0B" w:rsidP="00250C0B">
      <w:pPr>
        <w:pStyle w:val="notetext"/>
      </w:pPr>
      <w:r w:rsidRPr="0081146C">
        <w:t>Note:</w:t>
      </w:r>
      <w:r w:rsidRPr="0081146C">
        <w:tab/>
        <w:t>For additional rules about reports, see section 244.</w:t>
      </w:r>
    </w:p>
    <w:p w14:paraId="2868A7C9" w14:textId="77777777" w:rsidR="00250C0B" w:rsidRPr="0081146C" w:rsidRDefault="00250C0B" w:rsidP="00250C0B">
      <w:pPr>
        <w:pStyle w:val="SubsectionHead"/>
      </w:pPr>
      <w:r w:rsidRPr="0081146C">
        <w:t>Obligation must be discharged by intermediary institution in certain circumstances</w:t>
      </w:r>
    </w:p>
    <w:p w14:paraId="51F998FE" w14:textId="77777777" w:rsidR="00250C0B" w:rsidRPr="0081146C" w:rsidRDefault="00250C0B" w:rsidP="00250C0B">
      <w:pPr>
        <w:pStyle w:val="subsection"/>
      </w:pPr>
      <w:r w:rsidRPr="0081146C">
        <w:tab/>
        <w:t>(5)</w:t>
      </w:r>
      <w:r w:rsidRPr="0081146C">
        <w:tab/>
        <w:t>The AML/CTF Rules may specify circumstances in which the obligation imposed on a reporting entity by subsection (2) must be discharged by an intermediary institution in the value transfer chain. If the AML/CTF Rules specify such circumstances, the obligation imposed by subsection (2) must be discharged by the intermediary institution in accordance with the AML/CTF Rules.</w:t>
      </w:r>
    </w:p>
    <w:p w14:paraId="6F6F3358" w14:textId="77777777" w:rsidR="00250C0B" w:rsidRPr="0081146C" w:rsidRDefault="00250C0B" w:rsidP="00250C0B">
      <w:pPr>
        <w:pStyle w:val="SubsectionHead"/>
      </w:pPr>
      <w:r w:rsidRPr="0081146C">
        <w:t>Obligation may be discharged by intermediary institution in certain circumstances</w:t>
      </w:r>
    </w:p>
    <w:p w14:paraId="1811A677" w14:textId="77777777" w:rsidR="00250C0B" w:rsidRPr="0081146C" w:rsidRDefault="00250C0B" w:rsidP="00250C0B">
      <w:pPr>
        <w:pStyle w:val="subsection"/>
      </w:pPr>
      <w:r w:rsidRPr="0081146C">
        <w:tab/>
        <w:t>(6)</w:t>
      </w:r>
      <w:r w:rsidRPr="0081146C">
        <w:tab/>
        <w:t>The obligation imposed on a reporting entity by subsection (2) may be discharged by an intermediary institution in the value transfer chain if:</w:t>
      </w:r>
    </w:p>
    <w:p w14:paraId="782BE17E" w14:textId="77777777" w:rsidR="00250C0B" w:rsidRPr="0081146C" w:rsidRDefault="00250C0B" w:rsidP="00250C0B">
      <w:pPr>
        <w:pStyle w:val="paragraph"/>
      </w:pPr>
      <w:r w:rsidRPr="0081146C">
        <w:tab/>
        <w:t>(a)</w:t>
      </w:r>
      <w:r w:rsidRPr="0081146C">
        <w:tab/>
        <w:t>the intermediary institution is an intermediary institution that provides, or will provide, the designated service covered by item 31 of table 1 in section 6; and</w:t>
      </w:r>
    </w:p>
    <w:p w14:paraId="46769CCE" w14:textId="77777777" w:rsidR="00250C0B" w:rsidRPr="0081146C" w:rsidRDefault="00250C0B" w:rsidP="00250C0B">
      <w:pPr>
        <w:pStyle w:val="paragraph"/>
      </w:pPr>
      <w:r w:rsidRPr="0081146C">
        <w:tab/>
        <w:t>(b)</w:t>
      </w:r>
      <w:r w:rsidRPr="0081146C">
        <w:tab/>
        <w:t>the reporting entity has entered into a written agreement or arrangement with the intermediary institution; and</w:t>
      </w:r>
    </w:p>
    <w:p w14:paraId="4F6A5264" w14:textId="77777777" w:rsidR="00250C0B" w:rsidRPr="0081146C" w:rsidRDefault="00250C0B" w:rsidP="00250C0B">
      <w:pPr>
        <w:pStyle w:val="paragraph"/>
      </w:pPr>
      <w:r w:rsidRPr="0081146C">
        <w:tab/>
        <w:t>(c)</w:t>
      </w:r>
      <w:r w:rsidRPr="0081146C">
        <w:tab/>
        <w:t>the written agreement or arrangement enables the intermediary institution to comply with the obligation.</w:t>
      </w:r>
    </w:p>
    <w:p w14:paraId="3CE7B213" w14:textId="77777777" w:rsidR="00250C0B" w:rsidRPr="0081146C" w:rsidRDefault="00250C0B" w:rsidP="00250C0B">
      <w:pPr>
        <w:pStyle w:val="SubsectionHead"/>
      </w:pPr>
      <w:r w:rsidRPr="0081146C">
        <w:t>Civil penalty</w:t>
      </w:r>
    </w:p>
    <w:p w14:paraId="1FA76463" w14:textId="77777777" w:rsidR="00250C0B" w:rsidRPr="0081146C" w:rsidRDefault="00250C0B" w:rsidP="00250C0B">
      <w:pPr>
        <w:pStyle w:val="subsection"/>
      </w:pPr>
      <w:r w:rsidRPr="0081146C">
        <w:tab/>
        <w:t>(7)</w:t>
      </w:r>
      <w:r w:rsidRPr="0081146C">
        <w:tab/>
        <w:t>Subsections (2) and (5) are civil penalty provisions.</w:t>
      </w:r>
    </w:p>
    <w:p w14:paraId="73C2E980" w14:textId="77777777" w:rsidR="00250C0B" w:rsidRPr="0081146C" w:rsidRDefault="00250C0B" w:rsidP="00250C0B">
      <w:pPr>
        <w:pStyle w:val="SubsectionHead"/>
      </w:pPr>
      <w:r w:rsidRPr="0081146C">
        <w:t>Exemptions</w:t>
      </w:r>
    </w:p>
    <w:p w14:paraId="1784D4E7" w14:textId="77777777" w:rsidR="00250C0B" w:rsidRPr="0081146C" w:rsidRDefault="00250C0B" w:rsidP="00250C0B">
      <w:pPr>
        <w:pStyle w:val="subsection"/>
      </w:pPr>
      <w:r w:rsidRPr="0081146C">
        <w:tab/>
        <w:t>(8)</w:t>
      </w:r>
      <w:r w:rsidRPr="0081146C">
        <w:tab/>
        <w:t>This section does not apply to an international value transfer service of a kind specified in the AML/CTF Rules.</w:t>
      </w:r>
    </w:p>
    <w:p w14:paraId="5DE87011" w14:textId="77777777" w:rsidR="00250C0B" w:rsidRPr="0081146C" w:rsidRDefault="00250C0B" w:rsidP="00250C0B">
      <w:pPr>
        <w:pStyle w:val="subsection"/>
      </w:pPr>
      <w:r w:rsidRPr="0081146C">
        <w:tab/>
        <w:t>(9)</w:t>
      </w:r>
      <w:r w:rsidRPr="0081146C">
        <w:tab/>
        <w:t>This section does not apply to a transfer of value that occurs in circumstances specified in the AML/CTF Rules.</w:t>
      </w:r>
    </w:p>
    <w:p w14:paraId="39202753" w14:textId="77777777" w:rsidR="00250C0B" w:rsidRPr="0081146C" w:rsidRDefault="00250C0B" w:rsidP="00250C0B">
      <w:pPr>
        <w:pStyle w:val="ActHead5"/>
      </w:pPr>
      <w:bookmarkStart w:id="242" w:name="_Toc176444452"/>
      <w:bookmarkStart w:id="243" w:name="_Toc184034073"/>
      <w:bookmarkStart w:id="244" w:name="_Toc185415803"/>
      <w:r w:rsidRPr="0081146C">
        <w:rPr>
          <w:rStyle w:val="CharSectno"/>
        </w:rPr>
        <w:t>46A</w:t>
      </w:r>
      <w:r w:rsidRPr="0081146C">
        <w:t xml:space="preserve">  Reports of transfers of value involving unverified self</w:t>
      </w:r>
      <w:r w:rsidRPr="0081146C">
        <w:noBreakHyphen/>
        <w:t>hosted virtual asset wallets</w:t>
      </w:r>
      <w:bookmarkEnd w:id="242"/>
      <w:bookmarkEnd w:id="243"/>
      <w:bookmarkEnd w:id="244"/>
    </w:p>
    <w:p w14:paraId="21916B41" w14:textId="77777777" w:rsidR="00250C0B" w:rsidRPr="0081146C" w:rsidRDefault="00250C0B" w:rsidP="00250C0B">
      <w:pPr>
        <w:pStyle w:val="SubsectionHead"/>
      </w:pPr>
      <w:r w:rsidRPr="0081146C">
        <w:t>Scope</w:t>
      </w:r>
    </w:p>
    <w:p w14:paraId="62CC56C1" w14:textId="77777777" w:rsidR="00250C0B" w:rsidRPr="0081146C" w:rsidRDefault="00250C0B" w:rsidP="00250C0B">
      <w:pPr>
        <w:pStyle w:val="subsection"/>
      </w:pPr>
      <w:r w:rsidRPr="0081146C">
        <w:tab/>
        <w:t>(1)</w:t>
      </w:r>
      <w:r w:rsidRPr="0081146C">
        <w:tab/>
        <w:t>This section applies to a reporting entity if:</w:t>
      </w:r>
    </w:p>
    <w:p w14:paraId="54292884" w14:textId="77777777" w:rsidR="00250C0B" w:rsidRPr="0081146C" w:rsidRDefault="00250C0B" w:rsidP="00250C0B">
      <w:pPr>
        <w:pStyle w:val="paragraph"/>
      </w:pPr>
      <w:r w:rsidRPr="0081146C">
        <w:tab/>
        <w:t>(a)</w:t>
      </w:r>
      <w:r w:rsidRPr="0081146C">
        <w:tab/>
        <w:t>the reporting entity commences to provide a designated service covered by item 29 or 30 of table 1 in section 6 at or through a permanent establishment of the reporting entity in Australia; and</w:t>
      </w:r>
    </w:p>
    <w:p w14:paraId="4A043A33" w14:textId="77777777" w:rsidR="00250C0B" w:rsidRPr="0081146C" w:rsidRDefault="00250C0B" w:rsidP="00250C0B">
      <w:pPr>
        <w:pStyle w:val="paragraph"/>
      </w:pPr>
      <w:r w:rsidRPr="0081146C">
        <w:tab/>
        <w:t>(b)</w:t>
      </w:r>
      <w:r w:rsidRPr="0081146C">
        <w:tab/>
        <w:t>the service involves:</w:t>
      </w:r>
    </w:p>
    <w:p w14:paraId="1F39A619" w14:textId="77777777" w:rsidR="00250C0B" w:rsidRPr="0081146C" w:rsidRDefault="00250C0B" w:rsidP="00250C0B">
      <w:pPr>
        <w:pStyle w:val="paragraphsub"/>
      </w:pPr>
      <w:r w:rsidRPr="0081146C">
        <w:tab/>
        <w:t>(i)</w:t>
      </w:r>
      <w:r w:rsidRPr="0081146C">
        <w:tab/>
        <w:t>receiving virtual assets transferred from a self</w:t>
      </w:r>
      <w:r w:rsidRPr="0081146C">
        <w:noBreakHyphen/>
        <w:t>hosted virtual asset wallet; or</w:t>
      </w:r>
    </w:p>
    <w:p w14:paraId="01A5D252" w14:textId="77777777" w:rsidR="00250C0B" w:rsidRPr="0081146C" w:rsidRDefault="00250C0B" w:rsidP="00250C0B">
      <w:pPr>
        <w:pStyle w:val="paragraphsub"/>
      </w:pPr>
      <w:r w:rsidRPr="0081146C">
        <w:tab/>
        <w:t>(ii)</w:t>
      </w:r>
      <w:r w:rsidRPr="0081146C">
        <w:tab/>
        <w:t>transferring virtual assets to a self</w:t>
      </w:r>
      <w:r w:rsidRPr="0081146C">
        <w:noBreakHyphen/>
        <w:t>hosted virtual asset wallet; and</w:t>
      </w:r>
    </w:p>
    <w:p w14:paraId="518240F8" w14:textId="77777777" w:rsidR="00250C0B" w:rsidRPr="0081146C" w:rsidRDefault="00250C0B" w:rsidP="00250C0B">
      <w:pPr>
        <w:pStyle w:val="paragraph"/>
      </w:pPr>
      <w:r w:rsidRPr="0081146C">
        <w:tab/>
        <w:t>(c)</w:t>
      </w:r>
      <w:r w:rsidRPr="0081146C">
        <w:tab/>
        <w:t>the person who controls the self</w:t>
      </w:r>
      <w:r w:rsidRPr="0081146C">
        <w:noBreakHyphen/>
        <w:t>hosted virtual asset wallet has not been verified by the reporting entity in accordance with the reporting entity’s AML/CTF program.</w:t>
      </w:r>
    </w:p>
    <w:p w14:paraId="0D03583E" w14:textId="77777777" w:rsidR="00250C0B" w:rsidRPr="0081146C" w:rsidRDefault="00250C0B" w:rsidP="00250C0B">
      <w:pPr>
        <w:pStyle w:val="SubsectionHead"/>
      </w:pPr>
      <w:r w:rsidRPr="0081146C">
        <w:t>Report</w:t>
      </w:r>
    </w:p>
    <w:p w14:paraId="545D01E9" w14:textId="77777777" w:rsidR="00250C0B" w:rsidRPr="0081146C" w:rsidRDefault="00250C0B" w:rsidP="00250C0B">
      <w:pPr>
        <w:pStyle w:val="subsection"/>
      </w:pPr>
      <w:r w:rsidRPr="0081146C">
        <w:tab/>
        <w:t>(2)</w:t>
      </w:r>
      <w:r w:rsidRPr="0081146C">
        <w:tab/>
        <w:t>The reporting entity must give the AUSTRAC CEO a report about the provision of the designated service within 10 business days after commencing to provide the service.</w:t>
      </w:r>
    </w:p>
    <w:p w14:paraId="0F1F3B1D" w14:textId="77777777" w:rsidR="00250C0B" w:rsidRPr="0081146C" w:rsidRDefault="00250C0B" w:rsidP="00250C0B">
      <w:pPr>
        <w:pStyle w:val="subsection"/>
      </w:pPr>
      <w:r w:rsidRPr="0081146C">
        <w:tab/>
        <w:t>(3)</w:t>
      </w:r>
      <w:r w:rsidRPr="0081146C">
        <w:tab/>
        <w:t>A report under subsection (2) must:</w:t>
      </w:r>
    </w:p>
    <w:p w14:paraId="3C2B777D" w14:textId="77777777" w:rsidR="00250C0B" w:rsidRPr="0081146C" w:rsidRDefault="00250C0B" w:rsidP="00250C0B">
      <w:pPr>
        <w:pStyle w:val="paragraph"/>
      </w:pPr>
      <w:r w:rsidRPr="0081146C">
        <w:tab/>
        <w:t>(a)</w:t>
      </w:r>
      <w:r w:rsidRPr="0081146C">
        <w:tab/>
        <w:t>be in accordance with the approved form, or in a manner specified in the AML/CTF Rules; and</w:t>
      </w:r>
    </w:p>
    <w:p w14:paraId="6A93D9D6" w14:textId="77777777" w:rsidR="00250C0B" w:rsidRPr="0081146C" w:rsidRDefault="00250C0B" w:rsidP="00250C0B">
      <w:pPr>
        <w:pStyle w:val="paragraph"/>
      </w:pPr>
      <w:r w:rsidRPr="0081146C">
        <w:tab/>
        <w:t>(b)</w:t>
      </w:r>
      <w:r w:rsidRPr="0081146C">
        <w:tab/>
        <w:t>contain the information required by the AML/CTF Rules.</w:t>
      </w:r>
    </w:p>
    <w:p w14:paraId="4518E85E" w14:textId="77777777" w:rsidR="00250C0B" w:rsidRPr="0081146C" w:rsidRDefault="00250C0B" w:rsidP="00250C0B">
      <w:pPr>
        <w:pStyle w:val="notetext"/>
      </w:pPr>
      <w:r w:rsidRPr="0081146C">
        <w:t>Note:</w:t>
      </w:r>
      <w:r w:rsidRPr="0081146C">
        <w:tab/>
        <w:t>For additional rules about reports, see section 244.</w:t>
      </w:r>
    </w:p>
    <w:p w14:paraId="67974120" w14:textId="77777777" w:rsidR="00250C0B" w:rsidRPr="0081146C" w:rsidRDefault="00250C0B" w:rsidP="00250C0B">
      <w:pPr>
        <w:pStyle w:val="SubsectionHead"/>
      </w:pPr>
      <w:r w:rsidRPr="0081146C">
        <w:t>Civil penalty</w:t>
      </w:r>
    </w:p>
    <w:p w14:paraId="30AA66CE" w14:textId="77777777" w:rsidR="00250C0B" w:rsidRPr="0081146C" w:rsidRDefault="00250C0B" w:rsidP="00250C0B">
      <w:pPr>
        <w:pStyle w:val="subsection"/>
      </w:pPr>
      <w:r w:rsidRPr="0081146C">
        <w:tab/>
        <w:t>(4)</w:t>
      </w:r>
      <w:r w:rsidRPr="0081146C">
        <w:tab/>
        <w:t>Subsection (2) is a civil penalty provision.</w:t>
      </w:r>
    </w:p>
    <w:p w14:paraId="1436C22F" w14:textId="77777777" w:rsidR="00250C0B" w:rsidRPr="0081146C" w:rsidRDefault="00250C0B" w:rsidP="00250C0B">
      <w:pPr>
        <w:pStyle w:val="SubsectionHead"/>
      </w:pPr>
      <w:r w:rsidRPr="0081146C">
        <w:t>Exemptions</w:t>
      </w:r>
    </w:p>
    <w:p w14:paraId="13C43448" w14:textId="77777777" w:rsidR="00250C0B" w:rsidRPr="0081146C" w:rsidRDefault="00250C0B" w:rsidP="00250C0B">
      <w:pPr>
        <w:pStyle w:val="subsection"/>
      </w:pPr>
      <w:r w:rsidRPr="0081146C">
        <w:tab/>
        <w:t>(5)</w:t>
      </w:r>
      <w:r w:rsidRPr="0081146C">
        <w:tab/>
        <w:t>This section does not apply to transfer of value of a kind specified in the AML/CTF Rules.</w:t>
      </w:r>
    </w:p>
    <w:p w14:paraId="69167244" w14:textId="77777777" w:rsidR="00250C0B" w:rsidRPr="0081146C" w:rsidRDefault="00250C0B" w:rsidP="00250C0B">
      <w:pPr>
        <w:pStyle w:val="subsection"/>
      </w:pPr>
      <w:r w:rsidRPr="0081146C">
        <w:tab/>
        <w:t>(6)</w:t>
      </w:r>
      <w:r w:rsidRPr="0081146C">
        <w:tab/>
        <w:t>This section does not apply to a transfer of value that occurs in circumstances specified in the AML/CTF Rules.</w:t>
      </w:r>
    </w:p>
    <w:p w14:paraId="332AFD4A" w14:textId="77777777" w:rsidR="00035544" w:rsidRPr="0081146C" w:rsidRDefault="00CA78AA" w:rsidP="00AE2DA2">
      <w:pPr>
        <w:pStyle w:val="ActHead3"/>
        <w:pageBreakBefore/>
      </w:pPr>
      <w:bookmarkStart w:id="245" w:name="_Toc185415804"/>
      <w:r w:rsidRPr="0081146C">
        <w:rPr>
          <w:rStyle w:val="CharDivNo"/>
        </w:rPr>
        <w:t>Division 5</w:t>
      </w:r>
      <w:r w:rsidR="00035544" w:rsidRPr="0081146C">
        <w:t>—</w:t>
      </w:r>
      <w:r w:rsidR="00035544" w:rsidRPr="0081146C">
        <w:rPr>
          <w:rStyle w:val="CharDivText"/>
        </w:rPr>
        <w:t>AML/CTF compliance reports</w:t>
      </w:r>
      <w:bookmarkEnd w:id="245"/>
    </w:p>
    <w:p w14:paraId="1343E0D8" w14:textId="77777777" w:rsidR="00035544" w:rsidRPr="0081146C" w:rsidRDefault="00035544" w:rsidP="00035544">
      <w:pPr>
        <w:pStyle w:val="ActHead5"/>
      </w:pPr>
      <w:bookmarkStart w:id="246" w:name="_Toc185415805"/>
      <w:r w:rsidRPr="0081146C">
        <w:rPr>
          <w:rStyle w:val="CharSectno"/>
        </w:rPr>
        <w:t>47</w:t>
      </w:r>
      <w:r w:rsidRPr="0081146C">
        <w:t xml:space="preserve">  AML/CTF compliance reports</w:t>
      </w:r>
      <w:bookmarkEnd w:id="246"/>
    </w:p>
    <w:p w14:paraId="2E157398" w14:textId="77777777" w:rsidR="00035544" w:rsidRPr="0081146C" w:rsidRDefault="00035544" w:rsidP="00035544">
      <w:pPr>
        <w:pStyle w:val="SubsectionHead"/>
      </w:pPr>
      <w:r w:rsidRPr="0081146C">
        <w:t>Scope</w:t>
      </w:r>
    </w:p>
    <w:p w14:paraId="08005FBF" w14:textId="77777777" w:rsidR="00035544" w:rsidRPr="0081146C" w:rsidRDefault="00035544" w:rsidP="00035544">
      <w:pPr>
        <w:pStyle w:val="subsection"/>
      </w:pPr>
      <w:r w:rsidRPr="0081146C">
        <w:tab/>
        <w:t>(1)</w:t>
      </w:r>
      <w:r w:rsidRPr="0081146C">
        <w:tab/>
        <w:t>This section applies if the AML/CTF Rules provide that, for the purposes of this section:</w:t>
      </w:r>
    </w:p>
    <w:p w14:paraId="1165C77B" w14:textId="77777777" w:rsidR="00035544" w:rsidRPr="0081146C" w:rsidRDefault="00035544" w:rsidP="00035544">
      <w:pPr>
        <w:pStyle w:val="paragraph"/>
      </w:pPr>
      <w:r w:rsidRPr="0081146C">
        <w:tab/>
        <w:t>(a)</w:t>
      </w:r>
      <w:r w:rsidRPr="0081146C">
        <w:tab/>
        <w:t>a specified period is a reporting period; and</w:t>
      </w:r>
    </w:p>
    <w:p w14:paraId="08A269CB" w14:textId="77777777" w:rsidR="00035544" w:rsidRPr="0081146C" w:rsidRDefault="00035544" w:rsidP="00035544">
      <w:pPr>
        <w:pStyle w:val="paragraph"/>
      </w:pPr>
      <w:r w:rsidRPr="0081146C">
        <w:tab/>
        <w:t>(b)</w:t>
      </w:r>
      <w:r w:rsidRPr="0081146C">
        <w:tab/>
        <w:t>a specified period beginning at the end of a reporting period is the lodgment period for that reporting period.</w:t>
      </w:r>
    </w:p>
    <w:p w14:paraId="59C13563" w14:textId="77777777" w:rsidR="00035544" w:rsidRPr="0081146C" w:rsidRDefault="00035544" w:rsidP="00035544">
      <w:pPr>
        <w:pStyle w:val="subsection2"/>
      </w:pPr>
      <w:r w:rsidRPr="0081146C">
        <w:t xml:space="preserve">A period specified under </w:t>
      </w:r>
      <w:r w:rsidR="004F64A4" w:rsidRPr="0081146C">
        <w:t>paragraph (</w:t>
      </w:r>
      <w:r w:rsidRPr="0081146C">
        <w:t>a) or (b) may be a recurring period.</w:t>
      </w:r>
    </w:p>
    <w:p w14:paraId="6429E9FC" w14:textId="77777777" w:rsidR="00035544" w:rsidRPr="0081146C" w:rsidRDefault="00035544" w:rsidP="00035544">
      <w:pPr>
        <w:pStyle w:val="SubsectionHead"/>
      </w:pPr>
      <w:r w:rsidRPr="0081146C">
        <w:t>Report</w:t>
      </w:r>
    </w:p>
    <w:p w14:paraId="37024C47" w14:textId="77777777" w:rsidR="00035544" w:rsidRPr="0081146C" w:rsidRDefault="00035544" w:rsidP="00035544">
      <w:pPr>
        <w:pStyle w:val="subsection"/>
      </w:pPr>
      <w:r w:rsidRPr="0081146C">
        <w:tab/>
        <w:t>(2)</w:t>
      </w:r>
      <w:r w:rsidRPr="0081146C">
        <w:tab/>
        <w:t>A reporting entity must, within the lodgment period for a reporting period, give the AUSTRAC CEO a report relating to the reporting entity’s compliance with this Act, the regulations and the AML/CTF Rules during the reporting period.</w:t>
      </w:r>
    </w:p>
    <w:p w14:paraId="6E351090" w14:textId="77777777" w:rsidR="00035544" w:rsidRPr="0081146C" w:rsidRDefault="00035544" w:rsidP="00035544">
      <w:pPr>
        <w:pStyle w:val="subsection"/>
      </w:pPr>
      <w:r w:rsidRPr="0081146C">
        <w:tab/>
        <w:t>(3)</w:t>
      </w:r>
      <w:r w:rsidRPr="0081146C">
        <w:tab/>
        <w:t xml:space="preserve">A report under </w:t>
      </w:r>
      <w:r w:rsidR="004F64A4" w:rsidRPr="0081146C">
        <w:t>subsection (</w:t>
      </w:r>
      <w:r w:rsidRPr="0081146C">
        <w:t>2) must:</w:t>
      </w:r>
    </w:p>
    <w:p w14:paraId="04C95D2D" w14:textId="77777777" w:rsidR="00035544" w:rsidRPr="0081146C" w:rsidRDefault="00035544" w:rsidP="00035544">
      <w:pPr>
        <w:pStyle w:val="paragraph"/>
      </w:pPr>
      <w:r w:rsidRPr="0081146C">
        <w:tab/>
        <w:t>(a)</w:t>
      </w:r>
      <w:r w:rsidRPr="0081146C">
        <w:tab/>
        <w:t>be in the approved form; and</w:t>
      </w:r>
    </w:p>
    <w:p w14:paraId="3C083A60" w14:textId="77777777" w:rsidR="00035544" w:rsidRPr="0081146C" w:rsidRDefault="00035544" w:rsidP="00035544">
      <w:pPr>
        <w:pStyle w:val="paragraph"/>
      </w:pPr>
      <w:r w:rsidRPr="0081146C">
        <w:tab/>
        <w:t>(b)</w:t>
      </w:r>
      <w:r w:rsidRPr="0081146C">
        <w:tab/>
        <w:t>contain such information as is required by the approved form.</w:t>
      </w:r>
    </w:p>
    <w:p w14:paraId="22B4431A" w14:textId="77777777" w:rsidR="00035544" w:rsidRPr="0081146C" w:rsidRDefault="00035544" w:rsidP="00035544">
      <w:pPr>
        <w:pStyle w:val="notetext"/>
      </w:pPr>
      <w:r w:rsidRPr="0081146C">
        <w:t>Note:</w:t>
      </w:r>
      <w:r w:rsidRPr="0081146C">
        <w:tab/>
        <w:t>For additional rules about reports, see section</w:t>
      </w:r>
      <w:r w:rsidR="004F64A4" w:rsidRPr="0081146C">
        <w:t> </w:t>
      </w:r>
      <w:r w:rsidRPr="0081146C">
        <w:t>244.</w:t>
      </w:r>
    </w:p>
    <w:p w14:paraId="787F0832" w14:textId="77777777" w:rsidR="00035544" w:rsidRPr="0081146C" w:rsidRDefault="00035544" w:rsidP="00035544">
      <w:pPr>
        <w:pStyle w:val="SubsectionHead"/>
      </w:pPr>
      <w:r w:rsidRPr="0081146C">
        <w:t>Civil penalty</w:t>
      </w:r>
    </w:p>
    <w:p w14:paraId="3C6A5881" w14:textId="77777777" w:rsidR="00035544" w:rsidRPr="0081146C" w:rsidRDefault="00035544" w:rsidP="00035544">
      <w:pPr>
        <w:pStyle w:val="subsection"/>
      </w:pPr>
      <w:r w:rsidRPr="0081146C">
        <w:tab/>
        <w:t>(4)</w:t>
      </w:r>
      <w:r w:rsidRPr="0081146C">
        <w:tab/>
      </w:r>
      <w:r w:rsidR="004F64A4" w:rsidRPr="0081146C">
        <w:t>Subsection (</w:t>
      </w:r>
      <w:r w:rsidRPr="0081146C">
        <w:t>2) is a civil penalty provision.</w:t>
      </w:r>
    </w:p>
    <w:p w14:paraId="56D22DE5" w14:textId="77777777" w:rsidR="00035544" w:rsidRPr="0081146C" w:rsidRDefault="00035544" w:rsidP="00035544">
      <w:pPr>
        <w:pStyle w:val="SubsectionHead"/>
      </w:pPr>
      <w:r w:rsidRPr="0081146C">
        <w:t>Exemption</w:t>
      </w:r>
    </w:p>
    <w:p w14:paraId="58378CA5" w14:textId="77777777" w:rsidR="00035544" w:rsidRPr="0081146C" w:rsidRDefault="00035544" w:rsidP="00035544">
      <w:pPr>
        <w:pStyle w:val="subsection"/>
      </w:pPr>
      <w:r w:rsidRPr="0081146C">
        <w:tab/>
        <w:t>(5)</w:t>
      </w:r>
      <w:r w:rsidRPr="0081146C">
        <w:tab/>
        <w:t xml:space="preserve">This section does not apply to a reporting entity if all of the designated services provided by the reporting entity are covered by </w:t>
      </w:r>
      <w:r w:rsidR="003B7E15" w:rsidRPr="0081146C">
        <w:t>item 5</w:t>
      </w:r>
      <w:r w:rsidRPr="0081146C">
        <w:t>4 of table 1 in section</w:t>
      </w:r>
      <w:r w:rsidR="004F64A4" w:rsidRPr="0081146C">
        <w:t> </w:t>
      </w:r>
      <w:r w:rsidRPr="0081146C">
        <w:t>6.</w:t>
      </w:r>
    </w:p>
    <w:p w14:paraId="661B89B4" w14:textId="77777777" w:rsidR="00035544" w:rsidRPr="0081146C" w:rsidRDefault="00035544" w:rsidP="00035544">
      <w:pPr>
        <w:pStyle w:val="notetext"/>
      </w:pPr>
      <w:r w:rsidRPr="0081146C">
        <w:t>Note:</w:t>
      </w:r>
      <w:r w:rsidRPr="0081146C">
        <w:tab/>
        <w:t>Item</w:t>
      </w:r>
      <w:r w:rsidR="004F64A4" w:rsidRPr="0081146C">
        <w:t> </w:t>
      </w:r>
      <w:r w:rsidRPr="0081146C">
        <w:t>54 of table 1 in section</w:t>
      </w:r>
      <w:r w:rsidR="004F64A4" w:rsidRPr="0081146C">
        <w:t> </w:t>
      </w:r>
      <w:r w:rsidRPr="0081146C">
        <w:t>6 covers a holder of an Australian financial services licence who arranges for a person to receive a designated service.</w:t>
      </w:r>
    </w:p>
    <w:p w14:paraId="19171EA7" w14:textId="77777777" w:rsidR="00035544" w:rsidRPr="0081146C" w:rsidRDefault="00035544" w:rsidP="00035544">
      <w:pPr>
        <w:pStyle w:val="SubsectionHead"/>
      </w:pPr>
      <w:r w:rsidRPr="0081146C">
        <w:t>Different reporting entities</w:t>
      </w:r>
    </w:p>
    <w:p w14:paraId="26FFBECB" w14:textId="77777777" w:rsidR="00035544" w:rsidRPr="0081146C" w:rsidRDefault="00035544" w:rsidP="00035544">
      <w:pPr>
        <w:pStyle w:val="subsection"/>
      </w:pPr>
      <w:r w:rsidRPr="0081146C">
        <w:tab/>
        <w:t>(8)</w:t>
      </w:r>
      <w:r w:rsidRPr="0081146C">
        <w:tab/>
        <w:t>AML/CTF Rules made for the purposes of this section may make different provision with respect to different reporting entities. This does not limit subsection</w:t>
      </w:r>
      <w:r w:rsidR="004F64A4" w:rsidRPr="0081146C">
        <w:t> </w:t>
      </w:r>
      <w:r w:rsidRPr="0081146C">
        <w:t xml:space="preserve">33(3A) of the </w:t>
      </w:r>
      <w:r w:rsidRPr="0081146C">
        <w:rPr>
          <w:i/>
        </w:rPr>
        <w:t>Acts Interpretation Act 1901</w:t>
      </w:r>
      <w:r w:rsidRPr="0081146C">
        <w:t>.</w:t>
      </w:r>
    </w:p>
    <w:p w14:paraId="3C472838" w14:textId="77777777" w:rsidR="00035544" w:rsidRPr="0081146C" w:rsidRDefault="00035544" w:rsidP="00035544">
      <w:pPr>
        <w:pStyle w:val="ActHead5"/>
      </w:pPr>
      <w:bookmarkStart w:id="247" w:name="_Toc185415806"/>
      <w:r w:rsidRPr="0081146C">
        <w:rPr>
          <w:rStyle w:val="CharSectno"/>
        </w:rPr>
        <w:t>48</w:t>
      </w:r>
      <w:r w:rsidRPr="0081146C">
        <w:t xml:space="preserve">  Self</w:t>
      </w:r>
      <w:r w:rsidR="003B7E15" w:rsidRPr="0081146C">
        <w:noBreakHyphen/>
      </w:r>
      <w:r w:rsidRPr="0081146C">
        <w:t>incrimination</w:t>
      </w:r>
      <w:bookmarkEnd w:id="247"/>
    </w:p>
    <w:p w14:paraId="10DEC836" w14:textId="77777777" w:rsidR="00035544" w:rsidRPr="0081146C" w:rsidRDefault="00035544" w:rsidP="00035544">
      <w:pPr>
        <w:pStyle w:val="subsection"/>
      </w:pPr>
      <w:r w:rsidRPr="0081146C">
        <w:tab/>
        <w:t>(1)</w:t>
      </w:r>
      <w:r w:rsidRPr="0081146C">
        <w:tab/>
        <w:t>A person is not excused from giving a report under section</w:t>
      </w:r>
      <w:r w:rsidR="004F64A4" w:rsidRPr="0081146C">
        <w:t> </w:t>
      </w:r>
      <w:r w:rsidRPr="0081146C">
        <w:t>47 on the ground that the report might tend to incriminate the person or expose the person to a penalty.</w:t>
      </w:r>
    </w:p>
    <w:p w14:paraId="4DB36741" w14:textId="77777777" w:rsidR="00035544" w:rsidRPr="0081146C" w:rsidRDefault="00035544" w:rsidP="00035544">
      <w:pPr>
        <w:pStyle w:val="subsection"/>
      </w:pPr>
      <w:r w:rsidRPr="0081146C">
        <w:tab/>
        <w:t>(2)</w:t>
      </w:r>
      <w:r w:rsidRPr="0081146C">
        <w:tab/>
        <w:t>However:</w:t>
      </w:r>
    </w:p>
    <w:p w14:paraId="768D05D2" w14:textId="77777777" w:rsidR="00035544" w:rsidRPr="0081146C" w:rsidRDefault="00035544" w:rsidP="00035544">
      <w:pPr>
        <w:pStyle w:val="paragraph"/>
      </w:pPr>
      <w:r w:rsidRPr="0081146C">
        <w:tab/>
        <w:t>(a)</w:t>
      </w:r>
      <w:r w:rsidRPr="0081146C">
        <w:tab/>
        <w:t>the report given; or</w:t>
      </w:r>
    </w:p>
    <w:p w14:paraId="1B2547FF" w14:textId="77777777" w:rsidR="00035544" w:rsidRPr="0081146C" w:rsidRDefault="00035544" w:rsidP="00035544">
      <w:pPr>
        <w:pStyle w:val="paragraph"/>
      </w:pPr>
      <w:r w:rsidRPr="0081146C">
        <w:tab/>
        <w:t>(b)</w:t>
      </w:r>
      <w:r w:rsidRPr="0081146C">
        <w:tab/>
        <w:t>giving the report;</w:t>
      </w:r>
    </w:p>
    <w:p w14:paraId="0047BB1C" w14:textId="77777777" w:rsidR="00035544" w:rsidRPr="0081146C" w:rsidRDefault="00035544" w:rsidP="00035544">
      <w:pPr>
        <w:pStyle w:val="subsection2"/>
      </w:pPr>
      <w:r w:rsidRPr="0081146C">
        <w:t>is not admissible in evidence against the person:</w:t>
      </w:r>
    </w:p>
    <w:p w14:paraId="5AE1E0DC" w14:textId="77777777" w:rsidR="00035544" w:rsidRPr="0081146C" w:rsidRDefault="00035544" w:rsidP="00035544">
      <w:pPr>
        <w:pStyle w:val="paragraph"/>
      </w:pPr>
      <w:r w:rsidRPr="0081146C">
        <w:tab/>
        <w:t>(c)</w:t>
      </w:r>
      <w:r w:rsidRPr="0081146C">
        <w:tab/>
        <w:t>in civil proceedings other than:</w:t>
      </w:r>
    </w:p>
    <w:p w14:paraId="267C40E6" w14:textId="77777777" w:rsidR="00035544" w:rsidRPr="0081146C" w:rsidRDefault="00035544" w:rsidP="00035544">
      <w:pPr>
        <w:pStyle w:val="paragraphsub"/>
      </w:pPr>
      <w:r w:rsidRPr="0081146C">
        <w:tab/>
        <w:t>(i)</w:t>
      </w:r>
      <w:r w:rsidRPr="0081146C">
        <w:tab/>
        <w:t xml:space="preserve">proceedings under </w:t>
      </w:r>
      <w:r w:rsidR="003B7E15" w:rsidRPr="0081146C">
        <w:t>section 1</w:t>
      </w:r>
      <w:r w:rsidRPr="0081146C">
        <w:t>75 for a contravention of subsection</w:t>
      </w:r>
      <w:r w:rsidR="004F64A4" w:rsidRPr="0081146C">
        <w:t> </w:t>
      </w:r>
      <w:r w:rsidRPr="0081146C">
        <w:t>47(2); or</w:t>
      </w:r>
    </w:p>
    <w:p w14:paraId="07D28BC7" w14:textId="77777777" w:rsidR="00035544" w:rsidRPr="0081146C" w:rsidRDefault="00035544" w:rsidP="00035544">
      <w:pPr>
        <w:pStyle w:val="paragraphsub"/>
      </w:pPr>
      <w:r w:rsidRPr="0081146C">
        <w:tab/>
        <w:t>(ii)</w:t>
      </w:r>
      <w:r w:rsidRPr="0081146C">
        <w:tab/>
        <w:t xml:space="preserve">proceedings under the </w:t>
      </w:r>
      <w:r w:rsidRPr="0081146C">
        <w:rPr>
          <w:i/>
        </w:rPr>
        <w:t>Proceeds of Crime Act 2002</w:t>
      </w:r>
      <w:r w:rsidRPr="0081146C">
        <w:t xml:space="preserve"> that relate to this Act; or</w:t>
      </w:r>
    </w:p>
    <w:p w14:paraId="33490B10" w14:textId="77777777" w:rsidR="00035544" w:rsidRPr="0081146C" w:rsidRDefault="00035544" w:rsidP="00035544">
      <w:pPr>
        <w:pStyle w:val="paragraph"/>
      </w:pPr>
      <w:r w:rsidRPr="0081146C">
        <w:tab/>
        <w:t>(d)</w:t>
      </w:r>
      <w:r w:rsidRPr="0081146C">
        <w:tab/>
        <w:t>in criminal proceedings other than:</w:t>
      </w:r>
    </w:p>
    <w:p w14:paraId="143A4061" w14:textId="77777777" w:rsidR="00035544" w:rsidRPr="0081146C" w:rsidRDefault="00035544" w:rsidP="00035544">
      <w:pPr>
        <w:pStyle w:val="paragraphsub"/>
      </w:pPr>
      <w:r w:rsidRPr="0081146C">
        <w:tab/>
        <w:t>(i)</w:t>
      </w:r>
      <w:r w:rsidRPr="0081146C">
        <w:tab/>
        <w:t xml:space="preserve">proceedings for an offence against </w:t>
      </w:r>
      <w:r w:rsidR="003B7E15" w:rsidRPr="0081146C">
        <w:t>section 1</w:t>
      </w:r>
      <w:r w:rsidRPr="0081146C">
        <w:t>36 that relates to section</w:t>
      </w:r>
      <w:r w:rsidR="004F64A4" w:rsidRPr="0081146C">
        <w:t> </w:t>
      </w:r>
      <w:r w:rsidRPr="0081146C">
        <w:t>47; or</w:t>
      </w:r>
    </w:p>
    <w:p w14:paraId="19C47B5E" w14:textId="77777777" w:rsidR="00035544" w:rsidRPr="0081146C" w:rsidRDefault="00035544" w:rsidP="00035544">
      <w:pPr>
        <w:pStyle w:val="paragraphsub"/>
      </w:pPr>
      <w:r w:rsidRPr="0081146C">
        <w:tab/>
        <w:t>(ii)</w:t>
      </w:r>
      <w:r w:rsidRPr="0081146C">
        <w:tab/>
        <w:t xml:space="preserve">proceedings for an offence against </w:t>
      </w:r>
      <w:r w:rsidR="003B7E15" w:rsidRPr="0081146C">
        <w:t>section 1</w:t>
      </w:r>
      <w:r w:rsidRPr="0081146C">
        <w:t xml:space="preserve">37.1 of the </w:t>
      </w:r>
      <w:r w:rsidRPr="0081146C">
        <w:rPr>
          <w:i/>
        </w:rPr>
        <w:t>Criminal Code</w:t>
      </w:r>
      <w:r w:rsidRPr="0081146C">
        <w:t xml:space="preserve"> that relates to section</w:t>
      </w:r>
      <w:r w:rsidR="004F64A4" w:rsidRPr="0081146C">
        <w:t> </w:t>
      </w:r>
      <w:r w:rsidRPr="0081146C">
        <w:t>47 of this Act.</w:t>
      </w:r>
    </w:p>
    <w:p w14:paraId="21BD8C7B" w14:textId="77777777" w:rsidR="00035544" w:rsidRPr="0081146C" w:rsidRDefault="003A364D" w:rsidP="00AE2DA2">
      <w:pPr>
        <w:pStyle w:val="ActHead3"/>
        <w:pageBreakBefore/>
      </w:pPr>
      <w:bookmarkStart w:id="248" w:name="_Toc185415807"/>
      <w:r w:rsidRPr="0081146C">
        <w:rPr>
          <w:rStyle w:val="CharDivNo"/>
        </w:rPr>
        <w:t>Division 6</w:t>
      </w:r>
      <w:r w:rsidR="00035544" w:rsidRPr="0081146C">
        <w:t>—</w:t>
      </w:r>
      <w:r w:rsidR="00035544" w:rsidRPr="0081146C">
        <w:rPr>
          <w:rStyle w:val="CharDivText"/>
        </w:rPr>
        <w:t>General provisions</w:t>
      </w:r>
      <w:bookmarkEnd w:id="248"/>
    </w:p>
    <w:p w14:paraId="4598C2F1" w14:textId="77777777" w:rsidR="00250C0B" w:rsidRPr="0081146C" w:rsidRDefault="00250C0B" w:rsidP="00250C0B">
      <w:pPr>
        <w:pStyle w:val="ActHead5"/>
      </w:pPr>
      <w:bookmarkStart w:id="249" w:name="_Toc176444453"/>
      <w:bookmarkStart w:id="250" w:name="_Toc184034074"/>
      <w:bookmarkStart w:id="251" w:name="_Toc185415808"/>
      <w:r w:rsidRPr="0081146C">
        <w:rPr>
          <w:rStyle w:val="CharSectno"/>
        </w:rPr>
        <w:t>48A</w:t>
      </w:r>
      <w:r w:rsidRPr="0081146C">
        <w:t xml:space="preserve">  Amending or withdrawing reports</w:t>
      </w:r>
      <w:bookmarkEnd w:id="249"/>
      <w:bookmarkEnd w:id="250"/>
      <w:bookmarkEnd w:id="251"/>
    </w:p>
    <w:p w14:paraId="107B7F41" w14:textId="77777777" w:rsidR="00250C0B" w:rsidRPr="0081146C" w:rsidRDefault="00250C0B" w:rsidP="00250C0B">
      <w:pPr>
        <w:pStyle w:val="subsection"/>
      </w:pPr>
      <w:r w:rsidRPr="0081146C">
        <w:tab/>
        <w:t>(1)</w:t>
      </w:r>
      <w:r w:rsidRPr="0081146C">
        <w:tab/>
        <w:t>The AML/CTF Rules may make provision in relation to the amendment or withdrawal of a report given under section 41, 43, 46 or 46A.</w:t>
      </w:r>
    </w:p>
    <w:p w14:paraId="6CCDA313" w14:textId="77777777" w:rsidR="00250C0B" w:rsidRPr="0081146C" w:rsidRDefault="00250C0B" w:rsidP="00250C0B">
      <w:pPr>
        <w:pStyle w:val="subsection"/>
      </w:pPr>
      <w:r w:rsidRPr="0081146C">
        <w:tab/>
        <w:t>(2)</w:t>
      </w:r>
      <w:r w:rsidRPr="0081146C">
        <w:tab/>
        <w:t>Without limiting subsection (1), the AML/CTF Rules may deal with the following:</w:t>
      </w:r>
    </w:p>
    <w:p w14:paraId="27F5EE2A" w14:textId="77777777" w:rsidR="00250C0B" w:rsidRPr="0081146C" w:rsidRDefault="00250C0B" w:rsidP="00250C0B">
      <w:pPr>
        <w:pStyle w:val="paragraph"/>
      </w:pPr>
      <w:r w:rsidRPr="0081146C">
        <w:tab/>
        <w:t>(a)</w:t>
      </w:r>
      <w:r w:rsidRPr="0081146C">
        <w:tab/>
        <w:t>timeframes within which requests to amend or withdraw a report may or must be made;</w:t>
      </w:r>
    </w:p>
    <w:p w14:paraId="20BE8838" w14:textId="77777777" w:rsidR="00250C0B" w:rsidRPr="0081146C" w:rsidRDefault="00250C0B" w:rsidP="00250C0B">
      <w:pPr>
        <w:pStyle w:val="paragraph"/>
      </w:pPr>
      <w:r w:rsidRPr="0081146C">
        <w:tab/>
        <w:t>(b)</w:t>
      </w:r>
      <w:r w:rsidRPr="0081146C">
        <w:tab/>
        <w:t>timeframes within which a report must be amended or withdrawn if a request is accepted;</w:t>
      </w:r>
    </w:p>
    <w:p w14:paraId="487C8058" w14:textId="77777777" w:rsidR="00250C0B" w:rsidRPr="0081146C" w:rsidRDefault="00250C0B" w:rsidP="00250C0B">
      <w:pPr>
        <w:pStyle w:val="paragraph"/>
      </w:pPr>
      <w:r w:rsidRPr="0081146C">
        <w:tab/>
        <w:t>(c)</w:t>
      </w:r>
      <w:r w:rsidRPr="0081146C">
        <w:tab/>
        <w:t>the process for making and deciding requests to amend or withdraw a report;</w:t>
      </w:r>
    </w:p>
    <w:p w14:paraId="6B548C0E" w14:textId="77777777" w:rsidR="00250C0B" w:rsidRPr="0081146C" w:rsidRDefault="00250C0B" w:rsidP="00250C0B">
      <w:pPr>
        <w:pStyle w:val="paragraph"/>
      </w:pPr>
      <w:r w:rsidRPr="0081146C">
        <w:tab/>
        <w:t>(d)</w:t>
      </w:r>
      <w:r w:rsidRPr="0081146C">
        <w:tab/>
        <w:t>the consequences for amending or withdrawing a report.</w:t>
      </w:r>
    </w:p>
    <w:p w14:paraId="7FC32186" w14:textId="77777777" w:rsidR="00035544" w:rsidRPr="0081146C" w:rsidRDefault="00035544" w:rsidP="00035544">
      <w:pPr>
        <w:pStyle w:val="ActHead5"/>
      </w:pPr>
      <w:bookmarkStart w:id="252" w:name="_Toc185415809"/>
      <w:r w:rsidRPr="0081146C">
        <w:rPr>
          <w:rStyle w:val="CharSectno"/>
        </w:rPr>
        <w:t>49</w:t>
      </w:r>
      <w:r w:rsidRPr="0081146C">
        <w:t xml:space="preserve">  Further information to be given to the AUSTRAC CEO etc.</w:t>
      </w:r>
      <w:bookmarkEnd w:id="252"/>
    </w:p>
    <w:p w14:paraId="7BE9FF85" w14:textId="6A40BCA3" w:rsidR="00035544" w:rsidRPr="0081146C" w:rsidRDefault="00035544" w:rsidP="00035544">
      <w:pPr>
        <w:pStyle w:val="subsection"/>
      </w:pPr>
      <w:r w:rsidRPr="0081146C">
        <w:tab/>
        <w:t>(1)</w:t>
      </w:r>
      <w:r w:rsidRPr="0081146C">
        <w:tab/>
        <w:t>If a reporting entity communicates information to the AUSTRAC CEO under section</w:t>
      </w:r>
      <w:r w:rsidR="004F64A4" w:rsidRPr="0081146C">
        <w:t> </w:t>
      </w:r>
      <w:r w:rsidRPr="0081146C">
        <w:t>41, 43</w:t>
      </w:r>
      <w:r w:rsidR="007A2342" w:rsidRPr="0081146C">
        <w:t xml:space="preserve">, 46 or 46A of this Act, or a reporting entity communicated information to the AUSTRAC CEO under subsection 16(1) or (1A) of the repealed </w:t>
      </w:r>
      <w:r w:rsidR="007A2342" w:rsidRPr="0081146C">
        <w:rPr>
          <w:i/>
        </w:rPr>
        <w:t>Financial Transaction Reports Act 1988</w:t>
      </w:r>
      <w:r w:rsidRPr="0081146C">
        <w:t>, then:</w:t>
      </w:r>
    </w:p>
    <w:p w14:paraId="5AFC9C9B" w14:textId="77777777" w:rsidR="00035544" w:rsidRPr="0081146C" w:rsidRDefault="00035544" w:rsidP="00035544">
      <w:pPr>
        <w:pStyle w:val="paragraph"/>
      </w:pPr>
      <w:r w:rsidRPr="0081146C">
        <w:tab/>
        <w:t>(a)</w:t>
      </w:r>
      <w:r w:rsidRPr="0081146C">
        <w:tab/>
        <w:t>the AUSTRAC CEO; or</w:t>
      </w:r>
    </w:p>
    <w:p w14:paraId="2810D9ED" w14:textId="77777777" w:rsidR="00035544" w:rsidRPr="0081146C" w:rsidRDefault="00035544" w:rsidP="00035544">
      <w:pPr>
        <w:pStyle w:val="paragraph"/>
      </w:pPr>
      <w:r w:rsidRPr="0081146C">
        <w:tab/>
        <w:t>(b)</w:t>
      </w:r>
      <w:r w:rsidRPr="0081146C">
        <w:tab/>
        <w:t>the Commissioner of the Australian Federal Police; or</w:t>
      </w:r>
    </w:p>
    <w:p w14:paraId="298516FD" w14:textId="77777777" w:rsidR="00035544" w:rsidRPr="0081146C" w:rsidRDefault="00035544" w:rsidP="00035544">
      <w:pPr>
        <w:pStyle w:val="paragraph"/>
      </w:pPr>
      <w:r w:rsidRPr="0081146C">
        <w:tab/>
        <w:t>(c)</w:t>
      </w:r>
      <w:r w:rsidRPr="0081146C">
        <w:tab/>
        <w:t>the Chief Executive Officer of the Australian Crime Commission; or</w:t>
      </w:r>
    </w:p>
    <w:p w14:paraId="71CFC318" w14:textId="77777777" w:rsidR="00035544" w:rsidRPr="0081146C" w:rsidRDefault="00035544" w:rsidP="00035544">
      <w:pPr>
        <w:pStyle w:val="paragraph"/>
      </w:pPr>
      <w:r w:rsidRPr="0081146C">
        <w:tab/>
        <w:t>(d)</w:t>
      </w:r>
      <w:r w:rsidRPr="0081146C">
        <w:tab/>
        <w:t>the Commissioner of Taxation; or</w:t>
      </w:r>
    </w:p>
    <w:p w14:paraId="4A7C7218" w14:textId="77777777" w:rsidR="00035544" w:rsidRPr="0081146C" w:rsidRDefault="00035544" w:rsidP="00035544">
      <w:pPr>
        <w:pStyle w:val="paragraph"/>
      </w:pPr>
      <w:r w:rsidRPr="0081146C">
        <w:tab/>
        <w:t>(e)</w:t>
      </w:r>
      <w:r w:rsidRPr="0081146C">
        <w:tab/>
        <w:t xml:space="preserve">the </w:t>
      </w:r>
      <w:r w:rsidR="00147F95" w:rsidRPr="0081146C">
        <w:t>Comptroller</w:t>
      </w:r>
      <w:r w:rsidR="003B7E15" w:rsidRPr="0081146C">
        <w:noBreakHyphen/>
      </w:r>
      <w:r w:rsidR="00147F95" w:rsidRPr="0081146C">
        <w:t>General of Customs</w:t>
      </w:r>
      <w:r w:rsidRPr="0081146C">
        <w:t>; or</w:t>
      </w:r>
    </w:p>
    <w:p w14:paraId="2331DEA8" w14:textId="77777777" w:rsidR="00EC3B77" w:rsidRPr="0081146C" w:rsidRDefault="00EC3B77" w:rsidP="00EC3B77">
      <w:pPr>
        <w:pStyle w:val="paragraph"/>
      </w:pPr>
      <w:r w:rsidRPr="0081146C">
        <w:tab/>
        <w:t>(f)</w:t>
      </w:r>
      <w:r w:rsidRPr="0081146C">
        <w:tab/>
        <w:t>the National Anti</w:t>
      </w:r>
      <w:r w:rsidR="003B7E15" w:rsidRPr="0081146C">
        <w:noBreakHyphen/>
      </w:r>
      <w:r w:rsidRPr="0081146C">
        <w:t>Corruption Commissioner; or</w:t>
      </w:r>
    </w:p>
    <w:p w14:paraId="4B37A800" w14:textId="77777777" w:rsidR="00035544" w:rsidRPr="0081146C" w:rsidRDefault="00035544" w:rsidP="00035544">
      <w:pPr>
        <w:pStyle w:val="paragraph"/>
      </w:pPr>
      <w:r w:rsidRPr="0081146C">
        <w:tab/>
        <w:t>(g)</w:t>
      </w:r>
      <w:r w:rsidRPr="0081146C">
        <w:tab/>
        <w:t>an investigating officer who is carrying out an investigation arising from, or relating to the matters mentioned in, the information;</w:t>
      </w:r>
    </w:p>
    <w:p w14:paraId="3134E117" w14:textId="77777777" w:rsidR="00035544" w:rsidRPr="0081146C" w:rsidRDefault="00035544" w:rsidP="00035544">
      <w:pPr>
        <w:pStyle w:val="subsection2"/>
      </w:pPr>
      <w:r w:rsidRPr="0081146C">
        <w:t xml:space="preserve">may, by written notice given to the </w:t>
      </w:r>
      <w:r w:rsidR="00F84E53" w:rsidRPr="0081146C">
        <w:t>reporting entity or any other person, require the reporting entity or other person</w:t>
      </w:r>
      <w:r w:rsidRPr="0081146C">
        <w:t>:</w:t>
      </w:r>
    </w:p>
    <w:p w14:paraId="54AC0812" w14:textId="77777777" w:rsidR="00035544" w:rsidRPr="0081146C" w:rsidRDefault="00035544" w:rsidP="00035544">
      <w:pPr>
        <w:pStyle w:val="paragraph"/>
      </w:pPr>
      <w:r w:rsidRPr="0081146C">
        <w:tab/>
        <w:t>(h)</w:t>
      </w:r>
      <w:r w:rsidRPr="0081146C">
        <w:tab/>
        <w:t>to give such further information as is specified in the notice, within the period and in the manner specified in the notice, to the extent to which the reporting entity</w:t>
      </w:r>
      <w:r w:rsidR="00F84E53" w:rsidRPr="0081146C">
        <w:t xml:space="preserve"> or other person</w:t>
      </w:r>
      <w:r w:rsidRPr="0081146C">
        <w:t xml:space="preserve"> has that information; or</w:t>
      </w:r>
    </w:p>
    <w:p w14:paraId="66BE76C6" w14:textId="77777777" w:rsidR="00035544" w:rsidRPr="0081146C" w:rsidRDefault="00035544" w:rsidP="00035544">
      <w:pPr>
        <w:pStyle w:val="paragraph"/>
      </w:pPr>
      <w:r w:rsidRPr="0081146C">
        <w:tab/>
        <w:t>(i)</w:t>
      </w:r>
      <w:r w:rsidRPr="0081146C">
        <w:tab/>
        <w:t>to produce, within the period and in the manner specified in the notice, such documents as are:</w:t>
      </w:r>
    </w:p>
    <w:p w14:paraId="33DF7AC6" w14:textId="77777777" w:rsidR="00035544" w:rsidRPr="0081146C" w:rsidRDefault="00035544" w:rsidP="00035544">
      <w:pPr>
        <w:pStyle w:val="paragraphsub"/>
      </w:pPr>
      <w:r w:rsidRPr="0081146C">
        <w:tab/>
        <w:t>(i)</w:t>
      </w:r>
      <w:r w:rsidRPr="0081146C">
        <w:tab/>
        <w:t>specified in the notice; and</w:t>
      </w:r>
    </w:p>
    <w:p w14:paraId="1F75C68A" w14:textId="08394215" w:rsidR="00931B55" w:rsidRPr="0081146C" w:rsidRDefault="00035544" w:rsidP="00035544">
      <w:pPr>
        <w:pStyle w:val="paragraphsub"/>
        <w:rPr>
          <w:lang w:eastAsia="en-US"/>
        </w:rPr>
      </w:pPr>
      <w:r w:rsidRPr="0081146C">
        <w:tab/>
        <w:t>(ii)</w:t>
      </w:r>
      <w:r w:rsidRPr="0081146C">
        <w:tab/>
        <w:t>relevant to the matter to which the communication under section</w:t>
      </w:r>
      <w:r w:rsidR="004F64A4" w:rsidRPr="0081146C">
        <w:t> </w:t>
      </w:r>
      <w:r w:rsidRPr="0081146C">
        <w:t>41, 43</w:t>
      </w:r>
      <w:r w:rsidR="00250C0B" w:rsidRPr="0081146C">
        <w:t>, 46 or 46A</w:t>
      </w:r>
      <w:r w:rsidR="007A2342" w:rsidRPr="0081146C">
        <w:t xml:space="preserve"> of this Act, or subsection 16(1) or (1A) of the repealed </w:t>
      </w:r>
      <w:r w:rsidR="007A2342" w:rsidRPr="0081146C">
        <w:rPr>
          <w:i/>
        </w:rPr>
        <w:t>Financial Transaction Reports Act 1988</w:t>
      </w:r>
      <w:r w:rsidR="007A2342" w:rsidRPr="0081146C">
        <w:t>,</w:t>
      </w:r>
      <w:r w:rsidRPr="0081146C">
        <w:t xml:space="preserve"> relates</w:t>
      </w:r>
      <w:r w:rsidR="00931B55" w:rsidRPr="0081146C">
        <w:rPr>
          <w:lang w:eastAsia="en-US"/>
        </w:rPr>
        <w:t>; and</w:t>
      </w:r>
    </w:p>
    <w:p w14:paraId="044E4FFD" w14:textId="77777777" w:rsidR="00035544" w:rsidRPr="0081146C" w:rsidRDefault="00931B55" w:rsidP="00035544">
      <w:pPr>
        <w:pStyle w:val="paragraphsub"/>
      </w:pPr>
      <w:r w:rsidRPr="0081146C">
        <w:rPr>
          <w:lang w:eastAsia="en-US"/>
        </w:rPr>
        <w:tab/>
        <w:t>(iii)</w:t>
      </w:r>
      <w:r w:rsidRPr="0081146C">
        <w:rPr>
          <w:lang w:eastAsia="en-US"/>
        </w:rPr>
        <w:tab/>
      </w:r>
      <w:r w:rsidRPr="0081146C">
        <w:t>in the possession or control of the reporting entity or other person.</w:t>
      </w:r>
    </w:p>
    <w:p w14:paraId="4B5F44B2" w14:textId="77777777" w:rsidR="001674C5" w:rsidRPr="0081146C" w:rsidRDefault="001674C5" w:rsidP="001674C5">
      <w:pPr>
        <w:pStyle w:val="subsection"/>
      </w:pPr>
      <w:r w:rsidRPr="0081146C">
        <w:tab/>
        <w:t>(1A)</w:t>
      </w:r>
      <w:r w:rsidRPr="0081146C">
        <w:tab/>
        <w:t>A person (the</w:t>
      </w:r>
      <w:r w:rsidRPr="0081146C">
        <w:rPr>
          <w:b/>
          <w:i/>
        </w:rPr>
        <w:t xml:space="preserve"> issuer</w:t>
      </w:r>
      <w:r w:rsidRPr="0081146C">
        <w:t xml:space="preserve">) must not give a notice under </w:t>
      </w:r>
      <w:r w:rsidR="004F64A4" w:rsidRPr="0081146C">
        <w:t>subsection (</w:t>
      </w:r>
      <w:r w:rsidRPr="0081146C">
        <w:t xml:space="preserve">1) to another person (the </w:t>
      </w:r>
      <w:r w:rsidRPr="0081146C">
        <w:rPr>
          <w:b/>
          <w:i/>
        </w:rPr>
        <w:t>recipient</w:t>
      </w:r>
      <w:r w:rsidRPr="0081146C">
        <w:t>) unless the issuer reasonably believes that the recipient has knowledge of the information, or possession or control of the document, that is specified in the notice.</w:t>
      </w:r>
    </w:p>
    <w:p w14:paraId="20DB4BD0" w14:textId="77777777" w:rsidR="001674C5" w:rsidRPr="0081146C" w:rsidRDefault="001674C5" w:rsidP="001674C5">
      <w:pPr>
        <w:pStyle w:val="subsection"/>
      </w:pPr>
      <w:r w:rsidRPr="0081146C">
        <w:tab/>
        <w:t>(1B)</w:t>
      </w:r>
      <w:r w:rsidRPr="0081146C">
        <w:tab/>
        <w:t>The period specified in the notice for giving the information or document must be at least 14 days after the notice is given unless:</w:t>
      </w:r>
    </w:p>
    <w:p w14:paraId="17F83AAA" w14:textId="22D9BD26" w:rsidR="001674C5" w:rsidRPr="0081146C" w:rsidRDefault="001674C5" w:rsidP="001674C5">
      <w:pPr>
        <w:pStyle w:val="paragraph"/>
      </w:pPr>
      <w:r w:rsidRPr="0081146C">
        <w:tab/>
        <w:t>(a)</w:t>
      </w:r>
      <w:r w:rsidRPr="0081146C">
        <w:tab/>
        <w:t>the recipient is the reporting entity who communicated information to the AUSTRAC CEO under section</w:t>
      </w:r>
      <w:r w:rsidR="004F64A4" w:rsidRPr="0081146C">
        <w:t> </w:t>
      </w:r>
      <w:r w:rsidRPr="0081146C">
        <w:t>41, 43</w:t>
      </w:r>
      <w:r w:rsidR="00250C0B" w:rsidRPr="0081146C">
        <w:t>, 46 or 46A</w:t>
      </w:r>
      <w:r w:rsidRPr="0081146C">
        <w:t>; or</w:t>
      </w:r>
    </w:p>
    <w:p w14:paraId="28EF45E7" w14:textId="77777777" w:rsidR="001674C5" w:rsidRPr="0081146C" w:rsidRDefault="001674C5" w:rsidP="001674C5">
      <w:pPr>
        <w:pStyle w:val="paragraph"/>
      </w:pPr>
      <w:r w:rsidRPr="0081146C">
        <w:tab/>
        <w:t>(b)</w:t>
      </w:r>
      <w:r w:rsidRPr="0081146C">
        <w:tab/>
        <w:t>both of the following apply:</w:t>
      </w:r>
    </w:p>
    <w:p w14:paraId="7E5986F5" w14:textId="77777777" w:rsidR="001674C5" w:rsidRPr="0081146C" w:rsidRDefault="001674C5" w:rsidP="001674C5">
      <w:pPr>
        <w:pStyle w:val="paragraphsub"/>
      </w:pPr>
      <w:r w:rsidRPr="0081146C">
        <w:tab/>
        <w:t>(i)</w:t>
      </w:r>
      <w:r w:rsidRPr="0081146C">
        <w:tab/>
        <w:t>the issuer considers that specifying a shorter period is necessary;</w:t>
      </w:r>
    </w:p>
    <w:p w14:paraId="4B9B4F40" w14:textId="77777777" w:rsidR="001674C5" w:rsidRPr="0081146C" w:rsidRDefault="001674C5" w:rsidP="001674C5">
      <w:pPr>
        <w:pStyle w:val="paragraphsub"/>
      </w:pPr>
      <w:r w:rsidRPr="0081146C">
        <w:tab/>
        <w:t>(ii)</w:t>
      </w:r>
      <w:r w:rsidRPr="0081146C">
        <w:tab/>
        <w:t>the shorter period specified is reasonable in the circumstances.</w:t>
      </w:r>
    </w:p>
    <w:p w14:paraId="203C39F8" w14:textId="77777777" w:rsidR="00035544" w:rsidRPr="0081146C" w:rsidRDefault="00035544" w:rsidP="00035544">
      <w:pPr>
        <w:pStyle w:val="SubsectionHead"/>
      </w:pPr>
      <w:r w:rsidRPr="0081146C">
        <w:t>Compliance</w:t>
      </w:r>
    </w:p>
    <w:p w14:paraId="4188B244" w14:textId="77777777" w:rsidR="00035544" w:rsidRPr="0081146C" w:rsidRDefault="00035544" w:rsidP="00035544">
      <w:pPr>
        <w:pStyle w:val="subsection"/>
      </w:pPr>
      <w:r w:rsidRPr="0081146C">
        <w:tab/>
        <w:t>(2)</w:t>
      </w:r>
      <w:r w:rsidRPr="0081146C">
        <w:tab/>
        <w:t xml:space="preserve">A </w:t>
      </w:r>
      <w:r w:rsidR="001674C5" w:rsidRPr="0081146C">
        <w:t>person</w:t>
      </w:r>
      <w:r w:rsidRPr="0081146C">
        <w:t xml:space="preserve"> must comply with a notice under </w:t>
      </w:r>
      <w:r w:rsidR="004F64A4" w:rsidRPr="0081146C">
        <w:t>subsection (</w:t>
      </w:r>
      <w:r w:rsidRPr="0081146C">
        <w:t>1).</w:t>
      </w:r>
    </w:p>
    <w:p w14:paraId="23EDEF5E" w14:textId="77777777" w:rsidR="002F4208" w:rsidRPr="0081146C" w:rsidRDefault="002F4208" w:rsidP="002F4208">
      <w:pPr>
        <w:pStyle w:val="subsection"/>
      </w:pPr>
      <w:r w:rsidRPr="0081146C">
        <w:tab/>
        <w:t>(3)</w:t>
      </w:r>
      <w:r w:rsidRPr="0081146C">
        <w:tab/>
        <w:t>Subsections (2) and (4) are civil penalty provisions.</w:t>
      </w:r>
    </w:p>
    <w:p w14:paraId="7A04C05D" w14:textId="77777777" w:rsidR="002F4208" w:rsidRPr="0081146C" w:rsidRDefault="002F4208" w:rsidP="002F4208">
      <w:pPr>
        <w:pStyle w:val="SubsectionHead"/>
      </w:pPr>
      <w:r w:rsidRPr="0081146C">
        <w:t>Legal professional privilege</w:t>
      </w:r>
    </w:p>
    <w:p w14:paraId="23549A1C" w14:textId="77777777" w:rsidR="002F4208" w:rsidRPr="0081146C" w:rsidRDefault="002F4208" w:rsidP="002F4208">
      <w:pPr>
        <w:pStyle w:val="subsection"/>
      </w:pPr>
      <w:r w:rsidRPr="0081146C">
        <w:tab/>
        <w:t>(4)</w:t>
      </w:r>
      <w:r w:rsidRPr="0081146C">
        <w:tab/>
        <w:t>If:</w:t>
      </w:r>
    </w:p>
    <w:p w14:paraId="7FA8F46B" w14:textId="77777777" w:rsidR="002F4208" w:rsidRPr="0081146C" w:rsidRDefault="002F4208" w:rsidP="002F4208">
      <w:pPr>
        <w:pStyle w:val="paragraph"/>
      </w:pPr>
      <w:r w:rsidRPr="0081146C">
        <w:tab/>
        <w:t>(a)</w:t>
      </w:r>
      <w:r w:rsidRPr="0081146C">
        <w:tab/>
        <w:t>a person is given a notice under subsection (1) in relation to information or a document; and</w:t>
      </w:r>
    </w:p>
    <w:p w14:paraId="0FB59B52" w14:textId="77777777" w:rsidR="002F4208" w:rsidRPr="0081146C" w:rsidRDefault="002F4208" w:rsidP="002F4208">
      <w:pPr>
        <w:pStyle w:val="paragraph"/>
      </w:pPr>
      <w:r w:rsidRPr="0081146C">
        <w:tab/>
        <w:t>(b)</w:t>
      </w:r>
      <w:r w:rsidRPr="0081146C">
        <w:tab/>
        <w:t>the person reasonably believes that the information or document is privileged from being given or produced on the ground of legal professional privilege;</w:t>
      </w:r>
    </w:p>
    <w:p w14:paraId="45144260" w14:textId="77777777" w:rsidR="002F4208" w:rsidRPr="0081146C" w:rsidRDefault="002F4208" w:rsidP="002F4208">
      <w:pPr>
        <w:pStyle w:val="subsection2"/>
      </w:pPr>
      <w:r w:rsidRPr="0081146C">
        <w:t>the person must give the AUSTRAC CEO an LPP form in relation to the information or document within the period specified in the notice.</w:t>
      </w:r>
    </w:p>
    <w:p w14:paraId="35432F72" w14:textId="77777777" w:rsidR="002F4208" w:rsidRPr="0081146C" w:rsidRDefault="002F4208" w:rsidP="002F4208">
      <w:pPr>
        <w:pStyle w:val="notetext"/>
      </w:pPr>
      <w:r w:rsidRPr="0081146C">
        <w:t>Note:</w:t>
      </w:r>
      <w:r w:rsidRPr="0081146C">
        <w:tab/>
        <w:t>For other provisions dealing with legal professional privilege, see sections 242 and 242A.</w:t>
      </w:r>
    </w:p>
    <w:p w14:paraId="69C8AE38" w14:textId="77777777" w:rsidR="00BD5FA3" w:rsidRPr="0081146C" w:rsidRDefault="00BD5FA3" w:rsidP="00BD5FA3">
      <w:pPr>
        <w:pStyle w:val="ActHead5"/>
      </w:pPr>
      <w:bookmarkStart w:id="253" w:name="_Toc185415810"/>
      <w:r w:rsidRPr="0081146C">
        <w:rPr>
          <w:rStyle w:val="CharSectno"/>
        </w:rPr>
        <w:t>49A</w:t>
      </w:r>
      <w:r w:rsidRPr="0081146C">
        <w:t xml:space="preserve">  AML/CTF Rules may make provision in relation to reports by registered remittance affiliates</w:t>
      </w:r>
      <w:bookmarkEnd w:id="253"/>
    </w:p>
    <w:p w14:paraId="52D092FA" w14:textId="77777777" w:rsidR="00BD5FA3" w:rsidRPr="0081146C" w:rsidRDefault="00BD5FA3" w:rsidP="00BD5FA3">
      <w:pPr>
        <w:pStyle w:val="subsection"/>
      </w:pPr>
      <w:r w:rsidRPr="0081146C">
        <w:tab/>
        <w:t>(1)</w:t>
      </w:r>
      <w:r w:rsidRPr="0081146C">
        <w:tab/>
        <w:t>The AML/CTF Rules may make provision for and in relation to reports required by this Part to be given by a reporting entity that is a registered remittance affiliate of a registered remittance network provider.</w:t>
      </w:r>
    </w:p>
    <w:p w14:paraId="26A36B98" w14:textId="77777777" w:rsidR="00BD5FA3" w:rsidRPr="0081146C" w:rsidRDefault="00BD5FA3" w:rsidP="00BD5FA3">
      <w:pPr>
        <w:pStyle w:val="subsection"/>
      </w:pPr>
      <w:r w:rsidRPr="0081146C">
        <w:tab/>
        <w:t>(2)</w:t>
      </w:r>
      <w:r w:rsidRPr="0081146C">
        <w:tab/>
        <w:t xml:space="preserve">Without limiting </w:t>
      </w:r>
      <w:r w:rsidR="004F64A4" w:rsidRPr="0081146C">
        <w:t>subsection (</w:t>
      </w:r>
      <w:r w:rsidRPr="0081146C">
        <w:t>1), the AML/CTF Rules may provide:</w:t>
      </w:r>
    </w:p>
    <w:p w14:paraId="666379D6" w14:textId="77777777" w:rsidR="00BD5FA3" w:rsidRPr="0081146C" w:rsidRDefault="00BD5FA3" w:rsidP="00BD5FA3">
      <w:pPr>
        <w:pStyle w:val="paragraph"/>
      </w:pPr>
      <w:r w:rsidRPr="0081146C">
        <w:tab/>
        <w:t>(a)</w:t>
      </w:r>
      <w:r w:rsidRPr="0081146C">
        <w:tab/>
        <w:t>that an obligation imposed by this Part upon a registered remittance affiliate of a registered remittance network provider to provide a report is taken instead, or in addition, to be an obligation imposed upon the registered remittance network provider; and</w:t>
      </w:r>
    </w:p>
    <w:p w14:paraId="1145FBDC" w14:textId="77777777" w:rsidR="00BD5FA3" w:rsidRPr="0081146C" w:rsidRDefault="00BD5FA3" w:rsidP="00BD5FA3">
      <w:pPr>
        <w:pStyle w:val="paragraph"/>
      </w:pPr>
      <w:r w:rsidRPr="0081146C">
        <w:tab/>
        <w:t>(b)</w:t>
      </w:r>
      <w:r w:rsidRPr="0081146C">
        <w:tab/>
        <w:t>that an obligation imposed by this Part on a registered remittance affiliate of a registered remittance network provider may be discharged by the registered remittance network provider; and</w:t>
      </w:r>
    </w:p>
    <w:p w14:paraId="44DBD6BA" w14:textId="77777777" w:rsidR="00BD5FA3" w:rsidRPr="0081146C" w:rsidRDefault="00BD5FA3" w:rsidP="00BD5FA3">
      <w:pPr>
        <w:pStyle w:val="paragraph"/>
      </w:pPr>
      <w:r w:rsidRPr="0081146C">
        <w:tab/>
        <w:t>(c)</w:t>
      </w:r>
      <w:r w:rsidRPr="0081146C">
        <w:tab/>
        <w:t xml:space="preserve">that a report required to be provided as mentioned in </w:t>
      </w:r>
      <w:r w:rsidR="004F64A4" w:rsidRPr="0081146C">
        <w:t>paragraph (</w:t>
      </w:r>
      <w:r w:rsidRPr="0081146C">
        <w:t>a) must, or may, be given by the registered remittance network provider in the manner specified in the AML/CTF Rules.</w:t>
      </w:r>
    </w:p>
    <w:p w14:paraId="375CF7BC" w14:textId="77777777" w:rsidR="00824795" w:rsidRPr="0081146C" w:rsidRDefault="00824795" w:rsidP="00824795">
      <w:pPr>
        <w:pStyle w:val="ActHead5"/>
      </w:pPr>
      <w:bookmarkStart w:id="254" w:name="_Toc176444483"/>
      <w:bookmarkStart w:id="255" w:name="_Toc184034104"/>
      <w:bookmarkStart w:id="256" w:name="_Toc185415811"/>
      <w:r w:rsidRPr="0081146C">
        <w:rPr>
          <w:rStyle w:val="CharSectno"/>
        </w:rPr>
        <w:t>49B</w:t>
      </w:r>
      <w:r w:rsidRPr="0081146C">
        <w:t xml:space="preserve">  </w:t>
      </w:r>
      <w:bookmarkStart w:id="257" w:name="_Hlk175160195"/>
      <w:r w:rsidRPr="0081146C">
        <w:t>Notice to obtain information or documents in certain circumstances</w:t>
      </w:r>
      <w:bookmarkEnd w:id="254"/>
      <w:bookmarkEnd w:id="255"/>
      <w:bookmarkEnd w:id="257"/>
      <w:bookmarkEnd w:id="256"/>
    </w:p>
    <w:p w14:paraId="0498B826" w14:textId="77777777" w:rsidR="00824795" w:rsidRPr="0081146C" w:rsidRDefault="00824795" w:rsidP="00824795">
      <w:pPr>
        <w:pStyle w:val="SubsectionHead"/>
      </w:pPr>
      <w:r w:rsidRPr="0081146C">
        <w:t>Scope</w:t>
      </w:r>
    </w:p>
    <w:p w14:paraId="71DD3CE7" w14:textId="77777777" w:rsidR="00824795" w:rsidRPr="0081146C" w:rsidRDefault="00824795" w:rsidP="00824795">
      <w:pPr>
        <w:pStyle w:val="subsection"/>
      </w:pPr>
      <w:r w:rsidRPr="0081146C">
        <w:tab/>
        <w:t>(1)</w:t>
      </w:r>
      <w:r w:rsidRPr="0081146C">
        <w:tab/>
        <w:t>This section applies if a person has information or a document that may assist the AUSTRAC CEO with:</w:t>
      </w:r>
    </w:p>
    <w:p w14:paraId="4F766579" w14:textId="77777777" w:rsidR="00824795" w:rsidRPr="0081146C" w:rsidRDefault="00824795" w:rsidP="00824795">
      <w:pPr>
        <w:pStyle w:val="paragraph"/>
      </w:pPr>
      <w:r w:rsidRPr="0081146C">
        <w:tab/>
        <w:t>(a)</w:t>
      </w:r>
      <w:r w:rsidRPr="0081146C">
        <w:tab/>
        <w:t>obtaining or analysing information to support efforts to combat money laundering, terrorism financing, proliferation financing or other serious crimes; or</w:t>
      </w:r>
    </w:p>
    <w:p w14:paraId="0C1FC108" w14:textId="77777777" w:rsidR="00824795" w:rsidRPr="0081146C" w:rsidRDefault="00824795" w:rsidP="00824795">
      <w:pPr>
        <w:pStyle w:val="paragraph"/>
      </w:pPr>
      <w:r w:rsidRPr="0081146C">
        <w:tab/>
        <w:t>(b)</w:t>
      </w:r>
      <w:r w:rsidRPr="0081146C">
        <w:tab/>
        <w:t>identifying trends, patterns, threats or vulnerabilities associated with money laundering, terrorism financing, proliferation financing or other serious crimes;</w:t>
      </w:r>
    </w:p>
    <w:p w14:paraId="393CFCDD" w14:textId="77777777" w:rsidR="00824795" w:rsidRPr="0081146C" w:rsidRDefault="00824795" w:rsidP="00824795">
      <w:pPr>
        <w:pStyle w:val="subsection2"/>
      </w:pPr>
      <w:r w:rsidRPr="0081146C">
        <w:t>for the purposes of the performance of functions of the AUSTRAC CEO.</w:t>
      </w:r>
    </w:p>
    <w:p w14:paraId="73BD8386" w14:textId="77777777" w:rsidR="00824795" w:rsidRPr="0081146C" w:rsidRDefault="00824795" w:rsidP="00824795">
      <w:pPr>
        <w:pStyle w:val="SubsectionHead"/>
      </w:pPr>
      <w:r w:rsidRPr="0081146C">
        <w:t>Requirements</w:t>
      </w:r>
    </w:p>
    <w:p w14:paraId="486B9255" w14:textId="77777777" w:rsidR="00824795" w:rsidRPr="0081146C" w:rsidRDefault="00824795" w:rsidP="00824795">
      <w:pPr>
        <w:pStyle w:val="subsection"/>
      </w:pPr>
      <w:r w:rsidRPr="0081146C">
        <w:tab/>
        <w:t>(2)</w:t>
      </w:r>
      <w:r w:rsidRPr="0081146C">
        <w:tab/>
        <w:t>The AUSTRAC CEO may, by written notice given to the person, require the person:</w:t>
      </w:r>
    </w:p>
    <w:p w14:paraId="61D99B06" w14:textId="77777777" w:rsidR="00824795" w:rsidRPr="0081146C" w:rsidRDefault="00824795" w:rsidP="00824795">
      <w:pPr>
        <w:pStyle w:val="paragraph"/>
      </w:pPr>
      <w:r w:rsidRPr="0081146C">
        <w:tab/>
        <w:t>(a)</w:t>
      </w:r>
      <w:r w:rsidRPr="0081146C">
        <w:tab/>
        <w:t>to give to the AUSTRAC CEO, within the period and in the manner specified in the notice, any such information; or</w:t>
      </w:r>
    </w:p>
    <w:p w14:paraId="741D0E57" w14:textId="77777777" w:rsidR="00824795" w:rsidRPr="0081146C" w:rsidRDefault="00824795" w:rsidP="00824795">
      <w:pPr>
        <w:pStyle w:val="paragraph"/>
      </w:pPr>
      <w:r w:rsidRPr="0081146C">
        <w:tab/>
        <w:t>(b)</w:t>
      </w:r>
      <w:r w:rsidRPr="0081146C">
        <w:tab/>
        <w:t>to produce to the AUSTRAC CEO, within the period and in the manner specified in the notice, any such documents.</w:t>
      </w:r>
    </w:p>
    <w:p w14:paraId="19BC25A8" w14:textId="77777777" w:rsidR="00824795" w:rsidRPr="0081146C" w:rsidRDefault="00824795" w:rsidP="00824795">
      <w:pPr>
        <w:pStyle w:val="subsection"/>
      </w:pPr>
      <w:r w:rsidRPr="0081146C">
        <w:tab/>
        <w:t>(3)</w:t>
      </w:r>
      <w:r w:rsidRPr="0081146C">
        <w:tab/>
        <w:t>The AUSTRAC CEO must not give a notice under subsection (2) to a person unless the AUSTRAC CEO reasonably believes that the person has knowledge of the information, or possession or control of the document, that is specified in the notice.</w:t>
      </w:r>
    </w:p>
    <w:p w14:paraId="61FD4FDB" w14:textId="77777777" w:rsidR="00824795" w:rsidRPr="0081146C" w:rsidRDefault="00824795" w:rsidP="00824795">
      <w:pPr>
        <w:pStyle w:val="SubsectionHead"/>
      </w:pPr>
      <w:r w:rsidRPr="0081146C">
        <w:t>Content of notice</w:t>
      </w:r>
    </w:p>
    <w:p w14:paraId="4DED7CBE" w14:textId="77777777" w:rsidR="00824795" w:rsidRPr="0081146C" w:rsidRDefault="00824795" w:rsidP="00824795">
      <w:pPr>
        <w:pStyle w:val="subsection"/>
      </w:pPr>
      <w:r w:rsidRPr="0081146C">
        <w:tab/>
        <w:t>(4)</w:t>
      </w:r>
      <w:r w:rsidRPr="0081146C">
        <w:tab/>
        <w:t>The period specified in the notice in accordance with paragraph (2)(a) or (b) must be at least 14 days after the notice is given unless:</w:t>
      </w:r>
    </w:p>
    <w:p w14:paraId="2AD76C5A" w14:textId="77777777" w:rsidR="00824795" w:rsidRPr="0081146C" w:rsidRDefault="00824795" w:rsidP="00824795">
      <w:pPr>
        <w:pStyle w:val="paragraph"/>
      </w:pPr>
      <w:r w:rsidRPr="0081146C">
        <w:tab/>
        <w:t>(a)</w:t>
      </w:r>
      <w:r w:rsidRPr="0081146C">
        <w:tab/>
        <w:t>the AUSTRAC CEO considers that specifying a shorter period is necessary; and</w:t>
      </w:r>
    </w:p>
    <w:p w14:paraId="25647EAE" w14:textId="77777777" w:rsidR="00824795" w:rsidRPr="0081146C" w:rsidRDefault="00824795" w:rsidP="00824795">
      <w:pPr>
        <w:pStyle w:val="paragraph"/>
      </w:pPr>
      <w:r w:rsidRPr="0081146C">
        <w:tab/>
        <w:t>(b)</w:t>
      </w:r>
      <w:r w:rsidRPr="0081146C">
        <w:tab/>
        <w:t>the shorter period specified is reasonable in the circumstances.</w:t>
      </w:r>
    </w:p>
    <w:p w14:paraId="1B5CA5B7" w14:textId="77777777" w:rsidR="00824795" w:rsidRPr="0081146C" w:rsidRDefault="00824795" w:rsidP="00824795">
      <w:pPr>
        <w:pStyle w:val="subsection"/>
      </w:pPr>
      <w:r w:rsidRPr="0081146C">
        <w:tab/>
        <w:t>(5)</w:t>
      </w:r>
      <w:r w:rsidRPr="0081146C">
        <w:tab/>
        <w:t>A notice under subsection (2) must set out the effect of the following provisions:</w:t>
      </w:r>
    </w:p>
    <w:p w14:paraId="3AF49921" w14:textId="77777777" w:rsidR="008952F6" w:rsidRPr="008976BD" w:rsidRDefault="008952F6" w:rsidP="008952F6">
      <w:pPr>
        <w:pStyle w:val="paragraph"/>
      </w:pPr>
      <w:r w:rsidRPr="00C4499A">
        <w:tab/>
        <w:t>(aa)</w:t>
      </w:r>
      <w:r w:rsidRPr="00C4499A">
        <w:tab/>
        <w:t>subsection (6A);</w:t>
      </w:r>
    </w:p>
    <w:p w14:paraId="4C4E226A" w14:textId="77777777" w:rsidR="00824795" w:rsidRPr="0081146C" w:rsidRDefault="00824795" w:rsidP="00824795">
      <w:pPr>
        <w:pStyle w:val="paragraph"/>
      </w:pPr>
      <w:r w:rsidRPr="0081146C">
        <w:tab/>
        <w:t>(a)</w:t>
      </w:r>
      <w:r w:rsidRPr="0081146C">
        <w:tab/>
        <w:t>subsection (7);</w:t>
      </w:r>
    </w:p>
    <w:p w14:paraId="6C8B1A8A" w14:textId="77777777" w:rsidR="00824795" w:rsidRPr="0081146C" w:rsidRDefault="00824795" w:rsidP="00824795">
      <w:pPr>
        <w:pStyle w:val="paragraph"/>
      </w:pPr>
      <w:r w:rsidRPr="0081146C">
        <w:tab/>
        <w:t>(b)</w:t>
      </w:r>
      <w:r w:rsidRPr="0081146C">
        <w:tab/>
        <w:t>section 136;</w:t>
      </w:r>
    </w:p>
    <w:p w14:paraId="2F861EC3" w14:textId="77777777" w:rsidR="00824795" w:rsidRPr="0081146C" w:rsidRDefault="00824795" w:rsidP="00824795">
      <w:pPr>
        <w:pStyle w:val="paragraph"/>
      </w:pPr>
      <w:r w:rsidRPr="0081146C">
        <w:tab/>
        <w:t>(c)</w:t>
      </w:r>
      <w:r w:rsidRPr="0081146C">
        <w:tab/>
        <w:t>section 137.</w:t>
      </w:r>
    </w:p>
    <w:p w14:paraId="4756F7C8" w14:textId="77777777" w:rsidR="00824795" w:rsidRPr="0081146C" w:rsidRDefault="00824795" w:rsidP="00824795">
      <w:pPr>
        <w:pStyle w:val="notetext"/>
      </w:pPr>
      <w:r w:rsidRPr="0081146C">
        <w:t>Note 1:</w:t>
      </w:r>
      <w:r w:rsidRPr="0081146C">
        <w:tab/>
        <w:t>Section 136 is about giving false or misleading information.</w:t>
      </w:r>
    </w:p>
    <w:p w14:paraId="6E6C7E6F" w14:textId="77777777" w:rsidR="00824795" w:rsidRPr="0081146C" w:rsidRDefault="00824795" w:rsidP="00824795">
      <w:pPr>
        <w:pStyle w:val="notetext"/>
      </w:pPr>
      <w:r w:rsidRPr="0081146C">
        <w:t>Note 2:</w:t>
      </w:r>
      <w:r w:rsidRPr="0081146C">
        <w:tab/>
        <w:t>Section 137 is about producing false or misleading documents.</w:t>
      </w:r>
    </w:p>
    <w:p w14:paraId="533B4CCD" w14:textId="77777777" w:rsidR="00824795" w:rsidRPr="0081146C" w:rsidRDefault="00824795" w:rsidP="00824795">
      <w:pPr>
        <w:pStyle w:val="SubsectionHead"/>
      </w:pPr>
      <w:r w:rsidRPr="0081146C">
        <w:t>Compliance</w:t>
      </w:r>
    </w:p>
    <w:p w14:paraId="24FE44A4" w14:textId="77777777" w:rsidR="00824795" w:rsidRPr="0081146C" w:rsidRDefault="00824795" w:rsidP="00824795">
      <w:pPr>
        <w:pStyle w:val="subsection"/>
      </w:pPr>
      <w:r w:rsidRPr="0081146C">
        <w:tab/>
        <w:t>(6)</w:t>
      </w:r>
      <w:r w:rsidRPr="0081146C">
        <w:tab/>
        <w:t>A person must comply with a notice under subsection (2).</w:t>
      </w:r>
    </w:p>
    <w:p w14:paraId="7A9DCACF" w14:textId="77777777" w:rsidR="005563FC" w:rsidRPr="0081146C" w:rsidRDefault="005563FC" w:rsidP="005563FC">
      <w:pPr>
        <w:pStyle w:val="SubsectionHead"/>
      </w:pPr>
      <w:r w:rsidRPr="0081146C">
        <w:t>Legal professional privilege</w:t>
      </w:r>
    </w:p>
    <w:p w14:paraId="127A6A67" w14:textId="77777777" w:rsidR="005563FC" w:rsidRPr="0081146C" w:rsidRDefault="005563FC" w:rsidP="005563FC">
      <w:pPr>
        <w:pStyle w:val="subsection"/>
      </w:pPr>
      <w:r w:rsidRPr="0081146C">
        <w:tab/>
        <w:t>(6A)</w:t>
      </w:r>
      <w:r w:rsidRPr="0081146C">
        <w:tab/>
        <w:t>If:</w:t>
      </w:r>
    </w:p>
    <w:p w14:paraId="7D50A6FD" w14:textId="77777777" w:rsidR="005563FC" w:rsidRPr="0081146C" w:rsidRDefault="005563FC" w:rsidP="005563FC">
      <w:pPr>
        <w:pStyle w:val="paragraph"/>
      </w:pPr>
      <w:r w:rsidRPr="0081146C">
        <w:tab/>
        <w:t>(a)</w:t>
      </w:r>
      <w:r w:rsidRPr="0081146C">
        <w:tab/>
        <w:t>a person is given a notice under subsection (2) in relation to information or a document; and</w:t>
      </w:r>
    </w:p>
    <w:p w14:paraId="1A23333F" w14:textId="77777777" w:rsidR="005563FC" w:rsidRPr="0081146C" w:rsidRDefault="005563FC" w:rsidP="005563FC">
      <w:pPr>
        <w:pStyle w:val="paragraph"/>
      </w:pPr>
      <w:r w:rsidRPr="0081146C">
        <w:tab/>
        <w:t>(b)</w:t>
      </w:r>
      <w:r w:rsidRPr="0081146C">
        <w:tab/>
        <w:t>the person reasonably believes that the information or document is privileged from being given or produced on the ground of legal professional privilege;</w:t>
      </w:r>
    </w:p>
    <w:p w14:paraId="5371AAC3" w14:textId="77777777" w:rsidR="005563FC" w:rsidRPr="0081146C" w:rsidRDefault="005563FC" w:rsidP="005563FC">
      <w:pPr>
        <w:pStyle w:val="subsection2"/>
      </w:pPr>
      <w:r w:rsidRPr="0081146C">
        <w:t>the person must give the AUSTRAC CEO an LPP form in relation to the information or document within the period specified in the notice.</w:t>
      </w:r>
    </w:p>
    <w:p w14:paraId="4AB0E17E" w14:textId="77777777" w:rsidR="005563FC" w:rsidRPr="0081146C" w:rsidRDefault="005563FC" w:rsidP="005563FC">
      <w:pPr>
        <w:pStyle w:val="notetext"/>
      </w:pPr>
      <w:r w:rsidRPr="0081146C">
        <w:t>Note:</w:t>
      </w:r>
      <w:r w:rsidRPr="0081146C">
        <w:tab/>
        <w:t>For other provisions dealing with legal professional privilege, see sections 242 and 242A.</w:t>
      </w:r>
    </w:p>
    <w:p w14:paraId="4A2509DA" w14:textId="77777777" w:rsidR="005563FC" w:rsidRPr="0081146C" w:rsidRDefault="005563FC" w:rsidP="005563FC">
      <w:pPr>
        <w:pStyle w:val="subsection"/>
      </w:pPr>
      <w:r w:rsidRPr="0081146C">
        <w:tab/>
        <w:t>(7)</w:t>
      </w:r>
      <w:r w:rsidRPr="0081146C">
        <w:tab/>
        <w:t>Subsections (6) and (6A) are civil penalty provisions.</w:t>
      </w:r>
    </w:p>
    <w:p w14:paraId="6617FF96" w14:textId="77777777" w:rsidR="00824795" w:rsidRPr="0081146C" w:rsidRDefault="00824795" w:rsidP="00824795">
      <w:pPr>
        <w:pStyle w:val="ActHead5"/>
      </w:pPr>
      <w:bookmarkStart w:id="258" w:name="_Toc176444484"/>
      <w:bookmarkStart w:id="259" w:name="_Toc184034105"/>
      <w:bookmarkStart w:id="260" w:name="_Toc185415812"/>
      <w:r w:rsidRPr="0081146C">
        <w:rPr>
          <w:rStyle w:val="CharSectno"/>
        </w:rPr>
        <w:t>49C</w:t>
      </w:r>
      <w:r w:rsidRPr="0081146C">
        <w:t xml:space="preserve">  Authorisation to obtain information or documents in certain circumstances</w:t>
      </w:r>
      <w:bookmarkEnd w:id="258"/>
      <w:bookmarkEnd w:id="259"/>
      <w:bookmarkEnd w:id="260"/>
    </w:p>
    <w:p w14:paraId="41B501F9" w14:textId="77777777" w:rsidR="00824795" w:rsidRPr="0081146C" w:rsidRDefault="00824795" w:rsidP="00824795">
      <w:pPr>
        <w:pStyle w:val="SubsectionHead"/>
      </w:pPr>
      <w:r w:rsidRPr="0081146C">
        <w:t>Scope</w:t>
      </w:r>
    </w:p>
    <w:p w14:paraId="5819772F" w14:textId="77777777" w:rsidR="00824795" w:rsidRPr="0081146C" w:rsidRDefault="00824795" w:rsidP="00824795">
      <w:pPr>
        <w:pStyle w:val="subsection"/>
      </w:pPr>
      <w:r w:rsidRPr="0081146C">
        <w:tab/>
        <w:t>(1)</w:t>
      </w:r>
      <w:r w:rsidRPr="0081146C">
        <w:tab/>
        <w:t>This section applies if a person has information or a document that may assist the AUSTRAC CEO with:</w:t>
      </w:r>
    </w:p>
    <w:p w14:paraId="63FE3C16" w14:textId="77777777" w:rsidR="00824795" w:rsidRPr="0081146C" w:rsidRDefault="00824795" w:rsidP="00824795">
      <w:pPr>
        <w:pStyle w:val="paragraph"/>
      </w:pPr>
      <w:r w:rsidRPr="0081146C">
        <w:tab/>
        <w:t>(a)</w:t>
      </w:r>
      <w:r w:rsidRPr="0081146C">
        <w:tab/>
        <w:t>obtaining or analysing information to support efforts to combat money laundering, terrorism financing, proliferation financing or other serious crimes; or</w:t>
      </w:r>
    </w:p>
    <w:p w14:paraId="2B53F50E" w14:textId="77777777" w:rsidR="00824795" w:rsidRPr="0081146C" w:rsidRDefault="00824795" w:rsidP="00824795">
      <w:pPr>
        <w:pStyle w:val="paragraph"/>
      </w:pPr>
      <w:r w:rsidRPr="0081146C">
        <w:tab/>
        <w:t>(b)</w:t>
      </w:r>
      <w:r w:rsidRPr="0081146C">
        <w:tab/>
        <w:t>identifying trends, patterns, threats or vulnerabilities associated with money laundering, terrorism financing, proliferation financing or other serious crimes;</w:t>
      </w:r>
    </w:p>
    <w:p w14:paraId="4EECE47D" w14:textId="77777777" w:rsidR="00824795" w:rsidRPr="0081146C" w:rsidRDefault="00824795" w:rsidP="00824795">
      <w:pPr>
        <w:pStyle w:val="subsection2"/>
      </w:pPr>
      <w:r w:rsidRPr="0081146C">
        <w:t>for the purposes of the performance of functions of the AUSTRAC CEO.</w:t>
      </w:r>
    </w:p>
    <w:p w14:paraId="71067768" w14:textId="77777777" w:rsidR="00824795" w:rsidRPr="0081146C" w:rsidRDefault="00824795" w:rsidP="00824795">
      <w:pPr>
        <w:pStyle w:val="SubsectionHead"/>
      </w:pPr>
      <w:r w:rsidRPr="0081146C">
        <w:t>Authorisation</w:t>
      </w:r>
    </w:p>
    <w:p w14:paraId="201FD57B" w14:textId="77777777" w:rsidR="00824795" w:rsidRPr="0081146C" w:rsidRDefault="00824795" w:rsidP="00824795">
      <w:pPr>
        <w:pStyle w:val="subsection"/>
      </w:pPr>
      <w:r w:rsidRPr="0081146C">
        <w:tab/>
        <w:t>(2)</w:t>
      </w:r>
      <w:r w:rsidRPr="0081146C">
        <w:tab/>
        <w:t>The AUSTRAC CEO may, by written notice given to the person, authorise the person:</w:t>
      </w:r>
    </w:p>
    <w:p w14:paraId="004D9D8A" w14:textId="77777777" w:rsidR="00824795" w:rsidRPr="0081146C" w:rsidRDefault="00824795" w:rsidP="00824795">
      <w:pPr>
        <w:pStyle w:val="paragraph"/>
      </w:pPr>
      <w:r w:rsidRPr="0081146C">
        <w:tab/>
        <w:t>(a)</w:t>
      </w:r>
      <w:r w:rsidRPr="0081146C">
        <w:tab/>
        <w:t>to give to the AUSTRAC CEO any such information; or</w:t>
      </w:r>
    </w:p>
    <w:p w14:paraId="3CA1600B" w14:textId="77777777" w:rsidR="00824795" w:rsidRPr="0081146C" w:rsidRDefault="00824795" w:rsidP="00824795">
      <w:pPr>
        <w:pStyle w:val="paragraph"/>
      </w:pPr>
      <w:r w:rsidRPr="0081146C">
        <w:tab/>
        <w:t>(b)</w:t>
      </w:r>
      <w:r w:rsidRPr="0081146C">
        <w:tab/>
        <w:t>to produce to the AUSTRAC CEO any such documents.</w:t>
      </w:r>
    </w:p>
    <w:p w14:paraId="15EE6695" w14:textId="77777777" w:rsidR="00824795" w:rsidRPr="0081146C" w:rsidRDefault="00824795" w:rsidP="00824795">
      <w:pPr>
        <w:pStyle w:val="SubsectionHead"/>
      </w:pPr>
      <w:r w:rsidRPr="0081146C">
        <w:t>Content of notice</w:t>
      </w:r>
    </w:p>
    <w:p w14:paraId="75E22928" w14:textId="77777777" w:rsidR="00824795" w:rsidRPr="0081146C" w:rsidRDefault="00824795" w:rsidP="00824795">
      <w:pPr>
        <w:pStyle w:val="subsection"/>
      </w:pPr>
      <w:r w:rsidRPr="0081146C">
        <w:tab/>
        <w:t>(3)</w:t>
      </w:r>
      <w:r w:rsidRPr="0081146C">
        <w:tab/>
        <w:t>A notice under subsection (2) must set out the effect of the following provisions:</w:t>
      </w:r>
    </w:p>
    <w:p w14:paraId="0051EB3B" w14:textId="77777777" w:rsidR="00824795" w:rsidRPr="0081146C" w:rsidRDefault="00824795" w:rsidP="00824795">
      <w:pPr>
        <w:pStyle w:val="paragraph"/>
      </w:pPr>
      <w:r w:rsidRPr="0081146C">
        <w:tab/>
        <w:t>(a)</w:t>
      </w:r>
      <w:r w:rsidRPr="0081146C">
        <w:tab/>
        <w:t>subsection (5);</w:t>
      </w:r>
    </w:p>
    <w:p w14:paraId="61B9E81C" w14:textId="77777777" w:rsidR="00824795" w:rsidRPr="0081146C" w:rsidRDefault="00824795" w:rsidP="00824795">
      <w:pPr>
        <w:pStyle w:val="paragraph"/>
      </w:pPr>
      <w:r w:rsidRPr="0081146C">
        <w:tab/>
        <w:t>(b)</w:t>
      </w:r>
      <w:r w:rsidRPr="0081146C">
        <w:tab/>
        <w:t>section 136;</w:t>
      </w:r>
    </w:p>
    <w:p w14:paraId="340A646C" w14:textId="77777777" w:rsidR="00824795" w:rsidRPr="0081146C" w:rsidRDefault="00824795" w:rsidP="00824795">
      <w:pPr>
        <w:pStyle w:val="paragraph"/>
      </w:pPr>
      <w:r w:rsidRPr="0081146C">
        <w:tab/>
        <w:t>(c)</w:t>
      </w:r>
      <w:r w:rsidRPr="0081146C">
        <w:tab/>
        <w:t>section 137.</w:t>
      </w:r>
    </w:p>
    <w:p w14:paraId="0DBB5AD4" w14:textId="77777777" w:rsidR="00824795" w:rsidRPr="0081146C" w:rsidRDefault="00824795" w:rsidP="00824795">
      <w:pPr>
        <w:pStyle w:val="notetext"/>
      </w:pPr>
      <w:r w:rsidRPr="0081146C">
        <w:t>Note 1:</w:t>
      </w:r>
      <w:r w:rsidRPr="0081146C">
        <w:tab/>
        <w:t>Section 136 is about giving false or misleading information.</w:t>
      </w:r>
    </w:p>
    <w:p w14:paraId="67983774" w14:textId="77777777" w:rsidR="00824795" w:rsidRPr="0081146C" w:rsidRDefault="00824795" w:rsidP="00824795">
      <w:pPr>
        <w:pStyle w:val="notetext"/>
      </w:pPr>
      <w:r w:rsidRPr="0081146C">
        <w:t>Note 2:</w:t>
      </w:r>
      <w:r w:rsidRPr="0081146C">
        <w:tab/>
        <w:t>Section 137 is about producing false or misleading documents.</w:t>
      </w:r>
    </w:p>
    <w:p w14:paraId="55943F12" w14:textId="77777777" w:rsidR="00824795" w:rsidRPr="0081146C" w:rsidRDefault="00824795" w:rsidP="00824795">
      <w:pPr>
        <w:pStyle w:val="SubsectionHead"/>
      </w:pPr>
      <w:r w:rsidRPr="0081146C">
        <w:t>Information disclosure etc.</w:t>
      </w:r>
    </w:p>
    <w:p w14:paraId="33447EE4" w14:textId="77777777" w:rsidR="00824795" w:rsidRPr="0081146C" w:rsidRDefault="00824795" w:rsidP="00824795">
      <w:pPr>
        <w:pStyle w:val="subsection"/>
      </w:pPr>
      <w:r w:rsidRPr="0081146C">
        <w:tab/>
        <w:t>(4)</w:t>
      </w:r>
      <w:r w:rsidRPr="0081146C">
        <w:tab/>
        <w:t>A person may give information or produce a document to the AUSTRAC CEO in accordance with a notice under subsection (2).</w:t>
      </w:r>
    </w:p>
    <w:p w14:paraId="65C4B323" w14:textId="77777777" w:rsidR="00824795" w:rsidRPr="0081146C" w:rsidRDefault="00824795" w:rsidP="00824795">
      <w:pPr>
        <w:pStyle w:val="notetext"/>
      </w:pPr>
      <w:r w:rsidRPr="0081146C">
        <w:t>Note:</w:t>
      </w:r>
      <w:r w:rsidRPr="0081146C">
        <w:tab/>
        <w:t xml:space="preserve">This subsection constitutes an authorisation for the purposes of the </w:t>
      </w:r>
      <w:r w:rsidRPr="0081146C">
        <w:rPr>
          <w:i/>
        </w:rPr>
        <w:t>Privacy Act 1988</w:t>
      </w:r>
      <w:r w:rsidRPr="0081146C">
        <w:t xml:space="preserve"> and other laws.</w:t>
      </w:r>
    </w:p>
    <w:p w14:paraId="46193C67" w14:textId="77777777" w:rsidR="00824795" w:rsidRPr="0081146C" w:rsidRDefault="00824795" w:rsidP="00824795">
      <w:pPr>
        <w:pStyle w:val="subsection"/>
      </w:pPr>
      <w:r w:rsidRPr="0081146C">
        <w:tab/>
        <w:t>(5)</w:t>
      </w:r>
      <w:r w:rsidRPr="0081146C">
        <w:tab/>
        <w:t>This section applies despite any general law obligation of confidence.</w:t>
      </w:r>
    </w:p>
    <w:p w14:paraId="40C97310" w14:textId="77777777" w:rsidR="00035544" w:rsidRPr="0081146C" w:rsidRDefault="00035544" w:rsidP="00035544">
      <w:pPr>
        <w:pStyle w:val="ActHead5"/>
      </w:pPr>
      <w:bookmarkStart w:id="261" w:name="_Toc185415813"/>
      <w:r w:rsidRPr="0081146C">
        <w:rPr>
          <w:rStyle w:val="CharSectno"/>
        </w:rPr>
        <w:t>50</w:t>
      </w:r>
      <w:r w:rsidRPr="0081146C">
        <w:t xml:space="preserve">  Request to obtain information about the identity of holders of foreign credit cards and foreign debit cards</w:t>
      </w:r>
      <w:bookmarkEnd w:id="261"/>
    </w:p>
    <w:p w14:paraId="0B501052" w14:textId="77777777" w:rsidR="00035544" w:rsidRPr="0081146C" w:rsidRDefault="00035544" w:rsidP="00035544">
      <w:pPr>
        <w:pStyle w:val="SubsectionHead"/>
      </w:pPr>
      <w:r w:rsidRPr="0081146C">
        <w:t>Scope</w:t>
      </w:r>
    </w:p>
    <w:p w14:paraId="198ED5A9" w14:textId="77777777" w:rsidR="00035544" w:rsidRPr="0081146C" w:rsidRDefault="00035544" w:rsidP="00035544">
      <w:pPr>
        <w:pStyle w:val="subsection"/>
      </w:pPr>
      <w:r w:rsidRPr="0081146C">
        <w:tab/>
        <w:t>(1)</w:t>
      </w:r>
      <w:r w:rsidRPr="0081146C">
        <w:tab/>
        <w:t>This section applies to a reporting entity if:</w:t>
      </w:r>
    </w:p>
    <w:p w14:paraId="17A76CE5" w14:textId="77777777" w:rsidR="00035544" w:rsidRPr="0081146C" w:rsidRDefault="00035544" w:rsidP="00035544">
      <w:pPr>
        <w:pStyle w:val="paragraph"/>
      </w:pPr>
      <w:r w:rsidRPr="0081146C">
        <w:tab/>
        <w:t>(a)</w:t>
      </w:r>
      <w:r w:rsidRPr="0081146C">
        <w:tab/>
        <w:t>under section</w:t>
      </w:r>
      <w:r w:rsidR="004F64A4" w:rsidRPr="0081146C">
        <w:t> </w:t>
      </w:r>
      <w:r w:rsidRPr="0081146C">
        <w:t>49, the AUSTRAC CEO or the Commissioner of Taxation has required the reporting entity to give information about the identity of:</w:t>
      </w:r>
    </w:p>
    <w:p w14:paraId="0D093F06" w14:textId="77777777" w:rsidR="00035544" w:rsidRPr="0081146C" w:rsidRDefault="00035544" w:rsidP="00035544">
      <w:pPr>
        <w:pStyle w:val="paragraphsub"/>
      </w:pPr>
      <w:r w:rsidRPr="0081146C">
        <w:tab/>
        <w:t>(i)</w:t>
      </w:r>
      <w:r w:rsidRPr="0081146C">
        <w:tab/>
        <w:t>the holder of, or a signatory to, a particular credit card account; or</w:t>
      </w:r>
    </w:p>
    <w:p w14:paraId="36C374A4" w14:textId="77777777" w:rsidR="00035544" w:rsidRPr="0081146C" w:rsidRDefault="00035544" w:rsidP="00035544">
      <w:pPr>
        <w:pStyle w:val="paragraphsub"/>
      </w:pPr>
      <w:r w:rsidRPr="0081146C">
        <w:tab/>
        <w:t>(ii)</w:t>
      </w:r>
      <w:r w:rsidRPr="0081146C">
        <w:tab/>
        <w:t>the holder of, or a signatory to, a particular debit card account; and</w:t>
      </w:r>
    </w:p>
    <w:p w14:paraId="035E788C" w14:textId="77777777" w:rsidR="00035544" w:rsidRPr="0081146C" w:rsidRDefault="00035544" w:rsidP="00035544">
      <w:pPr>
        <w:pStyle w:val="paragraph"/>
      </w:pPr>
      <w:r w:rsidRPr="0081146C">
        <w:tab/>
        <w:t>(b)</w:t>
      </w:r>
      <w:r w:rsidRPr="0081146C">
        <w:tab/>
        <w:t xml:space="preserve">the account relates to a credit card, or a debit card, that was issued by a person (the </w:t>
      </w:r>
      <w:r w:rsidRPr="0081146C">
        <w:rPr>
          <w:b/>
          <w:i/>
        </w:rPr>
        <w:t>card issuer</w:t>
      </w:r>
      <w:r w:rsidRPr="0081146C">
        <w:t>) outside Australia; and</w:t>
      </w:r>
    </w:p>
    <w:p w14:paraId="5A43327A" w14:textId="77777777" w:rsidR="00035544" w:rsidRPr="0081146C" w:rsidRDefault="00035544" w:rsidP="00035544">
      <w:pPr>
        <w:pStyle w:val="paragraph"/>
      </w:pPr>
      <w:r w:rsidRPr="0081146C">
        <w:tab/>
        <w:t>(c)</w:t>
      </w:r>
      <w:r w:rsidRPr="0081146C">
        <w:tab/>
        <w:t>the reporting entity does not have that information.</w:t>
      </w:r>
    </w:p>
    <w:p w14:paraId="5EF4652F" w14:textId="77777777" w:rsidR="00035544" w:rsidRPr="0081146C" w:rsidRDefault="00035544" w:rsidP="00035544">
      <w:pPr>
        <w:pStyle w:val="SubsectionHead"/>
      </w:pPr>
      <w:r w:rsidRPr="0081146C">
        <w:t>Direction to reporting entity</w:t>
      </w:r>
    </w:p>
    <w:p w14:paraId="60DAA75F" w14:textId="77777777" w:rsidR="00035544" w:rsidRPr="0081146C" w:rsidRDefault="00035544" w:rsidP="00035544">
      <w:pPr>
        <w:pStyle w:val="subsection"/>
      </w:pPr>
      <w:r w:rsidRPr="0081146C">
        <w:tab/>
        <w:t>(2)</w:t>
      </w:r>
      <w:r w:rsidRPr="0081146C">
        <w:tab/>
        <w:t>The AUSTRAC CEO or the Commissioner of Taxation may, by written notice given to the reporting entity, direct the reporting entity to give the card issuer a request, in a form specified in the notice, to give the information to the reporting entity.</w:t>
      </w:r>
    </w:p>
    <w:p w14:paraId="3F53C58C" w14:textId="77777777" w:rsidR="00035544" w:rsidRPr="0081146C" w:rsidRDefault="00035544" w:rsidP="00035544">
      <w:pPr>
        <w:pStyle w:val="subsection"/>
      </w:pPr>
      <w:r w:rsidRPr="0081146C">
        <w:tab/>
        <w:t>(3)</w:t>
      </w:r>
      <w:r w:rsidRPr="0081146C">
        <w:tab/>
        <w:t>The reporting entity must comply with the direction within 10 business days after the day on which the direction is given.</w:t>
      </w:r>
    </w:p>
    <w:p w14:paraId="0BCE6421" w14:textId="77777777" w:rsidR="00035544" w:rsidRPr="0081146C" w:rsidRDefault="00035544" w:rsidP="00035544">
      <w:pPr>
        <w:pStyle w:val="SubsectionHead"/>
      </w:pPr>
      <w:r w:rsidRPr="0081146C">
        <w:t>Report by reporting entity</w:t>
      </w:r>
    </w:p>
    <w:p w14:paraId="07E3F86B" w14:textId="77777777" w:rsidR="00035544" w:rsidRPr="0081146C" w:rsidRDefault="00035544" w:rsidP="00035544">
      <w:pPr>
        <w:pStyle w:val="subsection"/>
      </w:pPr>
      <w:r w:rsidRPr="0081146C">
        <w:tab/>
        <w:t>(4)</w:t>
      </w:r>
      <w:r w:rsidRPr="0081146C">
        <w:tab/>
        <w:t xml:space="preserve">If the reporting entity gives the card issuer a request under </w:t>
      </w:r>
      <w:r w:rsidR="004F64A4" w:rsidRPr="0081146C">
        <w:t>subsection (</w:t>
      </w:r>
      <w:r w:rsidRPr="0081146C">
        <w:t>2) that was directed by the AUSTRAC CEO, the reporting entity must, within:</w:t>
      </w:r>
    </w:p>
    <w:p w14:paraId="4FBDDDB6" w14:textId="77777777" w:rsidR="00035544" w:rsidRPr="0081146C" w:rsidRDefault="00035544" w:rsidP="00035544">
      <w:pPr>
        <w:pStyle w:val="paragraph"/>
      </w:pPr>
      <w:r w:rsidRPr="0081146C">
        <w:tab/>
        <w:t>(a)</w:t>
      </w:r>
      <w:r w:rsidRPr="0081146C">
        <w:tab/>
        <w:t xml:space="preserve">20 business days after the day on which the </w:t>
      </w:r>
      <w:r w:rsidR="004F64A4" w:rsidRPr="0081146C">
        <w:t>subsection (</w:t>
      </w:r>
      <w:r w:rsidRPr="0081146C">
        <w:t>2) direction was given; or</w:t>
      </w:r>
    </w:p>
    <w:p w14:paraId="41EF7BD7" w14:textId="77777777" w:rsidR="00035544" w:rsidRPr="0081146C" w:rsidRDefault="00035544" w:rsidP="00035544">
      <w:pPr>
        <w:pStyle w:val="paragraph"/>
      </w:pPr>
      <w:r w:rsidRPr="0081146C">
        <w:tab/>
        <w:t>(b)</w:t>
      </w:r>
      <w:r w:rsidRPr="0081146C">
        <w:tab/>
        <w:t>if the AUSTRAC CEO, by written notice given to the reporting entity, allows a longer period—that longer period;</w:t>
      </w:r>
    </w:p>
    <w:p w14:paraId="1B6EB017" w14:textId="77777777" w:rsidR="00035544" w:rsidRPr="0081146C" w:rsidRDefault="00035544" w:rsidP="00035544">
      <w:pPr>
        <w:pStyle w:val="subsection2"/>
      </w:pPr>
      <w:r w:rsidRPr="0081146C">
        <w:t>give the AUSTRAC CEO a report about the card issuer’s response, or lack of response, to the request.</w:t>
      </w:r>
    </w:p>
    <w:p w14:paraId="006612B0" w14:textId="77777777" w:rsidR="00035544" w:rsidRPr="0081146C" w:rsidRDefault="00035544" w:rsidP="00D61204">
      <w:pPr>
        <w:pStyle w:val="subsection"/>
        <w:keepNext/>
      </w:pPr>
      <w:r w:rsidRPr="0081146C">
        <w:tab/>
        <w:t>(5)</w:t>
      </w:r>
      <w:r w:rsidRPr="0081146C">
        <w:tab/>
        <w:t xml:space="preserve">If the reporting entity gives the card issuer a request under </w:t>
      </w:r>
      <w:r w:rsidR="004F64A4" w:rsidRPr="0081146C">
        <w:t>subsection (</w:t>
      </w:r>
      <w:r w:rsidRPr="0081146C">
        <w:t>2) that was directed by the Commissioner of Taxation, the reporting entity must, within:</w:t>
      </w:r>
    </w:p>
    <w:p w14:paraId="66E7A37B" w14:textId="77777777" w:rsidR="00035544" w:rsidRPr="0081146C" w:rsidRDefault="00035544" w:rsidP="00035544">
      <w:pPr>
        <w:pStyle w:val="paragraph"/>
      </w:pPr>
      <w:r w:rsidRPr="0081146C">
        <w:tab/>
        <w:t>(a)</w:t>
      </w:r>
      <w:r w:rsidRPr="0081146C">
        <w:tab/>
        <w:t xml:space="preserve">20 business days after the day on which the </w:t>
      </w:r>
      <w:r w:rsidR="004F64A4" w:rsidRPr="0081146C">
        <w:t>subsection (</w:t>
      </w:r>
      <w:r w:rsidRPr="0081146C">
        <w:t>2) direction was given; or</w:t>
      </w:r>
    </w:p>
    <w:p w14:paraId="5F7792B4" w14:textId="77777777" w:rsidR="00035544" w:rsidRPr="0081146C" w:rsidRDefault="00035544" w:rsidP="00035544">
      <w:pPr>
        <w:pStyle w:val="paragraph"/>
      </w:pPr>
      <w:r w:rsidRPr="0081146C">
        <w:tab/>
        <w:t>(b)</w:t>
      </w:r>
      <w:r w:rsidRPr="0081146C">
        <w:tab/>
        <w:t>if the Commissioner of Taxation, by written notice given to the reporting entity, allows a longer period—that longer period;</w:t>
      </w:r>
    </w:p>
    <w:p w14:paraId="0943F6A2" w14:textId="77777777" w:rsidR="00035544" w:rsidRPr="0081146C" w:rsidRDefault="00035544" w:rsidP="00035544">
      <w:pPr>
        <w:pStyle w:val="subsection2"/>
      </w:pPr>
      <w:r w:rsidRPr="0081146C">
        <w:t>give the Commissioner of Taxation a report about the card issuer’s response, or lack of response, to the request.</w:t>
      </w:r>
    </w:p>
    <w:p w14:paraId="0F596644" w14:textId="77777777" w:rsidR="00035544" w:rsidRPr="0081146C" w:rsidRDefault="00035544" w:rsidP="00035544">
      <w:pPr>
        <w:pStyle w:val="subsection"/>
      </w:pPr>
      <w:r w:rsidRPr="0081146C">
        <w:tab/>
        <w:t>(6)</w:t>
      </w:r>
      <w:r w:rsidRPr="0081146C">
        <w:tab/>
        <w:t xml:space="preserve">A report under </w:t>
      </w:r>
      <w:r w:rsidR="004F64A4" w:rsidRPr="0081146C">
        <w:t>subsection (</w:t>
      </w:r>
      <w:r w:rsidRPr="0081146C">
        <w:t>4) or (5) must:</w:t>
      </w:r>
    </w:p>
    <w:p w14:paraId="73B50821" w14:textId="77777777" w:rsidR="00035544" w:rsidRPr="0081146C" w:rsidRDefault="00035544" w:rsidP="00035544">
      <w:pPr>
        <w:pStyle w:val="paragraph"/>
      </w:pPr>
      <w:r w:rsidRPr="0081146C">
        <w:tab/>
        <w:t>(a)</w:t>
      </w:r>
      <w:r w:rsidRPr="0081146C">
        <w:tab/>
        <w:t>be in the approved form; and</w:t>
      </w:r>
    </w:p>
    <w:p w14:paraId="1CE601BC" w14:textId="77777777" w:rsidR="002F4208" w:rsidRPr="0081146C" w:rsidRDefault="002F4208" w:rsidP="002F4208">
      <w:pPr>
        <w:pStyle w:val="paragraph"/>
      </w:pPr>
      <w:r w:rsidRPr="0081146C">
        <w:tab/>
        <w:t>(aa)</w:t>
      </w:r>
      <w:r w:rsidRPr="0081146C">
        <w:tab/>
        <w:t>if the reporting entity reasonably believes that information relating to the matter is privileged from being given on the ground of legal professional privilege—be accompanied by an LPP form in relation to the information; and</w:t>
      </w:r>
    </w:p>
    <w:p w14:paraId="0305DA7F" w14:textId="77777777" w:rsidR="00035544" w:rsidRPr="0081146C" w:rsidRDefault="00035544" w:rsidP="00035544">
      <w:pPr>
        <w:pStyle w:val="paragraph"/>
      </w:pPr>
      <w:r w:rsidRPr="0081146C">
        <w:tab/>
        <w:t>(b)</w:t>
      </w:r>
      <w:r w:rsidRPr="0081146C">
        <w:tab/>
        <w:t>in a case where the card issuer has given the information to the reporting entity—contain the information; and</w:t>
      </w:r>
    </w:p>
    <w:p w14:paraId="129BDB09" w14:textId="77777777" w:rsidR="00035544" w:rsidRPr="0081146C" w:rsidRDefault="00035544" w:rsidP="00035544">
      <w:pPr>
        <w:pStyle w:val="paragraph"/>
      </w:pPr>
      <w:r w:rsidRPr="0081146C">
        <w:tab/>
        <w:t>(c)</w:t>
      </w:r>
      <w:r w:rsidRPr="0081146C">
        <w:tab/>
        <w:t>contain such other information (if any) relating to the matter as is required by the approved form.</w:t>
      </w:r>
    </w:p>
    <w:p w14:paraId="002E91C9" w14:textId="753DD013" w:rsidR="00035544" w:rsidRPr="0081146C" w:rsidRDefault="002F4208" w:rsidP="00035544">
      <w:pPr>
        <w:pStyle w:val="notetext"/>
      </w:pPr>
      <w:r w:rsidRPr="0081146C">
        <w:t>Note 1</w:t>
      </w:r>
      <w:r w:rsidR="00035544" w:rsidRPr="0081146C">
        <w:t>:</w:t>
      </w:r>
      <w:r w:rsidR="00035544" w:rsidRPr="0081146C">
        <w:tab/>
        <w:t>For additional rules about reports given to the AUSTRAC CEO, see section</w:t>
      </w:r>
      <w:r w:rsidR="004F64A4" w:rsidRPr="0081146C">
        <w:t> </w:t>
      </w:r>
      <w:r w:rsidR="00035544" w:rsidRPr="0081146C">
        <w:t>244.</w:t>
      </w:r>
    </w:p>
    <w:p w14:paraId="7EB28BAF" w14:textId="77777777" w:rsidR="002F4208" w:rsidRPr="0081146C" w:rsidRDefault="002F4208" w:rsidP="002F4208">
      <w:pPr>
        <w:pStyle w:val="notetext"/>
      </w:pPr>
      <w:r w:rsidRPr="0081146C">
        <w:t>Note 2:</w:t>
      </w:r>
      <w:r w:rsidRPr="0081146C">
        <w:tab/>
        <w:t>For other provisions dealing with legal professional privilege, see sections 242 and 242A.</w:t>
      </w:r>
    </w:p>
    <w:p w14:paraId="159B8844" w14:textId="77777777" w:rsidR="00035544" w:rsidRPr="0081146C" w:rsidRDefault="00035544" w:rsidP="00035544">
      <w:pPr>
        <w:pStyle w:val="SubsectionHead"/>
      </w:pPr>
      <w:r w:rsidRPr="0081146C">
        <w:t>Civil penalty</w:t>
      </w:r>
    </w:p>
    <w:p w14:paraId="0AC74DAF" w14:textId="77777777" w:rsidR="00035544" w:rsidRPr="0081146C" w:rsidRDefault="00035544" w:rsidP="00035544">
      <w:pPr>
        <w:pStyle w:val="subsection"/>
        <w:tabs>
          <w:tab w:val="left" w:pos="2420"/>
        </w:tabs>
      </w:pPr>
      <w:r w:rsidRPr="0081146C">
        <w:tab/>
        <w:t>(7)</w:t>
      </w:r>
      <w:r w:rsidRPr="0081146C">
        <w:tab/>
      </w:r>
      <w:r w:rsidR="004F64A4" w:rsidRPr="0081146C">
        <w:t>Subsections (</w:t>
      </w:r>
      <w:r w:rsidRPr="0081146C">
        <w:t>3), (4) and (5) are civil penalty provisions.</w:t>
      </w:r>
    </w:p>
    <w:p w14:paraId="1AFBDE2B" w14:textId="40CE71E0" w:rsidR="00400673" w:rsidRPr="0081146C" w:rsidRDefault="00400673" w:rsidP="00400673">
      <w:pPr>
        <w:pStyle w:val="ActHead5"/>
      </w:pPr>
      <w:bookmarkStart w:id="262" w:name="_Toc185415814"/>
      <w:bookmarkStart w:id="263" w:name="_Hlk75781494"/>
      <w:r w:rsidRPr="0081146C">
        <w:rPr>
          <w:rStyle w:val="CharSectno"/>
        </w:rPr>
        <w:t>50A</w:t>
      </w:r>
      <w:r w:rsidRPr="0081146C">
        <w:t xml:space="preserve">  Secrecy—information obtained under section 49</w:t>
      </w:r>
      <w:r w:rsidR="00824795" w:rsidRPr="0081146C">
        <w:t>, 49B or 49C</w:t>
      </w:r>
      <w:bookmarkEnd w:id="262"/>
    </w:p>
    <w:p w14:paraId="4B86C801" w14:textId="77777777" w:rsidR="00400673" w:rsidRPr="0081146C" w:rsidRDefault="00400673" w:rsidP="00400673">
      <w:pPr>
        <w:pStyle w:val="subsection"/>
      </w:pPr>
      <w:r w:rsidRPr="0081146C">
        <w:tab/>
        <w:t>(1)</w:t>
      </w:r>
      <w:r w:rsidRPr="0081146C">
        <w:tab/>
        <w:t>A person commits an offence if:</w:t>
      </w:r>
    </w:p>
    <w:p w14:paraId="0CB3BD1C" w14:textId="77777777" w:rsidR="00400673" w:rsidRPr="0081146C" w:rsidRDefault="00400673" w:rsidP="00400673">
      <w:pPr>
        <w:pStyle w:val="paragraph"/>
      </w:pPr>
      <w:r w:rsidRPr="0081146C">
        <w:tab/>
        <w:t>(a)</w:t>
      </w:r>
      <w:r w:rsidRPr="0081146C">
        <w:tab/>
        <w:t>the person is, or has been, an entrusted investigating official; and</w:t>
      </w:r>
    </w:p>
    <w:p w14:paraId="666AA07B" w14:textId="6B80598F" w:rsidR="00400673" w:rsidRPr="0081146C" w:rsidRDefault="00400673" w:rsidP="00400673">
      <w:pPr>
        <w:pStyle w:val="paragraph"/>
      </w:pPr>
      <w:r w:rsidRPr="0081146C">
        <w:tab/>
        <w:t>(b)</w:t>
      </w:r>
      <w:r w:rsidRPr="0081146C">
        <w:tab/>
        <w:t>the person has obtained information under section 49</w:t>
      </w:r>
      <w:r w:rsidR="00824795" w:rsidRPr="0081146C">
        <w:t>, 49B or 49C</w:t>
      </w:r>
      <w:r w:rsidRPr="0081146C">
        <w:t>; and</w:t>
      </w:r>
    </w:p>
    <w:p w14:paraId="239B6933" w14:textId="77777777" w:rsidR="00400673" w:rsidRPr="0081146C" w:rsidRDefault="00400673" w:rsidP="00400673">
      <w:pPr>
        <w:pStyle w:val="paragraph"/>
      </w:pPr>
      <w:r w:rsidRPr="0081146C">
        <w:tab/>
        <w:t>(c)</w:t>
      </w:r>
      <w:r w:rsidRPr="0081146C">
        <w:tab/>
        <w:t>the person makes a record of, discloses or otherwise uses the information.</w:t>
      </w:r>
    </w:p>
    <w:p w14:paraId="1C1F8D31" w14:textId="77777777" w:rsidR="00400673" w:rsidRPr="0081146C" w:rsidRDefault="00400673" w:rsidP="00400673">
      <w:pPr>
        <w:pStyle w:val="Penalty"/>
      </w:pPr>
      <w:r w:rsidRPr="0081146C">
        <w:t>Penalty:</w:t>
      </w:r>
      <w:r w:rsidRPr="0081146C">
        <w:tab/>
        <w:t>Imprisonment for 2 years or 120 penalty units, or both.</w:t>
      </w:r>
    </w:p>
    <w:p w14:paraId="0178451B" w14:textId="77777777" w:rsidR="00400673" w:rsidRPr="0081146C" w:rsidRDefault="00400673" w:rsidP="00400673">
      <w:pPr>
        <w:pStyle w:val="SubsectionHead"/>
      </w:pPr>
      <w:r w:rsidRPr="0081146C">
        <w:t>Exception</w:t>
      </w:r>
    </w:p>
    <w:p w14:paraId="7DFFC80A" w14:textId="77777777" w:rsidR="00400673" w:rsidRPr="0081146C" w:rsidRDefault="00400673" w:rsidP="00400673">
      <w:pPr>
        <w:pStyle w:val="subsection"/>
      </w:pPr>
      <w:r w:rsidRPr="0081146C">
        <w:tab/>
        <w:t>(2)</w:t>
      </w:r>
      <w:r w:rsidRPr="0081146C">
        <w:tab/>
        <w:t>Subsection (1) does not apply if:</w:t>
      </w:r>
    </w:p>
    <w:p w14:paraId="58AA206B" w14:textId="77777777" w:rsidR="00400673" w:rsidRPr="0081146C" w:rsidRDefault="00400673" w:rsidP="00400673">
      <w:pPr>
        <w:pStyle w:val="paragraph"/>
      </w:pPr>
      <w:r w:rsidRPr="0081146C">
        <w:tab/>
        <w:t>(a)</w:t>
      </w:r>
      <w:r w:rsidRPr="0081146C">
        <w:tab/>
        <w:t>the making of the record, disclosure or use is for the purposes of, or in connection with, the performance or exercise of the person’s functions, duties or powers as an entrusted investigating official; or</w:t>
      </w:r>
    </w:p>
    <w:p w14:paraId="11AA86C2" w14:textId="77777777" w:rsidR="00400673" w:rsidRPr="0081146C" w:rsidRDefault="00400673" w:rsidP="00400673">
      <w:pPr>
        <w:pStyle w:val="paragraph"/>
      </w:pPr>
      <w:r w:rsidRPr="0081146C">
        <w:tab/>
        <w:t>(b)</w:t>
      </w:r>
      <w:r w:rsidRPr="0081146C">
        <w:tab/>
        <w:t>the disclosure is to an AUSTRAC entrusted person or to another entrusted investigating official for the purposes of, or in connection with, the performance or exercise of the AUSTRAC entrusted person’s or other official’s functions, duties or powers.</w:t>
      </w:r>
    </w:p>
    <w:p w14:paraId="56008ACE" w14:textId="77777777" w:rsidR="00400673" w:rsidRPr="0081146C" w:rsidRDefault="00400673" w:rsidP="00400673">
      <w:pPr>
        <w:pStyle w:val="notetext"/>
      </w:pPr>
      <w:r w:rsidRPr="0081146C">
        <w:t>Note:</w:t>
      </w:r>
      <w:r w:rsidRPr="0081146C">
        <w:tab/>
        <w:t>A defendant bears an evidential burden in relation to a matter in subsection (2) (see sub</w:t>
      </w:r>
      <w:r w:rsidR="003B7E15" w:rsidRPr="0081146C">
        <w:t>section 1</w:t>
      </w:r>
      <w:r w:rsidRPr="0081146C">
        <w:t xml:space="preserve">3.3(3) of the </w:t>
      </w:r>
      <w:r w:rsidRPr="0081146C">
        <w:rPr>
          <w:i/>
        </w:rPr>
        <w:t>Criminal Code</w:t>
      </w:r>
      <w:r w:rsidRPr="0081146C">
        <w:t>).</w:t>
      </w:r>
    </w:p>
    <w:p w14:paraId="6DD9E1DE" w14:textId="77777777" w:rsidR="00400673" w:rsidRPr="0081146C" w:rsidRDefault="00400673" w:rsidP="00400673">
      <w:pPr>
        <w:pStyle w:val="SubsectionHead"/>
      </w:pPr>
      <w:r w:rsidRPr="0081146C">
        <w:t>Courts or tribunals</w:t>
      </w:r>
    </w:p>
    <w:p w14:paraId="5ABAE41A" w14:textId="788ACA6D" w:rsidR="00400673" w:rsidRPr="0081146C" w:rsidRDefault="00400673" w:rsidP="00400673">
      <w:pPr>
        <w:pStyle w:val="subsection"/>
      </w:pPr>
      <w:r w:rsidRPr="0081146C">
        <w:tab/>
        <w:t>(3)</w:t>
      </w:r>
      <w:r w:rsidRPr="0081146C">
        <w:tab/>
        <w:t xml:space="preserve">Except where it is necessary to do so for the purposes of giving effect to this Act or the </w:t>
      </w:r>
      <w:r w:rsidR="007A2342" w:rsidRPr="0081146C">
        <w:t>repealed</w:t>
      </w:r>
      <w:r w:rsidR="007A2342" w:rsidRPr="0081146C">
        <w:rPr>
          <w:i/>
        </w:rPr>
        <w:t xml:space="preserve"> </w:t>
      </w:r>
      <w:r w:rsidRPr="0081146C">
        <w:rPr>
          <w:i/>
        </w:rPr>
        <w:t>Financial Transaction Reports Act 1988</w:t>
      </w:r>
      <w:r w:rsidRPr="0081146C">
        <w:t>, a person who is, or has been, an entrusted investigating official is not to be required:</w:t>
      </w:r>
    </w:p>
    <w:p w14:paraId="4ECDAD5C" w14:textId="5BE1856E" w:rsidR="00400673" w:rsidRPr="0081146C" w:rsidRDefault="00400673" w:rsidP="00400673">
      <w:pPr>
        <w:pStyle w:val="paragraph"/>
      </w:pPr>
      <w:r w:rsidRPr="0081146C">
        <w:tab/>
        <w:t>(a)</w:t>
      </w:r>
      <w:r w:rsidRPr="0081146C">
        <w:tab/>
        <w:t>to produce a document containing information obtained by the person under section 49</w:t>
      </w:r>
      <w:r w:rsidR="00824795" w:rsidRPr="0081146C">
        <w:t>, 49B or 49C</w:t>
      </w:r>
      <w:r w:rsidRPr="0081146C">
        <w:t xml:space="preserve"> to a court or tribunal; or</w:t>
      </w:r>
    </w:p>
    <w:p w14:paraId="43807C30" w14:textId="6CBE337D" w:rsidR="00400673" w:rsidRPr="0081146C" w:rsidRDefault="00400673" w:rsidP="00400673">
      <w:pPr>
        <w:pStyle w:val="paragraph"/>
      </w:pPr>
      <w:r w:rsidRPr="0081146C">
        <w:tab/>
        <w:t>(b)</w:t>
      </w:r>
      <w:r w:rsidRPr="0081146C">
        <w:tab/>
        <w:t>to disclose information obtained by the person under section 49</w:t>
      </w:r>
      <w:r w:rsidR="00824795" w:rsidRPr="0081146C">
        <w:t>, 49B or 49C</w:t>
      </w:r>
      <w:r w:rsidRPr="0081146C">
        <w:t xml:space="preserve"> to a court or tribunal.</w:t>
      </w:r>
    </w:p>
    <w:p w14:paraId="33290824" w14:textId="77777777" w:rsidR="00035544" w:rsidRPr="0081146C" w:rsidRDefault="00035544" w:rsidP="00035544">
      <w:pPr>
        <w:pStyle w:val="ActHead5"/>
      </w:pPr>
      <w:bookmarkStart w:id="264" w:name="_Toc185415815"/>
      <w:bookmarkEnd w:id="263"/>
      <w:r w:rsidRPr="0081146C">
        <w:rPr>
          <w:rStyle w:val="CharSectno"/>
        </w:rPr>
        <w:t>51</w:t>
      </w:r>
      <w:r w:rsidRPr="0081146C">
        <w:t xml:space="preserve">  </w:t>
      </w:r>
      <w:r w:rsidR="00CA78AA" w:rsidRPr="0081146C">
        <w:t>Division 4</w:t>
      </w:r>
      <w:r w:rsidRPr="0081146C">
        <w:t>00 and Chapter</w:t>
      </w:r>
      <w:r w:rsidR="004F64A4" w:rsidRPr="0081146C">
        <w:t> </w:t>
      </w:r>
      <w:r w:rsidRPr="0081146C">
        <w:t xml:space="preserve">5 of the </w:t>
      </w:r>
      <w:r w:rsidRPr="0081146C">
        <w:rPr>
          <w:i/>
        </w:rPr>
        <w:t>Criminal Code</w:t>
      </w:r>
      <w:bookmarkEnd w:id="264"/>
    </w:p>
    <w:p w14:paraId="482A2A97" w14:textId="75E43474" w:rsidR="00035544" w:rsidRPr="0081146C" w:rsidRDefault="00035544" w:rsidP="00035544">
      <w:pPr>
        <w:pStyle w:val="subsection"/>
      </w:pPr>
      <w:r w:rsidRPr="0081146C">
        <w:tab/>
      </w:r>
      <w:r w:rsidRPr="0081146C">
        <w:tab/>
        <w:t>If a person, or an officer, employee or agent of a person, communicates or gives information under section</w:t>
      </w:r>
      <w:r w:rsidR="004F64A4" w:rsidRPr="0081146C">
        <w:t> </w:t>
      </w:r>
      <w:r w:rsidRPr="0081146C">
        <w:t>41, 43,</w:t>
      </w:r>
      <w:r w:rsidR="00250C0B" w:rsidRPr="0081146C">
        <w:t xml:space="preserve"> 46, 46A</w:t>
      </w:r>
      <w:r w:rsidR="00824795" w:rsidRPr="0081146C">
        <w:t>, 49, 49B or 49C</w:t>
      </w:r>
      <w:r w:rsidRPr="0081146C">
        <w:t xml:space="preserve">, the person, officer, employee or agent is taken, for the purposes of </w:t>
      </w:r>
      <w:r w:rsidR="00CA78AA" w:rsidRPr="0081146C">
        <w:t>Division 4</w:t>
      </w:r>
      <w:r w:rsidRPr="0081146C">
        <w:t>00 and Chapter</w:t>
      </w:r>
      <w:r w:rsidR="004F64A4" w:rsidRPr="0081146C">
        <w:t> </w:t>
      </w:r>
      <w:r w:rsidRPr="0081146C">
        <w:t xml:space="preserve">5 of the </w:t>
      </w:r>
      <w:r w:rsidRPr="0081146C">
        <w:rPr>
          <w:i/>
        </w:rPr>
        <w:t>Criminal Code</w:t>
      </w:r>
      <w:r w:rsidRPr="0081146C">
        <w:t>, not to have been in possession of that information at any time.</w:t>
      </w:r>
    </w:p>
    <w:p w14:paraId="14B0B0B5" w14:textId="77777777" w:rsidR="004C2DD1" w:rsidRPr="0081146C" w:rsidRDefault="004C2DD1" w:rsidP="00AE2DA2">
      <w:pPr>
        <w:pStyle w:val="ActHead2"/>
        <w:pageBreakBefore/>
      </w:pPr>
      <w:bookmarkStart w:id="265" w:name="_Toc185415816"/>
      <w:r w:rsidRPr="0081146C">
        <w:rPr>
          <w:rStyle w:val="CharPartNo"/>
        </w:rPr>
        <w:t>Part</w:t>
      </w:r>
      <w:r w:rsidR="004F64A4" w:rsidRPr="0081146C">
        <w:rPr>
          <w:rStyle w:val="CharPartNo"/>
        </w:rPr>
        <w:t> </w:t>
      </w:r>
      <w:r w:rsidRPr="0081146C">
        <w:rPr>
          <w:rStyle w:val="CharPartNo"/>
        </w:rPr>
        <w:t>3A</w:t>
      </w:r>
      <w:r w:rsidRPr="0081146C">
        <w:t>—</w:t>
      </w:r>
      <w:r w:rsidRPr="0081146C">
        <w:rPr>
          <w:rStyle w:val="CharPartText"/>
        </w:rPr>
        <w:t>Reporting Entities Roll</w:t>
      </w:r>
      <w:bookmarkEnd w:id="265"/>
    </w:p>
    <w:p w14:paraId="5977DF07" w14:textId="77777777" w:rsidR="004C2DD1" w:rsidRPr="0081146C" w:rsidRDefault="00C72BA2" w:rsidP="004C2DD1">
      <w:pPr>
        <w:pStyle w:val="Header"/>
      </w:pPr>
      <w:r w:rsidRPr="0081146C">
        <w:rPr>
          <w:rStyle w:val="CharDivNo"/>
        </w:rPr>
        <w:t xml:space="preserve"> </w:t>
      </w:r>
      <w:r w:rsidRPr="0081146C">
        <w:rPr>
          <w:rStyle w:val="CharDivText"/>
        </w:rPr>
        <w:t xml:space="preserve"> </w:t>
      </w:r>
    </w:p>
    <w:p w14:paraId="66B3F020" w14:textId="77777777" w:rsidR="004C2DD1" w:rsidRPr="0081146C" w:rsidRDefault="004C2DD1" w:rsidP="004C2DD1">
      <w:pPr>
        <w:pStyle w:val="ActHead5"/>
      </w:pPr>
      <w:bookmarkStart w:id="266" w:name="_Toc185415817"/>
      <w:r w:rsidRPr="0081146C">
        <w:rPr>
          <w:rStyle w:val="CharSectno"/>
        </w:rPr>
        <w:t>51A</w:t>
      </w:r>
      <w:r w:rsidRPr="0081146C">
        <w:t xml:space="preserve">  Simplified outline</w:t>
      </w:r>
      <w:bookmarkEnd w:id="266"/>
    </w:p>
    <w:p w14:paraId="200FDAA3" w14:textId="77777777" w:rsidR="004C2DD1" w:rsidRPr="0081146C" w:rsidRDefault="004C2DD1" w:rsidP="004C2DD1">
      <w:pPr>
        <w:pStyle w:val="subsection"/>
      </w:pPr>
      <w:r w:rsidRPr="0081146C">
        <w:tab/>
      </w:r>
      <w:r w:rsidRPr="0081146C">
        <w:tab/>
        <w:t>The following is a simplified outline of this Part:</w:t>
      </w:r>
    </w:p>
    <w:p w14:paraId="328DEA19" w14:textId="77777777" w:rsidR="001C5A6B" w:rsidRPr="0081146C" w:rsidRDefault="001C5A6B" w:rsidP="001C5A6B">
      <w:pPr>
        <w:pStyle w:val="SOBullet"/>
      </w:pPr>
      <w:r w:rsidRPr="0081146C">
        <w:t>•</w:t>
      </w:r>
      <w:r w:rsidRPr="0081146C">
        <w:tab/>
        <w:t>Reporting entities must be entered on the Reporting Entities Roll.</w:t>
      </w:r>
    </w:p>
    <w:p w14:paraId="029F8CC4" w14:textId="77777777" w:rsidR="004C2DD1" w:rsidRPr="0081146C" w:rsidRDefault="004C2DD1" w:rsidP="004C2DD1">
      <w:pPr>
        <w:pStyle w:val="ActHead5"/>
      </w:pPr>
      <w:bookmarkStart w:id="267" w:name="_Toc185415818"/>
      <w:r w:rsidRPr="0081146C">
        <w:rPr>
          <w:rStyle w:val="CharSectno"/>
        </w:rPr>
        <w:t>51B</w:t>
      </w:r>
      <w:r w:rsidRPr="0081146C">
        <w:t xml:space="preserve">  Reporting entities must enrol</w:t>
      </w:r>
      <w:bookmarkEnd w:id="267"/>
    </w:p>
    <w:p w14:paraId="3DE7FCEA" w14:textId="77777777" w:rsidR="001D37BD" w:rsidRPr="0081146C" w:rsidRDefault="001D37BD" w:rsidP="001D37BD">
      <w:pPr>
        <w:pStyle w:val="subsection"/>
      </w:pPr>
      <w:r w:rsidRPr="0081146C">
        <w:tab/>
        <w:t>(1)</w:t>
      </w:r>
      <w:r w:rsidRPr="0081146C">
        <w:tab/>
        <w:t>If:</w:t>
      </w:r>
    </w:p>
    <w:p w14:paraId="07DE8251" w14:textId="77777777" w:rsidR="001D37BD" w:rsidRPr="0081146C" w:rsidRDefault="001D37BD" w:rsidP="001D37BD">
      <w:pPr>
        <w:pStyle w:val="paragraph"/>
      </w:pPr>
      <w:r w:rsidRPr="0081146C">
        <w:tab/>
        <w:t>(a)</w:t>
      </w:r>
      <w:r w:rsidRPr="0081146C">
        <w:tab/>
        <w:t>a person commences to provide a designated service; and</w:t>
      </w:r>
    </w:p>
    <w:p w14:paraId="7E3A17B7" w14:textId="77777777" w:rsidR="001D37BD" w:rsidRPr="0081146C" w:rsidRDefault="001D37BD" w:rsidP="001D37BD">
      <w:pPr>
        <w:pStyle w:val="paragraph"/>
      </w:pPr>
      <w:r w:rsidRPr="0081146C">
        <w:tab/>
        <w:t>(b)</w:t>
      </w:r>
      <w:r w:rsidRPr="0081146C">
        <w:tab/>
        <w:t>the person’s name is not entered on the Reporting Entities Roll;</w:t>
      </w:r>
    </w:p>
    <w:p w14:paraId="15ACD3D3" w14:textId="77777777" w:rsidR="001D37BD" w:rsidRPr="0081146C" w:rsidRDefault="001D37BD" w:rsidP="001D37BD">
      <w:pPr>
        <w:pStyle w:val="subsection2"/>
      </w:pPr>
      <w:r w:rsidRPr="0081146C">
        <w:t>the person must, no later than 28 days after the day on which the person commences to provide the designated service, apply under subsection 51E(1) for enrolment as a reporting entity.</w:t>
      </w:r>
    </w:p>
    <w:p w14:paraId="2247015F" w14:textId="77777777" w:rsidR="004C2DD1" w:rsidRPr="0081146C" w:rsidRDefault="004C2DD1" w:rsidP="004C2DD1">
      <w:pPr>
        <w:pStyle w:val="subsection"/>
      </w:pPr>
      <w:r w:rsidRPr="0081146C">
        <w:tab/>
        <w:t>(2)</w:t>
      </w:r>
      <w:r w:rsidRPr="0081146C">
        <w:tab/>
      </w:r>
      <w:r w:rsidR="004F64A4" w:rsidRPr="0081146C">
        <w:t>Subsection (</w:t>
      </w:r>
      <w:r w:rsidRPr="0081146C">
        <w:t>1) does not apply if the person:</w:t>
      </w:r>
    </w:p>
    <w:p w14:paraId="190C6A70" w14:textId="77777777" w:rsidR="004C2DD1" w:rsidRPr="0081146C" w:rsidRDefault="004C2DD1" w:rsidP="004C2DD1">
      <w:pPr>
        <w:pStyle w:val="paragraph"/>
      </w:pPr>
      <w:r w:rsidRPr="0081146C">
        <w:tab/>
        <w:t>(a)</w:t>
      </w:r>
      <w:r w:rsidRPr="0081146C">
        <w:tab/>
        <w:t>has applied under subsection</w:t>
      </w:r>
      <w:r w:rsidR="004F64A4" w:rsidRPr="0081146C">
        <w:t> </w:t>
      </w:r>
      <w:r w:rsidRPr="0081146C">
        <w:t>51E(1) in relation to the provision of another designated service; and</w:t>
      </w:r>
    </w:p>
    <w:p w14:paraId="0C5C04C3" w14:textId="77777777" w:rsidR="004C2DD1" w:rsidRPr="0081146C" w:rsidRDefault="004C2DD1" w:rsidP="004C2DD1">
      <w:pPr>
        <w:pStyle w:val="paragraph"/>
      </w:pPr>
      <w:r w:rsidRPr="0081146C">
        <w:tab/>
        <w:t>(b)</w:t>
      </w:r>
      <w:r w:rsidRPr="0081146C">
        <w:tab/>
        <w:t>has not since requested under section</w:t>
      </w:r>
      <w:r w:rsidR="004F64A4" w:rsidRPr="0081146C">
        <w:t> </w:t>
      </w:r>
      <w:r w:rsidRPr="0081146C">
        <w:t>51G that the AUSTRAC CEO remove the person’s name and enrolment details from the Reporting Entities Roll.</w:t>
      </w:r>
    </w:p>
    <w:p w14:paraId="412F578D" w14:textId="77777777" w:rsidR="001D37BD" w:rsidRPr="0081146C" w:rsidRDefault="001D37BD" w:rsidP="001D37BD">
      <w:pPr>
        <w:pStyle w:val="subsection"/>
      </w:pPr>
      <w:r w:rsidRPr="0081146C">
        <w:tab/>
        <w:t>(2A)</w:t>
      </w:r>
      <w:r w:rsidRPr="0081146C">
        <w:tab/>
        <w:t>Subsection (1) does not apply if, when the person commences to provide the designated service, the person is already required under that subsection to apply for enrolment because of the provision of another designated service.</w:t>
      </w:r>
    </w:p>
    <w:p w14:paraId="503E843A" w14:textId="77777777" w:rsidR="001D37BD" w:rsidRPr="0081146C" w:rsidRDefault="001D37BD" w:rsidP="001D37BD">
      <w:pPr>
        <w:pStyle w:val="SubsectionHead"/>
      </w:pPr>
      <w:r w:rsidRPr="0081146C">
        <w:t>Continuing obligation to enrol</w:t>
      </w:r>
    </w:p>
    <w:p w14:paraId="09639444" w14:textId="77777777" w:rsidR="001D37BD" w:rsidRPr="0081146C" w:rsidRDefault="001D37BD" w:rsidP="001D37BD">
      <w:pPr>
        <w:pStyle w:val="subsection"/>
      </w:pPr>
      <w:r w:rsidRPr="0081146C">
        <w:tab/>
        <w:t>(2B)</w:t>
      </w:r>
      <w:r w:rsidRPr="0081146C">
        <w:tab/>
        <w:t>If:</w:t>
      </w:r>
    </w:p>
    <w:p w14:paraId="4C3BBD75" w14:textId="77777777" w:rsidR="001D37BD" w:rsidRPr="0081146C" w:rsidRDefault="001D37BD" w:rsidP="001D37BD">
      <w:pPr>
        <w:pStyle w:val="paragraph"/>
      </w:pPr>
      <w:r w:rsidRPr="0081146C">
        <w:tab/>
        <w:t>(a)</w:t>
      </w:r>
      <w:r w:rsidRPr="0081146C">
        <w:tab/>
        <w:t>a person is required under subsection (1) of this section to apply for enrolment by a particular time; and</w:t>
      </w:r>
    </w:p>
    <w:p w14:paraId="2AE019A8" w14:textId="77777777" w:rsidR="001D37BD" w:rsidRPr="0081146C" w:rsidRDefault="001D37BD" w:rsidP="001D37BD">
      <w:pPr>
        <w:pStyle w:val="paragraph"/>
      </w:pPr>
      <w:r w:rsidRPr="0081146C">
        <w:tab/>
        <w:t>(b)</w:t>
      </w:r>
      <w:r w:rsidRPr="0081146C">
        <w:tab/>
        <w:t>the person does not apply for enrolment by that time;</w:t>
      </w:r>
    </w:p>
    <w:p w14:paraId="724507F0" w14:textId="77777777" w:rsidR="001D37BD" w:rsidRPr="0081146C" w:rsidRDefault="001D37BD" w:rsidP="001D37BD">
      <w:pPr>
        <w:pStyle w:val="subsection2"/>
      </w:pPr>
      <w:r w:rsidRPr="0081146C">
        <w:t>then the obligation to apply for enrolment continues until:</w:t>
      </w:r>
    </w:p>
    <w:p w14:paraId="5D4E6E15" w14:textId="77777777" w:rsidR="001D37BD" w:rsidRPr="0081146C" w:rsidRDefault="001D37BD" w:rsidP="001D37BD">
      <w:pPr>
        <w:pStyle w:val="paragraph"/>
      </w:pPr>
      <w:r w:rsidRPr="0081146C">
        <w:tab/>
        <w:t>(c)</w:t>
      </w:r>
      <w:r w:rsidRPr="0081146C">
        <w:tab/>
        <w:t>the person applies for enrolment; or</w:t>
      </w:r>
    </w:p>
    <w:p w14:paraId="24E20B0D" w14:textId="77777777" w:rsidR="001D37BD" w:rsidRPr="0081146C" w:rsidRDefault="001D37BD" w:rsidP="001D37BD">
      <w:pPr>
        <w:pStyle w:val="paragraph"/>
      </w:pPr>
      <w:r w:rsidRPr="0081146C">
        <w:tab/>
        <w:t>(d)</w:t>
      </w:r>
      <w:r w:rsidRPr="0081146C">
        <w:tab/>
        <w:t>the person ceases to be a reporting entity;</w:t>
      </w:r>
    </w:p>
    <w:p w14:paraId="0ECEA906" w14:textId="77777777" w:rsidR="001D37BD" w:rsidRPr="0081146C" w:rsidRDefault="001D37BD" w:rsidP="001D37BD">
      <w:pPr>
        <w:pStyle w:val="subsection2"/>
      </w:pPr>
      <w:r w:rsidRPr="0081146C">
        <w:t>whichever occurs first.</w:t>
      </w:r>
    </w:p>
    <w:p w14:paraId="2937009B" w14:textId="77777777" w:rsidR="001D37BD" w:rsidRPr="0081146C" w:rsidRDefault="001D37BD" w:rsidP="001D37BD">
      <w:pPr>
        <w:pStyle w:val="SubsectionHead"/>
      </w:pPr>
      <w:r w:rsidRPr="0081146C">
        <w:t>Multiple contraventions</w:t>
      </w:r>
    </w:p>
    <w:p w14:paraId="3E1F0157" w14:textId="77777777" w:rsidR="001D37BD" w:rsidRPr="0081146C" w:rsidRDefault="001D37BD" w:rsidP="001D37BD">
      <w:pPr>
        <w:pStyle w:val="subsection"/>
      </w:pPr>
      <w:r w:rsidRPr="0081146C">
        <w:tab/>
        <w:t>(2C)</w:t>
      </w:r>
      <w:r w:rsidRPr="0081146C">
        <w:tab/>
        <w:t xml:space="preserve">A person who contravenes subsection (1) by failing to apply for enrolment as a reporting entity by a particular time (the </w:t>
      </w:r>
      <w:r w:rsidRPr="0081146C">
        <w:rPr>
          <w:b/>
          <w:i/>
        </w:rPr>
        <w:t>enrolment deadline</w:t>
      </w:r>
      <w:r w:rsidRPr="0081146C">
        <w:t>) is taken to commit a separate contravention of that subsection on each day that occurs:</w:t>
      </w:r>
    </w:p>
    <w:p w14:paraId="468347F0" w14:textId="77777777" w:rsidR="001D37BD" w:rsidRPr="0081146C" w:rsidRDefault="001D37BD" w:rsidP="001D37BD">
      <w:pPr>
        <w:pStyle w:val="paragraph"/>
      </w:pPr>
      <w:r w:rsidRPr="0081146C">
        <w:tab/>
        <w:t>(a)</w:t>
      </w:r>
      <w:r w:rsidRPr="0081146C">
        <w:tab/>
        <w:t>on or after the day on which the enrolment deadline occurs; and</w:t>
      </w:r>
    </w:p>
    <w:p w14:paraId="356B9A27" w14:textId="77777777" w:rsidR="001D37BD" w:rsidRPr="0081146C" w:rsidRDefault="001D37BD" w:rsidP="001D37BD">
      <w:pPr>
        <w:pStyle w:val="paragraph"/>
      </w:pPr>
      <w:r w:rsidRPr="0081146C">
        <w:tab/>
        <w:t>(b)</w:t>
      </w:r>
      <w:r w:rsidRPr="0081146C">
        <w:tab/>
        <w:t>on or before the day on which the person’s obligation to apply for enrolment ends (see subsection (2B)).</w:t>
      </w:r>
    </w:p>
    <w:p w14:paraId="7C05AD72" w14:textId="77777777" w:rsidR="001D37BD" w:rsidRPr="0081146C" w:rsidRDefault="001D37BD" w:rsidP="001D37BD">
      <w:pPr>
        <w:pStyle w:val="subsection"/>
      </w:pPr>
      <w:r w:rsidRPr="0081146C">
        <w:tab/>
        <w:t>(2D)</w:t>
      </w:r>
      <w:r w:rsidRPr="0081146C">
        <w:tab/>
        <w:t>To avoid doubt, a person does not contravene subsection (1) more than once on any particular day, even if the person commences to provide a designated service more than once on a particular day or during a particular period.</w:t>
      </w:r>
    </w:p>
    <w:p w14:paraId="00DBE21C" w14:textId="77777777" w:rsidR="004C2DD1" w:rsidRPr="0081146C" w:rsidRDefault="004C2DD1" w:rsidP="004C2DD1">
      <w:pPr>
        <w:pStyle w:val="SubsectionHead"/>
      </w:pPr>
      <w:r w:rsidRPr="0081146C">
        <w:t>Civil penalty</w:t>
      </w:r>
    </w:p>
    <w:p w14:paraId="0E7DEAAC" w14:textId="77777777" w:rsidR="004C2DD1" w:rsidRPr="0081146C" w:rsidRDefault="004C2DD1" w:rsidP="004C2DD1">
      <w:pPr>
        <w:pStyle w:val="subsection"/>
      </w:pPr>
      <w:r w:rsidRPr="0081146C">
        <w:tab/>
        <w:t>(3)</w:t>
      </w:r>
      <w:r w:rsidRPr="0081146C">
        <w:tab/>
      </w:r>
      <w:r w:rsidR="004F64A4" w:rsidRPr="0081146C">
        <w:t>Subsection (</w:t>
      </w:r>
      <w:r w:rsidRPr="0081146C">
        <w:t>1) is a civil penalty provision.</w:t>
      </w:r>
    </w:p>
    <w:p w14:paraId="0FA07931" w14:textId="77777777" w:rsidR="004C2DD1" w:rsidRPr="0081146C" w:rsidRDefault="004C2DD1" w:rsidP="004C2DD1">
      <w:pPr>
        <w:pStyle w:val="ActHead5"/>
      </w:pPr>
      <w:bookmarkStart w:id="268" w:name="_Toc185415819"/>
      <w:r w:rsidRPr="0081146C">
        <w:rPr>
          <w:rStyle w:val="CharSectno"/>
        </w:rPr>
        <w:t>51C</w:t>
      </w:r>
      <w:r w:rsidRPr="0081146C">
        <w:t xml:space="preserve">  Reporting Entities Roll</w:t>
      </w:r>
      <w:bookmarkEnd w:id="268"/>
    </w:p>
    <w:p w14:paraId="1A560E54" w14:textId="77777777" w:rsidR="004C2DD1" w:rsidRPr="0081146C" w:rsidRDefault="004C2DD1" w:rsidP="004C2DD1">
      <w:pPr>
        <w:pStyle w:val="subsection"/>
      </w:pPr>
      <w:r w:rsidRPr="0081146C">
        <w:tab/>
        <w:t>(1)</w:t>
      </w:r>
      <w:r w:rsidRPr="0081146C">
        <w:tab/>
        <w:t>The AUSTRAC CEO must maintain a roll for the purposes of this Part, to be known as the Reporting Entities Roll.</w:t>
      </w:r>
    </w:p>
    <w:p w14:paraId="72706D37" w14:textId="77777777" w:rsidR="004C2DD1" w:rsidRPr="0081146C" w:rsidRDefault="004C2DD1" w:rsidP="004C2DD1">
      <w:pPr>
        <w:pStyle w:val="subsection"/>
      </w:pPr>
      <w:r w:rsidRPr="0081146C">
        <w:tab/>
        <w:t>(2)</w:t>
      </w:r>
      <w:r w:rsidRPr="0081146C">
        <w:tab/>
        <w:t>The AUSTRAC CEO may maintain the Reporting Entities Roll by electronic means.</w:t>
      </w:r>
    </w:p>
    <w:p w14:paraId="5E1ABE1E" w14:textId="77777777" w:rsidR="004C2DD1" w:rsidRPr="0081146C" w:rsidRDefault="004C2DD1" w:rsidP="004C2DD1">
      <w:pPr>
        <w:pStyle w:val="subsection"/>
      </w:pPr>
      <w:r w:rsidRPr="0081146C">
        <w:tab/>
        <w:t>(3)</w:t>
      </w:r>
      <w:r w:rsidRPr="0081146C">
        <w:tab/>
        <w:t>The Reporting Entities Roll is not a legislative instrument.</w:t>
      </w:r>
    </w:p>
    <w:p w14:paraId="42FC731E" w14:textId="77777777" w:rsidR="004C2DD1" w:rsidRPr="0081146C" w:rsidRDefault="004C2DD1" w:rsidP="004C2DD1">
      <w:pPr>
        <w:pStyle w:val="subsection"/>
      </w:pPr>
      <w:r w:rsidRPr="0081146C">
        <w:tab/>
        <w:t>(4)</w:t>
      </w:r>
      <w:r w:rsidRPr="0081146C">
        <w:tab/>
        <w:t>The AML/CTF Rules may make provision for and in relation to either or both of the following:</w:t>
      </w:r>
    </w:p>
    <w:p w14:paraId="69D92727" w14:textId="77777777" w:rsidR="004C2DD1" w:rsidRPr="0081146C" w:rsidRDefault="004C2DD1" w:rsidP="004C2DD1">
      <w:pPr>
        <w:pStyle w:val="paragraph"/>
      </w:pPr>
      <w:r w:rsidRPr="0081146C">
        <w:tab/>
        <w:t>(a)</w:t>
      </w:r>
      <w:r w:rsidRPr="0081146C">
        <w:tab/>
        <w:t>the correction of entries in the Reporting Entities Roll;</w:t>
      </w:r>
    </w:p>
    <w:p w14:paraId="4ABFFA87" w14:textId="77777777" w:rsidR="004C2DD1" w:rsidRPr="0081146C" w:rsidRDefault="004C2DD1" w:rsidP="004C2DD1">
      <w:pPr>
        <w:pStyle w:val="paragraph"/>
      </w:pPr>
      <w:r w:rsidRPr="0081146C">
        <w:tab/>
        <w:t>(b)</w:t>
      </w:r>
      <w:r w:rsidRPr="0081146C">
        <w:tab/>
        <w:t>any other matter relating to the administration or operation of the Reporting Entities Roll, including the removal of names and enrolment details from the Reporting Entities Roll.</w:t>
      </w:r>
    </w:p>
    <w:p w14:paraId="41FAF472" w14:textId="77777777" w:rsidR="004C2DD1" w:rsidRPr="0081146C" w:rsidRDefault="004C2DD1" w:rsidP="004C2DD1">
      <w:pPr>
        <w:pStyle w:val="ActHead5"/>
      </w:pPr>
      <w:bookmarkStart w:id="269" w:name="_Toc185415820"/>
      <w:r w:rsidRPr="0081146C">
        <w:rPr>
          <w:rStyle w:val="CharSectno"/>
        </w:rPr>
        <w:t>51D</w:t>
      </w:r>
      <w:r w:rsidRPr="0081146C">
        <w:t xml:space="preserve">  Enrolment</w:t>
      </w:r>
      <w:bookmarkEnd w:id="269"/>
    </w:p>
    <w:p w14:paraId="5380865D" w14:textId="77777777" w:rsidR="004C2DD1" w:rsidRPr="0081146C" w:rsidRDefault="004C2DD1" w:rsidP="004C2DD1">
      <w:pPr>
        <w:pStyle w:val="subsection"/>
      </w:pPr>
      <w:r w:rsidRPr="0081146C">
        <w:tab/>
      </w:r>
      <w:r w:rsidRPr="0081146C">
        <w:tab/>
        <w:t>If a person applies to the AUSTRAC CEO under subsection</w:t>
      </w:r>
      <w:r w:rsidR="004F64A4" w:rsidRPr="0081146C">
        <w:t> </w:t>
      </w:r>
      <w:r w:rsidRPr="0081146C">
        <w:t>51E(1) and the person’s name is not already entered on the Reporting Entities Roll, the AUSTRAC CEO must enter on the Reporting Entities Roll:</w:t>
      </w:r>
    </w:p>
    <w:p w14:paraId="04AF8C88" w14:textId="77777777" w:rsidR="004C2DD1" w:rsidRPr="0081146C" w:rsidRDefault="004C2DD1" w:rsidP="004C2DD1">
      <w:pPr>
        <w:pStyle w:val="paragraph"/>
      </w:pPr>
      <w:r w:rsidRPr="0081146C">
        <w:tab/>
        <w:t>(a)</w:t>
      </w:r>
      <w:r w:rsidRPr="0081146C">
        <w:tab/>
        <w:t>the person’s name; and</w:t>
      </w:r>
    </w:p>
    <w:p w14:paraId="5DAF02B7" w14:textId="77777777" w:rsidR="004C2DD1" w:rsidRPr="0081146C" w:rsidRDefault="004C2DD1" w:rsidP="004C2DD1">
      <w:pPr>
        <w:pStyle w:val="paragraph"/>
      </w:pPr>
      <w:r w:rsidRPr="0081146C">
        <w:tab/>
        <w:t>(b)</w:t>
      </w:r>
      <w:r w:rsidRPr="0081146C">
        <w:tab/>
        <w:t>the person’s enrolment details.</w:t>
      </w:r>
    </w:p>
    <w:p w14:paraId="1E0800FF" w14:textId="77777777" w:rsidR="004C2DD1" w:rsidRPr="0081146C" w:rsidRDefault="004C2DD1" w:rsidP="004C2DD1">
      <w:pPr>
        <w:pStyle w:val="ActHead5"/>
      </w:pPr>
      <w:bookmarkStart w:id="270" w:name="_Toc185415821"/>
      <w:r w:rsidRPr="0081146C">
        <w:rPr>
          <w:rStyle w:val="CharSectno"/>
        </w:rPr>
        <w:t>51E</w:t>
      </w:r>
      <w:r w:rsidRPr="0081146C">
        <w:t xml:space="preserve">  Applications for enrolment</w:t>
      </w:r>
      <w:bookmarkEnd w:id="270"/>
    </w:p>
    <w:p w14:paraId="341AFA4C" w14:textId="77777777" w:rsidR="004C2DD1" w:rsidRPr="0081146C" w:rsidRDefault="004C2DD1" w:rsidP="004C2DD1">
      <w:pPr>
        <w:pStyle w:val="subsection"/>
      </w:pPr>
      <w:r w:rsidRPr="0081146C">
        <w:tab/>
        <w:t>(1)</w:t>
      </w:r>
      <w:r w:rsidRPr="0081146C">
        <w:tab/>
        <w:t>A person may apply in writing to the AUSTRAC CEO for enrolment as a reporting entity.</w:t>
      </w:r>
    </w:p>
    <w:p w14:paraId="0A011047" w14:textId="77777777" w:rsidR="004C2DD1" w:rsidRPr="0081146C" w:rsidRDefault="004C2DD1" w:rsidP="004C2DD1">
      <w:pPr>
        <w:pStyle w:val="subsection"/>
      </w:pPr>
      <w:r w:rsidRPr="0081146C">
        <w:tab/>
        <w:t>(2)</w:t>
      </w:r>
      <w:r w:rsidRPr="0081146C">
        <w:tab/>
        <w:t>The application must:</w:t>
      </w:r>
    </w:p>
    <w:p w14:paraId="65DA1F06" w14:textId="77777777" w:rsidR="004C2DD1" w:rsidRPr="0081146C" w:rsidRDefault="004C2DD1" w:rsidP="004C2DD1">
      <w:pPr>
        <w:pStyle w:val="paragraph"/>
      </w:pPr>
      <w:r w:rsidRPr="0081146C">
        <w:tab/>
        <w:t>(a)</w:t>
      </w:r>
      <w:r w:rsidRPr="0081146C">
        <w:tab/>
        <w:t>be in accordance with the approved form, or in a manner specified in the AML/CTF Rules; and</w:t>
      </w:r>
    </w:p>
    <w:p w14:paraId="7BE521F6" w14:textId="77777777" w:rsidR="004C2DD1" w:rsidRPr="0081146C" w:rsidRDefault="004C2DD1" w:rsidP="004C2DD1">
      <w:pPr>
        <w:pStyle w:val="paragraph"/>
      </w:pPr>
      <w:r w:rsidRPr="0081146C">
        <w:tab/>
        <w:t>(b)</w:t>
      </w:r>
      <w:r w:rsidRPr="0081146C">
        <w:tab/>
        <w:t>contain the information required by the AML/CTF Rules.</w:t>
      </w:r>
    </w:p>
    <w:p w14:paraId="2054D314" w14:textId="77777777" w:rsidR="004C2DD1" w:rsidRPr="0081146C" w:rsidRDefault="004C2DD1" w:rsidP="004C2DD1">
      <w:pPr>
        <w:pStyle w:val="ActHead5"/>
      </w:pPr>
      <w:bookmarkStart w:id="271" w:name="_Toc185415822"/>
      <w:r w:rsidRPr="0081146C">
        <w:rPr>
          <w:rStyle w:val="CharSectno"/>
        </w:rPr>
        <w:t>51F</w:t>
      </w:r>
      <w:r w:rsidRPr="0081146C">
        <w:t xml:space="preserve">  Enrolled persons to advise of change in enrolment details</w:t>
      </w:r>
      <w:bookmarkEnd w:id="271"/>
    </w:p>
    <w:p w14:paraId="713271B7" w14:textId="77777777" w:rsidR="004C2DD1" w:rsidRPr="0081146C" w:rsidRDefault="004C2DD1" w:rsidP="004C2DD1">
      <w:pPr>
        <w:pStyle w:val="subsection"/>
      </w:pPr>
      <w:r w:rsidRPr="0081146C">
        <w:tab/>
        <w:t>(1)</w:t>
      </w:r>
      <w:r w:rsidRPr="0081146C">
        <w:tab/>
        <w:t xml:space="preserve">A person who is enrolled under this Part must advise the AUSTRAC CEO, in accordance with </w:t>
      </w:r>
      <w:r w:rsidR="004F64A4" w:rsidRPr="0081146C">
        <w:t>subsection (</w:t>
      </w:r>
      <w:r w:rsidRPr="0081146C">
        <w:t>2), of any change in the person’s enrolment details that is of a kind specified in the AML/CTF Rules.</w:t>
      </w:r>
    </w:p>
    <w:p w14:paraId="37417650" w14:textId="77777777" w:rsidR="004C2DD1" w:rsidRPr="0081146C" w:rsidRDefault="004C2DD1" w:rsidP="004C2DD1">
      <w:pPr>
        <w:pStyle w:val="subsection"/>
      </w:pPr>
      <w:r w:rsidRPr="0081146C">
        <w:tab/>
        <w:t>(2)</w:t>
      </w:r>
      <w:r w:rsidRPr="0081146C">
        <w:tab/>
        <w:t xml:space="preserve">A person who is required by </w:t>
      </w:r>
      <w:r w:rsidR="004F64A4" w:rsidRPr="0081146C">
        <w:t>subsection (</w:t>
      </w:r>
      <w:r w:rsidRPr="0081146C">
        <w:t>1) to advise the AUSTRAC CEO of a change in enrolment details must do so:</w:t>
      </w:r>
    </w:p>
    <w:p w14:paraId="6564A637" w14:textId="77777777" w:rsidR="004C2DD1" w:rsidRPr="0081146C" w:rsidRDefault="004C2DD1" w:rsidP="004C2DD1">
      <w:pPr>
        <w:pStyle w:val="paragraph"/>
      </w:pPr>
      <w:r w:rsidRPr="0081146C">
        <w:tab/>
        <w:t>(a)</w:t>
      </w:r>
      <w:r w:rsidRPr="0081146C">
        <w:tab/>
        <w:t>within 14 days of the change arising; and</w:t>
      </w:r>
    </w:p>
    <w:p w14:paraId="61496CF0" w14:textId="77777777" w:rsidR="004C2DD1" w:rsidRPr="0081146C" w:rsidRDefault="004C2DD1" w:rsidP="004C2DD1">
      <w:pPr>
        <w:pStyle w:val="paragraph"/>
      </w:pPr>
      <w:r w:rsidRPr="0081146C">
        <w:tab/>
        <w:t>(b)</w:t>
      </w:r>
      <w:r w:rsidRPr="0081146C">
        <w:tab/>
        <w:t>in accordance with the approved form, or in a manner specified in the AML/CTF Rules.</w:t>
      </w:r>
    </w:p>
    <w:p w14:paraId="58E50EAC" w14:textId="77777777" w:rsidR="004C2DD1" w:rsidRPr="0081146C" w:rsidRDefault="004C2DD1" w:rsidP="004C2DD1">
      <w:pPr>
        <w:pStyle w:val="SubsectionHead"/>
      </w:pPr>
      <w:r w:rsidRPr="0081146C">
        <w:t>Civil penalty</w:t>
      </w:r>
    </w:p>
    <w:p w14:paraId="6670D45E" w14:textId="77777777" w:rsidR="004C2DD1" w:rsidRPr="0081146C" w:rsidRDefault="004C2DD1" w:rsidP="004C2DD1">
      <w:pPr>
        <w:pStyle w:val="subsection"/>
      </w:pPr>
      <w:r w:rsidRPr="0081146C">
        <w:tab/>
        <w:t>(3)</w:t>
      </w:r>
      <w:r w:rsidRPr="0081146C">
        <w:tab/>
      </w:r>
      <w:r w:rsidR="004F64A4" w:rsidRPr="0081146C">
        <w:t>Subsection (</w:t>
      </w:r>
      <w:r w:rsidRPr="0081146C">
        <w:t>1) is a civil penalty provision.</w:t>
      </w:r>
    </w:p>
    <w:p w14:paraId="11900BF8" w14:textId="77777777" w:rsidR="004C2DD1" w:rsidRPr="0081146C" w:rsidRDefault="004C2DD1" w:rsidP="004C2DD1">
      <w:pPr>
        <w:pStyle w:val="ActHead5"/>
      </w:pPr>
      <w:bookmarkStart w:id="272" w:name="_Toc185415823"/>
      <w:r w:rsidRPr="0081146C">
        <w:rPr>
          <w:rStyle w:val="CharSectno"/>
        </w:rPr>
        <w:t>51G</w:t>
      </w:r>
      <w:r w:rsidRPr="0081146C">
        <w:t xml:space="preserve">  Removal of entries from the Reporting Entities Roll</w:t>
      </w:r>
      <w:bookmarkEnd w:id="272"/>
    </w:p>
    <w:p w14:paraId="5E27D932" w14:textId="77777777" w:rsidR="004C2DD1" w:rsidRPr="0081146C" w:rsidRDefault="004C2DD1" w:rsidP="004C2DD1">
      <w:pPr>
        <w:pStyle w:val="subsection"/>
      </w:pPr>
      <w:r w:rsidRPr="0081146C">
        <w:tab/>
        <w:t>(1)</w:t>
      </w:r>
      <w:r w:rsidRPr="0081146C">
        <w:tab/>
        <w:t>A person may, in writing, request the AUSTRAC CEO to remove the person’s name and enrolment details from the Reporting Entities Roll.</w:t>
      </w:r>
    </w:p>
    <w:p w14:paraId="39C44488" w14:textId="77777777" w:rsidR="004C2DD1" w:rsidRPr="0081146C" w:rsidRDefault="004C2DD1" w:rsidP="004C2DD1">
      <w:pPr>
        <w:pStyle w:val="subsection"/>
      </w:pPr>
      <w:r w:rsidRPr="0081146C">
        <w:tab/>
        <w:t>(2)</w:t>
      </w:r>
      <w:r w:rsidRPr="0081146C">
        <w:tab/>
        <w:t>The request must:</w:t>
      </w:r>
    </w:p>
    <w:p w14:paraId="3985E86D" w14:textId="77777777" w:rsidR="004C2DD1" w:rsidRPr="0081146C" w:rsidRDefault="004C2DD1" w:rsidP="004C2DD1">
      <w:pPr>
        <w:pStyle w:val="paragraph"/>
      </w:pPr>
      <w:r w:rsidRPr="0081146C">
        <w:tab/>
        <w:t>(a)</w:t>
      </w:r>
      <w:r w:rsidRPr="0081146C">
        <w:tab/>
        <w:t>be in the approved form; and</w:t>
      </w:r>
    </w:p>
    <w:p w14:paraId="61328153" w14:textId="77777777" w:rsidR="004C2DD1" w:rsidRPr="0081146C" w:rsidRDefault="004C2DD1" w:rsidP="004C2DD1">
      <w:pPr>
        <w:pStyle w:val="paragraph"/>
      </w:pPr>
      <w:r w:rsidRPr="0081146C">
        <w:tab/>
        <w:t>(b)</w:t>
      </w:r>
      <w:r w:rsidRPr="0081146C">
        <w:tab/>
        <w:t>contain the information required by the AML/CTF Rules.</w:t>
      </w:r>
    </w:p>
    <w:p w14:paraId="69984449" w14:textId="77777777" w:rsidR="004C2DD1" w:rsidRPr="0081146C" w:rsidRDefault="004C2DD1" w:rsidP="004C2DD1">
      <w:pPr>
        <w:pStyle w:val="subsection"/>
      </w:pPr>
      <w:r w:rsidRPr="0081146C">
        <w:tab/>
        <w:t>(3)</w:t>
      </w:r>
      <w:r w:rsidRPr="0081146C">
        <w:tab/>
        <w:t>The AUSTRAC CEO must consider the request and remove the person’s name and enrolment details from the Reporting Entities Roll if the AUSTRAC CEO is satisfied that it is appropriate to do so, having regard to:</w:t>
      </w:r>
    </w:p>
    <w:p w14:paraId="11809D62" w14:textId="77777777" w:rsidR="004C2DD1" w:rsidRPr="0081146C" w:rsidRDefault="004C2DD1" w:rsidP="004C2DD1">
      <w:pPr>
        <w:pStyle w:val="paragraph"/>
      </w:pPr>
      <w:r w:rsidRPr="0081146C">
        <w:tab/>
        <w:t>(a)</w:t>
      </w:r>
      <w:r w:rsidRPr="0081146C">
        <w:tab/>
        <w:t>whether the person has ceased to provide designated services; and</w:t>
      </w:r>
    </w:p>
    <w:p w14:paraId="0E226B8E" w14:textId="77777777" w:rsidR="004C2DD1" w:rsidRPr="0081146C" w:rsidRDefault="004C2DD1" w:rsidP="004C2DD1">
      <w:pPr>
        <w:pStyle w:val="paragraph"/>
      </w:pPr>
      <w:r w:rsidRPr="0081146C">
        <w:tab/>
        <w:t>(b)</w:t>
      </w:r>
      <w:r w:rsidRPr="0081146C">
        <w:tab/>
        <w:t>the likelihood of the person providing a designated service in the financial year beginning after the request is given; and</w:t>
      </w:r>
    </w:p>
    <w:p w14:paraId="5984EDD7" w14:textId="77777777" w:rsidR="004C2DD1" w:rsidRPr="0081146C" w:rsidRDefault="004C2DD1" w:rsidP="004C2DD1">
      <w:pPr>
        <w:pStyle w:val="paragraph"/>
      </w:pPr>
      <w:r w:rsidRPr="0081146C">
        <w:tab/>
        <w:t>(c)</w:t>
      </w:r>
      <w:r w:rsidRPr="0081146C">
        <w:tab/>
        <w:t>any outstanding obligations the person has (if any) to provide a report under any of the following provisions:</w:t>
      </w:r>
    </w:p>
    <w:p w14:paraId="5BA54757" w14:textId="77777777" w:rsidR="004C2DD1" w:rsidRPr="0081146C" w:rsidRDefault="004C2DD1" w:rsidP="004C2DD1">
      <w:pPr>
        <w:pStyle w:val="paragraphsub"/>
      </w:pPr>
      <w:r w:rsidRPr="0081146C">
        <w:tab/>
        <w:t>(i)</w:t>
      </w:r>
      <w:r w:rsidRPr="0081146C">
        <w:tab/>
        <w:t>section</w:t>
      </w:r>
      <w:r w:rsidR="004F64A4" w:rsidRPr="0081146C">
        <w:t> </w:t>
      </w:r>
      <w:r w:rsidRPr="0081146C">
        <w:t>43 (threshold transaction reports);</w:t>
      </w:r>
    </w:p>
    <w:p w14:paraId="6B4D5D88" w14:textId="77777777" w:rsidR="00250C0B" w:rsidRPr="0081146C" w:rsidRDefault="00250C0B" w:rsidP="00250C0B">
      <w:pPr>
        <w:pStyle w:val="paragraphsub"/>
      </w:pPr>
      <w:r w:rsidRPr="0081146C">
        <w:tab/>
        <w:t>(ii)</w:t>
      </w:r>
      <w:r w:rsidRPr="0081146C">
        <w:tab/>
        <w:t>section 46 (reports of international value transfer services);</w:t>
      </w:r>
    </w:p>
    <w:p w14:paraId="120A0EF7" w14:textId="77777777" w:rsidR="00250C0B" w:rsidRPr="0081146C" w:rsidRDefault="00250C0B" w:rsidP="00250C0B">
      <w:pPr>
        <w:pStyle w:val="paragraphsub"/>
      </w:pPr>
      <w:r w:rsidRPr="0081146C">
        <w:tab/>
        <w:t>(iia)</w:t>
      </w:r>
      <w:r w:rsidRPr="0081146C">
        <w:tab/>
        <w:t>section 46A (reports of transfers of value involving unverified self</w:t>
      </w:r>
      <w:r w:rsidRPr="0081146C">
        <w:noBreakHyphen/>
        <w:t>hosted virtual asset wallets);</w:t>
      </w:r>
    </w:p>
    <w:p w14:paraId="4204B371" w14:textId="77777777" w:rsidR="004C2DD1" w:rsidRPr="0081146C" w:rsidRDefault="004C2DD1" w:rsidP="004C2DD1">
      <w:pPr>
        <w:pStyle w:val="paragraphsub"/>
      </w:pPr>
      <w:r w:rsidRPr="0081146C">
        <w:tab/>
        <w:t>(iii)</w:t>
      </w:r>
      <w:r w:rsidRPr="0081146C">
        <w:tab/>
        <w:t>section</w:t>
      </w:r>
      <w:r w:rsidR="004F64A4" w:rsidRPr="0081146C">
        <w:t> </w:t>
      </w:r>
      <w:r w:rsidRPr="0081146C">
        <w:t>47 (AML/CTF compliance reports).</w:t>
      </w:r>
    </w:p>
    <w:p w14:paraId="4964DF2D" w14:textId="77777777" w:rsidR="000639B5" w:rsidRPr="0081146C" w:rsidRDefault="000639B5" w:rsidP="0075193C">
      <w:pPr>
        <w:pStyle w:val="ActHead2"/>
        <w:pageBreakBefore/>
      </w:pPr>
      <w:bookmarkStart w:id="273" w:name="_Toc185415824"/>
      <w:r w:rsidRPr="0081146C">
        <w:rPr>
          <w:rStyle w:val="CharPartNo"/>
        </w:rPr>
        <w:t>Part 4</w:t>
      </w:r>
      <w:r w:rsidRPr="0081146C">
        <w:t>—</w:t>
      </w:r>
      <w:r w:rsidRPr="0081146C">
        <w:rPr>
          <w:rStyle w:val="CharPartText"/>
        </w:rPr>
        <w:t>Reports about cross</w:t>
      </w:r>
      <w:r w:rsidR="003B7E15" w:rsidRPr="0081146C">
        <w:rPr>
          <w:rStyle w:val="CharPartText"/>
        </w:rPr>
        <w:noBreakHyphen/>
      </w:r>
      <w:r w:rsidRPr="0081146C">
        <w:rPr>
          <w:rStyle w:val="CharPartText"/>
        </w:rPr>
        <w:t>border movements of monetary instruments</w:t>
      </w:r>
      <w:bookmarkEnd w:id="273"/>
    </w:p>
    <w:p w14:paraId="3DD2951E" w14:textId="77777777" w:rsidR="000639B5" w:rsidRPr="0081146C" w:rsidRDefault="000639B5" w:rsidP="000639B5">
      <w:pPr>
        <w:pStyle w:val="ActHead3"/>
      </w:pPr>
      <w:bookmarkStart w:id="274" w:name="_Toc185415825"/>
      <w:r w:rsidRPr="0081146C">
        <w:rPr>
          <w:rStyle w:val="CharDivNo"/>
        </w:rPr>
        <w:t>Division 1</w:t>
      </w:r>
      <w:r w:rsidRPr="0081146C">
        <w:t>—</w:t>
      </w:r>
      <w:r w:rsidRPr="0081146C">
        <w:rPr>
          <w:rStyle w:val="CharDivText"/>
        </w:rPr>
        <w:t>Simplified outline of this Part</w:t>
      </w:r>
      <w:bookmarkEnd w:id="274"/>
    </w:p>
    <w:p w14:paraId="52AF7C95" w14:textId="77777777" w:rsidR="000639B5" w:rsidRPr="0081146C" w:rsidRDefault="000639B5" w:rsidP="000639B5">
      <w:pPr>
        <w:pStyle w:val="ActHead5"/>
      </w:pPr>
      <w:bookmarkStart w:id="275" w:name="_Toc185415826"/>
      <w:r w:rsidRPr="0081146C">
        <w:rPr>
          <w:rStyle w:val="CharSectno"/>
        </w:rPr>
        <w:t>52</w:t>
      </w:r>
      <w:r w:rsidRPr="0081146C">
        <w:t xml:space="preserve">  Simplified outline of this Part</w:t>
      </w:r>
      <w:bookmarkEnd w:id="275"/>
    </w:p>
    <w:p w14:paraId="314B546B" w14:textId="77777777" w:rsidR="000639B5" w:rsidRPr="0081146C" w:rsidRDefault="000639B5" w:rsidP="000639B5">
      <w:pPr>
        <w:pStyle w:val="SOBullet"/>
      </w:pPr>
      <w:r w:rsidRPr="0081146C">
        <w:t>•</w:t>
      </w:r>
      <w:r w:rsidRPr="0081146C">
        <w:tab/>
        <w:t>Cross</w:t>
      </w:r>
      <w:r w:rsidR="003B7E15" w:rsidRPr="0081146C">
        <w:noBreakHyphen/>
      </w:r>
      <w:r w:rsidRPr="0081146C">
        <w:t>border movements of monetary instruments must be reported to the AUSTRAC CEO, a customs officer or a police officer if the total value moved is $10,000 or more.</w:t>
      </w:r>
    </w:p>
    <w:p w14:paraId="31F2631D" w14:textId="77777777" w:rsidR="000639B5" w:rsidRPr="0081146C" w:rsidRDefault="000639B5" w:rsidP="00D76F38">
      <w:pPr>
        <w:pStyle w:val="ActHead3"/>
        <w:pageBreakBefore/>
      </w:pPr>
      <w:bookmarkStart w:id="276" w:name="_Toc185415827"/>
      <w:r w:rsidRPr="0081146C">
        <w:rPr>
          <w:rStyle w:val="CharDivNo"/>
        </w:rPr>
        <w:t>Division 2</w:t>
      </w:r>
      <w:r w:rsidRPr="0081146C">
        <w:t>—</w:t>
      </w:r>
      <w:r w:rsidRPr="0081146C">
        <w:rPr>
          <w:rStyle w:val="CharDivText"/>
        </w:rPr>
        <w:t>Reports about monetary instruments</w:t>
      </w:r>
      <w:bookmarkEnd w:id="276"/>
    </w:p>
    <w:p w14:paraId="3AD12BFF" w14:textId="77777777" w:rsidR="000639B5" w:rsidRPr="0081146C" w:rsidRDefault="000639B5" w:rsidP="000639B5">
      <w:pPr>
        <w:pStyle w:val="ActHead5"/>
      </w:pPr>
      <w:bookmarkStart w:id="277" w:name="_Toc185415828"/>
      <w:r w:rsidRPr="0081146C">
        <w:rPr>
          <w:rStyle w:val="CharSectno"/>
        </w:rPr>
        <w:t>53</w:t>
      </w:r>
      <w:r w:rsidRPr="0081146C">
        <w:t xml:space="preserve">  Reports about movements of monetary instruments into or out of Australia</w:t>
      </w:r>
      <w:bookmarkEnd w:id="277"/>
    </w:p>
    <w:p w14:paraId="0591B506" w14:textId="77777777" w:rsidR="000639B5" w:rsidRPr="0081146C" w:rsidRDefault="000639B5" w:rsidP="000639B5">
      <w:pPr>
        <w:pStyle w:val="SubsectionHead"/>
      </w:pPr>
      <w:r w:rsidRPr="0081146C">
        <w:t>Offence</w:t>
      </w:r>
    </w:p>
    <w:p w14:paraId="41DA636C" w14:textId="77777777" w:rsidR="000639B5" w:rsidRPr="0081146C" w:rsidRDefault="000639B5" w:rsidP="000639B5">
      <w:pPr>
        <w:pStyle w:val="subsection"/>
      </w:pPr>
      <w:r w:rsidRPr="0081146C">
        <w:tab/>
        <w:t>(1)</w:t>
      </w:r>
      <w:r w:rsidRPr="0081146C">
        <w:tab/>
        <w:t>A person commits an offence if:</w:t>
      </w:r>
    </w:p>
    <w:p w14:paraId="72250192" w14:textId="77777777" w:rsidR="000639B5" w:rsidRPr="0081146C" w:rsidRDefault="000639B5" w:rsidP="000639B5">
      <w:pPr>
        <w:pStyle w:val="paragraph"/>
      </w:pPr>
      <w:r w:rsidRPr="0081146C">
        <w:tab/>
        <w:t>(a)</w:t>
      </w:r>
      <w:r w:rsidRPr="0081146C">
        <w:tab/>
        <w:t>either:</w:t>
      </w:r>
    </w:p>
    <w:p w14:paraId="10BA27FE" w14:textId="77777777" w:rsidR="000639B5" w:rsidRPr="0081146C" w:rsidRDefault="000639B5" w:rsidP="000639B5">
      <w:pPr>
        <w:pStyle w:val="paragraphsub"/>
      </w:pPr>
      <w:r w:rsidRPr="0081146C">
        <w:tab/>
        <w:t>(i)</w:t>
      </w:r>
      <w:r w:rsidRPr="0081146C">
        <w:tab/>
        <w:t>the person moves one or more monetary instruments into Australia; or</w:t>
      </w:r>
    </w:p>
    <w:p w14:paraId="509CE8C1" w14:textId="77777777" w:rsidR="000639B5" w:rsidRPr="0081146C" w:rsidRDefault="000639B5" w:rsidP="000639B5">
      <w:pPr>
        <w:pStyle w:val="paragraphsub"/>
      </w:pPr>
      <w:r w:rsidRPr="0081146C">
        <w:tab/>
        <w:t>(ii)</w:t>
      </w:r>
      <w:r w:rsidRPr="0081146C">
        <w:tab/>
        <w:t>the person moves one or more monetary instruments out of Australia; and</w:t>
      </w:r>
    </w:p>
    <w:p w14:paraId="2E9A17C5" w14:textId="77777777" w:rsidR="000639B5" w:rsidRPr="0081146C" w:rsidRDefault="000639B5" w:rsidP="000639B5">
      <w:pPr>
        <w:pStyle w:val="paragraph"/>
      </w:pPr>
      <w:r w:rsidRPr="0081146C">
        <w:tab/>
        <w:t>(b)</w:t>
      </w:r>
      <w:r w:rsidRPr="0081146C">
        <w:tab/>
        <w:t>the sum of the monetary instrument amounts is $10,000 or more; and</w:t>
      </w:r>
    </w:p>
    <w:p w14:paraId="688EAA5E" w14:textId="77777777" w:rsidR="000639B5" w:rsidRPr="0081146C" w:rsidRDefault="000639B5" w:rsidP="000639B5">
      <w:pPr>
        <w:pStyle w:val="paragraph"/>
      </w:pPr>
      <w:r w:rsidRPr="0081146C">
        <w:tab/>
        <w:t>(c)</w:t>
      </w:r>
      <w:r w:rsidRPr="0081146C">
        <w:tab/>
        <w:t>a report in respect of the movement is not given in accordance with this section.</w:t>
      </w:r>
    </w:p>
    <w:p w14:paraId="442AD521" w14:textId="77777777" w:rsidR="000639B5" w:rsidRPr="0081146C" w:rsidRDefault="000639B5" w:rsidP="000639B5">
      <w:pPr>
        <w:pStyle w:val="Penalty"/>
      </w:pPr>
      <w:r w:rsidRPr="0081146C">
        <w:t>Penalty:</w:t>
      </w:r>
      <w:r w:rsidRPr="0081146C">
        <w:tab/>
        <w:t>Imprisonment for 2 years or 500 penalty units, or both.</w:t>
      </w:r>
    </w:p>
    <w:p w14:paraId="3A3F2BEE" w14:textId="77777777" w:rsidR="000639B5" w:rsidRPr="0081146C" w:rsidRDefault="000639B5" w:rsidP="000639B5">
      <w:pPr>
        <w:pStyle w:val="SubsectionHead"/>
      </w:pPr>
      <w:r w:rsidRPr="0081146C">
        <w:t>Civil penalty</w:t>
      </w:r>
    </w:p>
    <w:p w14:paraId="2485143E" w14:textId="77777777" w:rsidR="000639B5" w:rsidRPr="0081146C" w:rsidRDefault="000639B5" w:rsidP="000639B5">
      <w:pPr>
        <w:pStyle w:val="subsection"/>
      </w:pPr>
      <w:r w:rsidRPr="0081146C">
        <w:tab/>
        <w:t>(2)</w:t>
      </w:r>
      <w:r w:rsidRPr="0081146C">
        <w:tab/>
        <w:t>A person must not:</w:t>
      </w:r>
    </w:p>
    <w:p w14:paraId="20664CA4" w14:textId="77777777" w:rsidR="000639B5" w:rsidRPr="0081146C" w:rsidRDefault="000639B5" w:rsidP="000639B5">
      <w:pPr>
        <w:pStyle w:val="paragraph"/>
      </w:pPr>
      <w:r w:rsidRPr="0081146C">
        <w:tab/>
        <w:t>(a)</w:t>
      </w:r>
      <w:r w:rsidRPr="0081146C">
        <w:tab/>
        <w:t>move one or more monetary instruments into Australia; or</w:t>
      </w:r>
    </w:p>
    <w:p w14:paraId="0F96F950" w14:textId="77777777" w:rsidR="000639B5" w:rsidRPr="0081146C" w:rsidRDefault="000639B5" w:rsidP="000639B5">
      <w:pPr>
        <w:pStyle w:val="paragraph"/>
      </w:pPr>
      <w:r w:rsidRPr="0081146C">
        <w:tab/>
        <w:t>(b)</w:t>
      </w:r>
      <w:r w:rsidRPr="0081146C">
        <w:tab/>
        <w:t>move one or more monetary instruments out of Australia;</w:t>
      </w:r>
    </w:p>
    <w:p w14:paraId="2DE71B59" w14:textId="77777777" w:rsidR="000639B5" w:rsidRPr="0081146C" w:rsidRDefault="000639B5" w:rsidP="000639B5">
      <w:pPr>
        <w:pStyle w:val="subsection2"/>
      </w:pPr>
      <w:r w:rsidRPr="0081146C">
        <w:t>if:</w:t>
      </w:r>
    </w:p>
    <w:p w14:paraId="16110265" w14:textId="77777777" w:rsidR="000639B5" w:rsidRPr="0081146C" w:rsidRDefault="000639B5" w:rsidP="000639B5">
      <w:pPr>
        <w:pStyle w:val="paragraph"/>
      </w:pPr>
      <w:r w:rsidRPr="0081146C">
        <w:tab/>
        <w:t>(c)</w:t>
      </w:r>
      <w:r w:rsidRPr="0081146C">
        <w:tab/>
        <w:t>the sum of the monetary instrument amounts is $10,000 or more; and</w:t>
      </w:r>
    </w:p>
    <w:p w14:paraId="2595A719" w14:textId="77777777" w:rsidR="000639B5" w:rsidRPr="0081146C" w:rsidRDefault="000639B5" w:rsidP="000639B5">
      <w:pPr>
        <w:pStyle w:val="paragraph"/>
      </w:pPr>
      <w:r w:rsidRPr="0081146C">
        <w:tab/>
        <w:t>(d)</w:t>
      </w:r>
      <w:r w:rsidRPr="0081146C">
        <w:tab/>
        <w:t>a report in respect of the movement is not given in accordance with this section.</w:t>
      </w:r>
    </w:p>
    <w:p w14:paraId="79382BB7" w14:textId="77777777" w:rsidR="000639B5" w:rsidRPr="0081146C" w:rsidRDefault="000639B5" w:rsidP="000639B5">
      <w:pPr>
        <w:pStyle w:val="subsection"/>
      </w:pPr>
      <w:r w:rsidRPr="0081146C">
        <w:tab/>
        <w:t>(3)</w:t>
      </w:r>
      <w:r w:rsidRPr="0081146C">
        <w:tab/>
        <w:t>Subsection (2) is a civil penalty provision.</w:t>
      </w:r>
    </w:p>
    <w:p w14:paraId="7AF2102D" w14:textId="77777777" w:rsidR="000639B5" w:rsidRPr="0081146C" w:rsidRDefault="000639B5" w:rsidP="000639B5">
      <w:pPr>
        <w:pStyle w:val="SubsectionHead"/>
      </w:pPr>
      <w:r w:rsidRPr="0081146C">
        <w:t>Commercial carriers</w:t>
      </w:r>
    </w:p>
    <w:p w14:paraId="33638290" w14:textId="77777777" w:rsidR="000639B5" w:rsidRPr="0081146C" w:rsidRDefault="000639B5" w:rsidP="000639B5">
      <w:pPr>
        <w:pStyle w:val="subsection"/>
      </w:pPr>
      <w:r w:rsidRPr="0081146C">
        <w:tab/>
        <w:t>(4)</w:t>
      </w:r>
      <w:r w:rsidRPr="0081146C">
        <w:tab/>
        <w:t>Subsections (1) and (2) do not apply to a person if:</w:t>
      </w:r>
    </w:p>
    <w:p w14:paraId="0B949DAA" w14:textId="77777777" w:rsidR="000639B5" w:rsidRPr="0081146C" w:rsidRDefault="000639B5" w:rsidP="000639B5">
      <w:pPr>
        <w:pStyle w:val="paragraph"/>
      </w:pPr>
      <w:r w:rsidRPr="0081146C">
        <w:tab/>
        <w:t>(a)</w:t>
      </w:r>
      <w:r w:rsidRPr="0081146C">
        <w:tab/>
        <w:t>the person is a commercial passenger carrier; and</w:t>
      </w:r>
    </w:p>
    <w:p w14:paraId="5F7143F2" w14:textId="77777777" w:rsidR="000639B5" w:rsidRPr="0081146C" w:rsidRDefault="000639B5" w:rsidP="000639B5">
      <w:pPr>
        <w:pStyle w:val="paragraph"/>
      </w:pPr>
      <w:r w:rsidRPr="0081146C">
        <w:tab/>
        <w:t>(b)</w:t>
      </w:r>
      <w:r w:rsidRPr="0081146C">
        <w:tab/>
        <w:t>the monetary instruments are in the possession of any of the carrier’s passengers.</w:t>
      </w:r>
    </w:p>
    <w:p w14:paraId="174875CE" w14:textId="77777777" w:rsidR="000639B5" w:rsidRPr="0081146C" w:rsidRDefault="000639B5" w:rsidP="000639B5">
      <w:pPr>
        <w:pStyle w:val="subsection"/>
      </w:pPr>
      <w:r w:rsidRPr="0081146C">
        <w:tab/>
        <w:t>(5)</w:t>
      </w:r>
      <w:r w:rsidRPr="0081146C">
        <w:tab/>
        <w:t>Subsections (1) and (2) do not apply to a person if:</w:t>
      </w:r>
    </w:p>
    <w:p w14:paraId="51DC1FF9" w14:textId="77777777" w:rsidR="000639B5" w:rsidRPr="0081146C" w:rsidRDefault="000639B5" w:rsidP="000639B5">
      <w:pPr>
        <w:pStyle w:val="paragraph"/>
      </w:pPr>
      <w:r w:rsidRPr="0081146C">
        <w:tab/>
        <w:t>(a)</w:t>
      </w:r>
      <w:r w:rsidRPr="0081146C">
        <w:tab/>
        <w:t>the person is a commercial goods carrier; and</w:t>
      </w:r>
    </w:p>
    <w:p w14:paraId="04C37FE2" w14:textId="77777777" w:rsidR="000639B5" w:rsidRPr="0081146C" w:rsidRDefault="000639B5" w:rsidP="000639B5">
      <w:pPr>
        <w:pStyle w:val="paragraph"/>
      </w:pPr>
      <w:r w:rsidRPr="0081146C">
        <w:tab/>
        <w:t>(b)</w:t>
      </w:r>
      <w:r w:rsidRPr="0081146C">
        <w:tab/>
        <w:t>the monetary instruments are carried on behalf of another person.</w:t>
      </w:r>
    </w:p>
    <w:p w14:paraId="5B0DAE35" w14:textId="77777777" w:rsidR="000639B5" w:rsidRPr="0081146C" w:rsidRDefault="000639B5" w:rsidP="000639B5">
      <w:pPr>
        <w:pStyle w:val="subsection"/>
      </w:pPr>
      <w:r w:rsidRPr="0081146C">
        <w:tab/>
        <w:t>(6)</w:t>
      </w:r>
      <w:r w:rsidRPr="0081146C">
        <w:tab/>
        <w:t>A person who wishes to rely on subsection (4) or (5) bears an evidential burden in relation to that matter.</w:t>
      </w:r>
    </w:p>
    <w:p w14:paraId="36E10E6E" w14:textId="77777777" w:rsidR="000639B5" w:rsidRPr="0081146C" w:rsidRDefault="000639B5" w:rsidP="000639B5">
      <w:pPr>
        <w:pStyle w:val="SubsectionHead"/>
      </w:pPr>
      <w:r w:rsidRPr="0081146C">
        <w:t>Requirements for reports under this section</w:t>
      </w:r>
    </w:p>
    <w:p w14:paraId="72F3705E" w14:textId="77777777" w:rsidR="000639B5" w:rsidRPr="0081146C" w:rsidRDefault="000639B5" w:rsidP="000639B5">
      <w:pPr>
        <w:pStyle w:val="subsection"/>
      </w:pPr>
      <w:r w:rsidRPr="0081146C">
        <w:tab/>
        <w:t>(7)</w:t>
      </w:r>
      <w:r w:rsidRPr="0081146C">
        <w:tab/>
        <w:t>A report under this section must:</w:t>
      </w:r>
    </w:p>
    <w:p w14:paraId="002AC143" w14:textId="77777777" w:rsidR="000639B5" w:rsidRPr="0081146C" w:rsidRDefault="000639B5" w:rsidP="000639B5">
      <w:pPr>
        <w:pStyle w:val="paragraph"/>
      </w:pPr>
      <w:r w:rsidRPr="0081146C">
        <w:tab/>
        <w:t>(a)</w:t>
      </w:r>
      <w:r w:rsidRPr="0081146C">
        <w:tab/>
        <w:t>be in the approved form; and</w:t>
      </w:r>
    </w:p>
    <w:p w14:paraId="0344C53E" w14:textId="77777777" w:rsidR="000639B5" w:rsidRPr="0081146C" w:rsidRDefault="000639B5" w:rsidP="000639B5">
      <w:pPr>
        <w:pStyle w:val="paragraph"/>
      </w:pPr>
      <w:r w:rsidRPr="0081146C">
        <w:tab/>
        <w:t>(b)</w:t>
      </w:r>
      <w:r w:rsidRPr="0081146C">
        <w:tab/>
        <w:t>contain the information specified in the AML/CTF Rules; and</w:t>
      </w:r>
    </w:p>
    <w:p w14:paraId="004F7AD9" w14:textId="77777777" w:rsidR="000639B5" w:rsidRPr="0081146C" w:rsidRDefault="000639B5" w:rsidP="000639B5">
      <w:pPr>
        <w:pStyle w:val="paragraph"/>
      </w:pPr>
      <w:r w:rsidRPr="0081146C">
        <w:tab/>
        <w:t>(c)</w:t>
      </w:r>
      <w:r w:rsidRPr="0081146C">
        <w:tab/>
        <w:t>be given to the AUSTRAC CEO, a customs officer or a police officer; and</w:t>
      </w:r>
    </w:p>
    <w:p w14:paraId="042895D7" w14:textId="77777777" w:rsidR="000639B5" w:rsidRPr="0081146C" w:rsidRDefault="000639B5" w:rsidP="000639B5">
      <w:pPr>
        <w:pStyle w:val="paragraph"/>
      </w:pPr>
      <w:r w:rsidRPr="0081146C">
        <w:tab/>
        <w:t>(d)</w:t>
      </w:r>
      <w:r w:rsidRPr="0081146C">
        <w:tab/>
        <w:t>comply with the applicable timing rule in the AML/CTF Rules.</w:t>
      </w:r>
    </w:p>
    <w:p w14:paraId="2409037B" w14:textId="77777777" w:rsidR="000639B5" w:rsidRPr="0081146C" w:rsidRDefault="000639B5" w:rsidP="000639B5">
      <w:pPr>
        <w:pStyle w:val="notetext"/>
      </w:pPr>
      <w:r w:rsidRPr="0081146C">
        <w:t>Note 1:</w:t>
      </w:r>
      <w:r w:rsidRPr="0081146C">
        <w:tab/>
        <w:t>For additional rules about reports, see section 244.</w:t>
      </w:r>
    </w:p>
    <w:p w14:paraId="08D738E5" w14:textId="77777777" w:rsidR="000639B5" w:rsidRPr="0081146C" w:rsidRDefault="000639B5" w:rsidP="000639B5">
      <w:pPr>
        <w:pStyle w:val="notetext"/>
      </w:pPr>
      <w:r w:rsidRPr="0081146C">
        <w:t>Note 2:</w:t>
      </w:r>
      <w:r w:rsidRPr="0081146C">
        <w:tab/>
        <w:t>Division 8 of Part 15 sets out special enforcement powers relating to this section.</w:t>
      </w:r>
    </w:p>
    <w:p w14:paraId="43AE6E03" w14:textId="77777777" w:rsidR="000639B5" w:rsidRPr="0081146C" w:rsidRDefault="000639B5" w:rsidP="000639B5">
      <w:pPr>
        <w:pStyle w:val="notetext"/>
      </w:pPr>
      <w:r w:rsidRPr="0081146C">
        <w:t>Note 3:</w:t>
      </w:r>
      <w:r w:rsidRPr="0081146C">
        <w:tab/>
        <w:t xml:space="preserve">See also </w:t>
      </w:r>
      <w:r w:rsidR="003B7E15" w:rsidRPr="0081146C">
        <w:t>section 1</w:t>
      </w:r>
      <w:r w:rsidRPr="0081146C">
        <w:t>8 (translation of foreign currency to Australian currency).</w:t>
      </w:r>
    </w:p>
    <w:p w14:paraId="15BF4FDB" w14:textId="77777777" w:rsidR="000639B5" w:rsidRPr="0081146C" w:rsidRDefault="000639B5" w:rsidP="000639B5">
      <w:pPr>
        <w:pStyle w:val="ActHead5"/>
      </w:pPr>
      <w:bookmarkStart w:id="278" w:name="_Toc185415829"/>
      <w:r w:rsidRPr="0081146C">
        <w:rPr>
          <w:rStyle w:val="CharSectno"/>
        </w:rPr>
        <w:t>54</w:t>
      </w:r>
      <w:r w:rsidRPr="0081146C">
        <w:t xml:space="preserve">  Reports about receipts of monetary instruments moved into Australia</w:t>
      </w:r>
      <w:bookmarkEnd w:id="278"/>
    </w:p>
    <w:p w14:paraId="67674FC9" w14:textId="77777777" w:rsidR="000639B5" w:rsidRPr="0081146C" w:rsidRDefault="000639B5" w:rsidP="000639B5">
      <w:pPr>
        <w:pStyle w:val="SubsectionHead"/>
      </w:pPr>
      <w:r w:rsidRPr="0081146C">
        <w:t>Offence</w:t>
      </w:r>
    </w:p>
    <w:p w14:paraId="016CB9F3" w14:textId="77777777" w:rsidR="000639B5" w:rsidRPr="0081146C" w:rsidRDefault="000639B5" w:rsidP="000639B5">
      <w:pPr>
        <w:pStyle w:val="subsection"/>
      </w:pPr>
      <w:r w:rsidRPr="0081146C">
        <w:tab/>
        <w:t>(1)</w:t>
      </w:r>
      <w:r w:rsidRPr="0081146C">
        <w:tab/>
        <w:t>A person commits an offence if:</w:t>
      </w:r>
    </w:p>
    <w:p w14:paraId="43265048" w14:textId="77777777" w:rsidR="000639B5" w:rsidRPr="0081146C" w:rsidRDefault="000639B5" w:rsidP="000639B5">
      <w:pPr>
        <w:pStyle w:val="paragraph"/>
      </w:pPr>
      <w:r w:rsidRPr="0081146C">
        <w:tab/>
        <w:t>(a)</w:t>
      </w:r>
      <w:r w:rsidRPr="0081146C">
        <w:tab/>
        <w:t>the person receives one or more monetary instruments moved into Australia to the person; and</w:t>
      </w:r>
    </w:p>
    <w:p w14:paraId="2FE2AC0E" w14:textId="77777777" w:rsidR="000639B5" w:rsidRPr="0081146C" w:rsidRDefault="000639B5" w:rsidP="000639B5">
      <w:pPr>
        <w:pStyle w:val="paragraph"/>
      </w:pPr>
      <w:r w:rsidRPr="0081146C">
        <w:tab/>
        <w:t>(b)</w:t>
      </w:r>
      <w:r w:rsidRPr="0081146C">
        <w:tab/>
        <w:t>at the time of the receipt, the sum of the monetary instrument amounts is $10,000 or more; and</w:t>
      </w:r>
    </w:p>
    <w:p w14:paraId="25EF687C" w14:textId="77777777" w:rsidR="000639B5" w:rsidRPr="0081146C" w:rsidRDefault="000639B5" w:rsidP="000639B5">
      <w:pPr>
        <w:pStyle w:val="paragraph"/>
      </w:pPr>
      <w:r w:rsidRPr="0081146C">
        <w:tab/>
        <w:t>(c)</w:t>
      </w:r>
      <w:r w:rsidRPr="0081146C">
        <w:tab/>
        <w:t>a report in respect of the receipt is not given in accordance with this section.</w:t>
      </w:r>
    </w:p>
    <w:p w14:paraId="6C8816E4" w14:textId="77777777" w:rsidR="000639B5" w:rsidRPr="0081146C" w:rsidRDefault="000639B5" w:rsidP="000639B5">
      <w:pPr>
        <w:pStyle w:val="Penalty"/>
      </w:pPr>
      <w:r w:rsidRPr="0081146C">
        <w:t>Penalty:</w:t>
      </w:r>
      <w:r w:rsidRPr="0081146C">
        <w:tab/>
        <w:t>Imprisonment for 2 years or 500 penalty units, or both.</w:t>
      </w:r>
    </w:p>
    <w:p w14:paraId="3BE30B5C" w14:textId="77777777" w:rsidR="000639B5" w:rsidRPr="0081146C" w:rsidRDefault="000639B5" w:rsidP="000639B5">
      <w:pPr>
        <w:pStyle w:val="SubsectionHead"/>
      </w:pPr>
      <w:r w:rsidRPr="0081146C">
        <w:t>Civil penalty</w:t>
      </w:r>
    </w:p>
    <w:p w14:paraId="10379CDF" w14:textId="77777777" w:rsidR="000639B5" w:rsidRPr="0081146C" w:rsidRDefault="000639B5" w:rsidP="000639B5">
      <w:pPr>
        <w:pStyle w:val="subsection"/>
      </w:pPr>
      <w:r w:rsidRPr="0081146C">
        <w:tab/>
        <w:t>(2)</w:t>
      </w:r>
      <w:r w:rsidRPr="0081146C">
        <w:tab/>
        <w:t>A person must not receive one or more monetary instruments moved into Australia to the person if:</w:t>
      </w:r>
    </w:p>
    <w:p w14:paraId="4089BF53" w14:textId="77777777" w:rsidR="000639B5" w:rsidRPr="0081146C" w:rsidRDefault="000639B5" w:rsidP="000639B5">
      <w:pPr>
        <w:pStyle w:val="paragraph"/>
      </w:pPr>
      <w:r w:rsidRPr="0081146C">
        <w:tab/>
        <w:t>(a)</w:t>
      </w:r>
      <w:r w:rsidRPr="0081146C">
        <w:tab/>
        <w:t>at the time of the receipt, the sum of the monetary instrument amounts is $10,000 or more; and</w:t>
      </w:r>
    </w:p>
    <w:p w14:paraId="7F7DA259" w14:textId="77777777" w:rsidR="000639B5" w:rsidRPr="0081146C" w:rsidRDefault="000639B5" w:rsidP="000639B5">
      <w:pPr>
        <w:pStyle w:val="paragraph"/>
      </w:pPr>
      <w:r w:rsidRPr="0081146C">
        <w:tab/>
        <w:t>(b)</w:t>
      </w:r>
      <w:r w:rsidRPr="0081146C">
        <w:tab/>
        <w:t>a report in respect of the receipt is not given in accordance with this section.</w:t>
      </w:r>
    </w:p>
    <w:p w14:paraId="11CA3050" w14:textId="77777777" w:rsidR="000639B5" w:rsidRPr="0081146C" w:rsidRDefault="000639B5" w:rsidP="000639B5">
      <w:pPr>
        <w:pStyle w:val="subsection"/>
      </w:pPr>
      <w:r w:rsidRPr="0081146C">
        <w:tab/>
        <w:t>(3)</w:t>
      </w:r>
      <w:r w:rsidRPr="0081146C">
        <w:tab/>
        <w:t>Subsection (2) is a civil penalty provision.</w:t>
      </w:r>
    </w:p>
    <w:p w14:paraId="14AC29D5" w14:textId="77777777" w:rsidR="000639B5" w:rsidRPr="0081146C" w:rsidRDefault="000639B5" w:rsidP="000639B5">
      <w:pPr>
        <w:pStyle w:val="SubsectionHead"/>
      </w:pPr>
      <w:r w:rsidRPr="0081146C">
        <w:t>Requirements for reports under this section</w:t>
      </w:r>
    </w:p>
    <w:p w14:paraId="2BCD8FC5" w14:textId="77777777" w:rsidR="000639B5" w:rsidRPr="0081146C" w:rsidRDefault="000639B5" w:rsidP="000639B5">
      <w:pPr>
        <w:pStyle w:val="subsection"/>
      </w:pPr>
      <w:r w:rsidRPr="0081146C">
        <w:tab/>
        <w:t>(4)</w:t>
      </w:r>
      <w:r w:rsidRPr="0081146C">
        <w:tab/>
        <w:t>A report under this section must:</w:t>
      </w:r>
    </w:p>
    <w:p w14:paraId="081145AC" w14:textId="77777777" w:rsidR="000639B5" w:rsidRPr="0081146C" w:rsidRDefault="000639B5" w:rsidP="000639B5">
      <w:pPr>
        <w:pStyle w:val="paragraph"/>
      </w:pPr>
      <w:r w:rsidRPr="0081146C">
        <w:tab/>
        <w:t>(a)</w:t>
      </w:r>
      <w:r w:rsidRPr="0081146C">
        <w:tab/>
        <w:t>be in the approved form; and</w:t>
      </w:r>
    </w:p>
    <w:p w14:paraId="19AA8771" w14:textId="77777777" w:rsidR="000639B5" w:rsidRPr="0081146C" w:rsidRDefault="000639B5" w:rsidP="000639B5">
      <w:pPr>
        <w:pStyle w:val="paragraph"/>
      </w:pPr>
      <w:r w:rsidRPr="0081146C">
        <w:tab/>
        <w:t>(b)</w:t>
      </w:r>
      <w:r w:rsidRPr="0081146C">
        <w:tab/>
        <w:t>contain the information specified in the AML/CTF Rules; and</w:t>
      </w:r>
    </w:p>
    <w:p w14:paraId="3E1AB71E" w14:textId="77777777" w:rsidR="000639B5" w:rsidRPr="0081146C" w:rsidRDefault="000639B5" w:rsidP="000639B5">
      <w:pPr>
        <w:pStyle w:val="paragraph"/>
      </w:pPr>
      <w:r w:rsidRPr="0081146C">
        <w:tab/>
        <w:t>(c)</w:t>
      </w:r>
      <w:r w:rsidRPr="0081146C">
        <w:tab/>
        <w:t>be given to the AUSTRAC CEO, a customs officer or a police officer; and</w:t>
      </w:r>
    </w:p>
    <w:p w14:paraId="21EFD52A" w14:textId="77777777" w:rsidR="000639B5" w:rsidRPr="0081146C" w:rsidRDefault="000639B5" w:rsidP="000639B5">
      <w:pPr>
        <w:pStyle w:val="paragraph"/>
      </w:pPr>
      <w:r w:rsidRPr="0081146C">
        <w:tab/>
        <w:t>(d)</w:t>
      </w:r>
      <w:r w:rsidRPr="0081146C">
        <w:tab/>
        <w:t>be given before the end of 5 business days beginning on the day of the receipt.</w:t>
      </w:r>
    </w:p>
    <w:p w14:paraId="08D168E1" w14:textId="77777777" w:rsidR="000639B5" w:rsidRPr="0081146C" w:rsidRDefault="000639B5" w:rsidP="000639B5">
      <w:pPr>
        <w:pStyle w:val="notetext"/>
      </w:pPr>
      <w:r w:rsidRPr="0081146C">
        <w:t>Note 1:</w:t>
      </w:r>
      <w:r w:rsidRPr="0081146C">
        <w:tab/>
        <w:t>For additional rules about reports, see section 244.</w:t>
      </w:r>
    </w:p>
    <w:p w14:paraId="64B13130" w14:textId="77777777" w:rsidR="000639B5" w:rsidRPr="0081146C" w:rsidRDefault="000639B5" w:rsidP="000639B5">
      <w:pPr>
        <w:pStyle w:val="notetext"/>
      </w:pPr>
      <w:r w:rsidRPr="0081146C">
        <w:t>Note 2:</w:t>
      </w:r>
      <w:r w:rsidRPr="0081146C">
        <w:tab/>
        <w:t xml:space="preserve">See also </w:t>
      </w:r>
      <w:r w:rsidR="003B7E15" w:rsidRPr="0081146C">
        <w:t>section 1</w:t>
      </w:r>
      <w:r w:rsidRPr="0081146C">
        <w:t>8 (translation of foreign currency to Australian currency).</w:t>
      </w:r>
    </w:p>
    <w:p w14:paraId="7CB8FA24" w14:textId="77777777" w:rsidR="000639B5" w:rsidRPr="0081146C" w:rsidRDefault="000639B5" w:rsidP="000639B5">
      <w:pPr>
        <w:pStyle w:val="ActHead5"/>
      </w:pPr>
      <w:bookmarkStart w:id="279" w:name="_Toc185415830"/>
      <w:r w:rsidRPr="0081146C">
        <w:rPr>
          <w:rStyle w:val="CharSectno"/>
        </w:rPr>
        <w:t>55</w:t>
      </w:r>
      <w:r w:rsidRPr="0081146C">
        <w:t xml:space="preserve">  Movements of monetary instruments into Australia</w:t>
      </w:r>
      <w:bookmarkEnd w:id="279"/>
    </w:p>
    <w:p w14:paraId="5F613302" w14:textId="77777777" w:rsidR="000639B5" w:rsidRPr="0081146C" w:rsidRDefault="000639B5" w:rsidP="000639B5">
      <w:pPr>
        <w:pStyle w:val="subsection"/>
      </w:pPr>
      <w:r w:rsidRPr="0081146C">
        <w:tab/>
      </w:r>
      <w:r w:rsidRPr="0081146C">
        <w:tab/>
        <w:t xml:space="preserve">For the purposes of this Act, a person </w:t>
      </w:r>
      <w:r w:rsidRPr="0081146C">
        <w:rPr>
          <w:b/>
          <w:i/>
        </w:rPr>
        <w:t>moves</w:t>
      </w:r>
      <w:r w:rsidRPr="0081146C">
        <w:t xml:space="preserve"> a monetary instrument into Australia if the person brings or sends the instrument into Australia.</w:t>
      </w:r>
    </w:p>
    <w:p w14:paraId="2EEEBE5A" w14:textId="77777777" w:rsidR="000639B5" w:rsidRPr="0081146C" w:rsidRDefault="000639B5" w:rsidP="000639B5">
      <w:pPr>
        <w:pStyle w:val="ActHead5"/>
      </w:pPr>
      <w:bookmarkStart w:id="280" w:name="_Toc185415831"/>
      <w:r w:rsidRPr="0081146C">
        <w:rPr>
          <w:rStyle w:val="CharSectno"/>
        </w:rPr>
        <w:t>56</w:t>
      </w:r>
      <w:r w:rsidRPr="0081146C">
        <w:t xml:space="preserve">  Movements of monetary instruments out of Australia</w:t>
      </w:r>
      <w:bookmarkEnd w:id="280"/>
    </w:p>
    <w:p w14:paraId="18094862" w14:textId="77777777" w:rsidR="000639B5" w:rsidRPr="0081146C" w:rsidRDefault="000639B5" w:rsidP="000639B5">
      <w:pPr>
        <w:pStyle w:val="subsection"/>
      </w:pPr>
      <w:r w:rsidRPr="0081146C">
        <w:tab/>
        <w:t>(1)</w:t>
      </w:r>
      <w:r w:rsidRPr="0081146C">
        <w:tab/>
        <w:t xml:space="preserve">For the purposes of this Act, a person </w:t>
      </w:r>
      <w:r w:rsidRPr="0081146C">
        <w:rPr>
          <w:b/>
          <w:i/>
        </w:rPr>
        <w:t>moves</w:t>
      </w:r>
      <w:r w:rsidRPr="0081146C">
        <w:t xml:space="preserve"> a monetary instrument out of Australia if the person takes or sends the instrument out of Australia.</w:t>
      </w:r>
    </w:p>
    <w:p w14:paraId="372A883B" w14:textId="77777777" w:rsidR="000639B5" w:rsidRPr="0081146C" w:rsidRDefault="000639B5" w:rsidP="000639B5">
      <w:pPr>
        <w:pStyle w:val="subsection"/>
      </w:pPr>
      <w:r w:rsidRPr="0081146C">
        <w:tab/>
        <w:t>(2)</w:t>
      </w:r>
      <w:r w:rsidRPr="0081146C">
        <w:tab/>
        <w:t>For the purposes of this Act, if:</w:t>
      </w:r>
    </w:p>
    <w:p w14:paraId="75B914D9" w14:textId="77777777" w:rsidR="000639B5" w:rsidRPr="0081146C" w:rsidRDefault="000639B5" w:rsidP="000639B5">
      <w:pPr>
        <w:pStyle w:val="paragraph"/>
      </w:pPr>
      <w:r w:rsidRPr="0081146C">
        <w:tab/>
        <w:t>(a)</w:t>
      </w:r>
      <w:r w:rsidRPr="0081146C">
        <w:tab/>
        <w:t>a person arranges to leave Australia on an aircraft or ship; and</w:t>
      </w:r>
    </w:p>
    <w:p w14:paraId="5861CBBB" w14:textId="77777777" w:rsidR="000639B5" w:rsidRPr="0081146C" w:rsidRDefault="000639B5" w:rsidP="000639B5">
      <w:pPr>
        <w:pStyle w:val="paragraph"/>
      </w:pPr>
      <w:r w:rsidRPr="0081146C">
        <w:tab/>
        <w:t>(b)</w:t>
      </w:r>
      <w:r w:rsidRPr="0081146C">
        <w:tab/>
        <w:t>either:</w:t>
      </w:r>
    </w:p>
    <w:p w14:paraId="3AD1AB5C" w14:textId="77777777" w:rsidR="000639B5" w:rsidRPr="0081146C" w:rsidRDefault="000639B5" w:rsidP="000639B5">
      <w:pPr>
        <w:pStyle w:val="paragraphsub"/>
      </w:pPr>
      <w:r w:rsidRPr="0081146C">
        <w:tab/>
        <w:t>(i)</w:t>
      </w:r>
      <w:r w:rsidRPr="0081146C">
        <w:tab/>
        <w:t>the person has a monetary instrument in the person’s baggage, and the person enters a place at which customs officers examine passports; or</w:t>
      </w:r>
    </w:p>
    <w:p w14:paraId="18A7CDE1" w14:textId="77777777" w:rsidR="000639B5" w:rsidRPr="0081146C" w:rsidRDefault="000639B5" w:rsidP="000639B5">
      <w:pPr>
        <w:pStyle w:val="paragraphsub"/>
      </w:pPr>
      <w:r w:rsidRPr="0081146C">
        <w:tab/>
        <w:t>(ii)</w:t>
      </w:r>
      <w:r w:rsidRPr="0081146C">
        <w:tab/>
        <w:t>the person takes a monetary instrument into a place at which customs officers examine passports;</w:t>
      </w:r>
    </w:p>
    <w:p w14:paraId="7891E1F7" w14:textId="77777777" w:rsidR="000639B5" w:rsidRPr="0081146C" w:rsidRDefault="000639B5" w:rsidP="000639B5">
      <w:pPr>
        <w:pStyle w:val="subsection2"/>
      </w:pPr>
      <w:r w:rsidRPr="0081146C">
        <w:t xml:space="preserve">the person is taken to have </w:t>
      </w:r>
      <w:r w:rsidRPr="0081146C">
        <w:rPr>
          <w:b/>
          <w:i/>
        </w:rPr>
        <w:t>moved</w:t>
      </w:r>
      <w:r w:rsidRPr="0081146C">
        <w:t xml:space="preserve"> the instrument out of Australia when the person leaves that place.</w:t>
      </w:r>
    </w:p>
    <w:p w14:paraId="0F96A789" w14:textId="77777777" w:rsidR="000639B5" w:rsidRPr="0081146C" w:rsidRDefault="000639B5" w:rsidP="000639B5">
      <w:pPr>
        <w:pStyle w:val="ActHead5"/>
      </w:pPr>
      <w:bookmarkStart w:id="281" w:name="_Toc185415832"/>
      <w:r w:rsidRPr="0081146C">
        <w:rPr>
          <w:rStyle w:val="CharSectno"/>
        </w:rPr>
        <w:t>57</w:t>
      </w:r>
      <w:r w:rsidRPr="0081146C">
        <w:t xml:space="preserve">  Obligations of customs officers and police officers</w:t>
      </w:r>
      <w:bookmarkEnd w:id="281"/>
    </w:p>
    <w:p w14:paraId="21A5EE57" w14:textId="77777777" w:rsidR="000639B5" w:rsidRPr="0081146C" w:rsidRDefault="000639B5" w:rsidP="000639B5">
      <w:pPr>
        <w:pStyle w:val="subsection"/>
      </w:pPr>
      <w:r w:rsidRPr="0081146C">
        <w:tab/>
      </w:r>
      <w:r w:rsidRPr="0081146C">
        <w:tab/>
        <w:t>If a customs officer or police officer receives a report under section 53 or 54, the officer must forward it to the AUSTRAC CEO before the end of 5 business days beginning on the day of the receipt.</w:t>
      </w:r>
    </w:p>
    <w:p w14:paraId="75B54297" w14:textId="77777777" w:rsidR="00035544" w:rsidRPr="0081146C" w:rsidRDefault="00CA78AA" w:rsidP="00AE2DA2">
      <w:pPr>
        <w:pStyle w:val="ActHead3"/>
        <w:pageBreakBefore/>
      </w:pPr>
      <w:bookmarkStart w:id="282" w:name="_Toc185415833"/>
      <w:r w:rsidRPr="0081146C">
        <w:rPr>
          <w:rStyle w:val="CharDivNo"/>
        </w:rPr>
        <w:t>Division 4</w:t>
      </w:r>
      <w:r w:rsidR="00035544" w:rsidRPr="0081146C">
        <w:t>—</w:t>
      </w:r>
      <w:r w:rsidR="00035544" w:rsidRPr="0081146C">
        <w:rPr>
          <w:rStyle w:val="CharDivText"/>
        </w:rPr>
        <w:t>Information about reporting obligations</w:t>
      </w:r>
      <w:bookmarkEnd w:id="282"/>
    </w:p>
    <w:p w14:paraId="45C88388" w14:textId="77777777" w:rsidR="00035544" w:rsidRPr="0081146C" w:rsidRDefault="00035544" w:rsidP="00035544">
      <w:pPr>
        <w:pStyle w:val="ActHead5"/>
      </w:pPr>
      <w:bookmarkStart w:id="283" w:name="_Toc185415834"/>
      <w:r w:rsidRPr="0081146C">
        <w:rPr>
          <w:rStyle w:val="CharSectno"/>
        </w:rPr>
        <w:t>61</w:t>
      </w:r>
      <w:r w:rsidRPr="0081146C">
        <w:t xml:space="preserve">  Power to affix notices about reporting obligations</w:t>
      </w:r>
      <w:bookmarkEnd w:id="283"/>
    </w:p>
    <w:p w14:paraId="386AC8CE" w14:textId="77777777" w:rsidR="00035544" w:rsidRPr="0081146C" w:rsidRDefault="00035544" w:rsidP="00035544">
      <w:pPr>
        <w:pStyle w:val="SubsectionHead"/>
      </w:pPr>
      <w:r w:rsidRPr="0081146C">
        <w:t>Scope</w:t>
      </w:r>
    </w:p>
    <w:p w14:paraId="73A65CDA" w14:textId="77777777" w:rsidR="00035544" w:rsidRPr="0081146C" w:rsidRDefault="00035544" w:rsidP="00035544">
      <w:pPr>
        <w:pStyle w:val="subsection"/>
      </w:pPr>
      <w:r w:rsidRPr="0081146C">
        <w:tab/>
        <w:t>(1)</w:t>
      </w:r>
      <w:r w:rsidRPr="0081146C">
        <w:tab/>
        <w:t>This section applies to a written notice:</w:t>
      </w:r>
    </w:p>
    <w:p w14:paraId="5045051D" w14:textId="77777777" w:rsidR="00035544" w:rsidRPr="0081146C" w:rsidRDefault="00035544" w:rsidP="00035544">
      <w:pPr>
        <w:pStyle w:val="paragraph"/>
      </w:pPr>
      <w:r w:rsidRPr="0081146C">
        <w:tab/>
        <w:t>(a)</w:t>
      </w:r>
      <w:r w:rsidRPr="0081146C">
        <w:tab/>
        <w:t>that relates to reporting obligations under this Part; and</w:t>
      </w:r>
    </w:p>
    <w:p w14:paraId="02E2155C" w14:textId="77777777" w:rsidR="00035544" w:rsidRPr="0081146C" w:rsidRDefault="00035544" w:rsidP="00035544">
      <w:pPr>
        <w:pStyle w:val="paragraph"/>
      </w:pPr>
      <w:r w:rsidRPr="0081146C">
        <w:tab/>
        <w:t>(b)</w:t>
      </w:r>
      <w:r w:rsidRPr="0081146C">
        <w:tab/>
        <w:t>the form and contents of which are specified in the AML/CTF Rules.</w:t>
      </w:r>
    </w:p>
    <w:p w14:paraId="365A2C82" w14:textId="77777777" w:rsidR="00035544" w:rsidRPr="0081146C" w:rsidRDefault="00035544" w:rsidP="00035544">
      <w:pPr>
        <w:pStyle w:val="SubsectionHead"/>
      </w:pPr>
      <w:r w:rsidRPr="0081146C">
        <w:t>Power to affix notices</w:t>
      </w:r>
    </w:p>
    <w:p w14:paraId="3C6A5903" w14:textId="77777777" w:rsidR="00035544" w:rsidRPr="0081146C" w:rsidRDefault="00035544" w:rsidP="00035544">
      <w:pPr>
        <w:pStyle w:val="subsection"/>
      </w:pPr>
      <w:r w:rsidRPr="0081146C">
        <w:tab/>
        <w:t>(2)</w:t>
      </w:r>
      <w:r w:rsidRPr="0081146C">
        <w:tab/>
        <w:t>A customs officer may affix</w:t>
      </w:r>
      <w:r w:rsidR="004F7109" w:rsidRPr="0081146C">
        <w:t>, or arrange for another person to affix,</w:t>
      </w:r>
      <w:r w:rsidRPr="0081146C">
        <w:t xml:space="preserve"> one or more notices:</w:t>
      </w:r>
    </w:p>
    <w:p w14:paraId="56E59424" w14:textId="77777777" w:rsidR="00035544" w:rsidRPr="0081146C" w:rsidRDefault="00035544" w:rsidP="00035544">
      <w:pPr>
        <w:pStyle w:val="paragraph"/>
      </w:pPr>
      <w:r w:rsidRPr="0081146C">
        <w:tab/>
        <w:t>(a)</w:t>
      </w:r>
      <w:r w:rsidRPr="0081146C">
        <w:tab/>
        <w:t>on any part of an aircraft or ship; or</w:t>
      </w:r>
    </w:p>
    <w:p w14:paraId="407110EE" w14:textId="77777777" w:rsidR="00035544" w:rsidRPr="0081146C" w:rsidRDefault="00035544" w:rsidP="00035544">
      <w:pPr>
        <w:pStyle w:val="paragraph"/>
      </w:pPr>
      <w:r w:rsidRPr="0081146C">
        <w:tab/>
        <w:t>(b)</w:t>
      </w:r>
      <w:r w:rsidRPr="0081146C">
        <w:tab/>
        <w:t>in any other place specified in the AML/CTF Rules.</w:t>
      </w:r>
    </w:p>
    <w:p w14:paraId="4CA34ADC" w14:textId="77777777" w:rsidR="00035544" w:rsidRPr="0081146C" w:rsidRDefault="00035544" w:rsidP="00035544">
      <w:pPr>
        <w:pStyle w:val="SubsectionHead"/>
      </w:pPr>
      <w:r w:rsidRPr="0081146C">
        <w:t>Offence</w:t>
      </w:r>
    </w:p>
    <w:p w14:paraId="2F7BAFF1" w14:textId="77777777" w:rsidR="00035544" w:rsidRPr="0081146C" w:rsidRDefault="00035544" w:rsidP="00035544">
      <w:pPr>
        <w:pStyle w:val="subsection"/>
      </w:pPr>
      <w:r w:rsidRPr="0081146C">
        <w:tab/>
        <w:t>(3)</w:t>
      </w:r>
      <w:r w:rsidRPr="0081146C">
        <w:tab/>
        <w:t>A person commits an offence if:</w:t>
      </w:r>
    </w:p>
    <w:p w14:paraId="3719781C" w14:textId="77777777" w:rsidR="00035544" w:rsidRPr="0081146C" w:rsidRDefault="00035544" w:rsidP="00035544">
      <w:pPr>
        <w:pStyle w:val="paragraph"/>
      </w:pPr>
      <w:r w:rsidRPr="0081146C">
        <w:tab/>
        <w:t>(a)</w:t>
      </w:r>
      <w:r w:rsidRPr="0081146C">
        <w:tab/>
        <w:t>a notice has been affixed under this section; and</w:t>
      </w:r>
    </w:p>
    <w:p w14:paraId="67218F8E" w14:textId="77777777" w:rsidR="00035544" w:rsidRPr="0081146C" w:rsidRDefault="00035544" w:rsidP="00035544">
      <w:pPr>
        <w:pStyle w:val="paragraph"/>
      </w:pPr>
      <w:r w:rsidRPr="0081146C">
        <w:tab/>
        <w:t>(b)</w:t>
      </w:r>
      <w:r w:rsidRPr="0081146C">
        <w:tab/>
        <w:t>the person engages in conduct; and</w:t>
      </w:r>
    </w:p>
    <w:p w14:paraId="0D8D1C12" w14:textId="77777777" w:rsidR="00035544" w:rsidRPr="0081146C" w:rsidRDefault="00035544" w:rsidP="00035544">
      <w:pPr>
        <w:pStyle w:val="paragraph"/>
      </w:pPr>
      <w:r w:rsidRPr="0081146C">
        <w:tab/>
        <w:t>(c)</w:t>
      </w:r>
      <w:r w:rsidRPr="0081146C">
        <w:tab/>
        <w:t>the person’s conduct results in:</w:t>
      </w:r>
    </w:p>
    <w:p w14:paraId="797A9E13" w14:textId="77777777" w:rsidR="00035544" w:rsidRPr="0081146C" w:rsidRDefault="00035544" w:rsidP="00035544">
      <w:pPr>
        <w:pStyle w:val="paragraphsub"/>
      </w:pPr>
      <w:r w:rsidRPr="0081146C">
        <w:tab/>
        <w:t>(i)</w:t>
      </w:r>
      <w:r w:rsidRPr="0081146C">
        <w:tab/>
        <w:t>interference with the notice; or</w:t>
      </w:r>
    </w:p>
    <w:p w14:paraId="700F404D" w14:textId="77777777" w:rsidR="00035544" w:rsidRPr="0081146C" w:rsidRDefault="00035544" w:rsidP="00035544">
      <w:pPr>
        <w:pStyle w:val="paragraphsub"/>
      </w:pPr>
      <w:r w:rsidRPr="0081146C">
        <w:tab/>
        <w:t>(ii)</w:t>
      </w:r>
      <w:r w:rsidRPr="0081146C">
        <w:tab/>
        <w:t>the removal of the notice; or</w:t>
      </w:r>
    </w:p>
    <w:p w14:paraId="1422BE7D" w14:textId="77777777" w:rsidR="00035544" w:rsidRPr="0081146C" w:rsidRDefault="00035544" w:rsidP="00035544">
      <w:pPr>
        <w:pStyle w:val="paragraphsub"/>
      </w:pPr>
      <w:r w:rsidRPr="0081146C">
        <w:tab/>
        <w:t>(iii)</w:t>
      </w:r>
      <w:r w:rsidRPr="0081146C">
        <w:tab/>
        <w:t>defacement of the notice.</w:t>
      </w:r>
    </w:p>
    <w:p w14:paraId="13F28646" w14:textId="77777777" w:rsidR="00035544" w:rsidRPr="0081146C" w:rsidRDefault="00035544" w:rsidP="00035544">
      <w:pPr>
        <w:pStyle w:val="Penalty"/>
      </w:pPr>
      <w:r w:rsidRPr="0081146C">
        <w:t>Penalty:</w:t>
      </w:r>
      <w:r w:rsidRPr="0081146C">
        <w:tab/>
        <w:t>50 penalty units.</w:t>
      </w:r>
    </w:p>
    <w:p w14:paraId="5A15DC22" w14:textId="77777777" w:rsidR="00035544" w:rsidRPr="0081146C" w:rsidRDefault="00035544" w:rsidP="00035544">
      <w:pPr>
        <w:pStyle w:val="subsection"/>
      </w:pPr>
      <w:r w:rsidRPr="0081146C">
        <w:tab/>
        <w:t>(4)</w:t>
      </w:r>
      <w:r w:rsidRPr="0081146C">
        <w:tab/>
      </w:r>
      <w:r w:rsidR="004F64A4" w:rsidRPr="0081146C">
        <w:t>Subsection (</w:t>
      </w:r>
      <w:r w:rsidRPr="0081146C">
        <w:t xml:space="preserve">3) does not apply if the person’s conduct is authorised by the AUSTRAC CEO or the </w:t>
      </w:r>
      <w:r w:rsidR="00147F95" w:rsidRPr="0081146C">
        <w:t>Comptroller</w:t>
      </w:r>
      <w:r w:rsidR="003B7E15" w:rsidRPr="0081146C">
        <w:noBreakHyphen/>
      </w:r>
      <w:r w:rsidR="00147F95" w:rsidRPr="0081146C">
        <w:t>General of Customs</w:t>
      </w:r>
      <w:r w:rsidRPr="0081146C">
        <w:t>.</w:t>
      </w:r>
    </w:p>
    <w:p w14:paraId="13AAE0BE"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4) (see sub</w:t>
      </w:r>
      <w:r w:rsidR="003B7E15" w:rsidRPr="0081146C">
        <w:t>section 1</w:t>
      </w:r>
      <w:r w:rsidRPr="0081146C">
        <w:t xml:space="preserve">3.3(3) of the </w:t>
      </w:r>
      <w:r w:rsidRPr="0081146C">
        <w:rPr>
          <w:i/>
        </w:rPr>
        <w:t>Criminal Code</w:t>
      </w:r>
      <w:r w:rsidRPr="0081146C">
        <w:t>).</w:t>
      </w:r>
    </w:p>
    <w:p w14:paraId="1D7C8B14" w14:textId="77777777" w:rsidR="00035544" w:rsidRPr="0081146C" w:rsidRDefault="00035544" w:rsidP="00A103C2">
      <w:pPr>
        <w:pStyle w:val="subsection"/>
        <w:keepNext/>
      </w:pPr>
      <w:r w:rsidRPr="0081146C">
        <w:tab/>
        <w:t>(5)</w:t>
      </w:r>
      <w:r w:rsidRPr="0081146C">
        <w:tab/>
        <w:t xml:space="preserve">An offence against </w:t>
      </w:r>
      <w:r w:rsidR="004F64A4" w:rsidRPr="0081146C">
        <w:t>subsection (</w:t>
      </w:r>
      <w:r w:rsidRPr="0081146C">
        <w:t>3) is an offence of strict liability.</w:t>
      </w:r>
    </w:p>
    <w:p w14:paraId="4DF03EA1" w14:textId="77777777" w:rsidR="00035544" w:rsidRPr="0081146C" w:rsidRDefault="00035544" w:rsidP="00035544">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149F8174" w14:textId="77777777" w:rsidR="00035544" w:rsidRPr="0081146C" w:rsidRDefault="00035544" w:rsidP="00035544">
      <w:pPr>
        <w:pStyle w:val="ActHead5"/>
      </w:pPr>
      <w:bookmarkStart w:id="284" w:name="_Toc185415835"/>
      <w:r w:rsidRPr="0081146C">
        <w:rPr>
          <w:rStyle w:val="CharSectno"/>
        </w:rPr>
        <w:t>62</w:t>
      </w:r>
      <w:r w:rsidRPr="0081146C">
        <w:t xml:space="preserve">  Notice about reporting obligations to be given to travellers to Australia</w:t>
      </w:r>
      <w:bookmarkEnd w:id="284"/>
    </w:p>
    <w:p w14:paraId="4636063F" w14:textId="77777777" w:rsidR="00035544" w:rsidRPr="0081146C" w:rsidRDefault="00035544" w:rsidP="00035544">
      <w:pPr>
        <w:pStyle w:val="SubsectionHead"/>
      </w:pPr>
      <w:r w:rsidRPr="0081146C">
        <w:t>Scope</w:t>
      </w:r>
    </w:p>
    <w:p w14:paraId="219A8730" w14:textId="77777777" w:rsidR="00035544" w:rsidRPr="0081146C" w:rsidRDefault="00035544" w:rsidP="00035544">
      <w:pPr>
        <w:pStyle w:val="subsection"/>
      </w:pPr>
      <w:r w:rsidRPr="0081146C">
        <w:tab/>
        <w:t>(1)</w:t>
      </w:r>
      <w:r w:rsidRPr="0081146C">
        <w:tab/>
        <w:t>This section applies to a written notice:</w:t>
      </w:r>
    </w:p>
    <w:p w14:paraId="40411048" w14:textId="77777777" w:rsidR="00035544" w:rsidRPr="0081146C" w:rsidRDefault="00035544" w:rsidP="00035544">
      <w:pPr>
        <w:pStyle w:val="paragraph"/>
      </w:pPr>
      <w:r w:rsidRPr="0081146C">
        <w:tab/>
        <w:t>(a)</w:t>
      </w:r>
      <w:r w:rsidRPr="0081146C">
        <w:tab/>
        <w:t>that relates to reporting obligations under this Part; and</w:t>
      </w:r>
    </w:p>
    <w:p w14:paraId="1B1A7DD0" w14:textId="77777777" w:rsidR="00035544" w:rsidRPr="0081146C" w:rsidRDefault="00035544" w:rsidP="00035544">
      <w:pPr>
        <w:pStyle w:val="paragraph"/>
      </w:pPr>
      <w:r w:rsidRPr="0081146C">
        <w:tab/>
        <w:t>(b)</w:t>
      </w:r>
      <w:r w:rsidRPr="0081146C">
        <w:tab/>
        <w:t>the form and contents of which are specified in the AML/CTF Rules.</w:t>
      </w:r>
    </w:p>
    <w:p w14:paraId="62595E5D" w14:textId="77777777" w:rsidR="00035544" w:rsidRPr="0081146C" w:rsidRDefault="00035544" w:rsidP="00035544">
      <w:pPr>
        <w:pStyle w:val="SubsectionHead"/>
      </w:pPr>
      <w:r w:rsidRPr="0081146C">
        <w:t>Notice to be given to travellers</w:t>
      </w:r>
    </w:p>
    <w:p w14:paraId="198612C5" w14:textId="77777777" w:rsidR="00035544" w:rsidRPr="0081146C" w:rsidRDefault="00035544" w:rsidP="00035544">
      <w:pPr>
        <w:pStyle w:val="subsection"/>
      </w:pPr>
      <w:r w:rsidRPr="0081146C">
        <w:tab/>
        <w:t>(2)</w:t>
      </w:r>
      <w:r w:rsidRPr="0081146C">
        <w:tab/>
        <w:t>If an aircraft or ship leaves a place outside Australia to travel to a place in Australia without stopping at any other place outside Australia, the person in charge of the aircraft or ship must:</w:t>
      </w:r>
    </w:p>
    <w:p w14:paraId="478AC225" w14:textId="77777777" w:rsidR="00035544" w:rsidRPr="0081146C" w:rsidRDefault="00035544" w:rsidP="00035544">
      <w:pPr>
        <w:pStyle w:val="paragraph"/>
      </w:pPr>
      <w:r w:rsidRPr="0081146C">
        <w:tab/>
        <w:t>(a)</w:t>
      </w:r>
      <w:r w:rsidRPr="0081146C">
        <w:tab/>
        <w:t>give a copy of the notice</w:t>
      </w:r>
      <w:r w:rsidR="00B979C1" w:rsidRPr="0081146C">
        <w:t>, or communicate the information contained in the notice in the manner prescribed by the AML/CTF Rules,</w:t>
      </w:r>
      <w:r w:rsidRPr="0081146C">
        <w:t xml:space="preserve"> to all persons travelling on the aircraft or ship (including members of the crew); or</w:t>
      </w:r>
    </w:p>
    <w:p w14:paraId="3146D039" w14:textId="77777777" w:rsidR="00035544" w:rsidRPr="0081146C" w:rsidRDefault="00035544" w:rsidP="00035544">
      <w:pPr>
        <w:pStyle w:val="paragraph"/>
      </w:pPr>
      <w:r w:rsidRPr="0081146C">
        <w:tab/>
        <w:t>(b)</w:t>
      </w:r>
      <w:r w:rsidRPr="0081146C">
        <w:tab/>
        <w:t>cause a copy of the notice to be given</w:t>
      </w:r>
      <w:r w:rsidR="00CC4CD8" w:rsidRPr="0081146C">
        <w:t>, or cause to be communicated the information contained in the notice in the manner prescribed by the AML/CTF Rules,</w:t>
      </w:r>
      <w:r w:rsidRPr="0081146C">
        <w:t xml:space="preserve"> to all persons travelling on the aircraft or ship (including members of the crew).</w:t>
      </w:r>
    </w:p>
    <w:p w14:paraId="04AED8D4" w14:textId="77777777" w:rsidR="00035544" w:rsidRPr="0081146C" w:rsidRDefault="00035544" w:rsidP="00035544">
      <w:pPr>
        <w:pStyle w:val="SubsectionHead"/>
      </w:pPr>
      <w:r w:rsidRPr="0081146C">
        <w:t>Offence</w:t>
      </w:r>
    </w:p>
    <w:p w14:paraId="42C0E062" w14:textId="77777777" w:rsidR="00035544" w:rsidRPr="0081146C" w:rsidRDefault="00035544" w:rsidP="00035544">
      <w:pPr>
        <w:pStyle w:val="subsection"/>
      </w:pPr>
      <w:r w:rsidRPr="0081146C">
        <w:tab/>
        <w:t>(3)</w:t>
      </w:r>
      <w:r w:rsidRPr="0081146C">
        <w:tab/>
        <w:t>A person commits an offence if:</w:t>
      </w:r>
    </w:p>
    <w:p w14:paraId="7C6CDF3F"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2); and</w:t>
      </w:r>
    </w:p>
    <w:p w14:paraId="77BD774F" w14:textId="77777777" w:rsidR="00035544" w:rsidRPr="0081146C" w:rsidRDefault="00035544" w:rsidP="00035544">
      <w:pPr>
        <w:pStyle w:val="paragraph"/>
      </w:pPr>
      <w:r w:rsidRPr="0081146C">
        <w:tab/>
        <w:t>(b)</w:t>
      </w:r>
      <w:r w:rsidRPr="0081146C">
        <w:tab/>
        <w:t>the person engages in conduct; and</w:t>
      </w:r>
    </w:p>
    <w:p w14:paraId="3A97029E" w14:textId="77777777" w:rsidR="00035544" w:rsidRPr="0081146C" w:rsidRDefault="00035544" w:rsidP="00035544">
      <w:pPr>
        <w:pStyle w:val="paragraph"/>
      </w:pPr>
      <w:r w:rsidRPr="0081146C">
        <w:tab/>
        <w:t>(c)</w:t>
      </w:r>
      <w:r w:rsidRPr="0081146C">
        <w:tab/>
        <w:t>the person’s conduct breaches the requirement.</w:t>
      </w:r>
    </w:p>
    <w:p w14:paraId="4E4C370C" w14:textId="77777777" w:rsidR="00035544" w:rsidRPr="0081146C" w:rsidRDefault="00035544" w:rsidP="00035544">
      <w:pPr>
        <w:pStyle w:val="Penalty"/>
      </w:pPr>
      <w:r w:rsidRPr="0081146C">
        <w:t>Penalty:</w:t>
      </w:r>
      <w:r w:rsidRPr="0081146C">
        <w:tab/>
        <w:t>50 penalty units.</w:t>
      </w:r>
    </w:p>
    <w:p w14:paraId="5CE8A46B" w14:textId="77777777" w:rsidR="00035544" w:rsidRPr="0081146C" w:rsidRDefault="00035544" w:rsidP="00035544">
      <w:pPr>
        <w:pStyle w:val="subsection"/>
      </w:pPr>
      <w:r w:rsidRPr="0081146C">
        <w:tab/>
        <w:t>(4)</w:t>
      </w:r>
      <w:r w:rsidRPr="0081146C">
        <w:tab/>
        <w:t xml:space="preserve">An offence against </w:t>
      </w:r>
      <w:r w:rsidR="004F64A4" w:rsidRPr="0081146C">
        <w:t>subsection (</w:t>
      </w:r>
      <w:r w:rsidRPr="0081146C">
        <w:t>3) is an offence of strict liability.</w:t>
      </w:r>
    </w:p>
    <w:p w14:paraId="63F88DA3" w14:textId="77777777" w:rsidR="00035544" w:rsidRPr="0081146C" w:rsidRDefault="00035544" w:rsidP="00035544">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1101CA32" w14:textId="77777777" w:rsidR="007330A4" w:rsidRPr="0081146C" w:rsidRDefault="007330A4" w:rsidP="00BC1C78">
      <w:pPr>
        <w:pStyle w:val="ActHead2"/>
        <w:pageBreakBefore/>
      </w:pPr>
      <w:bookmarkStart w:id="285" w:name="_Toc176444436"/>
      <w:bookmarkStart w:id="286" w:name="_Toc184034057"/>
      <w:bookmarkStart w:id="287" w:name="_Toc185415836"/>
      <w:r w:rsidRPr="0081146C">
        <w:rPr>
          <w:rStyle w:val="CharPartNo"/>
        </w:rPr>
        <w:t>Part 5</w:t>
      </w:r>
      <w:r w:rsidRPr="0081146C">
        <w:t>—</w:t>
      </w:r>
      <w:r w:rsidRPr="0081146C">
        <w:rPr>
          <w:rStyle w:val="CharPartText"/>
        </w:rPr>
        <w:t>Obligations relating to transfers of value</w:t>
      </w:r>
      <w:bookmarkEnd w:id="285"/>
      <w:bookmarkEnd w:id="286"/>
      <w:bookmarkEnd w:id="287"/>
    </w:p>
    <w:p w14:paraId="7A86A2B8" w14:textId="77777777" w:rsidR="007330A4" w:rsidRPr="0081146C" w:rsidRDefault="007330A4" w:rsidP="007330A4">
      <w:pPr>
        <w:pStyle w:val="ActHead3"/>
      </w:pPr>
      <w:bookmarkStart w:id="288" w:name="_Toc176444437"/>
      <w:bookmarkStart w:id="289" w:name="_Toc184034058"/>
      <w:bookmarkStart w:id="290" w:name="_Toc185415837"/>
      <w:r w:rsidRPr="0081146C">
        <w:rPr>
          <w:rStyle w:val="CharDivNo"/>
        </w:rPr>
        <w:t>Division 1</w:t>
      </w:r>
      <w:r w:rsidRPr="0081146C">
        <w:t>—</w:t>
      </w:r>
      <w:r w:rsidRPr="0081146C">
        <w:rPr>
          <w:rStyle w:val="CharDivText"/>
        </w:rPr>
        <w:t>Introduction</w:t>
      </w:r>
      <w:bookmarkEnd w:id="288"/>
      <w:bookmarkEnd w:id="289"/>
      <w:bookmarkEnd w:id="290"/>
    </w:p>
    <w:p w14:paraId="1A1D5632" w14:textId="77777777" w:rsidR="007330A4" w:rsidRPr="0081146C" w:rsidRDefault="007330A4" w:rsidP="007330A4">
      <w:pPr>
        <w:pStyle w:val="ActHead5"/>
      </w:pPr>
      <w:bookmarkStart w:id="291" w:name="_Toc176444438"/>
      <w:bookmarkStart w:id="292" w:name="_Toc184034059"/>
      <w:bookmarkStart w:id="293" w:name="_Toc185415838"/>
      <w:r w:rsidRPr="0081146C">
        <w:rPr>
          <w:rStyle w:val="CharSectno"/>
        </w:rPr>
        <w:t>63</w:t>
      </w:r>
      <w:r w:rsidRPr="0081146C">
        <w:t xml:space="preserve">  Simplified outline</w:t>
      </w:r>
      <w:bookmarkEnd w:id="291"/>
      <w:bookmarkEnd w:id="292"/>
      <w:bookmarkEnd w:id="293"/>
    </w:p>
    <w:p w14:paraId="72807E9F" w14:textId="77777777" w:rsidR="007330A4" w:rsidRPr="0081146C" w:rsidRDefault="007330A4" w:rsidP="007330A4">
      <w:pPr>
        <w:pStyle w:val="subsection"/>
      </w:pPr>
      <w:r w:rsidRPr="0081146C">
        <w:tab/>
      </w:r>
      <w:r w:rsidRPr="0081146C">
        <w:tab/>
        <w:t>The following is a simplified outline of this Part.</w:t>
      </w:r>
    </w:p>
    <w:p w14:paraId="46869E62" w14:textId="77777777" w:rsidR="007330A4" w:rsidRPr="0081146C" w:rsidRDefault="007330A4" w:rsidP="007330A4">
      <w:pPr>
        <w:pStyle w:val="SOBullet"/>
        <w:numPr>
          <w:ilvl w:val="0"/>
          <w:numId w:val="31"/>
        </w:numPr>
      </w:pPr>
      <w:r w:rsidRPr="0081146C">
        <w:t>An ordering institution, a beneficiary institution and an intermediary institution in a transfer of value must fulfil certain obligations in relation to the transfer.</w:t>
      </w:r>
    </w:p>
    <w:p w14:paraId="357702EC" w14:textId="77777777" w:rsidR="007330A4" w:rsidRPr="0081146C" w:rsidRDefault="007330A4" w:rsidP="007330A4">
      <w:pPr>
        <w:pStyle w:val="SOBullet"/>
        <w:numPr>
          <w:ilvl w:val="0"/>
          <w:numId w:val="31"/>
        </w:numPr>
      </w:pPr>
      <w:r w:rsidRPr="0081146C">
        <w:t>The obligations of an ordering institution relate to the information the institution collects, verifies and provides as part of the transfer.</w:t>
      </w:r>
    </w:p>
    <w:p w14:paraId="31B7F219" w14:textId="77777777" w:rsidR="007330A4" w:rsidRPr="0081146C" w:rsidRDefault="007330A4" w:rsidP="007330A4">
      <w:pPr>
        <w:pStyle w:val="SOBullet"/>
        <w:numPr>
          <w:ilvl w:val="0"/>
          <w:numId w:val="31"/>
        </w:numPr>
      </w:pPr>
      <w:r w:rsidRPr="0081146C">
        <w:t>The obligations of a beneficiary institution relate to the information the institution receives or otherwise obtains as part of the transfer.</w:t>
      </w:r>
    </w:p>
    <w:p w14:paraId="78CF852A" w14:textId="77777777" w:rsidR="007330A4" w:rsidRPr="0081146C" w:rsidRDefault="007330A4" w:rsidP="007330A4">
      <w:pPr>
        <w:pStyle w:val="SOBullet"/>
        <w:numPr>
          <w:ilvl w:val="0"/>
          <w:numId w:val="31"/>
        </w:numPr>
      </w:pPr>
      <w:r w:rsidRPr="0081146C">
        <w:t>The obligations of an intermediary institution relate to the information the institution receives and provides as part of the transfer.</w:t>
      </w:r>
    </w:p>
    <w:p w14:paraId="4C34A587" w14:textId="77777777" w:rsidR="007330A4" w:rsidRPr="0081146C" w:rsidRDefault="007330A4" w:rsidP="007330A4">
      <w:pPr>
        <w:pStyle w:val="SOBullet"/>
        <w:numPr>
          <w:ilvl w:val="0"/>
          <w:numId w:val="31"/>
        </w:numPr>
      </w:pPr>
      <w:r w:rsidRPr="0081146C">
        <w:t>Additional obligations apply if the transfer of value is a transfer of a virtual asset.</w:t>
      </w:r>
    </w:p>
    <w:p w14:paraId="1ABEFCE5" w14:textId="77777777" w:rsidR="007330A4" w:rsidRPr="0081146C" w:rsidRDefault="007330A4" w:rsidP="007330A4">
      <w:pPr>
        <w:pStyle w:val="ActHead5"/>
      </w:pPr>
      <w:bookmarkStart w:id="294" w:name="_Toc176444439"/>
      <w:bookmarkStart w:id="295" w:name="_Toc184034060"/>
      <w:bookmarkStart w:id="296" w:name="_Toc185415839"/>
      <w:r w:rsidRPr="0081146C">
        <w:rPr>
          <w:rStyle w:val="CharSectno"/>
        </w:rPr>
        <w:t>63A</w:t>
      </w:r>
      <w:r w:rsidRPr="0081146C">
        <w:t xml:space="preserve">  Key terms relating to transfers of value</w:t>
      </w:r>
      <w:bookmarkEnd w:id="294"/>
      <w:bookmarkEnd w:id="295"/>
      <w:bookmarkEnd w:id="296"/>
    </w:p>
    <w:p w14:paraId="2BF8904B" w14:textId="77777777" w:rsidR="007330A4" w:rsidRPr="0081146C" w:rsidRDefault="007330A4" w:rsidP="007330A4">
      <w:pPr>
        <w:pStyle w:val="SubsectionHead"/>
      </w:pPr>
      <w:r w:rsidRPr="0081146C">
        <w:t>Ordering institutions</w:t>
      </w:r>
    </w:p>
    <w:p w14:paraId="79C46270" w14:textId="77777777" w:rsidR="007330A4" w:rsidRPr="0081146C" w:rsidRDefault="007330A4" w:rsidP="007330A4">
      <w:pPr>
        <w:pStyle w:val="subsection"/>
      </w:pPr>
      <w:r w:rsidRPr="0081146C">
        <w:tab/>
        <w:t>(1)</w:t>
      </w:r>
      <w:r w:rsidRPr="0081146C">
        <w:tab/>
        <w:t xml:space="preserve">Whether a person is an </w:t>
      </w:r>
      <w:r w:rsidRPr="0081146C">
        <w:rPr>
          <w:b/>
          <w:i/>
        </w:rPr>
        <w:t>ordering institution</w:t>
      </w:r>
      <w:r w:rsidRPr="0081146C">
        <w:t xml:space="preserve"> is to be determined in accordance with the AML/CTF Rules.</w:t>
      </w:r>
    </w:p>
    <w:p w14:paraId="7E0150AE" w14:textId="77777777" w:rsidR="007330A4" w:rsidRPr="0081146C" w:rsidRDefault="007330A4" w:rsidP="007330A4">
      <w:pPr>
        <w:pStyle w:val="subsection"/>
      </w:pPr>
      <w:r w:rsidRPr="0081146C">
        <w:tab/>
        <w:t>(2)</w:t>
      </w:r>
      <w:r w:rsidRPr="0081146C">
        <w:tab/>
        <w:t>Without limiting subsection (1), AML/CTF Rules made for the purposes of that subsection may specify the following:</w:t>
      </w:r>
    </w:p>
    <w:p w14:paraId="138115EE" w14:textId="77777777" w:rsidR="007330A4" w:rsidRPr="0081146C" w:rsidRDefault="007330A4" w:rsidP="007330A4">
      <w:pPr>
        <w:pStyle w:val="paragraph"/>
      </w:pPr>
      <w:r w:rsidRPr="0081146C">
        <w:tab/>
        <w:t>(a)</w:t>
      </w:r>
      <w:r w:rsidRPr="0081146C">
        <w:tab/>
        <w:t>criteria or other requirements that a person must satisfy to be an ordering institution;</w:t>
      </w:r>
    </w:p>
    <w:p w14:paraId="5A330288" w14:textId="77777777" w:rsidR="007330A4" w:rsidRPr="0081146C" w:rsidRDefault="007330A4" w:rsidP="007330A4">
      <w:pPr>
        <w:pStyle w:val="paragraph"/>
      </w:pPr>
      <w:r w:rsidRPr="0081146C">
        <w:tab/>
        <w:t>(b)</w:t>
      </w:r>
      <w:r w:rsidRPr="0081146C">
        <w:tab/>
        <w:t>circumstances in which a person is an ordering institution.</w:t>
      </w:r>
    </w:p>
    <w:p w14:paraId="71F508A6" w14:textId="77777777" w:rsidR="007330A4" w:rsidRPr="0081146C" w:rsidRDefault="007330A4" w:rsidP="007330A4">
      <w:pPr>
        <w:pStyle w:val="subsection"/>
      </w:pPr>
      <w:r w:rsidRPr="0081146C">
        <w:tab/>
        <w:t>(4)</w:t>
      </w:r>
      <w:r w:rsidRPr="0081146C">
        <w:tab/>
        <w:t xml:space="preserve">However, none of the following persons are an </w:t>
      </w:r>
      <w:r w:rsidRPr="0081146C">
        <w:rPr>
          <w:b/>
          <w:i/>
        </w:rPr>
        <w:t>ordering institution</w:t>
      </w:r>
      <w:r w:rsidRPr="0081146C">
        <w:t>:</w:t>
      </w:r>
    </w:p>
    <w:p w14:paraId="6059C210" w14:textId="77777777" w:rsidR="007330A4" w:rsidRPr="0081146C" w:rsidRDefault="007330A4" w:rsidP="007330A4">
      <w:pPr>
        <w:pStyle w:val="paragraph"/>
      </w:pPr>
      <w:r w:rsidRPr="0081146C">
        <w:tab/>
        <w:t>(a)</w:t>
      </w:r>
      <w:r w:rsidRPr="0081146C">
        <w:tab/>
        <w:t>a person who transfers value in circumstances where the transfer is reasonably incidental to the provision of another service unless:</w:t>
      </w:r>
    </w:p>
    <w:p w14:paraId="6E76C018" w14:textId="77777777" w:rsidR="007330A4" w:rsidRPr="0081146C" w:rsidRDefault="007330A4" w:rsidP="007330A4">
      <w:pPr>
        <w:pStyle w:val="paragraphsub"/>
      </w:pPr>
      <w:r w:rsidRPr="0081146C">
        <w:tab/>
        <w:t>(i)</w:t>
      </w:r>
      <w:r w:rsidRPr="0081146C">
        <w:tab/>
        <w:t>the person is a financial institution; or</w:t>
      </w:r>
    </w:p>
    <w:p w14:paraId="5CB44237" w14:textId="77777777" w:rsidR="007330A4" w:rsidRPr="0081146C" w:rsidRDefault="007330A4" w:rsidP="007330A4">
      <w:pPr>
        <w:pStyle w:val="paragraphsub"/>
      </w:pPr>
      <w:r w:rsidRPr="0081146C">
        <w:tab/>
        <w:t>(ii)</w:t>
      </w:r>
      <w:r w:rsidRPr="0081146C">
        <w:tab/>
        <w:t>the person is providing an international value transfer service incidentally to a designated service covered by item 50, 50A or 50B of table 1 in section 6; or</w:t>
      </w:r>
    </w:p>
    <w:p w14:paraId="0A5D2E98" w14:textId="77777777" w:rsidR="007330A4" w:rsidRPr="0081146C" w:rsidRDefault="007330A4" w:rsidP="007330A4">
      <w:pPr>
        <w:pStyle w:val="paragraphsub"/>
      </w:pPr>
      <w:r w:rsidRPr="0081146C">
        <w:tab/>
        <w:t>(iii)</w:t>
      </w:r>
      <w:r w:rsidRPr="0081146C">
        <w:tab/>
        <w:t>the person is providing an international value transfer service incidentally to a designated service covered by table 3 in section 6;</w:t>
      </w:r>
    </w:p>
    <w:p w14:paraId="33D1454D" w14:textId="77777777" w:rsidR="007330A4" w:rsidRPr="0081146C" w:rsidRDefault="007330A4" w:rsidP="007330A4">
      <w:pPr>
        <w:pStyle w:val="paragraph"/>
      </w:pPr>
      <w:r w:rsidRPr="0081146C">
        <w:tab/>
        <w:t>(b)</w:t>
      </w:r>
      <w:r w:rsidRPr="0081146C">
        <w:tab/>
        <w:t>a person specified in the AML/CTF Rules.</w:t>
      </w:r>
    </w:p>
    <w:p w14:paraId="7E5C6AC5" w14:textId="77777777" w:rsidR="007330A4" w:rsidRPr="0081146C" w:rsidRDefault="007330A4" w:rsidP="007330A4">
      <w:pPr>
        <w:pStyle w:val="SubsectionHead"/>
      </w:pPr>
      <w:r w:rsidRPr="0081146C">
        <w:t>Beneficiary institutions</w:t>
      </w:r>
    </w:p>
    <w:p w14:paraId="3A78F291" w14:textId="77777777" w:rsidR="007330A4" w:rsidRPr="0081146C" w:rsidRDefault="007330A4" w:rsidP="007330A4">
      <w:pPr>
        <w:pStyle w:val="subsection"/>
      </w:pPr>
      <w:r w:rsidRPr="0081146C">
        <w:tab/>
        <w:t>(5)</w:t>
      </w:r>
      <w:r w:rsidRPr="0081146C">
        <w:tab/>
        <w:t xml:space="preserve">Whether a person is a </w:t>
      </w:r>
      <w:r w:rsidRPr="0081146C">
        <w:rPr>
          <w:b/>
          <w:i/>
        </w:rPr>
        <w:t>beneficiary institution</w:t>
      </w:r>
      <w:r w:rsidRPr="0081146C">
        <w:t xml:space="preserve"> is to be determined in accordance with the AML/CTF Rules.</w:t>
      </w:r>
    </w:p>
    <w:p w14:paraId="4CFE66D6" w14:textId="77777777" w:rsidR="007330A4" w:rsidRPr="0081146C" w:rsidRDefault="007330A4" w:rsidP="007330A4">
      <w:pPr>
        <w:pStyle w:val="subsection"/>
      </w:pPr>
      <w:r w:rsidRPr="0081146C">
        <w:tab/>
        <w:t>(6)</w:t>
      </w:r>
      <w:r w:rsidRPr="0081146C">
        <w:tab/>
        <w:t>Without limiting subsection (5), AML/CTF Rules made for the purposes of that subsection may specify the following:</w:t>
      </w:r>
    </w:p>
    <w:p w14:paraId="56BC087E" w14:textId="77777777" w:rsidR="007330A4" w:rsidRPr="0081146C" w:rsidRDefault="007330A4" w:rsidP="007330A4">
      <w:pPr>
        <w:pStyle w:val="paragraph"/>
      </w:pPr>
      <w:r w:rsidRPr="0081146C">
        <w:tab/>
        <w:t>(a)</w:t>
      </w:r>
      <w:r w:rsidRPr="0081146C">
        <w:tab/>
        <w:t>criteria or other requirements that a person must satisfy to be a beneficiary institution;</w:t>
      </w:r>
    </w:p>
    <w:p w14:paraId="069EA112" w14:textId="77777777" w:rsidR="007330A4" w:rsidRPr="0081146C" w:rsidRDefault="007330A4" w:rsidP="007330A4">
      <w:pPr>
        <w:pStyle w:val="paragraph"/>
      </w:pPr>
      <w:r w:rsidRPr="0081146C">
        <w:tab/>
        <w:t>(b)</w:t>
      </w:r>
      <w:r w:rsidRPr="0081146C">
        <w:tab/>
        <w:t>circumstances in which a person is a beneficiary institution.</w:t>
      </w:r>
    </w:p>
    <w:p w14:paraId="0E95D41B" w14:textId="77777777" w:rsidR="007330A4" w:rsidRPr="0081146C" w:rsidRDefault="007330A4" w:rsidP="007330A4">
      <w:pPr>
        <w:pStyle w:val="subsection"/>
      </w:pPr>
      <w:r w:rsidRPr="0081146C">
        <w:tab/>
        <w:t>(8)</w:t>
      </w:r>
      <w:r w:rsidRPr="0081146C">
        <w:tab/>
        <w:t xml:space="preserve">However, none of the following persons are a </w:t>
      </w:r>
      <w:r w:rsidRPr="0081146C">
        <w:rPr>
          <w:b/>
          <w:i/>
        </w:rPr>
        <w:t>beneficiary institution</w:t>
      </w:r>
      <w:r w:rsidRPr="0081146C">
        <w:t>:</w:t>
      </w:r>
    </w:p>
    <w:p w14:paraId="24F6DBDD" w14:textId="77777777" w:rsidR="007330A4" w:rsidRPr="0081146C" w:rsidRDefault="007330A4" w:rsidP="007330A4">
      <w:pPr>
        <w:pStyle w:val="paragraph"/>
      </w:pPr>
      <w:r w:rsidRPr="0081146C">
        <w:tab/>
        <w:t>(a)</w:t>
      </w:r>
      <w:r w:rsidRPr="0081146C">
        <w:tab/>
        <w:t>a person who makes value available in circumstances where the making available of the value is reasonably incidental to the provision of another service unless:</w:t>
      </w:r>
    </w:p>
    <w:p w14:paraId="2D5D6EC6" w14:textId="77777777" w:rsidR="007330A4" w:rsidRPr="0081146C" w:rsidRDefault="007330A4" w:rsidP="007330A4">
      <w:pPr>
        <w:pStyle w:val="paragraphsub"/>
      </w:pPr>
      <w:r w:rsidRPr="0081146C">
        <w:tab/>
        <w:t>(i)</w:t>
      </w:r>
      <w:r w:rsidRPr="0081146C">
        <w:tab/>
        <w:t>the person is a financial institution;</w:t>
      </w:r>
    </w:p>
    <w:p w14:paraId="746F7253" w14:textId="77777777" w:rsidR="007330A4" w:rsidRPr="0081146C" w:rsidRDefault="007330A4" w:rsidP="007330A4">
      <w:pPr>
        <w:pStyle w:val="paragraphsub"/>
      </w:pPr>
      <w:r w:rsidRPr="0081146C">
        <w:tab/>
        <w:t>(ii)</w:t>
      </w:r>
      <w:r w:rsidRPr="0081146C">
        <w:tab/>
        <w:t>the person is providing an international value transfer service incidentally to a designated service covered by item 50, 50A or 50B of table 1 in section 6;</w:t>
      </w:r>
    </w:p>
    <w:p w14:paraId="7281D688" w14:textId="77777777" w:rsidR="007330A4" w:rsidRPr="0081146C" w:rsidRDefault="007330A4" w:rsidP="007330A4">
      <w:pPr>
        <w:pStyle w:val="paragraphsub"/>
      </w:pPr>
      <w:r w:rsidRPr="0081146C">
        <w:tab/>
        <w:t>(iii)</w:t>
      </w:r>
      <w:r w:rsidRPr="0081146C">
        <w:tab/>
        <w:t>the person is providing an international value transfer service incidentally to a designated service covered by table 3 in section 6;</w:t>
      </w:r>
    </w:p>
    <w:p w14:paraId="7A100D53" w14:textId="77777777" w:rsidR="007330A4" w:rsidRPr="0081146C" w:rsidRDefault="007330A4" w:rsidP="007330A4">
      <w:pPr>
        <w:pStyle w:val="paragraph"/>
      </w:pPr>
      <w:r w:rsidRPr="0081146C">
        <w:tab/>
        <w:t>(b)</w:t>
      </w:r>
      <w:r w:rsidRPr="0081146C">
        <w:tab/>
        <w:t>a person specified in the AML/CTF Rules.</w:t>
      </w:r>
    </w:p>
    <w:p w14:paraId="54DC14F9" w14:textId="77777777" w:rsidR="007330A4" w:rsidRPr="0081146C" w:rsidRDefault="007330A4" w:rsidP="007330A4">
      <w:pPr>
        <w:pStyle w:val="SubsectionHead"/>
      </w:pPr>
      <w:r w:rsidRPr="0081146C">
        <w:t>Intermediary institution</w:t>
      </w:r>
    </w:p>
    <w:p w14:paraId="1A1D7CFC" w14:textId="77777777" w:rsidR="007330A4" w:rsidRPr="0081146C" w:rsidRDefault="007330A4" w:rsidP="007330A4">
      <w:pPr>
        <w:pStyle w:val="subsection"/>
      </w:pPr>
      <w:r w:rsidRPr="0081146C">
        <w:tab/>
        <w:t>(9)</w:t>
      </w:r>
      <w:r w:rsidRPr="0081146C">
        <w:tab/>
        <w:t xml:space="preserve">A person is an </w:t>
      </w:r>
      <w:r w:rsidRPr="0081146C">
        <w:rPr>
          <w:b/>
          <w:i/>
        </w:rPr>
        <w:t>intermediary institution</w:t>
      </w:r>
      <w:r w:rsidRPr="0081146C">
        <w:t xml:space="preserve"> if the person:</w:t>
      </w:r>
    </w:p>
    <w:p w14:paraId="785091EE" w14:textId="77777777" w:rsidR="007330A4" w:rsidRPr="0081146C" w:rsidRDefault="007330A4" w:rsidP="007330A4">
      <w:pPr>
        <w:pStyle w:val="paragraph"/>
      </w:pPr>
      <w:r w:rsidRPr="0081146C">
        <w:tab/>
        <w:t>(a)</w:t>
      </w:r>
      <w:r w:rsidRPr="0081146C">
        <w:tab/>
        <w:t>in the course of carrying on a business, receives and passes on a transfer message for a transfer of value in a value transfer chain; or</w:t>
      </w:r>
    </w:p>
    <w:p w14:paraId="45FB551E" w14:textId="77777777" w:rsidR="007330A4" w:rsidRPr="0081146C" w:rsidRDefault="007330A4" w:rsidP="007330A4">
      <w:pPr>
        <w:pStyle w:val="paragraph"/>
      </w:pPr>
      <w:r w:rsidRPr="0081146C">
        <w:tab/>
        <w:t>(b)</w:t>
      </w:r>
      <w:r w:rsidRPr="0081146C">
        <w:tab/>
        <w:t>is specified in the AML/CTF Rules.</w:t>
      </w:r>
    </w:p>
    <w:p w14:paraId="55FD2AE7" w14:textId="77777777" w:rsidR="007330A4" w:rsidRPr="0081146C" w:rsidRDefault="007330A4" w:rsidP="007330A4">
      <w:pPr>
        <w:pStyle w:val="subsection"/>
      </w:pPr>
      <w:r w:rsidRPr="0081146C">
        <w:tab/>
        <w:t>(10)</w:t>
      </w:r>
      <w:r w:rsidRPr="0081146C">
        <w:tab/>
        <w:t xml:space="preserve">However, none of the following persons are an </w:t>
      </w:r>
      <w:r w:rsidRPr="0081146C">
        <w:rPr>
          <w:b/>
          <w:i/>
        </w:rPr>
        <w:t>intermediary institution</w:t>
      </w:r>
      <w:r w:rsidRPr="0081146C">
        <w:t>:</w:t>
      </w:r>
    </w:p>
    <w:p w14:paraId="6C63B2F0" w14:textId="77777777" w:rsidR="007330A4" w:rsidRPr="0081146C" w:rsidRDefault="007330A4" w:rsidP="007330A4">
      <w:pPr>
        <w:pStyle w:val="paragraph"/>
      </w:pPr>
      <w:r w:rsidRPr="0081146C">
        <w:tab/>
        <w:t>(a)</w:t>
      </w:r>
      <w:r w:rsidRPr="0081146C">
        <w:tab/>
        <w:t>a person who solely provides the infrastructure that permits persons to send transfer messages for a transfer of value to another person in the value transfer chain;</w:t>
      </w:r>
    </w:p>
    <w:p w14:paraId="47D484EB" w14:textId="77777777" w:rsidR="007330A4" w:rsidRPr="0081146C" w:rsidRDefault="007330A4" w:rsidP="007330A4">
      <w:pPr>
        <w:pStyle w:val="paragraph"/>
      </w:pPr>
      <w:r w:rsidRPr="0081146C">
        <w:tab/>
        <w:t>(b)</w:t>
      </w:r>
      <w:r w:rsidRPr="0081146C">
        <w:tab/>
        <w:t>a person who is specified in the AML/CTF Rules.</w:t>
      </w:r>
    </w:p>
    <w:p w14:paraId="3EFBFC38" w14:textId="77777777" w:rsidR="007330A4" w:rsidRPr="0081146C" w:rsidRDefault="007330A4" w:rsidP="007330A4">
      <w:pPr>
        <w:pStyle w:val="SubsectionHead"/>
      </w:pPr>
      <w:r w:rsidRPr="0081146C">
        <w:t>Value transfer chain</w:t>
      </w:r>
    </w:p>
    <w:p w14:paraId="6407C9CE" w14:textId="77777777" w:rsidR="007330A4" w:rsidRPr="0081146C" w:rsidRDefault="007330A4" w:rsidP="007330A4">
      <w:pPr>
        <w:pStyle w:val="subsection"/>
      </w:pPr>
      <w:r w:rsidRPr="0081146C">
        <w:tab/>
        <w:t>(11)</w:t>
      </w:r>
      <w:r w:rsidRPr="0081146C">
        <w:tab/>
        <w:t xml:space="preserve">The following persons are taken to form a </w:t>
      </w:r>
      <w:r w:rsidRPr="0081146C">
        <w:rPr>
          <w:b/>
          <w:i/>
        </w:rPr>
        <w:t>value transfer chain</w:t>
      </w:r>
      <w:r w:rsidRPr="0081146C">
        <w:t>:</w:t>
      </w:r>
    </w:p>
    <w:p w14:paraId="19D5DF65" w14:textId="77777777" w:rsidR="007330A4" w:rsidRPr="0081146C" w:rsidRDefault="007330A4" w:rsidP="007330A4">
      <w:pPr>
        <w:pStyle w:val="paragraph"/>
      </w:pPr>
      <w:r w:rsidRPr="0081146C">
        <w:tab/>
        <w:t>(a)</w:t>
      </w:r>
      <w:r w:rsidRPr="0081146C">
        <w:tab/>
        <w:t>the ordering institution;</w:t>
      </w:r>
    </w:p>
    <w:p w14:paraId="3CE7ED53" w14:textId="77777777" w:rsidR="007330A4" w:rsidRPr="0081146C" w:rsidRDefault="007330A4" w:rsidP="007330A4">
      <w:pPr>
        <w:pStyle w:val="paragraph"/>
      </w:pPr>
      <w:r w:rsidRPr="0081146C">
        <w:tab/>
        <w:t>(b)</w:t>
      </w:r>
      <w:r w:rsidRPr="0081146C">
        <w:tab/>
        <w:t>each intermediary institution (if any) between the ordering institution and the beneficiary institution;</w:t>
      </w:r>
    </w:p>
    <w:p w14:paraId="28885582" w14:textId="77777777" w:rsidR="007330A4" w:rsidRPr="0081146C" w:rsidRDefault="007330A4" w:rsidP="007330A4">
      <w:pPr>
        <w:pStyle w:val="paragraph"/>
      </w:pPr>
      <w:r w:rsidRPr="0081146C">
        <w:tab/>
        <w:t>(c)</w:t>
      </w:r>
      <w:r w:rsidRPr="0081146C">
        <w:tab/>
        <w:t>the beneficiary institution.</w:t>
      </w:r>
    </w:p>
    <w:p w14:paraId="1145133A" w14:textId="77777777" w:rsidR="007330A4" w:rsidRPr="0081146C" w:rsidRDefault="007330A4" w:rsidP="007330A4">
      <w:pPr>
        <w:pStyle w:val="SubsectionHead"/>
      </w:pPr>
      <w:r w:rsidRPr="0081146C">
        <w:t>Institutions</w:t>
      </w:r>
    </w:p>
    <w:p w14:paraId="21FF57FC" w14:textId="77777777" w:rsidR="007330A4" w:rsidRPr="0081146C" w:rsidRDefault="007330A4" w:rsidP="007330A4">
      <w:pPr>
        <w:pStyle w:val="subsection"/>
      </w:pPr>
      <w:r w:rsidRPr="0081146C">
        <w:tab/>
        <w:t>(12)</w:t>
      </w:r>
      <w:r w:rsidRPr="0081146C">
        <w:tab/>
        <w:t xml:space="preserve">Each person in a value transfer chain is an </w:t>
      </w:r>
      <w:r w:rsidRPr="0081146C">
        <w:rPr>
          <w:b/>
          <w:i/>
        </w:rPr>
        <w:t>institution</w:t>
      </w:r>
      <w:r w:rsidRPr="0081146C">
        <w:t>.</w:t>
      </w:r>
    </w:p>
    <w:p w14:paraId="5BDF3610" w14:textId="77777777" w:rsidR="007330A4" w:rsidRPr="0081146C" w:rsidRDefault="007330A4" w:rsidP="007330A4">
      <w:pPr>
        <w:pStyle w:val="SubsectionHead"/>
      </w:pPr>
      <w:r w:rsidRPr="0081146C">
        <w:t>Payer and payee may be same person etc.</w:t>
      </w:r>
    </w:p>
    <w:p w14:paraId="1D29E3A6" w14:textId="77777777" w:rsidR="007330A4" w:rsidRPr="0081146C" w:rsidRDefault="007330A4" w:rsidP="007330A4">
      <w:pPr>
        <w:pStyle w:val="subsection"/>
      </w:pPr>
      <w:r w:rsidRPr="0081146C">
        <w:tab/>
        <w:t>(13)</w:t>
      </w:r>
      <w:r w:rsidRPr="0081146C">
        <w:tab/>
        <w:t>For the purposes of this Act:</w:t>
      </w:r>
    </w:p>
    <w:p w14:paraId="6B0F16FE" w14:textId="77777777" w:rsidR="007330A4" w:rsidRPr="0081146C" w:rsidRDefault="007330A4" w:rsidP="007330A4">
      <w:pPr>
        <w:pStyle w:val="paragraph"/>
      </w:pPr>
      <w:r w:rsidRPr="0081146C">
        <w:tab/>
        <w:t>(a)</w:t>
      </w:r>
      <w:r w:rsidRPr="0081146C">
        <w:tab/>
        <w:t>the payer and the payee in relation to a transfer of value may be the same person; and</w:t>
      </w:r>
    </w:p>
    <w:p w14:paraId="3CF1F740" w14:textId="77777777" w:rsidR="007330A4" w:rsidRPr="0081146C" w:rsidRDefault="007330A4" w:rsidP="007330A4">
      <w:pPr>
        <w:pStyle w:val="paragraph"/>
      </w:pPr>
      <w:r w:rsidRPr="0081146C">
        <w:tab/>
        <w:t>(b)</w:t>
      </w:r>
      <w:r w:rsidRPr="0081146C">
        <w:tab/>
        <w:t>the ordering institution and the beneficiary institution in relation to a transfer of value may be the same person.</w:t>
      </w:r>
    </w:p>
    <w:p w14:paraId="29A71829" w14:textId="77777777" w:rsidR="007330A4" w:rsidRPr="0081146C" w:rsidRDefault="007330A4" w:rsidP="00BC1C78">
      <w:pPr>
        <w:pStyle w:val="ActHead3"/>
        <w:pageBreakBefore/>
      </w:pPr>
      <w:bookmarkStart w:id="297" w:name="_Toc176444440"/>
      <w:bookmarkStart w:id="298" w:name="_Toc184034061"/>
      <w:bookmarkStart w:id="299" w:name="_Toc185415840"/>
      <w:r w:rsidRPr="0081146C">
        <w:rPr>
          <w:rStyle w:val="CharDivNo"/>
        </w:rPr>
        <w:t>Division 2</w:t>
      </w:r>
      <w:r w:rsidRPr="0081146C">
        <w:t>—</w:t>
      </w:r>
      <w:r w:rsidRPr="0081146C">
        <w:rPr>
          <w:rStyle w:val="CharDivText"/>
        </w:rPr>
        <w:t>Obligations of institutions</w:t>
      </w:r>
      <w:bookmarkEnd w:id="297"/>
      <w:bookmarkEnd w:id="298"/>
      <w:bookmarkEnd w:id="299"/>
    </w:p>
    <w:p w14:paraId="0A56A26E" w14:textId="77777777" w:rsidR="007330A4" w:rsidRPr="0081146C" w:rsidRDefault="007330A4" w:rsidP="007330A4">
      <w:pPr>
        <w:pStyle w:val="ActHead5"/>
      </w:pPr>
      <w:bookmarkStart w:id="300" w:name="_Toc176444441"/>
      <w:bookmarkStart w:id="301" w:name="_Toc184034062"/>
      <w:bookmarkStart w:id="302" w:name="_Toc185415841"/>
      <w:r w:rsidRPr="0081146C">
        <w:rPr>
          <w:rStyle w:val="CharSectno"/>
        </w:rPr>
        <w:t>64</w:t>
      </w:r>
      <w:r w:rsidRPr="0081146C">
        <w:t xml:space="preserve">  Obligations of ordering institutions</w:t>
      </w:r>
      <w:bookmarkEnd w:id="300"/>
      <w:bookmarkEnd w:id="301"/>
      <w:bookmarkEnd w:id="302"/>
    </w:p>
    <w:p w14:paraId="38A21F04" w14:textId="77777777" w:rsidR="007330A4" w:rsidRPr="0081146C" w:rsidRDefault="007330A4" w:rsidP="007330A4">
      <w:pPr>
        <w:pStyle w:val="SubsectionHead"/>
      </w:pPr>
      <w:r w:rsidRPr="0081146C">
        <w:t>Scope</w:t>
      </w:r>
    </w:p>
    <w:p w14:paraId="3E8CBA1D" w14:textId="77777777" w:rsidR="007330A4" w:rsidRPr="0081146C" w:rsidRDefault="007330A4" w:rsidP="007330A4">
      <w:pPr>
        <w:pStyle w:val="subsection"/>
      </w:pPr>
      <w:r w:rsidRPr="0081146C">
        <w:tab/>
        <w:t>(1)</w:t>
      </w:r>
      <w:r w:rsidRPr="0081146C">
        <w:tab/>
        <w:t>This section applies if an ordering institution commences to provide the designated service covered by item 29 of table 1 in section 6.</w:t>
      </w:r>
    </w:p>
    <w:p w14:paraId="37CCC653" w14:textId="77777777" w:rsidR="007330A4" w:rsidRPr="0081146C" w:rsidRDefault="007330A4" w:rsidP="007330A4">
      <w:pPr>
        <w:pStyle w:val="notetext"/>
      </w:pPr>
      <w:r w:rsidRPr="0081146C">
        <w:t>Note 1:</w:t>
      </w:r>
      <w:r w:rsidRPr="0081146C">
        <w:tab/>
        <w:t>For exemptions, see sections 67 and 67A.</w:t>
      </w:r>
    </w:p>
    <w:p w14:paraId="45E1252F" w14:textId="77777777" w:rsidR="007330A4" w:rsidRPr="0081146C" w:rsidRDefault="007330A4" w:rsidP="007330A4">
      <w:pPr>
        <w:pStyle w:val="notetext"/>
      </w:pPr>
      <w:r w:rsidRPr="0081146C">
        <w:t>Note 2:</w:t>
      </w:r>
      <w:r w:rsidRPr="0081146C">
        <w:tab/>
        <w:t xml:space="preserve">An ordering institution may also have obligations under the </w:t>
      </w:r>
      <w:r w:rsidRPr="0081146C">
        <w:rPr>
          <w:i/>
        </w:rPr>
        <w:t>Autonomous Sanctions Act 2011</w:t>
      </w:r>
      <w:r w:rsidRPr="0081146C">
        <w:t xml:space="preserve"> and the </w:t>
      </w:r>
      <w:r w:rsidRPr="0081146C">
        <w:rPr>
          <w:i/>
        </w:rPr>
        <w:t>Charter of the United Nations Act 1945</w:t>
      </w:r>
      <w:r w:rsidRPr="0081146C">
        <w:t xml:space="preserve"> in relation to persons designated for targeted financial sanctions.</w:t>
      </w:r>
    </w:p>
    <w:p w14:paraId="695C5D67" w14:textId="77777777" w:rsidR="007330A4" w:rsidRPr="0081146C" w:rsidRDefault="007330A4" w:rsidP="007330A4">
      <w:pPr>
        <w:pStyle w:val="SubsectionHead"/>
      </w:pPr>
      <w:r w:rsidRPr="0081146C">
        <w:t>Obligations of ordering institution</w:t>
      </w:r>
    </w:p>
    <w:p w14:paraId="177836C0" w14:textId="77777777" w:rsidR="007330A4" w:rsidRPr="0081146C" w:rsidRDefault="007330A4" w:rsidP="007330A4">
      <w:pPr>
        <w:pStyle w:val="subsection"/>
      </w:pPr>
      <w:r w:rsidRPr="0081146C">
        <w:tab/>
        <w:t>(2)</w:t>
      </w:r>
      <w:r w:rsidRPr="0081146C">
        <w:tab/>
        <w:t>Before the ordering institution passes on a transfer message for the transfer of value, or otherwise gives effect to the transfer of value, the ordering institution must:</w:t>
      </w:r>
    </w:p>
    <w:p w14:paraId="79D920AA" w14:textId="77777777" w:rsidR="007330A4" w:rsidRPr="0081146C" w:rsidRDefault="007330A4" w:rsidP="007330A4">
      <w:pPr>
        <w:pStyle w:val="paragraph"/>
      </w:pPr>
      <w:r w:rsidRPr="0081146C">
        <w:tab/>
        <w:t>(a)</w:t>
      </w:r>
      <w:r w:rsidRPr="0081146C">
        <w:tab/>
        <w:t>collect the information specified in the AML/CTF Rules; and</w:t>
      </w:r>
    </w:p>
    <w:p w14:paraId="19C70D73" w14:textId="77777777" w:rsidR="007330A4" w:rsidRPr="0081146C" w:rsidRDefault="007330A4" w:rsidP="007330A4">
      <w:pPr>
        <w:pStyle w:val="paragraph"/>
      </w:pPr>
      <w:r w:rsidRPr="0081146C">
        <w:tab/>
        <w:t>(b)</w:t>
      </w:r>
      <w:r w:rsidRPr="0081146C">
        <w:tab/>
        <w:t>if required by the AML/CTF Rules—verify the information specified in the AML/CTF Rules in accordance with sections 28 and 30 (as applicable).</w:t>
      </w:r>
    </w:p>
    <w:p w14:paraId="045BB9A4" w14:textId="77777777" w:rsidR="007330A4" w:rsidRPr="0081146C" w:rsidRDefault="007330A4" w:rsidP="007330A4">
      <w:pPr>
        <w:pStyle w:val="subsection"/>
      </w:pPr>
      <w:r w:rsidRPr="0081146C">
        <w:tab/>
        <w:t>(3)</w:t>
      </w:r>
      <w:r w:rsidRPr="0081146C">
        <w:tab/>
        <w:t>If the ordering institution and the beneficiary institution for the transfer of value are not the same person, the ordering institution must pass on the information specified in the AML/CTF Rules relating to the transfer of value to the next institution in the value transfer chain.</w:t>
      </w:r>
    </w:p>
    <w:p w14:paraId="4DED7948" w14:textId="77777777" w:rsidR="007330A4" w:rsidRPr="0081146C" w:rsidRDefault="007330A4" w:rsidP="007330A4">
      <w:pPr>
        <w:pStyle w:val="subsection"/>
      </w:pPr>
      <w:r w:rsidRPr="0081146C">
        <w:tab/>
        <w:t>(4)</w:t>
      </w:r>
      <w:r w:rsidRPr="0081146C">
        <w:tab/>
        <w:t>If the transfer message for the transfer of value does not give effect to the transfer of value then, for the purposes of subsection (3), the message must be passed on before, or at the same time as, the ordering institution gives effect to the transfer of value.</w:t>
      </w:r>
    </w:p>
    <w:p w14:paraId="2A529B8B" w14:textId="77777777" w:rsidR="007330A4" w:rsidRPr="0081146C" w:rsidRDefault="007330A4" w:rsidP="007330A4">
      <w:pPr>
        <w:pStyle w:val="subsection"/>
      </w:pPr>
      <w:r w:rsidRPr="0081146C">
        <w:tab/>
        <w:t>(5)</w:t>
      </w:r>
      <w:r w:rsidRPr="0081146C">
        <w:tab/>
        <w:t>The ordering institution must provide the following information to another institution in the value transfer chain as soon as practicable after receiving a request from the institution for that information:</w:t>
      </w:r>
    </w:p>
    <w:p w14:paraId="3E25FBE9" w14:textId="77777777" w:rsidR="007330A4" w:rsidRPr="0081146C" w:rsidRDefault="007330A4" w:rsidP="007330A4">
      <w:pPr>
        <w:pStyle w:val="paragraph"/>
      </w:pPr>
      <w:r w:rsidRPr="0081146C">
        <w:tab/>
        <w:t>(a)</w:t>
      </w:r>
      <w:r w:rsidRPr="0081146C">
        <w:tab/>
        <w:t>the information specified by the AML/CTF Rules for the purposes of paragraph (2)(a);</w:t>
      </w:r>
    </w:p>
    <w:p w14:paraId="523E005F" w14:textId="77777777" w:rsidR="007330A4" w:rsidRPr="0081146C" w:rsidRDefault="007330A4" w:rsidP="007330A4">
      <w:pPr>
        <w:pStyle w:val="paragraph"/>
      </w:pPr>
      <w:r w:rsidRPr="0081146C">
        <w:tab/>
        <w:t>(b)</w:t>
      </w:r>
      <w:r w:rsidRPr="0081146C">
        <w:tab/>
        <w:t>the information specified by the AML/CTF Rules for the purposes of subsection (3).</w:t>
      </w:r>
    </w:p>
    <w:p w14:paraId="2FA1177A" w14:textId="77777777" w:rsidR="007330A4" w:rsidRPr="0081146C" w:rsidRDefault="007330A4" w:rsidP="007330A4">
      <w:pPr>
        <w:pStyle w:val="SubsectionHead"/>
      </w:pPr>
      <w:r w:rsidRPr="0081146C">
        <w:t>AML/CTF Rules</w:t>
      </w:r>
    </w:p>
    <w:p w14:paraId="520E6A6D" w14:textId="77777777" w:rsidR="007330A4" w:rsidRPr="0081146C" w:rsidRDefault="007330A4" w:rsidP="007330A4">
      <w:pPr>
        <w:pStyle w:val="subsection"/>
      </w:pPr>
      <w:r w:rsidRPr="0081146C">
        <w:tab/>
        <w:t>(6)</w:t>
      </w:r>
      <w:r w:rsidRPr="0081146C">
        <w:tab/>
        <w:t xml:space="preserve">AML/CTF Rules made for the purposes of this section may make different provision in relation to different kinds of institutions, information, circumstances or any other matter. This does not limit subsection 33(3A) of the </w:t>
      </w:r>
      <w:r w:rsidRPr="0081146C">
        <w:rPr>
          <w:i/>
        </w:rPr>
        <w:t>Acts Interpretation Act 1901</w:t>
      </w:r>
      <w:r w:rsidRPr="0081146C">
        <w:t>.</w:t>
      </w:r>
    </w:p>
    <w:p w14:paraId="0E15BFE7" w14:textId="77777777" w:rsidR="007330A4" w:rsidRPr="0081146C" w:rsidRDefault="007330A4" w:rsidP="007330A4">
      <w:pPr>
        <w:pStyle w:val="SubsectionHead"/>
      </w:pPr>
      <w:r w:rsidRPr="0081146C">
        <w:t>Civil penalty</w:t>
      </w:r>
    </w:p>
    <w:p w14:paraId="736FAE66" w14:textId="77777777" w:rsidR="007330A4" w:rsidRPr="0081146C" w:rsidRDefault="007330A4" w:rsidP="007330A4">
      <w:pPr>
        <w:pStyle w:val="subsection"/>
      </w:pPr>
      <w:r w:rsidRPr="0081146C">
        <w:tab/>
        <w:t>(7)</w:t>
      </w:r>
      <w:r w:rsidRPr="0081146C">
        <w:tab/>
        <w:t>Subsections (2), (3) and (5) are civil penalty provisions.</w:t>
      </w:r>
    </w:p>
    <w:p w14:paraId="1E8262B6" w14:textId="77777777" w:rsidR="007330A4" w:rsidRPr="0081146C" w:rsidRDefault="007330A4" w:rsidP="007330A4">
      <w:pPr>
        <w:pStyle w:val="ActHead5"/>
      </w:pPr>
      <w:bookmarkStart w:id="303" w:name="_Toc176444442"/>
      <w:bookmarkStart w:id="304" w:name="_Toc184034063"/>
      <w:bookmarkStart w:id="305" w:name="_Toc185415842"/>
      <w:r w:rsidRPr="0081146C">
        <w:rPr>
          <w:rStyle w:val="CharSectno"/>
        </w:rPr>
        <w:t>65</w:t>
      </w:r>
      <w:r w:rsidRPr="0081146C">
        <w:t xml:space="preserve">  Obligations of beneficiary institutions</w:t>
      </w:r>
      <w:bookmarkEnd w:id="303"/>
      <w:bookmarkEnd w:id="304"/>
      <w:bookmarkEnd w:id="305"/>
    </w:p>
    <w:p w14:paraId="0B11AA13" w14:textId="77777777" w:rsidR="007330A4" w:rsidRPr="0081146C" w:rsidRDefault="007330A4" w:rsidP="007330A4">
      <w:pPr>
        <w:pStyle w:val="SubsectionHead"/>
      </w:pPr>
      <w:r w:rsidRPr="0081146C">
        <w:t>Scope</w:t>
      </w:r>
    </w:p>
    <w:p w14:paraId="3FB65918" w14:textId="77777777" w:rsidR="007330A4" w:rsidRPr="0081146C" w:rsidRDefault="007330A4" w:rsidP="007330A4">
      <w:pPr>
        <w:pStyle w:val="subsection"/>
      </w:pPr>
      <w:r w:rsidRPr="0081146C">
        <w:tab/>
        <w:t>(1)</w:t>
      </w:r>
      <w:r w:rsidRPr="0081146C">
        <w:tab/>
        <w:t xml:space="preserve">This section applies if a beneficiary institution commences to provide </w:t>
      </w:r>
      <w:bookmarkStart w:id="306" w:name="_Hlk173850493"/>
      <w:r w:rsidRPr="0081146C">
        <w:t>the designated service covered by item 30 of table 1 in section 6</w:t>
      </w:r>
      <w:bookmarkEnd w:id="306"/>
      <w:r w:rsidRPr="0081146C">
        <w:t xml:space="preserve"> to a payee.</w:t>
      </w:r>
    </w:p>
    <w:p w14:paraId="5184BE6A" w14:textId="77777777" w:rsidR="007330A4" w:rsidRPr="0081146C" w:rsidRDefault="007330A4" w:rsidP="007330A4">
      <w:pPr>
        <w:pStyle w:val="notetext"/>
      </w:pPr>
      <w:r w:rsidRPr="0081146C">
        <w:t>Note:</w:t>
      </w:r>
      <w:r w:rsidRPr="0081146C">
        <w:tab/>
        <w:t>For exemptions, see sections 67 and 67A.</w:t>
      </w:r>
    </w:p>
    <w:p w14:paraId="6C89DA65" w14:textId="77777777" w:rsidR="007330A4" w:rsidRPr="0081146C" w:rsidRDefault="007330A4" w:rsidP="007330A4">
      <w:pPr>
        <w:pStyle w:val="SubsectionHead"/>
      </w:pPr>
      <w:r w:rsidRPr="0081146C">
        <w:t>Obligations of beneficiary institution</w:t>
      </w:r>
    </w:p>
    <w:p w14:paraId="7F8C587D" w14:textId="77777777" w:rsidR="007330A4" w:rsidRPr="0081146C" w:rsidRDefault="007330A4" w:rsidP="007330A4">
      <w:pPr>
        <w:pStyle w:val="subsection"/>
      </w:pPr>
      <w:r w:rsidRPr="0081146C">
        <w:tab/>
        <w:t>(2)</w:t>
      </w:r>
      <w:r w:rsidRPr="0081146C">
        <w:tab/>
        <w:t>The beneficiary institution must take reasonable steps to monitor:</w:t>
      </w:r>
    </w:p>
    <w:p w14:paraId="462BA0BB" w14:textId="77777777" w:rsidR="007330A4" w:rsidRPr="0081146C" w:rsidRDefault="007330A4" w:rsidP="007330A4">
      <w:pPr>
        <w:pStyle w:val="paragraph"/>
      </w:pPr>
      <w:r w:rsidRPr="0081146C">
        <w:tab/>
        <w:t>(a)</w:t>
      </w:r>
      <w:r w:rsidRPr="0081146C">
        <w:tab/>
        <w:t>whether it has received the i</w:t>
      </w:r>
      <w:bookmarkStart w:id="307" w:name="_Hlk173850619"/>
      <w:r w:rsidRPr="0081146C">
        <w:t>nformation specified in the AML/CTF Rules relating to the transfer of value;</w:t>
      </w:r>
      <w:bookmarkEnd w:id="307"/>
      <w:r w:rsidRPr="0081146C">
        <w:t xml:space="preserve"> and</w:t>
      </w:r>
    </w:p>
    <w:p w14:paraId="12C20060" w14:textId="77777777" w:rsidR="007330A4" w:rsidRPr="0081146C" w:rsidRDefault="007330A4" w:rsidP="007330A4">
      <w:pPr>
        <w:pStyle w:val="paragraph"/>
      </w:pPr>
      <w:r w:rsidRPr="0081146C">
        <w:tab/>
        <w:t>(b)</w:t>
      </w:r>
      <w:r w:rsidRPr="0081146C">
        <w:tab/>
        <w:t>whether the information received about the payee is accurate.</w:t>
      </w:r>
    </w:p>
    <w:p w14:paraId="37951F91" w14:textId="77777777" w:rsidR="007330A4" w:rsidRPr="0081146C" w:rsidRDefault="007330A4" w:rsidP="007330A4">
      <w:pPr>
        <w:pStyle w:val="subsection"/>
      </w:pPr>
      <w:r w:rsidRPr="0081146C">
        <w:tab/>
        <w:t>(3)</w:t>
      </w:r>
      <w:r w:rsidRPr="0081146C">
        <w:tab/>
        <w:t>If:</w:t>
      </w:r>
    </w:p>
    <w:p w14:paraId="6EE8DC75" w14:textId="77777777" w:rsidR="007330A4" w:rsidRPr="0081146C" w:rsidRDefault="007330A4" w:rsidP="007330A4">
      <w:pPr>
        <w:pStyle w:val="paragraph"/>
      </w:pPr>
      <w:r w:rsidRPr="0081146C">
        <w:tab/>
        <w:t>(a)</w:t>
      </w:r>
      <w:r w:rsidRPr="0081146C">
        <w:tab/>
        <w:t>the beneficiary institution:</w:t>
      </w:r>
    </w:p>
    <w:p w14:paraId="765E6C16" w14:textId="77777777" w:rsidR="007330A4" w:rsidRPr="0081146C" w:rsidRDefault="007330A4" w:rsidP="007330A4">
      <w:pPr>
        <w:pStyle w:val="paragraphsub"/>
      </w:pPr>
      <w:r w:rsidRPr="0081146C">
        <w:tab/>
        <w:t>(i)</w:t>
      </w:r>
      <w:r w:rsidRPr="0081146C">
        <w:tab/>
        <w:t>detects that it has not received all of the information mentioned in paragraph (2)(a); and</w:t>
      </w:r>
    </w:p>
    <w:p w14:paraId="1F65844D" w14:textId="77777777" w:rsidR="007330A4" w:rsidRPr="0081146C" w:rsidRDefault="007330A4" w:rsidP="007330A4">
      <w:pPr>
        <w:pStyle w:val="paragraphsub"/>
      </w:pPr>
      <w:r w:rsidRPr="0081146C">
        <w:tab/>
        <w:t>(ii)</w:t>
      </w:r>
      <w:r w:rsidRPr="0081146C">
        <w:tab/>
        <w:t>has not otherwise obtained the information; or</w:t>
      </w:r>
    </w:p>
    <w:p w14:paraId="14913EA4" w14:textId="77777777" w:rsidR="007330A4" w:rsidRPr="0081146C" w:rsidRDefault="007330A4" w:rsidP="007330A4">
      <w:pPr>
        <w:pStyle w:val="paragraph"/>
      </w:pPr>
      <w:r w:rsidRPr="0081146C">
        <w:tab/>
        <w:t>(b)</w:t>
      </w:r>
      <w:r w:rsidRPr="0081146C">
        <w:tab/>
        <w:t>the beneficiary institution detects that some or all of the information received or otherwise obtained about the payee is not accurate;</w:t>
      </w:r>
    </w:p>
    <w:p w14:paraId="231CC3B1" w14:textId="77777777" w:rsidR="007330A4" w:rsidRPr="0081146C" w:rsidRDefault="007330A4" w:rsidP="007330A4">
      <w:pPr>
        <w:pStyle w:val="subsection2"/>
      </w:pPr>
      <w:r w:rsidRPr="0081146C">
        <w:t>then the beneficiary institution must, in accordance with its AML/CTF program, do at least one of the following:</w:t>
      </w:r>
    </w:p>
    <w:p w14:paraId="218C13ED" w14:textId="77777777" w:rsidR="007330A4" w:rsidRPr="0081146C" w:rsidRDefault="007330A4" w:rsidP="007330A4">
      <w:pPr>
        <w:pStyle w:val="paragraph"/>
      </w:pPr>
      <w:r w:rsidRPr="0081146C">
        <w:tab/>
        <w:t>(c)</w:t>
      </w:r>
      <w:r w:rsidRPr="0081146C">
        <w:tab/>
        <w:t>refuse to make the transferred value available to the payee;</w:t>
      </w:r>
    </w:p>
    <w:p w14:paraId="15E52E89" w14:textId="77777777" w:rsidR="007330A4" w:rsidRPr="0081146C" w:rsidRDefault="007330A4" w:rsidP="007330A4">
      <w:pPr>
        <w:pStyle w:val="paragraph"/>
      </w:pPr>
      <w:r w:rsidRPr="0081146C">
        <w:tab/>
        <w:t>(d)</w:t>
      </w:r>
      <w:r w:rsidRPr="0081146C">
        <w:tab/>
        <w:t>take such other action as the beneficiary institution determines.</w:t>
      </w:r>
    </w:p>
    <w:p w14:paraId="14370388" w14:textId="77777777" w:rsidR="007330A4" w:rsidRPr="0081146C" w:rsidRDefault="007330A4" w:rsidP="007330A4">
      <w:pPr>
        <w:pStyle w:val="notetext"/>
      </w:pPr>
      <w:r w:rsidRPr="0081146C">
        <w:t>Note:</w:t>
      </w:r>
      <w:r w:rsidRPr="0081146C">
        <w:tab/>
        <w:t>See also section 26G (reporting entities must comply with AML/CTF policies).</w:t>
      </w:r>
    </w:p>
    <w:p w14:paraId="1D8F3001" w14:textId="77777777" w:rsidR="007330A4" w:rsidRPr="0081146C" w:rsidRDefault="007330A4" w:rsidP="007330A4">
      <w:pPr>
        <w:pStyle w:val="SubsectionHead"/>
      </w:pPr>
      <w:r w:rsidRPr="0081146C">
        <w:t>AML/CTF Rules</w:t>
      </w:r>
    </w:p>
    <w:p w14:paraId="193167AA" w14:textId="77777777" w:rsidR="007330A4" w:rsidRPr="0081146C" w:rsidRDefault="007330A4" w:rsidP="007330A4">
      <w:pPr>
        <w:pStyle w:val="subsection"/>
      </w:pPr>
      <w:r w:rsidRPr="0081146C">
        <w:tab/>
        <w:t>(4)</w:t>
      </w:r>
      <w:r w:rsidRPr="0081146C">
        <w:tab/>
        <w:t xml:space="preserve">AML/CTF Rules made for the purposes of this section may make different provision in relation to different kinds of institutions, information, circumstances or any other matter. This does not limit subsection 33(3A) of the </w:t>
      </w:r>
      <w:r w:rsidRPr="0081146C">
        <w:rPr>
          <w:i/>
        </w:rPr>
        <w:t>Acts Interpretation Act 1901</w:t>
      </w:r>
      <w:r w:rsidRPr="0081146C">
        <w:t>.</w:t>
      </w:r>
    </w:p>
    <w:p w14:paraId="17629B4F" w14:textId="77777777" w:rsidR="007330A4" w:rsidRPr="0081146C" w:rsidRDefault="007330A4" w:rsidP="007330A4">
      <w:pPr>
        <w:pStyle w:val="SubsectionHead"/>
      </w:pPr>
      <w:r w:rsidRPr="0081146C">
        <w:t>Civil penalty</w:t>
      </w:r>
    </w:p>
    <w:p w14:paraId="3CECE22B" w14:textId="77777777" w:rsidR="007330A4" w:rsidRPr="0081146C" w:rsidRDefault="007330A4" w:rsidP="007330A4">
      <w:pPr>
        <w:pStyle w:val="subsection"/>
      </w:pPr>
      <w:r w:rsidRPr="0081146C">
        <w:tab/>
        <w:t>(5)</w:t>
      </w:r>
      <w:r w:rsidRPr="0081146C">
        <w:tab/>
        <w:t>Subsection (2) is a civil penalty provision.</w:t>
      </w:r>
    </w:p>
    <w:p w14:paraId="66AD5580" w14:textId="77777777" w:rsidR="007330A4" w:rsidRPr="0081146C" w:rsidRDefault="007330A4" w:rsidP="007330A4">
      <w:pPr>
        <w:pStyle w:val="ActHead5"/>
      </w:pPr>
      <w:bookmarkStart w:id="308" w:name="_Toc176444443"/>
      <w:bookmarkStart w:id="309" w:name="_Toc184034064"/>
      <w:bookmarkStart w:id="310" w:name="_Toc185415843"/>
      <w:r w:rsidRPr="0081146C">
        <w:rPr>
          <w:rStyle w:val="CharSectno"/>
        </w:rPr>
        <w:t>66</w:t>
      </w:r>
      <w:r w:rsidRPr="0081146C">
        <w:t xml:space="preserve">  Obligations of intermediary institutions</w:t>
      </w:r>
      <w:bookmarkEnd w:id="308"/>
      <w:bookmarkEnd w:id="309"/>
      <w:bookmarkEnd w:id="310"/>
    </w:p>
    <w:p w14:paraId="22B5ED16" w14:textId="77777777" w:rsidR="007330A4" w:rsidRPr="0081146C" w:rsidRDefault="007330A4" w:rsidP="007330A4">
      <w:pPr>
        <w:pStyle w:val="SubsectionHead"/>
      </w:pPr>
      <w:r w:rsidRPr="0081146C">
        <w:t>Scope</w:t>
      </w:r>
    </w:p>
    <w:p w14:paraId="385539D0" w14:textId="77777777" w:rsidR="007330A4" w:rsidRPr="0081146C" w:rsidRDefault="007330A4" w:rsidP="007330A4">
      <w:pPr>
        <w:pStyle w:val="subsection"/>
      </w:pPr>
      <w:r w:rsidRPr="0081146C">
        <w:tab/>
        <w:t>(1)</w:t>
      </w:r>
      <w:r w:rsidRPr="0081146C">
        <w:tab/>
        <w:t>This section applies if an intermediary institution commences to provide the designated service covered by item 31 of table 1 in section 6 in relation to a transfer of value.</w:t>
      </w:r>
    </w:p>
    <w:p w14:paraId="3897ABB7" w14:textId="77777777" w:rsidR="007330A4" w:rsidRPr="0081146C" w:rsidRDefault="007330A4" w:rsidP="007330A4">
      <w:pPr>
        <w:pStyle w:val="notetext"/>
      </w:pPr>
      <w:r w:rsidRPr="0081146C">
        <w:t>Note 1:</w:t>
      </w:r>
      <w:r w:rsidRPr="0081146C">
        <w:tab/>
        <w:t>For exemptions, see section 67.</w:t>
      </w:r>
    </w:p>
    <w:p w14:paraId="2DA36C70" w14:textId="77777777" w:rsidR="007330A4" w:rsidRPr="0081146C" w:rsidRDefault="007330A4" w:rsidP="007330A4">
      <w:pPr>
        <w:pStyle w:val="notetext"/>
      </w:pPr>
      <w:r w:rsidRPr="0081146C">
        <w:t>Note 2:</w:t>
      </w:r>
      <w:r w:rsidRPr="0081146C">
        <w:tab/>
        <w:t xml:space="preserve">An intermediary institution may also have obligations under the </w:t>
      </w:r>
      <w:r w:rsidRPr="0081146C">
        <w:rPr>
          <w:i/>
        </w:rPr>
        <w:t>Autonomous Sanctions Act 2011</w:t>
      </w:r>
      <w:r w:rsidRPr="0081146C">
        <w:t xml:space="preserve"> and the </w:t>
      </w:r>
      <w:r w:rsidRPr="0081146C">
        <w:rPr>
          <w:i/>
        </w:rPr>
        <w:t>Charter of the United Nations Act 1945</w:t>
      </w:r>
      <w:r w:rsidRPr="0081146C">
        <w:t xml:space="preserve"> in relation to persons designated for targeted financial sanctions.</w:t>
      </w:r>
    </w:p>
    <w:p w14:paraId="7183E02C" w14:textId="77777777" w:rsidR="007330A4" w:rsidRPr="0081146C" w:rsidRDefault="007330A4" w:rsidP="007330A4">
      <w:pPr>
        <w:pStyle w:val="SubsectionHead"/>
      </w:pPr>
      <w:r w:rsidRPr="0081146C">
        <w:t>Obligations of intermediary institutions</w:t>
      </w:r>
    </w:p>
    <w:p w14:paraId="6B3BEFDE" w14:textId="77777777" w:rsidR="007330A4" w:rsidRPr="0081146C" w:rsidRDefault="007330A4" w:rsidP="007330A4">
      <w:pPr>
        <w:pStyle w:val="subsection"/>
      </w:pPr>
      <w:r w:rsidRPr="0081146C">
        <w:tab/>
        <w:t>(2)</w:t>
      </w:r>
      <w:r w:rsidRPr="0081146C">
        <w:tab/>
        <w:t>The intermediary institution must take reasonable steps to monitor whether it has received the information specified in the AML/CTF Rules relating to the transfer of value.</w:t>
      </w:r>
    </w:p>
    <w:p w14:paraId="756E0976" w14:textId="77777777" w:rsidR="007330A4" w:rsidRPr="0081146C" w:rsidRDefault="007330A4" w:rsidP="007330A4">
      <w:pPr>
        <w:pStyle w:val="subsection"/>
      </w:pPr>
      <w:r w:rsidRPr="0081146C">
        <w:tab/>
        <w:t>(3)</w:t>
      </w:r>
      <w:r w:rsidRPr="0081146C">
        <w:tab/>
        <w:t>If the intermediary institution detects that it has not received all of the information mentioned in subsection (2), and the intermediary institution has not otherwise obtained the information, the intermediary institution must, in accordance with its AML/CTF program, do at least one of the following:</w:t>
      </w:r>
    </w:p>
    <w:p w14:paraId="196DF0C6" w14:textId="77777777" w:rsidR="007330A4" w:rsidRPr="0081146C" w:rsidRDefault="007330A4" w:rsidP="007330A4">
      <w:pPr>
        <w:pStyle w:val="paragraph"/>
      </w:pPr>
      <w:r w:rsidRPr="0081146C">
        <w:tab/>
        <w:t>(a)</w:t>
      </w:r>
      <w:r w:rsidRPr="0081146C">
        <w:tab/>
        <w:t>refuse to pass on the transfer message for the transfer of value;</w:t>
      </w:r>
    </w:p>
    <w:p w14:paraId="29BAADFA" w14:textId="77777777" w:rsidR="007330A4" w:rsidRPr="0081146C" w:rsidRDefault="007330A4" w:rsidP="007330A4">
      <w:pPr>
        <w:pStyle w:val="paragraph"/>
      </w:pPr>
      <w:r w:rsidRPr="0081146C">
        <w:tab/>
        <w:t>(b)</w:t>
      </w:r>
      <w:r w:rsidRPr="0081146C">
        <w:tab/>
        <w:t>take such other action as the intermediary institution determines.</w:t>
      </w:r>
    </w:p>
    <w:p w14:paraId="79B125AF" w14:textId="77777777" w:rsidR="007330A4" w:rsidRPr="0081146C" w:rsidRDefault="007330A4" w:rsidP="007330A4">
      <w:pPr>
        <w:pStyle w:val="notetext"/>
      </w:pPr>
      <w:r w:rsidRPr="0081146C">
        <w:t>Note:</w:t>
      </w:r>
      <w:r w:rsidRPr="0081146C">
        <w:tab/>
        <w:t>See also section 26G (reporting entities must comply with AML/CTF policies).</w:t>
      </w:r>
    </w:p>
    <w:p w14:paraId="1BFFB0EC" w14:textId="77777777" w:rsidR="007330A4" w:rsidRPr="0081146C" w:rsidRDefault="007330A4" w:rsidP="007330A4">
      <w:pPr>
        <w:pStyle w:val="subsection"/>
      </w:pPr>
      <w:r w:rsidRPr="0081146C">
        <w:tab/>
        <w:t>(4)</w:t>
      </w:r>
      <w:r w:rsidRPr="0081146C">
        <w:tab/>
        <w:t>In passing on a transfer message for a transfer of value, the intermediary institution must include:</w:t>
      </w:r>
    </w:p>
    <w:p w14:paraId="3B331B70" w14:textId="77777777" w:rsidR="007330A4" w:rsidRPr="0081146C" w:rsidRDefault="007330A4" w:rsidP="007330A4">
      <w:pPr>
        <w:pStyle w:val="paragraph"/>
      </w:pPr>
      <w:r w:rsidRPr="0081146C">
        <w:tab/>
        <w:t>(a)</w:t>
      </w:r>
      <w:r w:rsidRPr="0081146C">
        <w:tab/>
        <w:t>information, of a kind specified in the AML/CTF Rules, that is received from the previous institution in the value transfer chain; or</w:t>
      </w:r>
    </w:p>
    <w:p w14:paraId="32B05907" w14:textId="77777777" w:rsidR="007330A4" w:rsidRPr="0081146C" w:rsidRDefault="007330A4" w:rsidP="007330A4">
      <w:pPr>
        <w:pStyle w:val="paragraph"/>
      </w:pPr>
      <w:r w:rsidRPr="0081146C">
        <w:tab/>
        <w:t>(b)</w:t>
      </w:r>
      <w:r w:rsidRPr="0081146C">
        <w:tab/>
        <w:t>information obtained in accordance with the intermediary institution’s AML/CTF program that is relevant to the transfer.</w:t>
      </w:r>
    </w:p>
    <w:p w14:paraId="32542401" w14:textId="77777777" w:rsidR="007330A4" w:rsidRPr="0081146C" w:rsidRDefault="007330A4" w:rsidP="007330A4">
      <w:pPr>
        <w:pStyle w:val="subsection"/>
      </w:pPr>
      <w:r w:rsidRPr="0081146C">
        <w:tab/>
        <w:t>(5)</w:t>
      </w:r>
      <w:r w:rsidRPr="0081146C">
        <w:tab/>
        <w:t>The intermediary institution must provide the information referred to in subsection (4) to another institution in the value transfer chain as soon as practicable after receiving a request from the institution for that information.</w:t>
      </w:r>
    </w:p>
    <w:p w14:paraId="60F6189F" w14:textId="77777777" w:rsidR="007330A4" w:rsidRPr="0081146C" w:rsidRDefault="007330A4" w:rsidP="007330A4">
      <w:pPr>
        <w:pStyle w:val="SubsectionHead"/>
      </w:pPr>
      <w:r w:rsidRPr="0081146C">
        <w:t>AML/CTF Rules</w:t>
      </w:r>
    </w:p>
    <w:p w14:paraId="5C1B78EE" w14:textId="77777777" w:rsidR="007330A4" w:rsidRPr="0081146C" w:rsidRDefault="007330A4" w:rsidP="007330A4">
      <w:pPr>
        <w:pStyle w:val="subsection"/>
      </w:pPr>
      <w:r w:rsidRPr="0081146C">
        <w:tab/>
        <w:t>(6)</w:t>
      </w:r>
      <w:r w:rsidRPr="0081146C">
        <w:tab/>
        <w:t xml:space="preserve">AML/CTF Rules made for the purposes of this section may make different provision in relation to different kinds of institutions, information, circumstances or any other matter. This does not limit subsection 33(3A) of the </w:t>
      </w:r>
      <w:r w:rsidRPr="0081146C">
        <w:rPr>
          <w:i/>
        </w:rPr>
        <w:t>Acts Interpretation Act 1901</w:t>
      </w:r>
      <w:r w:rsidRPr="0081146C">
        <w:t>.</w:t>
      </w:r>
    </w:p>
    <w:p w14:paraId="24FB3541" w14:textId="77777777" w:rsidR="007330A4" w:rsidRPr="0081146C" w:rsidRDefault="007330A4" w:rsidP="007330A4">
      <w:pPr>
        <w:pStyle w:val="SubsectionHead"/>
      </w:pPr>
      <w:r w:rsidRPr="0081146C">
        <w:t>Civil penalty</w:t>
      </w:r>
    </w:p>
    <w:p w14:paraId="5436BC94" w14:textId="77777777" w:rsidR="007330A4" w:rsidRPr="0081146C" w:rsidRDefault="007330A4" w:rsidP="007330A4">
      <w:pPr>
        <w:pStyle w:val="subsection"/>
      </w:pPr>
      <w:r w:rsidRPr="0081146C">
        <w:tab/>
        <w:t>(7)</w:t>
      </w:r>
      <w:r w:rsidRPr="0081146C">
        <w:tab/>
        <w:t>Subsections (2), (4) and (5) are civil penalty provisions.</w:t>
      </w:r>
    </w:p>
    <w:p w14:paraId="52ED5BEC" w14:textId="77777777" w:rsidR="007330A4" w:rsidRPr="0081146C" w:rsidRDefault="007330A4" w:rsidP="007330A4">
      <w:pPr>
        <w:pStyle w:val="ActHead5"/>
      </w:pPr>
      <w:bookmarkStart w:id="311" w:name="_Toc176444444"/>
      <w:bookmarkStart w:id="312" w:name="_Toc184034065"/>
      <w:bookmarkStart w:id="313" w:name="_Toc185415844"/>
      <w:r w:rsidRPr="0081146C">
        <w:rPr>
          <w:rStyle w:val="CharSectno"/>
        </w:rPr>
        <w:t>66A</w:t>
      </w:r>
      <w:r w:rsidRPr="0081146C">
        <w:t xml:space="preserve">  Obligations of ordering and beneficiary institutions relating to virtual asset transfers</w:t>
      </w:r>
      <w:bookmarkEnd w:id="311"/>
      <w:bookmarkEnd w:id="312"/>
      <w:bookmarkEnd w:id="313"/>
    </w:p>
    <w:p w14:paraId="76EC449F" w14:textId="77777777" w:rsidR="007330A4" w:rsidRPr="0081146C" w:rsidRDefault="007330A4" w:rsidP="007330A4">
      <w:pPr>
        <w:pStyle w:val="SubsectionHead"/>
      </w:pPr>
      <w:r w:rsidRPr="0081146C">
        <w:t>Scope</w:t>
      </w:r>
    </w:p>
    <w:p w14:paraId="61118A6F" w14:textId="77777777" w:rsidR="007330A4" w:rsidRPr="0081146C" w:rsidRDefault="007330A4" w:rsidP="007330A4">
      <w:pPr>
        <w:pStyle w:val="subsection"/>
      </w:pPr>
      <w:r w:rsidRPr="0081146C">
        <w:tab/>
        <w:t>(1)</w:t>
      </w:r>
      <w:r w:rsidRPr="0081146C">
        <w:tab/>
        <w:t>This section applies to the transfer of a virtual asset.</w:t>
      </w:r>
    </w:p>
    <w:p w14:paraId="78F8BC22" w14:textId="77777777" w:rsidR="007330A4" w:rsidRPr="0081146C" w:rsidRDefault="007330A4" w:rsidP="007330A4">
      <w:pPr>
        <w:pStyle w:val="SubsectionHead"/>
      </w:pPr>
      <w:r w:rsidRPr="0081146C">
        <w:t>Ordering institution obligations</w:t>
      </w:r>
    </w:p>
    <w:p w14:paraId="79564F32" w14:textId="77777777" w:rsidR="007330A4" w:rsidRPr="0081146C" w:rsidRDefault="007330A4" w:rsidP="007330A4">
      <w:pPr>
        <w:pStyle w:val="subsection"/>
      </w:pPr>
      <w:r w:rsidRPr="0081146C">
        <w:tab/>
        <w:t>(2)</w:t>
      </w:r>
      <w:r w:rsidRPr="0081146C">
        <w:tab/>
        <w:t>Before commencing to provide the designated service covered by item 29 of table 1 in section 6, an ordering institution must undertake due diligence to determine, on reasonable grounds, whether the virtual asset wallet to which the virtual asset is being transferred is:</w:t>
      </w:r>
    </w:p>
    <w:p w14:paraId="7F293243" w14:textId="77777777" w:rsidR="007330A4" w:rsidRPr="0081146C" w:rsidRDefault="007330A4" w:rsidP="007330A4">
      <w:pPr>
        <w:pStyle w:val="paragraph"/>
      </w:pPr>
      <w:r w:rsidRPr="0081146C">
        <w:tab/>
        <w:t>(a)</w:t>
      </w:r>
      <w:r w:rsidRPr="0081146C">
        <w:tab/>
        <w:t>a custodial wallet controlled by a person who is licensed or registered under a law that gives effect to the FATF Recommendations; or</w:t>
      </w:r>
    </w:p>
    <w:p w14:paraId="6A7A3357" w14:textId="77777777" w:rsidR="007330A4" w:rsidRPr="0081146C" w:rsidRDefault="007330A4" w:rsidP="007330A4">
      <w:pPr>
        <w:pStyle w:val="paragraph"/>
      </w:pPr>
      <w:r w:rsidRPr="0081146C">
        <w:tab/>
        <w:t>(b)</w:t>
      </w:r>
      <w:r w:rsidRPr="0081146C">
        <w:tab/>
        <w:t>a custodial wallet controlled by a person who is not required to be licensed or registered under a law that gives effect to the FATF Recommendations; or</w:t>
      </w:r>
    </w:p>
    <w:p w14:paraId="6D108C4F" w14:textId="77777777" w:rsidR="007330A4" w:rsidRPr="0081146C" w:rsidRDefault="007330A4" w:rsidP="007330A4">
      <w:pPr>
        <w:pStyle w:val="paragraph"/>
      </w:pPr>
      <w:r w:rsidRPr="0081146C">
        <w:tab/>
        <w:t>(c)</w:t>
      </w:r>
      <w:r w:rsidRPr="0081146C">
        <w:tab/>
        <w:t>a custodial wallet controlled by a person who is required to be licensed or registered under a law that gives effect to the FATF Recommendations, but is not so licensed or registered; or</w:t>
      </w:r>
    </w:p>
    <w:p w14:paraId="2EE3AEA2" w14:textId="77777777" w:rsidR="007330A4" w:rsidRPr="0081146C" w:rsidRDefault="007330A4" w:rsidP="007330A4">
      <w:pPr>
        <w:pStyle w:val="paragraph"/>
      </w:pPr>
      <w:r w:rsidRPr="0081146C">
        <w:tab/>
        <w:t>(d)</w:t>
      </w:r>
      <w:r w:rsidRPr="0081146C">
        <w:tab/>
        <w:t>a self</w:t>
      </w:r>
      <w:r w:rsidRPr="0081146C">
        <w:noBreakHyphen/>
        <w:t>hosted wallet controlled by the payee.</w:t>
      </w:r>
    </w:p>
    <w:p w14:paraId="6FAF411C" w14:textId="77777777" w:rsidR="007330A4" w:rsidRPr="0081146C" w:rsidRDefault="007330A4" w:rsidP="007330A4">
      <w:pPr>
        <w:pStyle w:val="subsection"/>
      </w:pPr>
      <w:r w:rsidRPr="0081146C">
        <w:tab/>
        <w:t>(3)</w:t>
      </w:r>
      <w:r w:rsidRPr="0081146C">
        <w:tab/>
        <w:t>The ordering institution must pass on the information specified in the AML/CTF Rules for the purposes of subsection 64(3) relating to the transfer of value to a beneficiary institution if the beneficiary institution is:</w:t>
      </w:r>
    </w:p>
    <w:p w14:paraId="3161BB38" w14:textId="77777777" w:rsidR="007330A4" w:rsidRPr="0081146C" w:rsidRDefault="007330A4" w:rsidP="007330A4">
      <w:pPr>
        <w:pStyle w:val="paragraph"/>
      </w:pPr>
      <w:r w:rsidRPr="0081146C">
        <w:tab/>
        <w:t>(a)</w:t>
      </w:r>
      <w:r w:rsidRPr="0081146C">
        <w:tab/>
        <w:t>a person who is licensed or registered under a law that gives effect to the FATF Recommendations; or</w:t>
      </w:r>
    </w:p>
    <w:p w14:paraId="0D582A7D" w14:textId="77777777" w:rsidR="007330A4" w:rsidRPr="0081146C" w:rsidRDefault="007330A4" w:rsidP="007330A4">
      <w:pPr>
        <w:pStyle w:val="paragraph"/>
      </w:pPr>
      <w:r w:rsidRPr="0081146C">
        <w:tab/>
        <w:t>(b)</w:t>
      </w:r>
      <w:r w:rsidRPr="0081146C">
        <w:tab/>
        <w:t>a person who is not required to be licensed or registered under a law that gives effect to the FATF Recommendations.</w:t>
      </w:r>
    </w:p>
    <w:p w14:paraId="0A62BA68" w14:textId="77777777" w:rsidR="007330A4" w:rsidRPr="0081146C" w:rsidRDefault="007330A4" w:rsidP="007330A4">
      <w:pPr>
        <w:pStyle w:val="subsection"/>
      </w:pPr>
      <w:r w:rsidRPr="0081146C">
        <w:tab/>
        <w:t>(4)</w:t>
      </w:r>
      <w:r w:rsidRPr="0081146C">
        <w:tab/>
        <w:t>An ordering institution must not provide the designated service covered by item 29 of table 1 in section 6 if this would involve passing on a transfer message for a transfer of value to a person:</w:t>
      </w:r>
    </w:p>
    <w:p w14:paraId="0895D5B7" w14:textId="77777777" w:rsidR="007330A4" w:rsidRPr="0081146C" w:rsidRDefault="007330A4" w:rsidP="007330A4">
      <w:pPr>
        <w:pStyle w:val="paragraph"/>
      </w:pPr>
      <w:r w:rsidRPr="0081146C">
        <w:tab/>
        <w:t>(a)</w:t>
      </w:r>
      <w:r w:rsidRPr="0081146C">
        <w:tab/>
        <w:t>who is required to be licensed or registered under a law that gives effect to the FATF Recommendations; but</w:t>
      </w:r>
    </w:p>
    <w:p w14:paraId="77348E37" w14:textId="77777777" w:rsidR="007330A4" w:rsidRPr="0081146C" w:rsidRDefault="007330A4" w:rsidP="007330A4">
      <w:pPr>
        <w:pStyle w:val="paragraph"/>
      </w:pPr>
      <w:r w:rsidRPr="0081146C">
        <w:tab/>
        <w:t>(b)</w:t>
      </w:r>
      <w:r w:rsidRPr="0081146C">
        <w:tab/>
        <w:t>is not so licensed or registered.</w:t>
      </w:r>
    </w:p>
    <w:p w14:paraId="3640D1C9" w14:textId="77777777" w:rsidR="007330A4" w:rsidRPr="0081146C" w:rsidRDefault="007330A4" w:rsidP="007330A4">
      <w:pPr>
        <w:pStyle w:val="SubsectionHead"/>
      </w:pPr>
      <w:r w:rsidRPr="0081146C">
        <w:t>Beneficiary institution obligations</w:t>
      </w:r>
    </w:p>
    <w:p w14:paraId="6FBCE4F5" w14:textId="77777777" w:rsidR="007330A4" w:rsidRPr="0081146C" w:rsidRDefault="007330A4" w:rsidP="007330A4">
      <w:pPr>
        <w:pStyle w:val="subsection"/>
      </w:pPr>
      <w:r w:rsidRPr="0081146C">
        <w:tab/>
        <w:t>(5)</w:t>
      </w:r>
      <w:r w:rsidRPr="0081146C">
        <w:tab/>
        <w:t>Before commencing to provide the designated service covered by item 30 of table 1 in section 6, a beneficiary institution must undertake due diligence to determine, on reasonable grounds, whether the virtual asset wallet from which the virtual asset has been transferred is:</w:t>
      </w:r>
    </w:p>
    <w:p w14:paraId="3CA87C25" w14:textId="77777777" w:rsidR="007330A4" w:rsidRPr="0081146C" w:rsidRDefault="007330A4" w:rsidP="007330A4">
      <w:pPr>
        <w:pStyle w:val="paragraph"/>
      </w:pPr>
      <w:r w:rsidRPr="0081146C">
        <w:tab/>
        <w:t>(a)</w:t>
      </w:r>
      <w:r w:rsidRPr="0081146C">
        <w:tab/>
        <w:t>a custodial wallet controlled by a person who is licensed or registered under a law that gives effect to the FATF Recommendations; or</w:t>
      </w:r>
    </w:p>
    <w:p w14:paraId="26AF7C12" w14:textId="77777777" w:rsidR="007330A4" w:rsidRPr="0081146C" w:rsidRDefault="007330A4" w:rsidP="007330A4">
      <w:pPr>
        <w:pStyle w:val="paragraph"/>
      </w:pPr>
      <w:r w:rsidRPr="0081146C">
        <w:tab/>
        <w:t>(b)</w:t>
      </w:r>
      <w:r w:rsidRPr="0081146C">
        <w:tab/>
        <w:t>a custodial wallet controlled by a person who is not required to be licensed or registered under a law that gives effect to the FATF Recommendations; or</w:t>
      </w:r>
    </w:p>
    <w:p w14:paraId="35379635" w14:textId="77777777" w:rsidR="007330A4" w:rsidRPr="0081146C" w:rsidRDefault="007330A4" w:rsidP="007330A4">
      <w:pPr>
        <w:pStyle w:val="paragraph"/>
      </w:pPr>
      <w:r w:rsidRPr="0081146C">
        <w:tab/>
        <w:t>(c)</w:t>
      </w:r>
      <w:r w:rsidRPr="0081146C">
        <w:tab/>
        <w:t>a custodial wallet controlled by a person who is required to be licensed or registered under a law that gives effect to the FATF Recommendations, but is not so licensed or registered; or</w:t>
      </w:r>
    </w:p>
    <w:p w14:paraId="308A36A9" w14:textId="77777777" w:rsidR="007330A4" w:rsidRPr="0081146C" w:rsidRDefault="007330A4" w:rsidP="007330A4">
      <w:pPr>
        <w:pStyle w:val="paragraph"/>
      </w:pPr>
      <w:r w:rsidRPr="0081146C">
        <w:tab/>
        <w:t>(d)</w:t>
      </w:r>
      <w:r w:rsidRPr="0081146C">
        <w:tab/>
        <w:t>a self</w:t>
      </w:r>
      <w:r w:rsidRPr="0081146C">
        <w:noBreakHyphen/>
        <w:t>hosted wallet controlled by the payer.</w:t>
      </w:r>
    </w:p>
    <w:p w14:paraId="415FCF34" w14:textId="77777777" w:rsidR="007330A4" w:rsidRPr="0081146C" w:rsidRDefault="007330A4" w:rsidP="007330A4">
      <w:pPr>
        <w:pStyle w:val="subsection"/>
      </w:pPr>
      <w:r w:rsidRPr="0081146C">
        <w:tab/>
        <w:t>(6)</w:t>
      </w:r>
      <w:r w:rsidRPr="0081146C">
        <w:tab/>
        <w:t>A beneficiary institution must not provide the designated service covered by item 30 of table 1 in section 6 in relation to a transfer of value until the beneficiary institution has received or otherwise obtained the information specified in the AML/CTF Rules for the purposes of subsection 65(2) in relation to the transfer.</w:t>
      </w:r>
    </w:p>
    <w:p w14:paraId="139CE79E" w14:textId="77777777" w:rsidR="007330A4" w:rsidRPr="0081146C" w:rsidRDefault="007330A4" w:rsidP="007330A4">
      <w:pPr>
        <w:pStyle w:val="subsection"/>
      </w:pPr>
      <w:r w:rsidRPr="0081146C">
        <w:tab/>
        <w:t>(7)</w:t>
      </w:r>
      <w:r w:rsidRPr="0081146C">
        <w:tab/>
        <w:t>A beneficiary institution must not provide the designated service covered by item 30 of table 1 in section 6 if:</w:t>
      </w:r>
    </w:p>
    <w:p w14:paraId="056E5731" w14:textId="77777777" w:rsidR="007330A4" w:rsidRPr="0081146C" w:rsidRDefault="007330A4" w:rsidP="007330A4">
      <w:pPr>
        <w:pStyle w:val="paragraph"/>
      </w:pPr>
      <w:r w:rsidRPr="0081146C">
        <w:tab/>
        <w:t>(a)</w:t>
      </w:r>
      <w:r w:rsidRPr="0081146C">
        <w:tab/>
        <w:t>the virtual asset wallet from which the virtual asset has been transferred is a custodial wallet controlled by a person who is required to be licensed or registered under a law that gives effect to the FATF Recommendations; and</w:t>
      </w:r>
    </w:p>
    <w:p w14:paraId="7513AE84" w14:textId="77777777" w:rsidR="007330A4" w:rsidRPr="0081146C" w:rsidRDefault="007330A4" w:rsidP="007330A4">
      <w:pPr>
        <w:pStyle w:val="paragraph"/>
      </w:pPr>
      <w:r w:rsidRPr="0081146C">
        <w:tab/>
        <w:t>(b)</w:t>
      </w:r>
      <w:r w:rsidRPr="0081146C">
        <w:tab/>
        <w:t>the person is not so licensed or registered.</w:t>
      </w:r>
    </w:p>
    <w:p w14:paraId="0F1AF53E" w14:textId="77777777" w:rsidR="007330A4" w:rsidRPr="0081146C" w:rsidRDefault="007330A4" w:rsidP="007330A4">
      <w:pPr>
        <w:pStyle w:val="SubsectionHead"/>
      </w:pPr>
      <w:r w:rsidRPr="0081146C">
        <w:t>Civil penalty</w:t>
      </w:r>
    </w:p>
    <w:p w14:paraId="183F0598" w14:textId="77777777" w:rsidR="007330A4" w:rsidRPr="0081146C" w:rsidRDefault="007330A4" w:rsidP="007330A4">
      <w:pPr>
        <w:pStyle w:val="subsection"/>
      </w:pPr>
      <w:r w:rsidRPr="0081146C">
        <w:tab/>
        <w:t>(8)</w:t>
      </w:r>
      <w:r w:rsidRPr="0081146C">
        <w:tab/>
        <w:t>Subsections (2) to (7) are civil penalty provisions.</w:t>
      </w:r>
    </w:p>
    <w:p w14:paraId="44C6694B" w14:textId="77777777" w:rsidR="007330A4" w:rsidRPr="0081146C" w:rsidRDefault="007330A4" w:rsidP="007330A4">
      <w:pPr>
        <w:pStyle w:val="SubsectionHead"/>
      </w:pPr>
      <w:r w:rsidRPr="0081146C">
        <w:t>Exceptions</w:t>
      </w:r>
    </w:p>
    <w:p w14:paraId="0AC22A41" w14:textId="77777777" w:rsidR="007330A4" w:rsidRPr="0081146C" w:rsidRDefault="007330A4" w:rsidP="007330A4">
      <w:pPr>
        <w:pStyle w:val="subsection"/>
      </w:pPr>
      <w:r w:rsidRPr="0081146C">
        <w:tab/>
        <w:t>(9)</w:t>
      </w:r>
      <w:r w:rsidRPr="0081146C">
        <w:tab/>
        <w:t>Subsection (3) does not apply if:</w:t>
      </w:r>
    </w:p>
    <w:p w14:paraId="55DBC871" w14:textId="77777777" w:rsidR="007330A4" w:rsidRPr="0081146C" w:rsidRDefault="007330A4" w:rsidP="007330A4">
      <w:pPr>
        <w:pStyle w:val="paragraph"/>
      </w:pPr>
      <w:r w:rsidRPr="0081146C">
        <w:tab/>
        <w:t>(a)</w:t>
      </w:r>
      <w:r w:rsidRPr="0081146C">
        <w:tab/>
        <w:t>either:</w:t>
      </w:r>
    </w:p>
    <w:p w14:paraId="6BA5862B" w14:textId="77777777" w:rsidR="007330A4" w:rsidRPr="0081146C" w:rsidRDefault="007330A4" w:rsidP="007330A4">
      <w:pPr>
        <w:pStyle w:val="paragraphsub"/>
      </w:pPr>
      <w:r w:rsidRPr="0081146C">
        <w:tab/>
        <w:t>(i)</w:t>
      </w:r>
      <w:r w:rsidRPr="0081146C">
        <w:tab/>
        <w:t>the ordering institution has established on reasonable grounds that the beneficiary institution is not capable of receiving the information securely; or</w:t>
      </w:r>
    </w:p>
    <w:p w14:paraId="481907C5" w14:textId="77777777" w:rsidR="007330A4" w:rsidRPr="0081146C" w:rsidRDefault="007330A4" w:rsidP="007330A4">
      <w:pPr>
        <w:pStyle w:val="paragraphsub"/>
      </w:pPr>
      <w:r w:rsidRPr="0081146C">
        <w:tab/>
        <w:t>(ii)</w:t>
      </w:r>
      <w:r w:rsidRPr="0081146C">
        <w:tab/>
        <w:t>the ordering institution reasonably believes that there is a risk that the beneficiary institution is not capable of safeguarding the confidentiality of the information; and</w:t>
      </w:r>
    </w:p>
    <w:p w14:paraId="034BFCFE" w14:textId="77777777" w:rsidR="007330A4" w:rsidRPr="0081146C" w:rsidRDefault="007330A4" w:rsidP="007330A4">
      <w:pPr>
        <w:pStyle w:val="paragraph"/>
      </w:pPr>
      <w:r w:rsidRPr="0081146C">
        <w:tab/>
        <w:t>(b)</w:t>
      </w:r>
      <w:r w:rsidRPr="0081146C">
        <w:tab/>
        <w:t>the ordering institution makes and keeps a record of the reasons for not passing on the information.</w:t>
      </w:r>
    </w:p>
    <w:p w14:paraId="15354962" w14:textId="77777777" w:rsidR="007330A4" w:rsidRPr="0081146C" w:rsidRDefault="007330A4" w:rsidP="007330A4">
      <w:pPr>
        <w:pStyle w:val="subsection"/>
      </w:pPr>
      <w:r w:rsidRPr="0081146C">
        <w:tab/>
        <w:t>(10)</w:t>
      </w:r>
      <w:r w:rsidRPr="0081146C">
        <w:tab/>
        <w:t>Subsection (6) does not apply if:</w:t>
      </w:r>
    </w:p>
    <w:p w14:paraId="384CF56B" w14:textId="77777777" w:rsidR="007330A4" w:rsidRPr="0081146C" w:rsidRDefault="007330A4" w:rsidP="007330A4">
      <w:pPr>
        <w:pStyle w:val="paragraph"/>
      </w:pPr>
      <w:r w:rsidRPr="0081146C">
        <w:tab/>
        <w:t>(a)</w:t>
      </w:r>
      <w:r w:rsidRPr="0081146C">
        <w:tab/>
        <w:t>the beneficiary institution has established on reasonable grounds that an institution in the value transfer chain is not capable of passing on the information securely; and</w:t>
      </w:r>
    </w:p>
    <w:p w14:paraId="7B6FD8EB" w14:textId="77777777" w:rsidR="007330A4" w:rsidRPr="0081146C" w:rsidRDefault="007330A4" w:rsidP="007330A4">
      <w:pPr>
        <w:pStyle w:val="paragraph"/>
      </w:pPr>
      <w:r w:rsidRPr="0081146C">
        <w:tab/>
        <w:t>(b)</w:t>
      </w:r>
      <w:r w:rsidRPr="0081146C">
        <w:tab/>
        <w:t>in accordance with the beneficiary institution’s AML/CTF program, the beneficiary institution appropriately identifies, assesses, mitigates and manages the risks of money laundering, financing of terrorism and proliferation financing that the beneficiary institution may reasonably face in providing the designated service.</w:t>
      </w:r>
    </w:p>
    <w:p w14:paraId="0CE1A16A" w14:textId="77777777" w:rsidR="007330A4" w:rsidRPr="0081146C" w:rsidRDefault="007330A4" w:rsidP="007330A4">
      <w:pPr>
        <w:pStyle w:val="subsection"/>
      </w:pPr>
      <w:r w:rsidRPr="0081146C">
        <w:tab/>
        <w:t>(11)</w:t>
      </w:r>
      <w:r w:rsidRPr="0081146C">
        <w:tab/>
        <w:t>A person who wishes to rely on subsection (9) or (10) bears an evidential burden in relation to that matter.</w:t>
      </w:r>
    </w:p>
    <w:p w14:paraId="6C05A0FA" w14:textId="77777777" w:rsidR="00035544" w:rsidRPr="0081146C" w:rsidRDefault="00CA78AA" w:rsidP="00AE2DA2">
      <w:pPr>
        <w:pStyle w:val="ActHead3"/>
        <w:pageBreakBefore/>
      </w:pPr>
      <w:bookmarkStart w:id="314" w:name="_Toc185415845"/>
      <w:r w:rsidRPr="0081146C">
        <w:rPr>
          <w:rStyle w:val="CharDivNo"/>
        </w:rPr>
        <w:t>Division 4</w:t>
      </w:r>
      <w:r w:rsidR="00035544" w:rsidRPr="0081146C">
        <w:t>—</w:t>
      </w:r>
      <w:r w:rsidR="00035544" w:rsidRPr="0081146C">
        <w:rPr>
          <w:rStyle w:val="CharDivText"/>
        </w:rPr>
        <w:t>General provisions</w:t>
      </w:r>
      <w:bookmarkEnd w:id="314"/>
    </w:p>
    <w:p w14:paraId="0F46ECA2" w14:textId="77777777" w:rsidR="00960FDB" w:rsidRPr="0081146C" w:rsidRDefault="00960FDB" w:rsidP="00960FDB">
      <w:pPr>
        <w:pStyle w:val="ActHead5"/>
      </w:pPr>
      <w:bookmarkStart w:id="315" w:name="_Toc176444445"/>
      <w:bookmarkStart w:id="316" w:name="_Toc184034066"/>
      <w:bookmarkStart w:id="317" w:name="_Toc185415846"/>
      <w:r w:rsidRPr="0081146C">
        <w:rPr>
          <w:rStyle w:val="CharSectno"/>
        </w:rPr>
        <w:t>67</w:t>
      </w:r>
      <w:r w:rsidRPr="0081146C">
        <w:t xml:space="preserve">  Exemptions—general</w:t>
      </w:r>
      <w:bookmarkEnd w:id="315"/>
      <w:bookmarkEnd w:id="316"/>
      <w:bookmarkEnd w:id="317"/>
    </w:p>
    <w:p w14:paraId="2EF0AE03" w14:textId="77777777" w:rsidR="00960FDB" w:rsidRPr="0081146C" w:rsidRDefault="00960FDB" w:rsidP="00960FDB">
      <w:pPr>
        <w:pStyle w:val="subsection"/>
      </w:pPr>
      <w:r w:rsidRPr="0081146C">
        <w:tab/>
        <w:t>(1)</w:t>
      </w:r>
      <w:r w:rsidRPr="0081146C">
        <w:tab/>
        <w:t>The AML/CTF Rules may provide that this Part, or a specified provision of this Part, does not apply:</w:t>
      </w:r>
    </w:p>
    <w:p w14:paraId="6250748A" w14:textId="77777777" w:rsidR="00960FDB" w:rsidRPr="0081146C" w:rsidRDefault="00960FDB" w:rsidP="00960FDB">
      <w:pPr>
        <w:pStyle w:val="paragraph"/>
      </w:pPr>
      <w:r w:rsidRPr="0081146C">
        <w:tab/>
        <w:t>(a)</w:t>
      </w:r>
      <w:r w:rsidRPr="0081146C">
        <w:tab/>
        <w:t>to a specified kind of designated service; or</w:t>
      </w:r>
    </w:p>
    <w:p w14:paraId="4393CEF7" w14:textId="77777777" w:rsidR="00960FDB" w:rsidRPr="0081146C" w:rsidRDefault="00960FDB" w:rsidP="00960FDB">
      <w:pPr>
        <w:pStyle w:val="paragraph"/>
      </w:pPr>
      <w:r w:rsidRPr="0081146C">
        <w:tab/>
        <w:t>(b)</w:t>
      </w:r>
      <w:r w:rsidRPr="0081146C">
        <w:tab/>
        <w:t>to a transfer of value that occurs in specified circumstances.</w:t>
      </w:r>
    </w:p>
    <w:p w14:paraId="1877A4BD" w14:textId="77777777" w:rsidR="00960FDB" w:rsidRPr="0081146C" w:rsidRDefault="00960FDB" w:rsidP="00960FDB">
      <w:pPr>
        <w:pStyle w:val="subsection"/>
      </w:pPr>
      <w:r w:rsidRPr="0081146C">
        <w:tab/>
        <w:t>(2)</w:t>
      </w:r>
      <w:r w:rsidRPr="0081146C">
        <w:tab/>
        <w:t xml:space="preserve">AML/CTF Rules made for the purposes of subsection (1) may make different provision in relation to different kinds of institutions, information, circumstances or any other matter. This does not limit subsection 33(3A) of the </w:t>
      </w:r>
      <w:r w:rsidRPr="0081146C">
        <w:rPr>
          <w:i/>
        </w:rPr>
        <w:t>Acts Interpretation Act 1901</w:t>
      </w:r>
      <w:r w:rsidRPr="0081146C">
        <w:t>.</w:t>
      </w:r>
    </w:p>
    <w:p w14:paraId="14B69880" w14:textId="77777777" w:rsidR="00960FDB" w:rsidRPr="0081146C" w:rsidRDefault="00960FDB" w:rsidP="00960FDB">
      <w:pPr>
        <w:pStyle w:val="ActHead5"/>
      </w:pPr>
      <w:bookmarkStart w:id="318" w:name="_Toc176444446"/>
      <w:bookmarkStart w:id="319" w:name="_Toc184034067"/>
      <w:bookmarkStart w:id="320" w:name="_Toc185415847"/>
      <w:r w:rsidRPr="0081146C">
        <w:rPr>
          <w:rStyle w:val="CharSectno"/>
        </w:rPr>
        <w:t>67A</w:t>
      </w:r>
      <w:r w:rsidRPr="0081146C">
        <w:t xml:space="preserve">  Exemption—escrow services</w:t>
      </w:r>
      <w:bookmarkEnd w:id="318"/>
      <w:bookmarkEnd w:id="319"/>
      <w:bookmarkEnd w:id="320"/>
    </w:p>
    <w:p w14:paraId="3C0519E7" w14:textId="77777777" w:rsidR="00960FDB" w:rsidRPr="0081146C" w:rsidRDefault="00960FDB" w:rsidP="00960FDB">
      <w:pPr>
        <w:pStyle w:val="subsection"/>
      </w:pPr>
      <w:r w:rsidRPr="0081146C">
        <w:tab/>
        <w:t>(1)</w:t>
      </w:r>
      <w:r w:rsidRPr="0081146C">
        <w:tab/>
        <w:t>This section applies to a person if:</w:t>
      </w:r>
    </w:p>
    <w:p w14:paraId="2ABF7DA0" w14:textId="77777777" w:rsidR="00960FDB" w:rsidRPr="0081146C" w:rsidRDefault="00960FDB" w:rsidP="00960FDB">
      <w:pPr>
        <w:pStyle w:val="paragraph"/>
      </w:pPr>
      <w:r w:rsidRPr="0081146C">
        <w:tab/>
        <w:t>(a)</w:t>
      </w:r>
      <w:r w:rsidRPr="0081146C">
        <w:tab/>
        <w:t>the person is any of the following:</w:t>
      </w:r>
    </w:p>
    <w:p w14:paraId="0F431A47" w14:textId="77777777" w:rsidR="00960FDB" w:rsidRPr="0081146C" w:rsidRDefault="00960FDB" w:rsidP="00960FDB">
      <w:pPr>
        <w:pStyle w:val="paragraphsub"/>
      </w:pPr>
      <w:r w:rsidRPr="0081146C">
        <w:tab/>
        <w:t>(i)</w:t>
      </w:r>
      <w:r w:rsidRPr="0081146C">
        <w:tab/>
        <w:t>a qualified accountant;</w:t>
      </w:r>
    </w:p>
    <w:p w14:paraId="1C53BD48" w14:textId="77777777" w:rsidR="00960FDB" w:rsidRPr="0081146C" w:rsidRDefault="00960FDB" w:rsidP="00960FDB">
      <w:pPr>
        <w:pStyle w:val="paragraphsub"/>
      </w:pPr>
      <w:r w:rsidRPr="0081146C">
        <w:tab/>
        <w:t>(ii)</w:t>
      </w:r>
      <w:r w:rsidRPr="0081146C">
        <w:tab/>
        <w:t>a reporting entity that uses qualified accountants to supply professional accounting services;</w:t>
      </w:r>
    </w:p>
    <w:p w14:paraId="5391426E" w14:textId="77777777" w:rsidR="00960FDB" w:rsidRPr="0081146C" w:rsidRDefault="00960FDB" w:rsidP="00960FDB">
      <w:pPr>
        <w:pStyle w:val="paragraphsub"/>
      </w:pPr>
      <w:r w:rsidRPr="0081146C">
        <w:tab/>
        <w:t>(iii)</w:t>
      </w:r>
      <w:r w:rsidRPr="0081146C">
        <w:tab/>
        <w:t>a legal practitioner (however described);</w:t>
      </w:r>
    </w:p>
    <w:p w14:paraId="06AE568C" w14:textId="77777777" w:rsidR="00960FDB" w:rsidRPr="0081146C" w:rsidRDefault="00960FDB" w:rsidP="00960FDB">
      <w:pPr>
        <w:pStyle w:val="paragraphsub"/>
      </w:pPr>
      <w:r w:rsidRPr="0081146C">
        <w:tab/>
        <w:t>(iv)</w:t>
      </w:r>
      <w:r w:rsidRPr="0081146C">
        <w:tab/>
        <w:t>a reporting entity that uses legal practitioners (however described) to supply professional legal services; and</w:t>
      </w:r>
    </w:p>
    <w:p w14:paraId="693AF181" w14:textId="77777777" w:rsidR="00960FDB" w:rsidRPr="0081146C" w:rsidRDefault="00960FDB" w:rsidP="00960FDB">
      <w:pPr>
        <w:pStyle w:val="paragraph"/>
      </w:pPr>
      <w:r w:rsidRPr="0081146C">
        <w:tab/>
        <w:t>(b)</w:t>
      </w:r>
      <w:r w:rsidRPr="0081146C">
        <w:tab/>
        <w:t>the person provides a designated service covered by item 3 of table 6 in section 6 for the purposes of an escrow agreement.</w:t>
      </w:r>
    </w:p>
    <w:p w14:paraId="154FC7FE" w14:textId="77777777" w:rsidR="00960FDB" w:rsidRPr="0081146C" w:rsidRDefault="00960FDB" w:rsidP="00960FDB">
      <w:pPr>
        <w:pStyle w:val="subsection"/>
      </w:pPr>
      <w:r w:rsidRPr="0081146C">
        <w:tab/>
        <w:t>(2)</w:t>
      </w:r>
      <w:r w:rsidRPr="0081146C">
        <w:tab/>
        <w:t>Despite section 6, the designated service provided by the person, to the extent that it is provided for the purposes of the escrow agreement, is not also a designated service covered by item 29 or 30 of table 1 in that section.</w:t>
      </w:r>
    </w:p>
    <w:p w14:paraId="5D6487DF" w14:textId="77777777" w:rsidR="00035544" w:rsidRPr="0081146C" w:rsidRDefault="00035544" w:rsidP="00035544">
      <w:pPr>
        <w:pStyle w:val="ActHead5"/>
      </w:pPr>
      <w:bookmarkStart w:id="321" w:name="_Toc185415848"/>
      <w:r w:rsidRPr="0081146C">
        <w:rPr>
          <w:rStyle w:val="CharSectno"/>
        </w:rPr>
        <w:t>68</w:t>
      </w:r>
      <w:r w:rsidRPr="0081146C">
        <w:t xml:space="preserve">  Defence of relying on information supplied by another person</w:t>
      </w:r>
      <w:bookmarkEnd w:id="321"/>
    </w:p>
    <w:p w14:paraId="74BD4C40" w14:textId="77777777" w:rsidR="00035544" w:rsidRPr="0081146C" w:rsidRDefault="00035544" w:rsidP="00035544">
      <w:pPr>
        <w:pStyle w:val="SubsectionHead"/>
      </w:pPr>
      <w:r w:rsidRPr="0081146C">
        <w:t>Scope</w:t>
      </w:r>
    </w:p>
    <w:p w14:paraId="1D233614" w14:textId="7F1B161C" w:rsidR="00035544" w:rsidRPr="0081146C" w:rsidRDefault="00035544" w:rsidP="00035544">
      <w:pPr>
        <w:pStyle w:val="subsection"/>
      </w:pPr>
      <w:r w:rsidRPr="0081146C">
        <w:tab/>
        <w:t>(1)</w:t>
      </w:r>
      <w:r w:rsidRPr="0081146C">
        <w:tab/>
        <w:t xml:space="preserve">This section applies to </w:t>
      </w:r>
      <w:r w:rsidR="003B7E15" w:rsidRPr="0081146C">
        <w:t>section 1</w:t>
      </w:r>
      <w:r w:rsidRPr="0081146C">
        <w:t xml:space="preserve">75 proceedings for a contravention of a civil penalty provision of </w:t>
      </w:r>
      <w:r w:rsidR="00CA78AA" w:rsidRPr="0081146C">
        <w:t>Division 2</w:t>
      </w:r>
      <w:r w:rsidRPr="0081146C">
        <w:t>.</w:t>
      </w:r>
    </w:p>
    <w:p w14:paraId="6ADE566F" w14:textId="77777777" w:rsidR="00035544" w:rsidRPr="0081146C" w:rsidRDefault="00035544" w:rsidP="00035544">
      <w:pPr>
        <w:pStyle w:val="SubsectionHead"/>
      </w:pPr>
      <w:r w:rsidRPr="0081146C">
        <w:t>Defence</w:t>
      </w:r>
    </w:p>
    <w:p w14:paraId="6EA6D0DD" w14:textId="77777777" w:rsidR="00035544" w:rsidRPr="0081146C" w:rsidRDefault="00035544" w:rsidP="00035544">
      <w:pPr>
        <w:pStyle w:val="subsection"/>
      </w:pPr>
      <w:r w:rsidRPr="0081146C">
        <w:tab/>
        <w:t>(2)</w:t>
      </w:r>
      <w:r w:rsidRPr="0081146C">
        <w:tab/>
        <w:t>In the proceedings, it is a defence if the defendant proves that:</w:t>
      </w:r>
    </w:p>
    <w:p w14:paraId="10A7A7E6" w14:textId="77777777" w:rsidR="00035544" w:rsidRPr="0081146C" w:rsidRDefault="00035544" w:rsidP="00035544">
      <w:pPr>
        <w:pStyle w:val="paragraph"/>
      </w:pPr>
      <w:r w:rsidRPr="0081146C">
        <w:tab/>
        <w:t>(a)</w:t>
      </w:r>
      <w:r w:rsidRPr="0081146C">
        <w:tab/>
        <w:t>the contravention in respect of which the proceedings were instituted was due to reasonable reliance on information given by another person; and</w:t>
      </w:r>
    </w:p>
    <w:p w14:paraId="0AE0CE8B" w14:textId="77777777" w:rsidR="00035544" w:rsidRPr="0081146C" w:rsidRDefault="00035544" w:rsidP="00035544">
      <w:pPr>
        <w:pStyle w:val="paragraph"/>
      </w:pPr>
      <w:r w:rsidRPr="0081146C">
        <w:tab/>
        <w:t>(b)</w:t>
      </w:r>
      <w:r w:rsidRPr="0081146C">
        <w:tab/>
        <w:t>the other person did not give the information in the other person’s capacity as an officer, employee or agent of the person who relied on the information.</w:t>
      </w:r>
    </w:p>
    <w:p w14:paraId="1A54A588" w14:textId="77777777" w:rsidR="00DF0658" w:rsidRPr="0081146C" w:rsidRDefault="00DF0658" w:rsidP="00AE2DA2">
      <w:pPr>
        <w:pStyle w:val="ActHead2"/>
        <w:pageBreakBefore/>
      </w:pPr>
      <w:bookmarkStart w:id="322" w:name="_Toc185415849"/>
      <w:r w:rsidRPr="0081146C">
        <w:rPr>
          <w:rStyle w:val="CharPartNo"/>
        </w:rPr>
        <w:t>Part</w:t>
      </w:r>
      <w:r w:rsidR="004F64A4" w:rsidRPr="0081146C">
        <w:rPr>
          <w:rStyle w:val="CharPartNo"/>
        </w:rPr>
        <w:t> </w:t>
      </w:r>
      <w:r w:rsidRPr="0081146C">
        <w:rPr>
          <w:rStyle w:val="CharPartNo"/>
        </w:rPr>
        <w:t>6</w:t>
      </w:r>
      <w:r w:rsidRPr="0081146C">
        <w:t>—</w:t>
      </w:r>
      <w:r w:rsidRPr="0081146C">
        <w:rPr>
          <w:rStyle w:val="CharPartText"/>
        </w:rPr>
        <w:t>The Remittance Sector Register</w:t>
      </w:r>
      <w:bookmarkEnd w:id="322"/>
    </w:p>
    <w:p w14:paraId="3C5F0356" w14:textId="77777777" w:rsidR="00DF0658" w:rsidRPr="0081146C" w:rsidRDefault="00CA78AA" w:rsidP="00DF0658">
      <w:pPr>
        <w:pStyle w:val="ActHead3"/>
      </w:pPr>
      <w:bookmarkStart w:id="323" w:name="_Toc185415850"/>
      <w:r w:rsidRPr="0081146C">
        <w:rPr>
          <w:rStyle w:val="CharDivNo"/>
        </w:rPr>
        <w:t>Division 1</w:t>
      </w:r>
      <w:r w:rsidR="00DF0658" w:rsidRPr="0081146C">
        <w:t>—</w:t>
      </w:r>
      <w:r w:rsidR="00DF0658" w:rsidRPr="0081146C">
        <w:rPr>
          <w:rStyle w:val="CharDivText"/>
        </w:rPr>
        <w:t>Simplified outline</w:t>
      </w:r>
      <w:bookmarkEnd w:id="323"/>
    </w:p>
    <w:p w14:paraId="240FC52C" w14:textId="77777777" w:rsidR="00035544" w:rsidRPr="0081146C" w:rsidRDefault="00035544" w:rsidP="00035544">
      <w:pPr>
        <w:pStyle w:val="ActHead5"/>
      </w:pPr>
      <w:bookmarkStart w:id="324" w:name="_Toc185415851"/>
      <w:r w:rsidRPr="0081146C">
        <w:rPr>
          <w:rStyle w:val="CharSectno"/>
        </w:rPr>
        <w:t>73</w:t>
      </w:r>
      <w:r w:rsidRPr="0081146C">
        <w:t xml:space="preserve">  Simplified outline</w:t>
      </w:r>
      <w:bookmarkEnd w:id="324"/>
    </w:p>
    <w:p w14:paraId="0C0BF50A" w14:textId="77777777" w:rsidR="00035544" w:rsidRPr="0081146C" w:rsidRDefault="00035544" w:rsidP="00035544">
      <w:pPr>
        <w:pStyle w:val="subsection"/>
      </w:pPr>
      <w:r w:rsidRPr="0081146C">
        <w:tab/>
      </w:r>
      <w:r w:rsidRPr="0081146C">
        <w:tab/>
        <w:t>The following is a simplified outline of this Part:</w:t>
      </w:r>
    </w:p>
    <w:p w14:paraId="41C4421F" w14:textId="1EF4EC6E" w:rsidR="00B601A7" w:rsidRPr="0081146C" w:rsidRDefault="00B601A7" w:rsidP="00B601A7">
      <w:pPr>
        <w:pStyle w:val="BoxList"/>
      </w:pPr>
      <w:r w:rsidRPr="0081146C">
        <w:t>•</w:t>
      </w:r>
      <w:r w:rsidRPr="0081146C">
        <w:tab/>
        <w:t>This Part provides for a tiered system of registration for providers of registrable remittance network services and providers of registrable remittance services.</w:t>
      </w:r>
    </w:p>
    <w:p w14:paraId="21296FA9" w14:textId="1CB26667" w:rsidR="00B601A7" w:rsidRPr="0081146C" w:rsidRDefault="00B601A7" w:rsidP="00B601A7">
      <w:pPr>
        <w:pStyle w:val="BoxList"/>
      </w:pPr>
      <w:r w:rsidRPr="0081146C">
        <w:t>•</w:t>
      </w:r>
      <w:r w:rsidRPr="0081146C">
        <w:tab/>
      </w:r>
      <w:r w:rsidR="00CA78AA" w:rsidRPr="0081146C">
        <w:t>Division 2</w:t>
      </w:r>
      <w:r w:rsidRPr="0081146C">
        <w:t xml:space="preserve"> sets out offences and civil penalties in relation to the provision of registrable remittance network services and registrable remittance services by persons who are not registered.</w:t>
      </w:r>
    </w:p>
    <w:p w14:paraId="4DAD7C69" w14:textId="77777777" w:rsidR="00B601A7" w:rsidRPr="0081146C" w:rsidRDefault="00B601A7" w:rsidP="00B601A7">
      <w:pPr>
        <w:pStyle w:val="BoxList"/>
      </w:pPr>
      <w:r w:rsidRPr="0081146C">
        <w:t>•</w:t>
      </w:r>
      <w:r w:rsidRPr="0081146C">
        <w:tab/>
      </w:r>
      <w:r w:rsidR="00CA78AA" w:rsidRPr="0081146C">
        <w:t>Division 3</w:t>
      </w:r>
      <w:r w:rsidRPr="0081146C">
        <w:t xml:space="preserve"> requires the AUSTRAC CEO to maintain the Remittance Sector Register and sets out the process of applying for registration.</w:t>
      </w:r>
    </w:p>
    <w:p w14:paraId="138AB611" w14:textId="77777777" w:rsidR="00CD6438" w:rsidRPr="0081146C" w:rsidRDefault="00CA78AA" w:rsidP="00AE2DA2">
      <w:pPr>
        <w:pStyle w:val="ActHead3"/>
        <w:pageBreakBefore/>
      </w:pPr>
      <w:bookmarkStart w:id="325" w:name="_Toc185415852"/>
      <w:r w:rsidRPr="0081146C">
        <w:rPr>
          <w:rStyle w:val="CharDivNo"/>
        </w:rPr>
        <w:t>Division 2</w:t>
      </w:r>
      <w:r w:rsidR="00CD6438" w:rsidRPr="0081146C">
        <w:t>—</w:t>
      </w:r>
      <w:r w:rsidR="00CD6438" w:rsidRPr="0081146C">
        <w:rPr>
          <w:rStyle w:val="CharDivText"/>
        </w:rPr>
        <w:t>Restrictions on providing certain remittance services</w:t>
      </w:r>
      <w:bookmarkEnd w:id="325"/>
    </w:p>
    <w:p w14:paraId="4B776F8F" w14:textId="77777777" w:rsidR="00035544" w:rsidRPr="0081146C" w:rsidRDefault="00035544" w:rsidP="00035544">
      <w:pPr>
        <w:pStyle w:val="ActHead5"/>
      </w:pPr>
      <w:bookmarkStart w:id="326" w:name="_Toc185415853"/>
      <w:r w:rsidRPr="0081146C">
        <w:rPr>
          <w:rStyle w:val="CharSectno"/>
        </w:rPr>
        <w:t>74</w:t>
      </w:r>
      <w:r w:rsidRPr="0081146C">
        <w:t xml:space="preserve">  Unregistered persons must not provide </w:t>
      </w:r>
      <w:r w:rsidR="00564CDC" w:rsidRPr="0081146C">
        <w:t>certain</w:t>
      </w:r>
      <w:r w:rsidRPr="0081146C">
        <w:t xml:space="preserve"> remittance services</w:t>
      </w:r>
      <w:bookmarkEnd w:id="326"/>
    </w:p>
    <w:p w14:paraId="3FFFA26E" w14:textId="77777777" w:rsidR="00564CDC" w:rsidRPr="0081146C" w:rsidRDefault="00564CDC" w:rsidP="00564CDC">
      <w:pPr>
        <w:pStyle w:val="SubsectionHead"/>
      </w:pPr>
      <w:r w:rsidRPr="0081146C">
        <w:t>Registrable remittance network services</w:t>
      </w:r>
    </w:p>
    <w:p w14:paraId="4D073BDD" w14:textId="77777777" w:rsidR="00564CDC" w:rsidRPr="0081146C" w:rsidRDefault="00564CDC" w:rsidP="00564CDC">
      <w:pPr>
        <w:pStyle w:val="subsection"/>
      </w:pPr>
      <w:r w:rsidRPr="0081146C">
        <w:tab/>
        <w:t>(1)</w:t>
      </w:r>
      <w:r w:rsidRPr="0081146C">
        <w:tab/>
        <w:t xml:space="preserve">A person (the </w:t>
      </w:r>
      <w:r w:rsidRPr="0081146C">
        <w:rPr>
          <w:b/>
          <w:i/>
        </w:rPr>
        <w:t>first person</w:t>
      </w:r>
      <w:r w:rsidRPr="0081146C">
        <w:t>) must not provide a registrable remittance network service to another person if:</w:t>
      </w:r>
    </w:p>
    <w:p w14:paraId="29906853" w14:textId="77777777" w:rsidR="00564CDC" w:rsidRPr="0081146C" w:rsidRDefault="00564CDC" w:rsidP="00564CDC">
      <w:pPr>
        <w:pStyle w:val="paragraph"/>
      </w:pPr>
      <w:r w:rsidRPr="0081146C">
        <w:tab/>
        <w:t>(a)</w:t>
      </w:r>
      <w:r w:rsidRPr="0081146C">
        <w:tab/>
        <w:t>the first person is not a registered remittance network provider; or</w:t>
      </w:r>
    </w:p>
    <w:p w14:paraId="23FF063B" w14:textId="77777777" w:rsidR="00564CDC" w:rsidRPr="0081146C" w:rsidRDefault="00564CDC" w:rsidP="00564CDC">
      <w:pPr>
        <w:pStyle w:val="paragraph"/>
      </w:pPr>
      <w:r w:rsidRPr="0081146C">
        <w:tab/>
        <w:t>(b)</w:t>
      </w:r>
      <w:r w:rsidRPr="0081146C">
        <w:tab/>
        <w:t>the first person is a registered remittance network provider, but the person to whom the service is provided is not a registered remittance affiliate of the first person.</w:t>
      </w:r>
    </w:p>
    <w:p w14:paraId="099EC341" w14:textId="05EA313B" w:rsidR="00564CDC" w:rsidRPr="0081146C" w:rsidRDefault="00564CDC" w:rsidP="00564CDC">
      <w:pPr>
        <w:pStyle w:val="SubsectionHead"/>
      </w:pPr>
      <w:r w:rsidRPr="0081146C">
        <w:t>Registrable remittance services—independents</w:t>
      </w:r>
    </w:p>
    <w:p w14:paraId="2AB54279" w14:textId="6168C342" w:rsidR="00564CDC" w:rsidRPr="0081146C" w:rsidRDefault="00564CDC" w:rsidP="00564CDC">
      <w:pPr>
        <w:pStyle w:val="subsection"/>
      </w:pPr>
      <w:r w:rsidRPr="0081146C">
        <w:tab/>
        <w:t>(1A)</w:t>
      </w:r>
      <w:r w:rsidRPr="0081146C">
        <w:tab/>
        <w:t>A person must not provide a registrable remittance service if:</w:t>
      </w:r>
    </w:p>
    <w:p w14:paraId="06C3D5BB" w14:textId="77777777" w:rsidR="00564CDC" w:rsidRPr="0081146C" w:rsidRDefault="00564CDC" w:rsidP="00564CDC">
      <w:pPr>
        <w:pStyle w:val="paragraph"/>
      </w:pPr>
      <w:r w:rsidRPr="0081146C">
        <w:tab/>
        <w:t>(a)</w:t>
      </w:r>
      <w:r w:rsidRPr="0081146C">
        <w:tab/>
        <w:t>the person provides the service other than as part of a remittance network operated by a registered remittance network provider; and</w:t>
      </w:r>
    </w:p>
    <w:p w14:paraId="21EB1C23" w14:textId="77777777" w:rsidR="00564CDC" w:rsidRPr="0081146C" w:rsidRDefault="00564CDC" w:rsidP="00564CDC">
      <w:pPr>
        <w:pStyle w:val="paragraph"/>
      </w:pPr>
      <w:r w:rsidRPr="0081146C">
        <w:tab/>
        <w:t>(b)</w:t>
      </w:r>
      <w:r w:rsidRPr="0081146C">
        <w:tab/>
        <w:t>the person is not a registered independent remittance dealer.</w:t>
      </w:r>
    </w:p>
    <w:p w14:paraId="53A31CD7" w14:textId="11221242" w:rsidR="00564CDC" w:rsidRPr="0081146C" w:rsidRDefault="00564CDC" w:rsidP="00564CDC">
      <w:pPr>
        <w:pStyle w:val="SubsectionHead"/>
      </w:pPr>
      <w:r w:rsidRPr="0081146C">
        <w:t>Registrable remittance services—affiliates</w:t>
      </w:r>
    </w:p>
    <w:p w14:paraId="339651CD" w14:textId="189D1D95" w:rsidR="00564CDC" w:rsidRPr="0081146C" w:rsidRDefault="00564CDC" w:rsidP="00564CDC">
      <w:pPr>
        <w:pStyle w:val="subsection"/>
      </w:pPr>
      <w:r w:rsidRPr="0081146C">
        <w:tab/>
        <w:t>(1B)</w:t>
      </w:r>
      <w:r w:rsidRPr="0081146C">
        <w:tab/>
        <w:t>A person must not provide a registrable remittance service if:</w:t>
      </w:r>
    </w:p>
    <w:p w14:paraId="28CCFC51" w14:textId="77777777" w:rsidR="00564CDC" w:rsidRPr="0081146C" w:rsidRDefault="00564CDC" w:rsidP="00564CDC">
      <w:pPr>
        <w:pStyle w:val="paragraph"/>
      </w:pPr>
      <w:r w:rsidRPr="0081146C">
        <w:tab/>
        <w:t>(a)</w:t>
      </w:r>
      <w:r w:rsidRPr="0081146C">
        <w:tab/>
        <w:t>the person provides the service as part of a remittance network operated by a registered remittance network provider; and</w:t>
      </w:r>
    </w:p>
    <w:p w14:paraId="5AF876E8" w14:textId="77777777" w:rsidR="00564CDC" w:rsidRPr="0081146C" w:rsidRDefault="00564CDC" w:rsidP="00564CDC">
      <w:pPr>
        <w:pStyle w:val="paragraph"/>
      </w:pPr>
      <w:r w:rsidRPr="0081146C">
        <w:tab/>
        <w:t>(b)</w:t>
      </w:r>
      <w:r w:rsidRPr="0081146C">
        <w:tab/>
        <w:t>the person is not a registered remittance affiliate of the registered remittance network provider.</w:t>
      </w:r>
    </w:p>
    <w:p w14:paraId="08F68710" w14:textId="77777777" w:rsidR="00564CDC" w:rsidRPr="0081146C" w:rsidRDefault="00564CDC" w:rsidP="00564CDC">
      <w:pPr>
        <w:pStyle w:val="SubsectionHead"/>
      </w:pPr>
      <w:r w:rsidRPr="0081146C">
        <w:t>Breach of conditions</w:t>
      </w:r>
    </w:p>
    <w:p w14:paraId="74A8300D" w14:textId="77777777" w:rsidR="00564CDC" w:rsidRPr="0081146C" w:rsidRDefault="00564CDC" w:rsidP="00564CDC">
      <w:pPr>
        <w:pStyle w:val="subsection"/>
      </w:pPr>
      <w:r w:rsidRPr="0081146C">
        <w:tab/>
        <w:t>(1C)</w:t>
      </w:r>
      <w:r w:rsidRPr="0081146C">
        <w:tab/>
        <w:t>A person must not breach a condition to which the registration of the person as any of the following is subject:</w:t>
      </w:r>
    </w:p>
    <w:p w14:paraId="7348483F" w14:textId="77777777" w:rsidR="00564CDC" w:rsidRPr="0081146C" w:rsidRDefault="00564CDC" w:rsidP="00564CDC">
      <w:pPr>
        <w:pStyle w:val="paragraph"/>
      </w:pPr>
      <w:r w:rsidRPr="0081146C">
        <w:tab/>
        <w:t>(a)</w:t>
      </w:r>
      <w:r w:rsidRPr="0081146C">
        <w:tab/>
        <w:t>a remittance network provider;</w:t>
      </w:r>
    </w:p>
    <w:p w14:paraId="37089DE3" w14:textId="77777777" w:rsidR="00564CDC" w:rsidRPr="0081146C" w:rsidRDefault="00564CDC" w:rsidP="00564CDC">
      <w:pPr>
        <w:pStyle w:val="paragraph"/>
      </w:pPr>
      <w:r w:rsidRPr="0081146C">
        <w:tab/>
        <w:t>(b)</w:t>
      </w:r>
      <w:r w:rsidRPr="0081146C">
        <w:tab/>
        <w:t>an independent remittance dealer;</w:t>
      </w:r>
    </w:p>
    <w:p w14:paraId="609DD0D3" w14:textId="77777777" w:rsidR="00564CDC" w:rsidRPr="0081146C" w:rsidRDefault="00564CDC" w:rsidP="00564CDC">
      <w:pPr>
        <w:pStyle w:val="paragraph"/>
      </w:pPr>
      <w:r w:rsidRPr="0081146C">
        <w:tab/>
        <w:t>(c)</w:t>
      </w:r>
      <w:r w:rsidRPr="0081146C">
        <w:tab/>
        <w:t>a remittance affiliate of a registered remittance network provider.</w:t>
      </w:r>
    </w:p>
    <w:p w14:paraId="216113CF" w14:textId="77777777" w:rsidR="00035544" w:rsidRPr="0081146C" w:rsidRDefault="00035544" w:rsidP="00035544">
      <w:pPr>
        <w:pStyle w:val="SubsectionHead"/>
      </w:pPr>
      <w:r w:rsidRPr="0081146C">
        <w:t>Offences</w:t>
      </w:r>
    </w:p>
    <w:p w14:paraId="2441A7EB" w14:textId="77777777" w:rsidR="00035544" w:rsidRPr="0081146C" w:rsidRDefault="00035544" w:rsidP="00035544">
      <w:pPr>
        <w:pStyle w:val="subsection"/>
      </w:pPr>
      <w:r w:rsidRPr="0081146C">
        <w:tab/>
        <w:t>(2)</w:t>
      </w:r>
      <w:r w:rsidRPr="0081146C">
        <w:tab/>
        <w:t>A person commits an offence if:</w:t>
      </w:r>
    </w:p>
    <w:p w14:paraId="05D3B34C"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1)</w:t>
      </w:r>
      <w:r w:rsidR="009E66C7" w:rsidRPr="0081146C">
        <w:t>, (1A), (1B) or (1C)</w:t>
      </w:r>
      <w:r w:rsidRPr="0081146C">
        <w:t>; and</w:t>
      </w:r>
    </w:p>
    <w:p w14:paraId="259224AE" w14:textId="77777777" w:rsidR="00035544" w:rsidRPr="0081146C" w:rsidRDefault="00035544" w:rsidP="00035544">
      <w:pPr>
        <w:pStyle w:val="paragraph"/>
      </w:pPr>
      <w:r w:rsidRPr="0081146C">
        <w:tab/>
        <w:t>(b)</w:t>
      </w:r>
      <w:r w:rsidRPr="0081146C">
        <w:tab/>
        <w:t>the person engages in conduct; and</w:t>
      </w:r>
    </w:p>
    <w:p w14:paraId="7295F848" w14:textId="77777777" w:rsidR="00035544" w:rsidRPr="0081146C" w:rsidRDefault="00035544" w:rsidP="00035544">
      <w:pPr>
        <w:pStyle w:val="paragraph"/>
      </w:pPr>
      <w:r w:rsidRPr="0081146C">
        <w:tab/>
        <w:t>(c)</w:t>
      </w:r>
      <w:r w:rsidRPr="0081146C">
        <w:tab/>
        <w:t>the person’s conduct breaches the requirement.</w:t>
      </w:r>
    </w:p>
    <w:p w14:paraId="7E62D086" w14:textId="77777777" w:rsidR="00035544" w:rsidRPr="0081146C" w:rsidRDefault="00035544" w:rsidP="00035544">
      <w:pPr>
        <w:pStyle w:val="Penalty"/>
      </w:pPr>
      <w:r w:rsidRPr="0081146C">
        <w:t>Penalty:</w:t>
      </w:r>
      <w:r w:rsidRPr="0081146C">
        <w:tab/>
        <w:t>Imprisonment for 2 years or 500 penalty units, or both.</w:t>
      </w:r>
    </w:p>
    <w:p w14:paraId="2FE693F3" w14:textId="77777777" w:rsidR="00035544" w:rsidRPr="0081146C" w:rsidRDefault="00035544" w:rsidP="00035544">
      <w:pPr>
        <w:pStyle w:val="subsection"/>
      </w:pPr>
      <w:r w:rsidRPr="0081146C">
        <w:tab/>
        <w:t>(3)</w:t>
      </w:r>
      <w:r w:rsidRPr="0081146C">
        <w:tab/>
        <w:t xml:space="preserve">Strict liability applies to </w:t>
      </w:r>
      <w:r w:rsidR="004F64A4" w:rsidRPr="0081146C">
        <w:t>paragraphs (</w:t>
      </w:r>
      <w:r w:rsidRPr="0081146C">
        <w:t>2)(b) and (c).</w:t>
      </w:r>
    </w:p>
    <w:p w14:paraId="3BC6A114" w14:textId="77777777" w:rsidR="00035544" w:rsidRPr="0081146C" w:rsidRDefault="00035544" w:rsidP="00035544">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4E1E40E6" w14:textId="77777777" w:rsidR="00035544" w:rsidRPr="0081146C" w:rsidRDefault="00035544" w:rsidP="00035544">
      <w:pPr>
        <w:pStyle w:val="subsection"/>
      </w:pPr>
      <w:r w:rsidRPr="0081146C">
        <w:tab/>
        <w:t>(4)</w:t>
      </w:r>
      <w:r w:rsidRPr="0081146C">
        <w:tab/>
        <w:t>A person commits an offence if:</w:t>
      </w:r>
    </w:p>
    <w:p w14:paraId="79ACA014"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1)</w:t>
      </w:r>
      <w:r w:rsidR="00DA707B" w:rsidRPr="0081146C">
        <w:t>, (1A), (1B) or (1C)</w:t>
      </w:r>
      <w:r w:rsidRPr="0081146C">
        <w:t>; and</w:t>
      </w:r>
    </w:p>
    <w:p w14:paraId="6E860803" w14:textId="77777777" w:rsidR="00035544" w:rsidRPr="0081146C" w:rsidRDefault="00035544" w:rsidP="00F42A74">
      <w:pPr>
        <w:pStyle w:val="paragraph"/>
        <w:keepNext/>
        <w:keepLines/>
      </w:pPr>
      <w:r w:rsidRPr="0081146C">
        <w:tab/>
        <w:t>(b)</w:t>
      </w:r>
      <w:r w:rsidRPr="0081146C">
        <w:tab/>
        <w:t>the person engages in conduct; and</w:t>
      </w:r>
    </w:p>
    <w:p w14:paraId="26EE58E5" w14:textId="77777777" w:rsidR="00035544" w:rsidRPr="0081146C" w:rsidRDefault="00035544" w:rsidP="00035544">
      <w:pPr>
        <w:pStyle w:val="paragraph"/>
      </w:pPr>
      <w:r w:rsidRPr="0081146C">
        <w:tab/>
        <w:t>(c)</w:t>
      </w:r>
      <w:r w:rsidRPr="0081146C">
        <w:tab/>
        <w:t>the person’s conduct breaches the requirement; and</w:t>
      </w:r>
    </w:p>
    <w:p w14:paraId="20D52222" w14:textId="77777777" w:rsidR="00035544" w:rsidRPr="0081146C" w:rsidRDefault="00035544" w:rsidP="00035544">
      <w:pPr>
        <w:pStyle w:val="paragraph"/>
      </w:pPr>
      <w:r w:rsidRPr="0081146C">
        <w:tab/>
        <w:t>(d)</w:t>
      </w:r>
      <w:r w:rsidRPr="0081146C">
        <w:tab/>
        <w:t>the AUSTRAC CEO previously:</w:t>
      </w:r>
    </w:p>
    <w:p w14:paraId="2B8B3D22" w14:textId="77777777" w:rsidR="00035544" w:rsidRPr="0081146C" w:rsidRDefault="00035544" w:rsidP="00035544">
      <w:pPr>
        <w:pStyle w:val="paragraphsub"/>
      </w:pPr>
      <w:r w:rsidRPr="0081146C">
        <w:tab/>
        <w:t>(i)</w:t>
      </w:r>
      <w:r w:rsidRPr="0081146C">
        <w:tab/>
        <w:t>gave the person a direction under sub</w:t>
      </w:r>
      <w:r w:rsidR="003B7E15" w:rsidRPr="0081146C">
        <w:t>section 1</w:t>
      </w:r>
      <w:r w:rsidRPr="0081146C">
        <w:t xml:space="preserve">91(2) in relation to </w:t>
      </w:r>
      <w:r w:rsidR="004F64A4" w:rsidRPr="0081146C">
        <w:t>subsection (</w:t>
      </w:r>
      <w:r w:rsidRPr="0081146C">
        <w:t>1)</w:t>
      </w:r>
      <w:r w:rsidR="009B2975" w:rsidRPr="0081146C">
        <w:t>, (1A), (1B) or (1C)</w:t>
      </w:r>
      <w:r w:rsidRPr="0081146C">
        <w:t xml:space="preserve"> of this section; or</w:t>
      </w:r>
    </w:p>
    <w:p w14:paraId="17B4FF78" w14:textId="77777777" w:rsidR="00035544" w:rsidRPr="0081146C" w:rsidRDefault="00035544" w:rsidP="00035544">
      <w:pPr>
        <w:pStyle w:val="paragraphsub"/>
      </w:pPr>
      <w:r w:rsidRPr="0081146C">
        <w:tab/>
        <w:t>(ii)</w:t>
      </w:r>
      <w:r w:rsidRPr="0081146C">
        <w:tab/>
        <w:t xml:space="preserve">accepted an undertaking given by the person under </w:t>
      </w:r>
      <w:r w:rsidR="003B7E15" w:rsidRPr="0081146C">
        <w:t>section 1</w:t>
      </w:r>
      <w:r w:rsidRPr="0081146C">
        <w:t xml:space="preserve">97 in relation to </w:t>
      </w:r>
      <w:r w:rsidR="004F64A4" w:rsidRPr="0081146C">
        <w:t>subsection (</w:t>
      </w:r>
      <w:r w:rsidRPr="0081146C">
        <w:t>1)</w:t>
      </w:r>
      <w:r w:rsidR="009B2975" w:rsidRPr="0081146C">
        <w:t>, (1A), (1B) or (1C)</w:t>
      </w:r>
      <w:r w:rsidRPr="0081146C">
        <w:t xml:space="preserve"> of this section; and</w:t>
      </w:r>
    </w:p>
    <w:p w14:paraId="15B96853" w14:textId="77777777" w:rsidR="00035544" w:rsidRPr="0081146C" w:rsidRDefault="00035544" w:rsidP="00035544">
      <w:pPr>
        <w:pStyle w:val="paragraph"/>
      </w:pPr>
      <w:r w:rsidRPr="0081146C">
        <w:tab/>
        <w:t>(e)</w:t>
      </w:r>
      <w:r w:rsidRPr="0081146C">
        <w:tab/>
        <w:t>that was the only occasion on which the AUSTRAC CEO previously gave such a direction to, or accepted such an undertaking from, the person.</w:t>
      </w:r>
    </w:p>
    <w:p w14:paraId="04E407CE" w14:textId="77777777" w:rsidR="00035544" w:rsidRPr="0081146C" w:rsidRDefault="00035544" w:rsidP="00035544">
      <w:pPr>
        <w:pStyle w:val="Penalty"/>
      </w:pPr>
      <w:r w:rsidRPr="0081146C">
        <w:t>Penalty:</w:t>
      </w:r>
      <w:r w:rsidRPr="0081146C">
        <w:tab/>
        <w:t>Imprisonment for 4 years or 1,000 penalty units, or both.</w:t>
      </w:r>
    </w:p>
    <w:p w14:paraId="3B0C2089" w14:textId="77777777" w:rsidR="00035544" w:rsidRPr="0081146C" w:rsidRDefault="00035544" w:rsidP="00035544">
      <w:pPr>
        <w:pStyle w:val="subsection"/>
      </w:pPr>
      <w:r w:rsidRPr="0081146C">
        <w:tab/>
        <w:t>(5)</w:t>
      </w:r>
      <w:r w:rsidRPr="0081146C">
        <w:tab/>
        <w:t xml:space="preserve">Strict liability applies to </w:t>
      </w:r>
      <w:r w:rsidR="004F64A4" w:rsidRPr="0081146C">
        <w:t>paragraphs (</w:t>
      </w:r>
      <w:r w:rsidRPr="0081146C">
        <w:t>4)(b) and (c).</w:t>
      </w:r>
    </w:p>
    <w:p w14:paraId="5B48F22C" w14:textId="77777777" w:rsidR="00035544" w:rsidRPr="0081146C" w:rsidRDefault="00035544" w:rsidP="00035544">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187F69FD" w14:textId="77777777" w:rsidR="00035544" w:rsidRPr="0081146C" w:rsidRDefault="00035544" w:rsidP="00035544">
      <w:pPr>
        <w:pStyle w:val="subsection"/>
      </w:pPr>
      <w:r w:rsidRPr="0081146C">
        <w:tab/>
        <w:t>(6)</w:t>
      </w:r>
      <w:r w:rsidRPr="0081146C">
        <w:tab/>
        <w:t>A person commits an offence if:</w:t>
      </w:r>
    </w:p>
    <w:p w14:paraId="6B11C6E1"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1)</w:t>
      </w:r>
      <w:r w:rsidR="00A522E2" w:rsidRPr="0081146C">
        <w:t>, (1A), (1B) or (1C)</w:t>
      </w:r>
      <w:r w:rsidRPr="0081146C">
        <w:t>; and</w:t>
      </w:r>
    </w:p>
    <w:p w14:paraId="240799E1" w14:textId="77777777" w:rsidR="00035544" w:rsidRPr="0081146C" w:rsidRDefault="00035544" w:rsidP="00035544">
      <w:pPr>
        <w:pStyle w:val="paragraph"/>
      </w:pPr>
      <w:r w:rsidRPr="0081146C">
        <w:tab/>
        <w:t>(b)</w:t>
      </w:r>
      <w:r w:rsidRPr="0081146C">
        <w:tab/>
        <w:t>the person engages in conduct; and</w:t>
      </w:r>
    </w:p>
    <w:p w14:paraId="52A71531" w14:textId="77777777" w:rsidR="00035544" w:rsidRPr="0081146C" w:rsidRDefault="00035544" w:rsidP="00035544">
      <w:pPr>
        <w:pStyle w:val="paragraph"/>
      </w:pPr>
      <w:r w:rsidRPr="0081146C">
        <w:tab/>
        <w:t>(c)</w:t>
      </w:r>
      <w:r w:rsidRPr="0081146C">
        <w:tab/>
        <w:t>the person’s conduct breaches the requirement; and</w:t>
      </w:r>
    </w:p>
    <w:p w14:paraId="6EE4EB70" w14:textId="77777777" w:rsidR="00035544" w:rsidRPr="0081146C" w:rsidRDefault="00035544" w:rsidP="00035544">
      <w:pPr>
        <w:pStyle w:val="paragraph"/>
      </w:pPr>
      <w:r w:rsidRPr="0081146C">
        <w:tab/>
        <w:t>(d)</w:t>
      </w:r>
      <w:r w:rsidRPr="0081146C">
        <w:tab/>
        <w:t>the AUSTRAC CEO previously:</w:t>
      </w:r>
    </w:p>
    <w:p w14:paraId="5F292471" w14:textId="77777777" w:rsidR="00035544" w:rsidRPr="0081146C" w:rsidRDefault="00035544" w:rsidP="00035544">
      <w:pPr>
        <w:pStyle w:val="paragraphsub"/>
      </w:pPr>
      <w:r w:rsidRPr="0081146C">
        <w:tab/>
        <w:t>(i)</w:t>
      </w:r>
      <w:r w:rsidRPr="0081146C">
        <w:tab/>
        <w:t>gave the person a direction under sub</w:t>
      </w:r>
      <w:r w:rsidR="003B7E15" w:rsidRPr="0081146C">
        <w:t>section 1</w:t>
      </w:r>
      <w:r w:rsidRPr="0081146C">
        <w:t xml:space="preserve">91(2) in relation to </w:t>
      </w:r>
      <w:r w:rsidR="004F64A4" w:rsidRPr="0081146C">
        <w:t>subsection (</w:t>
      </w:r>
      <w:r w:rsidRPr="0081146C">
        <w:t>1)</w:t>
      </w:r>
      <w:r w:rsidR="00A522E2" w:rsidRPr="0081146C">
        <w:t>, (1A), (1B) or (1C)</w:t>
      </w:r>
      <w:r w:rsidRPr="0081146C">
        <w:t xml:space="preserve"> of this section; or</w:t>
      </w:r>
    </w:p>
    <w:p w14:paraId="4867ED86" w14:textId="77777777" w:rsidR="00035544" w:rsidRPr="0081146C" w:rsidRDefault="00035544" w:rsidP="00035544">
      <w:pPr>
        <w:pStyle w:val="paragraphsub"/>
      </w:pPr>
      <w:r w:rsidRPr="0081146C">
        <w:tab/>
        <w:t>(ii)</w:t>
      </w:r>
      <w:r w:rsidRPr="0081146C">
        <w:tab/>
        <w:t xml:space="preserve">accepted an undertaking given by the person under </w:t>
      </w:r>
      <w:r w:rsidR="003B7E15" w:rsidRPr="0081146C">
        <w:t>section 1</w:t>
      </w:r>
      <w:r w:rsidRPr="0081146C">
        <w:t xml:space="preserve">97 in relation to </w:t>
      </w:r>
      <w:r w:rsidR="004F64A4" w:rsidRPr="0081146C">
        <w:t>subsection (</w:t>
      </w:r>
      <w:r w:rsidRPr="0081146C">
        <w:t>1)</w:t>
      </w:r>
      <w:r w:rsidR="00A522E2" w:rsidRPr="0081146C">
        <w:t>, (1A), (1B) or (1C)</w:t>
      </w:r>
      <w:r w:rsidRPr="0081146C">
        <w:t xml:space="preserve"> of this section; and</w:t>
      </w:r>
    </w:p>
    <w:p w14:paraId="56100BCA" w14:textId="77777777" w:rsidR="00035544" w:rsidRPr="0081146C" w:rsidRDefault="00035544" w:rsidP="00035544">
      <w:pPr>
        <w:pStyle w:val="paragraph"/>
      </w:pPr>
      <w:r w:rsidRPr="0081146C">
        <w:tab/>
        <w:t>(e)</w:t>
      </w:r>
      <w:r w:rsidRPr="0081146C">
        <w:tab/>
        <w:t>that was not the only occasion on which the AUSTRAC CEO previously gave such a direction to, or accepted such an undertaking from, the person.</w:t>
      </w:r>
    </w:p>
    <w:p w14:paraId="40A1239E" w14:textId="77777777" w:rsidR="00035544" w:rsidRPr="0081146C" w:rsidRDefault="00035544" w:rsidP="00035544">
      <w:pPr>
        <w:pStyle w:val="Penalty"/>
      </w:pPr>
      <w:r w:rsidRPr="0081146C">
        <w:t>Penalty:</w:t>
      </w:r>
      <w:r w:rsidRPr="0081146C">
        <w:tab/>
        <w:t>Imprisonment for 7 years or 2,000 penalty units, or both.</w:t>
      </w:r>
    </w:p>
    <w:p w14:paraId="00E03912" w14:textId="77777777" w:rsidR="00035544" w:rsidRPr="0081146C" w:rsidRDefault="00035544" w:rsidP="00035544">
      <w:pPr>
        <w:pStyle w:val="subsection"/>
      </w:pPr>
      <w:r w:rsidRPr="0081146C">
        <w:tab/>
        <w:t>(7)</w:t>
      </w:r>
      <w:r w:rsidRPr="0081146C">
        <w:tab/>
        <w:t xml:space="preserve">Strict liability applies to </w:t>
      </w:r>
      <w:r w:rsidR="004F64A4" w:rsidRPr="0081146C">
        <w:t>paragraphs (</w:t>
      </w:r>
      <w:r w:rsidRPr="0081146C">
        <w:t>6)(b) and (c).</w:t>
      </w:r>
    </w:p>
    <w:p w14:paraId="34FA24C2" w14:textId="77777777" w:rsidR="00035544" w:rsidRPr="0081146C" w:rsidRDefault="00035544" w:rsidP="00035544">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7B60E94F" w14:textId="77777777" w:rsidR="00035544" w:rsidRPr="0081146C" w:rsidRDefault="00035544" w:rsidP="00035544">
      <w:pPr>
        <w:pStyle w:val="subsection"/>
      </w:pPr>
      <w:r w:rsidRPr="0081146C">
        <w:tab/>
        <w:t>(8)</w:t>
      </w:r>
      <w:r w:rsidRPr="0081146C">
        <w:tab/>
        <w:t>A person commits an offence if:</w:t>
      </w:r>
    </w:p>
    <w:p w14:paraId="4FE3884D"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1)</w:t>
      </w:r>
      <w:r w:rsidR="00D528A0" w:rsidRPr="0081146C">
        <w:t>, (1A), (1B) or (1C)</w:t>
      </w:r>
      <w:r w:rsidRPr="0081146C">
        <w:t>; and</w:t>
      </w:r>
    </w:p>
    <w:p w14:paraId="66F0D94C" w14:textId="77777777" w:rsidR="00035544" w:rsidRPr="0081146C" w:rsidRDefault="00035544" w:rsidP="00F42A74">
      <w:pPr>
        <w:pStyle w:val="paragraph"/>
        <w:keepNext/>
        <w:keepLines/>
      </w:pPr>
      <w:r w:rsidRPr="0081146C">
        <w:tab/>
        <w:t>(b)</w:t>
      </w:r>
      <w:r w:rsidRPr="0081146C">
        <w:tab/>
        <w:t>the person engages in conduct; and</w:t>
      </w:r>
    </w:p>
    <w:p w14:paraId="40CD24F5" w14:textId="77777777" w:rsidR="00035544" w:rsidRPr="0081146C" w:rsidRDefault="00035544" w:rsidP="00035544">
      <w:pPr>
        <w:pStyle w:val="paragraph"/>
      </w:pPr>
      <w:r w:rsidRPr="0081146C">
        <w:tab/>
        <w:t>(c)</w:t>
      </w:r>
      <w:r w:rsidRPr="0081146C">
        <w:tab/>
        <w:t>the person’s conduct breaches the requirement; and</w:t>
      </w:r>
    </w:p>
    <w:p w14:paraId="190F9782" w14:textId="77777777" w:rsidR="00035544" w:rsidRPr="0081146C" w:rsidRDefault="00035544" w:rsidP="00035544">
      <w:pPr>
        <w:pStyle w:val="paragraph"/>
      </w:pPr>
      <w:r w:rsidRPr="0081146C">
        <w:tab/>
        <w:t>(d)</w:t>
      </w:r>
      <w:r w:rsidRPr="0081146C">
        <w:tab/>
        <w:t>either:</w:t>
      </w:r>
    </w:p>
    <w:p w14:paraId="06341B2A" w14:textId="77777777" w:rsidR="00035544" w:rsidRPr="0081146C" w:rsidRDefault="00035544" w:rsidP="00035544">
      <w:pPr>
        <w:pStyle w:val="paragraphsub"/>
      </w:pPr>
      <w:r w:rsidRPr="0081146C">
        <w:tab/>
        <w:t>(i)</w:t>
      </w:r>
      <w:r w:rsidRPr="0081146C">
        <w:tab/>
        <w:t xml:space="preserve">the person had previously been convicted of an offence against </w:t>
      </w:r>
      <w:r w:rsidR="004F64A4" w:rsidRPr="0081146C">
        <w:t>subsection (</w:t>
      </w:r>
      <w:r w:rsidRPr="0081146C">
        <w:t>2), (4) or (6), and that conviction has not been set aside or quashed; or</w:t>
      </w:r>
    </w:p>
    <w:p w14:paraId="1802D1EF" w14:textId="77777777" w:rsidR="00035544" w:rsidRPr="0081146C" w:rsidRDefault="00035544" w:rsidP="00035544">
      <w:pPr>
        <w:pStyle w:val="paragraphsub"/>
      </w:pPr>
      <w:r w:rsidRPr="0081146C">
        <w:tab/>
        <w:t>(ii)</w:t>
      </w:r>
      <w:r w:rsidRPr="0081146C">
        <w:tab/>
        <w:t xml:space="preserve">an order had previously been made against the person under </w:t>
      </w:r>
      <w:r w:rsidR="003B7E15" w:rsidRPr="0081146C">
        <w:t>section 1</w:t>
      </w:r>
      <w:r w:rsidRPr="0081146C">
        <w:t xml:space="preserve">9B of the </w:t>
      </w:r>
      <w:r w:rsidRPr="0081146C">
        <w:rPr>
          <w:i/>
        </w:rPr>
        <w:t>Crimes Act 1914</w:t>
      </w:r>
      <w:r w:rsidRPr="0081146C">
        <w:t xml:space="preserve"> in respect of an offence against </w:t>
      </w:r>
      <w:r w:rsidR="004F64A4" w:rsidRPr="0081146C">
        <w:t>subsection (</w:t>
      </w:r>
      <w:r w:rsidRPr="0081146C">
        <w:t>2), (4) or (6), and that order has not been set aside.</w:t>
      </w:r>
    </w:p>
    <w:p w14:paraId="3F3C6FBA" w14:textId="77777777" w:rsidR="00035544" w:rsidRPr="0081146C" w:rsidRDefault="00035544" w:rsidP="00035544">
      <w:pPr>
        <w:pStyle w:val="Penalty"/>
      </w:pPr>
      <w:r w:rsidRPr="0081146C">
        <w:t>Penalty:</w:t>
      </w:r>
      <w:r w:rsidRPr="0081146C">
        <w:tab/>
        <w:t>Imprisonment for 7 years or 2,000 penalty units, or both.</w:t>
      </w:r>
    </w:p>
    <w:p w14:paraId="0C970B5D" w14:textId="77777777" w:rsidR="00035544" w:rsidRPr="0081146C" w:rsidRDefault="00035544" w:rsidP="00035544">
      <w:pPr>
        <w:pStyle w:val="subsection"/>
      </w:pPr>
      <w:r w:rsidRPr="0081146C">
        <w:tab/>
        <w:t>(9)</w:t>
      </w:r>
      <w:r w:rsidRPr="0081146C">
        <w:tab/>
        <w:t xml:space="preserve">Strict liability applies to </w:t>
      </w:r>
      <w:r w:rsidR="004F64A4" w:rsidRPr="0081146C">
        <w:t>paragraphs (</w:t>
      </w:r>
      <w:r w:rsidRPr="0081146C">
        <w:t>8)(b) and (c).</w:t>
      </w:r>
    </w:p>
    <w:p w14:paraId="199BABA1" w14:textId="77777777" w:rsidR="00035544" w:rsidRPr="0081146C" w:rsidRDefault="00035544" w:rsidP="00035544">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041405DA" w14:textId="77777777" w:rsidR="00D528A0" w:rsidRPr="0081146C" w:rsidRDefault="00D528A0" w:rsidP="00D528A0">
      <w:pPr>
        <w:pStyle w:val="SubsectionHead"/>
      </w:pPr>
      <w:r w:rsidRPr="0081146C">
        <w:t>Civil penalty</w:t>
      </w:r>
    </w:p>
    <w:p w14:paraId="0F311ED1" w14:textId="77777777" w:rsidR="00D528A0" w:rsidRPr="0081146C" w:rsidRDefault="00D528A0" w:rsidP="00D528A0">
      <w:pPr>
        <w:pStyle w:val="subsection"/>
      </w:pPr>
      <w:r w:rsidRPr="0081146C">
        <w:tab/>
        <w:t>(10)</w:t>
      </w:r>
      <w:r w:rsidRPr="0081146C">
        <w:tab/>
      </w:r>
      <w:r w:rsidR="004F64A4" w:rsidRPr="0081146C">
        <w:t>Subsections (</w:t>
      </w:r>
      <w:r w:rsidRPr="0081146C">
        <w:t>1), (1A), (1B) and (1C) are civil penalty provisions.</w:t>
      </w:r>
    </w:p>
    <w:p w14:paraId="6A77E841" w14:textId="77777777" w:rsidR="00D528A0" w:rsidRPr="0081146C" w:rsidRDefault="00CA78AA" w:rsidP="00AE2DA2">
      <w:pPr>
        <w:pStyle w:val="ActHead3"/>
        <w:pageBreakBefore/>
      </w:pPr>
      <w:bookmarkStart w:id="327" w:name="_Toc185415854"/>
      <w:r w:rsidRPr="0081146C">
        <w:rPr>
          <w:rStyle w:val="CharDivNo"/>
        </w:rPr>
        <w:t>Division 3</w:t>
      </w:r>
      <w:r w:rsidR="00D528A0" w:rsidRPr="0081146C">
        <w:t>—</w:t>
      </w:r>
      <w:r w:rsidR="00D528A0" w:rsidRPr="0081146C">
        <w:rPr>
          <w:rStyle w:val="CharDivText"/>
        </w:rPr>
        <w:t>Registration of persons</w:t>
      </w:r>
      <w:bookmarkEnd w:id="327"/>
    </w:p>
    <w:p w14:paraId="1515E586" w14:textId="77777777" w:rsidR="00D528A0" w:rsidRPr="0081146C" w:rsidRDefault="00D528A0" w:rsidP="00D528A0">
      <w:pPr>
        <w:pStyle w:val="ActHead5"/>
      </w:pPr>
      <w:bookmarkStart w:id="328" w:name="_Toc185415855"/>
      <w:r w:rsidRPr="0081146C">
        <w:rPr>
          <w:rStyle w:val="CharSectno"/>
        </w:rPr>
        <w:t>75</w:t>
      </w:r>
      <w:r w:rsidRPr="0081146C">
        <w:t xml:space="preserve">  Remittance Sector Register</w:t>
      </w:r>
      <w:bookmarkEnd w:id="328"/>
    </w:p>
    <w:p w14:paraId="04130C57" w14:textId="77777777" w:rsidR="00D528A0" w:rsidRPr="0081146C" w:rsidRDefault="00D528A0" w:rsidP="00D528A0">
      <w:pPr>
        <w:pStyle w:val="subsection"/>
      </w:pPr>
      <w:r w:rsidRPr="0081146C">
        <w:tab/>
        <w:t>(1)</w:t>
      </w:r>
      <w:r w:rsidRPr="0081146C">
        <w:tab/>
        <w:t>The AUSTRAC CEO must maintain a register for the purposes of this Part, to be known as the Remittance Sector Register.</w:t>
      </w:r>
    </w:p>
    <w:p w14:paraId="69CD2418" w14:textId="77777777" w:rsidR="00D528A0" w:rsidRPr="0081146C" w:rsidRDefault="00D528A0" w:rsidP="00D528A0">
      <w:pPr>
        <w:pStyle w:val="subsection"/>
      </w:pPr>
      <w:r w:rsidRPr="0081146C">
        <w:tab/>
        <w:t>(2)</w:t>
      </w:r>
      <w:r w:rsidRPr="0081146C">
        <w:tab/>
        <w:t>The AUSTRAC CEO may maintain the Remittance Sector Register by electronic means.</w:t>
      </w:r>
    </w:p>
    <w:p w14:paraId="7DEE9949" w14:textId="77777777" w:rsidR="00D528A0" w:rsidRPr="0081146C" w:rsidRDefault="00D528A0" w:rsidP="00D528A0">
      <w:pPr>
        <w:pStyle w:val="subsection"/>
      </w:pPr>
      <w:r w:rsidRPr="0081146C">
        <w:tab/>
        <w:t>(3)</w:t>
      </w:r>
      <w:r w:rsidRPr="0081146C">
        <w:tab/>
        <w:t>The Remittance Sector Register is not a legislative instrument.</w:t>
      </w:r>
    </w:p>
    <w:p w14:paraId="457B8D4A" w14:textId="77777777" w:rsidR="00D528A0" w:rsidRPr="0081146C" w:rsidRDefault="00D528A0" w:rsidP="00D528A0">
      <w:pPr>
        <w:pStyle w:val="subsection"/>
      </w:pPr>
      <w:r w:rsidRPr="0081146C">
        <w:tab/>
        <w:t>(4)</w:t>
      </w:r>
      <w:r w:rsidRPr="0081146C">
        <w:tab/>
        <w:t>The AML/CTF Rules may make provision for and in relation to the following:</w:t>
      </w:r>
    </w:p>
    <w:p w14:paraId="2FE82ED1" w14:textId="77777777" w:rsidR="00D528A0" w:rsidRPr="0081146C" w:rsidRDefault="00D528A0" w:rsidP="00D528A0">
      <w:pPr>
        <w:pStyle w:val="paragraph"/>
      </w:pPr>
      <w:r w:rsidRPr="0081146C">
        <w:tab/>
        <w:t>(a)</w:t>
      </w:r>
      <w:r w:rsidRPr="0081146C">
        <w:tab/>
        <w:t>the correction of entries in the Remittance Sector Register;</w:t>
      </w:r>
    </w:p>
    <w:p w14:paraId="7958E715" w14:textId="77777777" w:rsidR="00D528A0" w:rsidRPr="0081146C" w:rsidRDefault="00D528A0" w:rsidP="00D528A0">
      <w:pPr>
        <w:pStyle w:val="paragraph"/>
      </w:pPr>
      <w:r w:rsidRPr="0081146C">
        <w:tab/>
        <w:t>(b)</w:t>
      </w:r>
      <w:r w:rsidRPr="0081146C">
        <w:tab/>
        <w:t>the publication of the Remittance Sector Register in whole or part, or of specified information entered on the Remittance Sector Register;</w:t>
      </w:r>
    </w:p>
    <w:p w14:paraId="62A604B1" w14:textId="77777777" w:rsidR="00D528A0" w:rsidRPr="0081146C" w:rsidRDefault="00D528A0" w:rsidP="00D528A0">
      <w:pPr>
        <w:pStyle w:val="paragraph"/>
      </w:pPr>
      <w:r w:rsidRPr="0081146C">
        <w:tab/>
        <w:t>(c)</w:t>
      </w:r>
      <w:r w:rsidRPr="0081146C">
        <w:tab/>
        <w:t>any other matter relating to the administration or operation of the Remittance Sector Register.</w:t>
      </w:r>
    </w:p>
    <w:p w14:paraId="160EE214" w14:textId="77777777" w:rsidR="00D528A0" w:rsidRPr="0081146C" w:rsidRDefault="00D528A0" w:rsidP="00D528A0">
      <w:pPr>
        <w:pStyle w:val="ActHead5"/>
      </w:pPr>
      <w:bookmarkStart w:id="329" w:name="_Toc185415856"/>
      <w:r w:rsidRPr="0081146C">
        <w:rPr>
          <w:rStyle w:val="CharSectno"/>
        </w:rPr>
        <w:t>75A</w:t>
      </w:r>
      <w:r w:rsidRPr="0081146C">
        <w:t xml:space="preserve">  Information to be entered on the Remittance Sector Register</w:t>
      </w:r>
      <w:bookmarkEnd w:id="329"/>
    </w:p>
    <w:p w14:paraId="5403E2B2" w14:textId="77777777" w:rsidR="00D528A0" w:rsidRPr="0081146C" w:rsidRDefault="00D528A0" w:rsidP="00D528A0">
      <w:pPr>
        <w:pStyle w:val="subsection"/>
      </w:pPr>
      <w:r w:rsidRPr="0081146C">
        <w:tab/>
        <w:t>(1)</w:t>
      </w:r>
      <w:r w:rsidRPr="0081146C">
        <w:tab/>
        <w:t>If the AUSTRAC CEO decides to register a person under subsection</w:t>
      </w:r>
      <w:r w:rsidR="004F64A4" w:rsidRPr="0081146C">
        <w:t> </w:t>
      </w:r>
      <w:r w:rsidRPr="0081146C">
        <w:t>75C(2), the AUSTRAC CEO must enter the following details on the Remittance Sector Register:</w:t>
      </w:r>
    </w:p>
    <w:p w14:paraId="341CA0CE" w14:textId="77777777" w:rsidR="00D528A0" w:rsidRPr="0081146C" w:rsidRDefault="00D528A0" w:rsidP="00D528A0">
      <w:pPr>
        <w:pStyle w:val="paragraph"/>
      </w:pPr>
      <w:r w:rsidRPr="0081146C">
        <w:tab/>
        <w:t>(a)</w:t>
      </w:r>
      <w:r w:rsidRPr="0081146C">
        <w:tab/>
        <w:t>the name of the person;</w:t>
      </w:r>
    </w:p>
    <w:p w14:paraId="4951C604" w14:textId="77777777" w:rsidR="00D528A0" w:rsidRPr="0081146C" w:rsidRDefault="00D528A0" w:rsidP="00D528A0">
      <w:pPr>
        <w:pStyle w:val="paragraph"/>
      </w:pPr>
      <w:r w:rsidRPr="0081146C">
        <w:tab/>
        <w:t>(b)</w:t>
      </w:r>
      <w:r w:rsidRPr="0081146C">
        <w:tab/>
        <w:t>whether the person is registered as:</w:t>
      </w:r>
    </w:p>
    <w:p w14:paraId="612676B8" w14:textId="77777777" w:rsidR="00D528A0" w:rsidRPr="0081146C" w:rsidRDefault="00D528A0" w:rsidP="00D528A0">
      <w:pPr>
        <w:pStyle w:val="paragraphsub"/>
      </w:pPr>
      <w:r w:rsidRPr="0081146C">
        <w:tab/>
        <w:t>(i)</w:t>
      </w:r>
      <w:r w:rsidRPr="0081146C">
        <w:tab/>
        <w:t>a remittance network provider; or</w:t>
      </w:r>
    </w:p>
    <w:p w14:paraId="1BA566EF" w14:textId="77777777" w:rsidR="00D528A0" w:rsidRPr="0081146C" w:rsidRDefault="00D528A0" w:rsidP="00D528A0">
      <w:pPr>
        <w:pStyle w:val="paragraphsub"/>
      </w:pPr>
      <w:r w:rsidRPr="0081146C">
        <w:tab/>
        <w:t>(ii)</w:t>
      </w:r>
      <w:r w:rsidRPr="0081146C">
        <w:tab/>
        <w:t>an independent remittance dealer; or</w:t>
      </w:r>
    </w:p>
    <w:p w14:paraId="336A9C7E" w14:textId="77777777" w:rsidR="00D528A0" w:rsidRPr="0081146C" w:rsidRDefault="00D528A0" w:rsidP="00D528A0">
      <w:pPr>
        <w:pStyle w:val="paragraphsub"/>
      </w:pPr>
      <w:r w:rsidRPr="0081146C">
        <w:tab/>
        <w:t>(iii)</w:t>
      </w:r>
      <w:r w:rsidRPr="0081146C">
        <w:tab/>
        <w:t>a remittance affiliate of a registered remittance network provider;</w:t>
      </w:r>
    </w:p>
    <w:p w14:paraId="1C02540F" w14:textId="77777777" w:rsidR="00D528A0" w:rsidRPr="0081146C" w:rsidRDefault="00D528A0" w:rsidP="00D528A0">
      <w:pPr>
        <w:pStyle w:val="paragraph"/>
      </w:pPr>
      <w:r w:rsidRPr="0081146C">
        <w:tab/>
        <w:t>(c)</w:t>
      </w:r>
      <w:r w:rsidRPr="0081146C">
        <w:tab/>
        <w:t>if the person is registered as a remittance affiliate of a registered remittance network provider—the name of the registered remittance network provider;</w:t>
      </w:r>
    </w:p>
    <w:p w14:paraId="205F8577" w14:textId="77777777" w:rsidR="00D528A0" w:rsidRPr="0081146C" w:rsidRDefault="00D528A0" w:rsidP="00D528A0">
      <w:pPr>
        <w:pStyle w:val="paragraph"/>
      </w:pPr>
      <w:r w:rsidRPr="0081146C">
        <w:tab/>
        <w:t>(d)</w:t>
      </w:r>
      <w:r w:rsidRPr="0081146C">
        <w:tab/>
        <w:t>any conditions to which the registration of the person is subject;</w:t>
      </w:r>
    </w:p>
    <w:p w14:paraId="0B8FDAAF" w14:textId="77777777" w:rsidR="00D528A0" w:rsidRPr="0081146C" w:rsidRDefault="00D528A0" w:rsidP="00D528A0">
      <w:pPr>
        <w:pStyle w:val="paragraph"/>
      </w:pPr>
      <w:r w:rsidRPr="0081146C">
        <w:tab/>
        <w:t>(e)</w:t>
      </w:r>
      <w:r w:rsidRPr="0081146C">
        <w:tab/>
        <w:t>the date on which the registration takes effect;</w:t>
      </w:r>
    </w:p>
    <w:p w14:paraId="28C524BF" w14:textId="77777777" w:rsidR="00D528A0" w:rsidRPr="0081146C" w:rsidRDefault="00D528A0" w:rsidP="00D528A0">
      <w:pPr>
        <w:pStyle w:val="paragraph"/>
      </w:pPr>
      <w:r w:rsidRPr="0081146C">
        <w:tab/>
        <w:t>(f)</w:t>
      </w:r>
      <w:r w:rsidRPr="0081146C">
        <w:tab/>
        <w:t>the registrable details in relation to the person.</w:t>
      </w:r>
    </w:p>
    <w:p w14:paraId="2E1F7D91" w14:textId="77777777" w:rsidR="00D528A0" w:rsidRPr="0081146C" w:rsidRDefault="00D528A0" w:rsidP="00D528A0">
      <w:pPr>
        <w:pStyle w:val="subsection"/>
      </w:pPr>
      <w:r w:rsidRPr="0081146C">
        <w:tab/>
        <w:t>(2)</w:t>
      </w:r>
      <w:r w:rsidRPr="0081146C">
        <w:tab/>
        <w:t>To avoid doubt, nothing in this Part prevents separate entries being entered on the Remittance Sector Register in relation to the same person in different capacities.</w:t>
      </w:r>
    </w:p>
    <w:p w14:paraId="0920F6C6" w14:textId="77777777" w:rsidR="00D528A0" w:rsidRPr="0081146C" w:rsidRDefault="00D528A0" w:rsidP="00D528A0">
      <w:pPr>
        <w:pStyle w:val="ActHead5"/>
      </w:pPr>
      <w:bookmarkStart w:id="330" w:name="_Toc185415857"/>
      <w:r w:rsidRPr="0081146C">
        <w:rPr>
          <w:rStyle w:val="CharSectno"/>
        </w:rPr>
        <w:t>75B</w:t>
      </w:r>
      <w:r w:rsidRPr="0081146C">
        <w:t xml:space="preserve">  Applications for registration</w:t>
      </w:r>
      <w:bookmarkEnd w:id="330"/>
    </w:p>
    <w:p w14:paraId="50A7CE43" w14:textId="77777777" w:rsidR="00D528A0" w:rsidRPr="0081146C" w:rsidRDefault="00D528A0" w:rsidP="00D528A0">
      <w:pPr>
        <w:pStyle w:val="subsection"/>
      </w:pPr>
      <w:r w:rsidRPr="0081146C">
        <w:tab/>
        <w:t>(1)</w:t>
      </w:r>
      <w:r w:rsidRPr="0081146C">
        <w:tab/>
        <w:t>A person may apply in writing to the AUSTRAC CEO for registration as:</w:t>
      </w:r>
    </w:p>
    <w:p w14:paraId="50A0D35B" w14:textId="77777777" w:rsidR="00D528A0" w:rsidRPr="0081146C" w:rsidRDefault="00D528A0" w:rsidP="00D528A0">
      <w:pPr>
        <w:pStyle w:val="paragraph"/>
      </w:pPr>
      <w:r w:rsidRPr="0081146C">
        <w:tab/>
        <w:t>(a)</w:t>
      </w:r>
      <w:r w:rsidRPr="0081146C">
        <w:tab/>
        <w:t>a remittance network provider; or</w:t>
      </w:r>
    </w:p>
    <w:p w14:paraId="44D91CEE" w14:textId="77777777" w:rsidR="00D528A0" w:rsidRPr="0081146C" w:rsidRDefault="00D528A0" w:rsidP="00D528A0">
      <w:pPr>
        <w:pStyle w:val="paragraph"/>
      </w:pPr>
      <w:r w:rsidRPr="0081146C">
        <w:tab/>
        <w:t>(b)</w:t>
      </w:r>
      <w:r w:rsidRPr="0081146C">
        <w:tab/>
        <w:t>an independent remittance dealer; or</w:t>
      </w:r>
    </w:p>
    <w:p w14:paraId="5837AC41" w14:textId="77777777" w:rsidR="00D528A0" w:rsidRPr="0081146C" w:rsidRDefault="00D528A0" w:rsidP="00D528A0">
      <w:pPr>
        <w:pStyle w:val="paragraph"/>
      </w:pPr>
      <w:r w:rsidRPr="0081146C">
        <w:tab/>
        <w:t>(c)</w:t>
      </w:r>
      <w:r w:rsidRPr="0081146C">
        <w:tab/>
        <w:t xml:space="preserve">subject to </w:t>
      </w:r>
      <w:r w:rsidR="004F64A4" w:rsidRPr="0081146C">
        <w:t>subsection (</w:t>
      </w:r>
      <w:r w:rsidRPr="0081146C">
        <w:t>5)—a remittance affiliate of a registered remittance network provider.</w:t>
      </w:r>
    </w:p>
    <w:p w14:paraId="6AD812A0" w14:textId="77777777" w:rsidR="00D528A0" w:rsidRPr="0081146C" w:rsidRDefault="00D528A0" w:rsidP="00D528A0">
      <w:pPr>
        <w:pStyle w:val="subsection"/>
      </w:pPr>
      <w:r w:rsidRPr="0081146C">
        <w:tab/>
        <w:t>(2)</w:t>
      </w:r>
      <w:r w:rsidRPr="0081146C">
        <w:tab/>
        <w:t>A registered remittance network provider may apply in writing to the AUSTRAC CEO for another person to be registered as a remittance affiliate of the registered remittance network provider.</w:t>
      </w:r>
    </w:p>
    <w:p w14:paraId="7E4F7C3B" w14:textId="77777777" w:rsidR="00D528A0" w:rsidRPr="0081146C" w:rsidRDefault="00D528A0" w:rsidP="00D528A0">
      <w:pPr>
        <w:pStyle w:val="subsection"/>
      </w:pPr>
      <w:r w:rsidRPr="0081146C">
        <w:tab/>
        <w:t>(3)</w:t>
      </w:r>
      <w:r w:rsidRPr="0081146C">
        <w:tab/>
        <w:t xml:space="preserve">An application under </w:t>
      </w:r>
      <w:r w:rsidR="004F64A4" w:rsidRPr="0081146C">
        <w:t>subsection (</w:t>
      </w:r>
      <w:r w:rsidRPr="0081146C">
        <w:t>1) or (2) must:</w:t>
      </w:r>
    </w:p>
    <w:p w14:paraId="4A5DEA3B" w14:textId="77777777" w:rsidR="00D528A0" w:rsidRPr="0081146C" w:rsidRDefault="00D528A0" w:rsidP="00D528A0">
      <w:pPr>
        <w:pStyle w:val="paragraph"/>
      </w:pPr>
      <w:r w:rsidRPr="0081146C">
        <w:tab/>
        <w:t>(a)</w:t>
      </w:r>
      <w:r w:rsidRPr="0081146C">
        <w:tab/>
        <w:t>be in the approved form; and</w:t>
      </w:r>
    </w:p>
    <w:p w14:paraId="0FEFAA96" w14:textId="77777777" w:rsidR="00D528A0" w:rsidRPr="0081146C" w:rsidRDefault="00D528A0" w:rsidP="00D528A0">
      <w:pPr>
        <w:pStyle w:val="paragraph"/>
      </w:pPr>
      <w:r w:rsidRPr="0081146C">
        <w:tab/>
        <w:t>(b)</w:t>
      </w:r>
      <w:r w:rsidRPr="0081146C">
        <w:tab/>
        <w:t>contain the information required by the AML/CTF Rules.</w:t>
      </w:r>
    </w:p>
    <w:p w14:paraId="786FE51A" w14:textId="77777777" w:rsidR="00D528A0" w:rsidRPr="0081146C" w:rsidRDefault="00D528A0" w:rsidP="00D528A0">
      <w:pPr>
        <w:pStyle w:val="subsection"/>
      </w:pPr>
      <w:r w:rsidRPr="0081146C">
        <w:tab/>
        <w:t>(4)</w:t>
      </w:r>
      <w:r w:rsidRPr="0081146C">
        <w:tab/>
        <w:t xml:space="preserve">Without limiting the information that the AML/CTF Rules may require under </w:t>
      </w:r>
      <w:r w:rsidR="004F64A4" w:rsidRPr="0081146C">
        <w:t>paragraph (</w:t>
      </w:r>
      <w:r w:rsidRPr="0081146C">
        <w:t>3)(b), the AML/CTF Rules may require information relating to the matters mentioned in paragraph</w:t>
      </w:r>
      <w:r w:rsidR="004F64A4" w:rsidRPr="0081146C">
        <w:t> </w:t>
      </w:r>
      <w:r w:rsidRPr="0081146C">
        <w:t>75C(2)(a) or in Rules made under paragraph</w:t>
      </w:r>
      <w:r w:rsidR="004F64A4" w:rsidRPr="0081146C">
        <w:t> </w:t>
      </w:r>
      <w:r w:rsidRPr="0081146C">
        <w:t>75C(2)(b) (these provisions deal with matters to which the AUSTRAC CEO must have regard in deciding whether to register a person).</w:t>
      </w:r>
    </w:p>
    <w:p w14:paraId="77B50184" w14:textId="77777777" w:rsidR="00D528A0" w:rsidRPr="0081146C" w:rsidRDefault="00D528A0" w:rsidP="00D528A0">
      <w:pPr>
        <w:pStyle w:val="subsection"/>
      </w:pPr>
      <w:r w:rsidRPr="0081146C">
        <w:tab/>
        <w:t>(5)</w:t>
      </w:r>
      <w:r w:rsidRPr="0081146C">
        <w:tab/>
        <w:t xml:space="preserve">A person may apply for registration as a remittance affiliate of a registered remittance network provider as mentioned in </w:t>
      </w:r>
      <w:r w:rsidR="004F64A4" w:rsidRPr="0081146C">
        <w:t>paragraph (</w:t>
      </w:r>
      <w:r w:rsidRPr="0081146C">
        <w:t>1)(c) only if:</w:t>
      </w:r>
    </w:p>
    <w:p w14:paraId="76081485" w14:textId="77777777" w:rsidR="00D528A0" w:rsidRPr="0081146C" w:rsidRDefault="00D528A0" w:rsidP="00D528A0">
      <w:pPr>
        <w:pStyle w:val="paragraph"/>
      </w:pPr>
      <w:r w:rsidRPr="0081146C">
        <w:tab/>
        <w:t>(a)</w:t>
      </w:r>
      <w:r w:rsidRPr="0081146C">
        <w:tab/>
        <w:t>either:</w:t>
      </w:r>
    </w:p>
    <w:p w14:paraId="2F081DFD" w14:textId="77777777" w:rsidR="00D528A0" w:rsidRPr="0081146C" w:rsidRDefault="00D528A0" w:rsidP="00D528A0">
      <w:pPr>
        <w:pStyle w:val="paragraphsub"/>
      </w:pPr>
      <w:r w:rsidRPr="0081146C">
        <w:tab/>
        <w:t>(i)</w:t>
      </w:r>
      <w:r w:rsidRPr="0081146C">
        <w:tab/>
        <w:t>when the person makes the application, the person is a registered independent remittance dealer; or</w:t>
      </w:r>
    </w:p>
    <w:p w14:paraId="65734D7F" w14:textId="77777777" w:rsidR="00D528A0" w:rsidRPr="0081146C" w:rsidRDefault="00D528A0" w:rsidP="00D528A0">
      <w:pPr>
        <w:pStyle w:val="paragraphsub"/>
      </w:pPr>
      <w:r w:rsidRPr="0081146C">
        <w:tab/>
        <w:t>(ii)</w:t>
      </w:r>
      <w:r w:rsidRPr="0081146C">
        <w:tab/>
        <w:t>the application is made in conjunction with an application by the person for registration as a registered independent remittance dealer; and</w:t>
      </w:r>
    </w:p>
    <w:p w14:paraId="1370F222" w14:textId="77777777" w:rsidR="00D528A0" w:rsidRPr="0081146C" w:rsidRDefault="00D528A0" w:rsidP="00D528A0">
      <w:pPr>
        <w:pStyle w:val="paragraph"/>
      </w:pPr>
      <w:r w:rsidRPr="0081146C">
        <w:tab/>
        <w:t>(b)</w:t>
      </w:r>
      <w:r w:rsidRPr="0081146C">
        <w:tab/>
        <w:t>the registered remittance network provider has consented to the making of the application.</w:t>
      </w:r>
    </w:p>
    <w:p w14:paraId="6F05B287" w14:textId="77777777" w:rsidR="00D528A0" w:rsidRPr="0081146C" w:rsidRDefault="00D528A0" w:rsidP="00D528A0">
      <w:pPr>
        <w:pStyle w:val="SubsectionHead"/>
      </w:pPr>
      <w:r w:rsidRPr="0081146C">
        <w:t>Deemed refusal in certain circumstances</w:t>
      </w:r>
    </w:p>
    <w:p w14:paraId="489EDD61" w14:textId="77777777" w:rsidR="00D528A0" w:rsidRPr="0081146C" w:rsidRDefault="00D528A0" w:rsidP="00D528A0">
      <w:pPr>
        <w:pStyle w:val="subsection"/>
      </w:pPr>
      <w:r w:rsidRPr="0081146C">
        <w:tab/>
        <w:t>(6)</w:t>
      </w:r>
      <w:r w:rsidRPr="0081146C">
        <w:tab/>
        <w:t xml:space="preserve">If the AUSTRAC CEO has not made a decision on the application within the relevant period, the AUSTRAC CEO is taken to have decided not to register the person at the end of the relevant period. The </w:t>
      </w:r>
      <w:r w:rsidRPr="0081146C">
        <w:rPr>
          <w:b/>
          <w:i/>
        </w:rPr>
        <w:t>relevant period</w:t>
      </w:r>
      <w:r w:rsidRPr="0081146C">
        <w:t xml:space="preserve"> is the period of 90 days beginning</w:t>
      </w:r>
      <w:r w:rsidR="00204BEB" w:rsidRPr="0081146C">
        <w:t xml:space="preserve"> on the latest of the following days</w:t>
      </w:r>
      <w:r w:rsidRPr="0081146C">
        <w:t>:</w:t>
      </w:r>
    </w:p>
    <w:p w14:paraId="119FA14A" w14:textId="77777777" w:rsidR="00204BEB" w:rsidRPr="0081146C" w:rsidRDefault="00204BEB" w:rsidP="00204BEB">
      <w:pPr>
        <w:pStyle w:val="paragraph"/>
      </w:pPr>
      <w:r w:rsidRPr="0081146C">
        <w:tab/>
        <w:t>(a)</w:t>
      </w:r>
      <w:r w:rsidRPr="0081146C">
        <w:tab/>
        <w:t>the day the application is made;</w:t>
      </w:r>
    </w:p>
    <w:p w14:paraId="33FB5F90" w14:textId="77777777" w:rsidR="00204BEB" w:rsidRPr="0081146C" w:rsidRDefault="00204BEB" w:rsidP="00204BEB">
      <w:pPr>
        <w:pStyle w:val="paragraph"/>
      </w:pPr>
      <w:r w:rsidRPr="0081146C">
        <w:tab/>
        <w:t>(b)</w:t>
      </w:r>
      <w:r w:rsidRPr="0081146C">
        <w:tab/>
        <w:t>if the AUSTRAC CEO requests information under subsection</w:t>
      </w:r>
      <w:r w:rsidR="004F64A4" w:rsidRPr="0081146C">
        <w:t> </w:t>
      </w:r>
      <w:r w:rsidRPr="0081146C">
        <w:t>75N(1) in relation to the application—the last day such information is provided;</w:t>
      </w:r>
    </w:p>
    <w:p w14:paraId="4D8DDC52" w14:textId="77777777" w:rsidR="00204BEB" w:rsidRPr="0081146C" w:rsidRDefault="00204BEB" w:rsidP="00204BEB">
      <w:pPr>
        <w:pStyle w:val="paragraph"/>
      </w:pPr>
      <w:r w:rsidRPr="0081146C">
        <w:tab/>
        <w:t>(c)</w:t>
      </w:r>
      <w:r w:rsidRPr="0081146C">
        <w:tab/>
        <w:t>if the person makes a submission under section</w:t>
      </w:r>
      <w:r w:rsidR="004F64A4" w:rsidRPr="0081146C">
        <w:t> </w:t>
      </w:r>
      <w:r w:rsidRPr="0081146C">
        <w:t>75Q in relation to the application—the day the person makes the submission.</w:t>
      </w:r>
    </w:p>
    <w:p w14:paraId="564A1ACB" w14:textId="77777777" w:rsidR="00120057" w:rsidRPr="0081146C" w:rsidRDefault="00120057" w:rsidP="00120057">
      <w:pPr>
        <w:pStyle w:val="notetext"/>
      </w:pPr>
      <w:r w:rsidRPr="0081146C">
        <w:t>Note:</w:t>
      </w:r>
      <w:r w:rsidRPr="0081146C">
        <w:tab/>
        <w:t xml:space="preserve">A deemed decision not to register the person is reviewable (see </w:t>
      </w:r>
      <w:r w:rsidR="00CA78AA" w:rsidRPr="0081146C">
        <w:t>Part 1</w:t>
      </w:r>
      <w:r w:rsidRPr="0081146C">
        <w:t>7A).</w:t>
      </w:r>
    </w:p>
    <w:p w14:paraId="73F2B1E3" w14:textId="77777777" w:rsidR="00D528A0" w:rsidRPr="0081146C" w:rsidRDefault="00D528A0" w:rsidP="00D528A0">
      <w:pPr>
        <w:pStyle w:val="subsection"/>
      </w:pPr>
      <w:r w:rsidRPr="0081146C">
        <w:tab/>
      </w:r>
      <w:r w:rsidR="00606538" w:rsidRPr="0081146C">
        <w:t>(7)</w:t>
      </w:r>
      <w:r w:rsidR="00606538" w:rsidRPr="0081146C">
        <w:tab/>
      </w:r>
      <w:r w:rsidRPr="0081146C">
        <w:t>However, if the AUSTRAC CEO determines in writing that:</w:t>
      </w:r>
    </w:p>
    <w:p w14:paraId="409F50FE" w14:textId="77777777" w:rsidR="00D528A0" w:rsidRPr="0081146C" w:rsidRDefault="00D528A0" w:rsidP="00D528A0">
      <w:pPr>
        <w:pStyle w:val="paragraph"/>
      </w:pPr>
      <w:r w:rsidRPr="0081146C">
        <w:tab/>
        <w:t>(a)</w:t>
      </w:r>
      <w:r w:rsidRPr="0081146C">
        <w:tab/>
        <w:t>the application cannot be dealt with properly within the 90 day period, either because of its complexity or because of other special circumstances; and</w:t>
      </w:r>
    </w:p>
    <w:p w14:paraId="3AF3001B" w14:textId="77777777" w:rsidR="00D528A0" w:rsidRPr="0081146C" w:rsidRDefault="00D528A0" w:rsidP="00D528A0">
      <w:pPr>
        <w:pStyle w:val="paragraph"/>
      </w:pPr>
      <w:r w:rsidRPr="0081146C">
        <w:tab/>
        <w:t>(b)</w:t>
      </w:r>
      <w:r w:rsidRPr="0081146C">
        <w:tab/>
        <w:t>that period is extended by a specified period of not more than 30 days;</w:t>
      </w:r>
    </w:p>
    <w:p w14:paraId="1757F1DD" w14:textId="77777777" w:rsidR="00D528A0" w:rsidRPr="0081146C" w:rsidRDefault="00D528A0" w:rsidP="00D528A0">
      <w:pPr>
        <w:pStyle w:val="subsection2"/>
      </w:pPr>
      <w:r w:rsidRPr="0081146C">
        <w:t>the relevant period is that period as so extended. The AUSTRAC CEO must notify the applicant in writing of the determination before the end of the 90 day period.</w:t>
      </w:r>
    </w:p>
    <w:p w14:paraId="23E66DE6" w14:textId="77777777" w:rsidR="00D528A0" w:rsidRPr="0081146C" w:rsidRDefault="00D528A0" w:rsidP="00D528A0">
      <w:pPr>
        <w:pStyle w:val="ActHead5"/>
      </w:pPr>
      <w:bookmarkStart w:id="331" w:name="_Toc185415858"/>
      <w:r w:rsidRPr="0081146C">
        <w:rPr>
          <w:rStyle w:val="CharSectno"/>
        </w:rPr>
        <w:t>75C</w:t>
      </w:r>
      <w:r w:rsidRPr="0081146C">
        <w:t xml:space="preserve">  Registration by AUSTRAC CEO</w:t>
      </w:r>
      <w:bookmarkEnd w:id="331"/>
    </w:p>
    <w:p w14:paraId="5A12D663" w14:textId="77777777" w:rsidR="00D528A0" w:rsidRPr="0081146C" w:rsidRDefault="00D528A0" w:rsidP="00D528A0">
      <w:pPr>
        <w:pStyle w:val="SubsectionHead"/>
      </w:pPr>
      <w:r w:rsidRPr="0081146C">
        <w:t>When section applies</w:t>
      </w:r>
    </w:p>
    <w:p w14:paraId="1FB778E5" w14:textId="77777777" w:rsidR="00D528A0" w:rsidRPr="0081146C" w:rsidRDefault="00D528A0" w:rsidP="00D528A0">
      <w:pPr>
        <w:pStyle w:val="subsection"/>
      </w:pPr>
      <w:r w:rsidRPr="0081146C">
        <w:tab/>
        <w:t>(1)</w:t>
      </w:r>
      <w:r w:rsidRPr="0081146C">
        <w:tab/>
        <w:t>This section applies if an application has been made under section</w:t>
      </w:r>
      <w:r w:rsidR="004F64A4" w:rsidRPr="0081146C">
        <w:t> </w:t>
      </w:r>
      <w:r w:rsidRPr="0081146C">
        <w:t>75B for registration of a person.</w:t>
      </w:r>
    </w:p>
    <w:p w14:paraId="5CA5B65E" w14:textId="77777777" w:rsidR="00D528A0" w:rsidRPr="0081146C" w:rsidRDefault="00D528A0" w:rsidP="00D528A0">
      <w:pPr>
        <w:pStyle w:val="SubsectionHead"/>
      </w:pPr>
      <w:r w:rsidRPr="0081146C">
        <w:t>When AUSTRAC CEO must register a person</w:t>
      </w:r>
    </w:p>
    <w:p w14:paraId="5C52116F" w14:textId="77777777" w:rsidR="00D528A0" w:rsidRPr="0081146C" w:rsidRDefault="00D528A0" w:rsidP="00D528A0">
      <w:pPr>
        <w:pStyle w:val="subsection"/>
        <w:rPr>
          <w:rFonts w:eastAsia="Calibri"/>
        </w:rPr>
      </w:pPr>
      <w:r w:rsidRPr="0081146C">
        <w:rPr>
          <w:rFonts w:eastAsia="Calibri"/>
          <w:lang w:eastAsia="en-US"/>
        </w:rPr>
        <w:tab/>
      </w:r>
      <w:r w:rsidRPr="0081146C">
        <w:rPr>
          <w:rFonts w:eastAsia="Calibri"/>
        </w:rPr>
        <w:t>(2)</w:t>
      </w:r>
      <w:r w:rsidRPr="0081146C">
        <w:rPr>
          <w:rFonts w:eastAsia="Calibri"/>
        </w:rPr>
        <w:tab/>
        <w:t>The AUSTRAC CEO must decide to register the person in accordance with the application if the AUSTRAC CEO is satisfied that it is appropriate to do so, having regard to:</w:t>
      </w:r>
    </w:p>
    <w:p w14:paraId="5373AEA2" w14:textId="77777777" w:rsidR="00D528A0" w:rsidRPr="0081146C" w:rsidRDefault="00D528A0" w:rsidP="00D528A0">
      <w:pPr>
        <w:pStyle w:val="paragraph"/>
        <w:rPr>
          <w:rFonts w:eastAsia="Calibri"/>
        </w:rPr>
      </w:pPr>
      <w:r w:rsidRPr="0081146C">
        <w:rPr>
          <w:rFonts w:eastAsia="Calibri"/>
        </w:rPr>
        <w:tab/>
        <w:t>(a)</w:t>
      </w:r>
      <w:r w:rsidRPr="0081146C">
        <w:rPr>
          <w:rFonts w:eastAsia="Calibri"/>
        </w:rPr>
        <w:tab/>
        <w:t>whether registering the person would involve a significant money laundering, financing of terrorism</w:t>
      </w:r>
      <w:r w:rsidR="0049002F" w:rsidRPr="0081146C">
        <w:t>, people smuggling or other serious crime</w:t>
      </w:r>
      <w:r w:rsidRPr="0081146C">
        <w:rPr>
          <w:rFonts w:eastAsia="Calibri"/>
        </w:rPr>
        <w:t xml:space="preserve"> risk; and</w:t>
      </w:r>
    </w:p>
    <w:p w14:paraId="17FF587E" w14:textId="77777777" w:rsidR="00D528A0" w:rsidRPr="0081146C" w:rsidRDefault="00D528A0" w:rsidP="00D528A0">
      <w:pPr>
        <w:pStyle w:val="paragraph"/>
        <w:rPr>
          <w:rFonts w:eastAsia="Calibri"/>
        </w:rPr>
      </w:pPr>
      <w:r w:rsidRPr="0081146C">
        <w:rPr>
          <w:rFonts w:eastAsia="Calibri"/>
        </w:rPr>
        <w:tab/>
        <w:t>(b)</w:t>
      </w:r>
      <w:r w:rsidRPr="0081146C">
        <w:rPr>
          <w:rFonts w:eastAsia="Calibri"/>
        </w:rPr>
        <w:tab/>
        <w:t>such other matters (if any) as are specified in the AML/CTF Rules under this paragraph.</w:t>
      </w:r>
    </w:p>
    <w:p w14:paraId="39F292DF" w14:textId="77777777" w:rsidR="00120057" w:rsidRPr="0081146C" w:rsidRDefault="00120057" w:rsidP="00120057">
      <w:pPr>
        <w:pStyle w:val="notetext"/>
      </w:pPr>
      <w:r w:rsidRPr="0081146C">
        <w:t>Note:</w:t>
      </w:r>
      <w:r w:rsidRPr="0081146C">
        <w:tab/>
        <w:t xml:space="preserve">A decision not to register the person is reviewable (see </w:t>
      </w:r>
      <w:r w:rsidR="00CA78AA" w:rsidRPr="0081146C">
        <w:t>Part 1</w:t>
      </w:r>
      <w:r w:rsidRPr="0081146C">
        <w:t>7A).</w:t>
      </w:r>
    </w:p>
    <w:p w14:paraId="29F93839" w14:textId="77777777" w:rsidR="00D528A0" w:rsidRPr="0081146C" w:rsidRDefault="00D528A0" w:rsidP="00D528A0">
      <w:pPr>
        <w:pStyle w:val="SubsectionHead"/>
      </w:pPr>
      <w:r w:rsidRPr="0081146C">
        <w:t>Matters that may be specified in the AML/CTF Rules</w:t>
      </w:r>
    </w:p>
    <w:p w14:paraId="58EEB9EC" w14:textId="77777777" w:rsidR="00D528A0" w:rsidRPr="0081146C" w:rsidRDefault="00D528A0" w:rsidP="00D528A0">
      <w:pPr>
        <w:pStyle w:val="subsection"/>
      </w:pPr>
      <w:r w:rsidRPr="0081146C">
        <w:tab/>
        <w:t>(3)</w:t>
      </w:r>
      <w:r w:rsidRPr="0081146C">
        <w:tab/>
        <w:t xml:space="preserve">Without limiting the matters that the AML/CTF Rules may specify under </w:t>
      </w:r>
      <w:r w:rsidR="004F64A4" w:rsidRPr="0081146C">
        <w:t>paragraph (</w:t>
      </w:r>
      <w:r w:rsidRPr="0081146C">
        <w:t>2)(b), the matters may relate to the following:</w:t>
      </w:r>
    </w:p>
    <w:p w14:paraId="595F7D0E" w14:textId="77777777" w:rsidR="00D528A0" w:rsidRPr="0081146C" w:rsidRDefault="00D528A0" w:rsidP="00D528A0">
      <w:pPr>
        <w:pStyle w:val="paragraph"/>
      </w:pPr>
      <w:r w:rsidRPr="0081146C">
        <w:tab/>
        <w:t>(a)</w:t>
      </w:r>
      <w:r w:rsidRPr="0081146C">
        <w:tab/>
        <w:t>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w:t>
      </w:r>
    </w:p>
    <w:p w14:paraId="3F4D789F" w14:textId="77777777" w:rsidR="00D528A0" w:rsidRPr="0081146C" w:rsidRDefault="00D528A0" w:rsidP="00D528A0">
      <w:pPr>
        <w:pStyle w:val="paragraph"/>
      </w:pPr>
      <w:r w:rsidRPr="0081146C">
        <w:tab/>
        <w:t>(b)</w:t>
      </w:r>
      <w:r w:rsidRPr="0081146C">
        <w:tab/>
        <w:t>the compliance or non</w:t>
      </w:r>
      <w:r w:rsidR="003B7E15" w:rsidRPr="0081146C">
        <w:noBreakHyphen/>
      </w:r>
      <w:r w:rsidRPr="0081146C">
        <w:t>compliance of the applicant, a person proposed to be entered on the Remittance Sector Register as a remittance affiliate of the applicant, or any other person, with this Act or any other law;</w:t>
      </w:r>
    </w:p>
    <w:p w14:paraId="1A19533E" w14:textId="77777777" w:rsidR="00D528A0" w:rsidRPr="0081146C" w:rsidRDefault="00D528A0" w:rsidP="00D528A0">
      <w:pPr>
        <w:pStyle w:val="paragraph"/>
      </w:pPr>
      <w:r w:rsidRPr="0081146C">
        <w:tab/>
        <w:t>(c)</w:t>
      </w:r>
      <w:r w:rsidRPr="0081146C">
        <w:tab/>
        <w:t>the legal and beneficial ownership and control of the applicant, a person proposed to be entered on the Remittance Sector Register as a remittance affiliate of the applicant, or any other person;</w:t>
      </w:r>
    </w:p>
    <w:p w14:paraId="589B1F14" w14:textId="77777777" w:rsidR="00D528A0" w:rsidRPr="0081146C" w:rsidRDefault="00D528A0" w:rsidP="00D528A0">
      <w:pPr>
        <w:pStyle w:val="paragraph"/>
      </w:pPr>
      <w:r w:rsidRPr="0081146C">
        <w:tab/>
        <w:t>(d)</w:t>
      </w:r>
      <w:r w:rsidRPr="0081146C">
        <w:tab/>
        <w:t>the kinds of designated services to be provided by the applicant or by a person proposed to be entered on the Remittance Sector Register as a remittance affiliate of the applicant;</w:t>
      </w:r>
    </w:p>
    <w:p w14:paraId="52042CE3" w14:textId="77777777" w:rsidR="00D528A0" w:rsidRPr="0081146C" w:rsidRDefault="00D528A0" w:rsidP="00D528A0">
      <w:pPr>
        <w:pStyle w:val="paragraph"/>
      </w:pPr>
      <w:r w:rsidRPr="0081146C">
        <w:tab/>
        <w:t>(e)</w:t>
      </w:r>
      <w:r w:rsidRPr="0081146C">
        <w:tab/>
        <w:t>the consent of a person proposed to be entered on the Remittance Sector Register as a remittance affiliate of the applicant.</w:t>
      </w:r>
    </w:p>
    <w:p w14:paraId="053AEC84" w14:textId="77777777" w:rsidR="00D528A0" w:rsidRPr="0081146C" w:rsidRDefault="00D528A0" w:rsidP="00D528A0">
      <w:pPr>
        <w:pStyle w:val="SubsectionHead"/>
      </w:pPr>
      <w:r w:rsidRPr="0081146C">
        <w:t>Notice of decision to register</w:t>
      </w:r>
    </w:p>
    <w:p w14:paraId="40903495" w14:textId="77777777" w:rsidR="00D528A0" w:rsidRPr="0081146C" w:rsidRDefault="00D528A0" w:rsidP="00D528A0">
      <w:pPr>
        <w:pStyle w:val="subsection"/>
      </w:pPr>
      <w:r w:rsidRPr="0081146C">
        <w:tab/>
        <w:t>(4)</w:t>
      </w:r>
      <w:r w:rsidRPr="0081146C">
        <w:tab/>
        <w:t>The AUSTRAC CEO must, as soon as practicable after deciding to register a person, give a written notice to:</w:t>
      </w:r>
    </w:p>
    <w:p w14:paraId="773E0D8B" w14:textId="77777777" w:rsidR="00D528A0" w:rsidRPr="0081146C" w:rsidRDefault="00D528A0" w:rsidP="00D528A0">
      <w:pPr>
        <w:pStyle w:val="paragraph"/>
      </w:pPr>
      <w:r w:rsidRPr="0081146C">
        <w:tab/>
        <w:t>(a)</w:t>
      </w:r>
      <w:r w:rsidRPr="0081146C">
        <w:tab/>
        <w:t>the applicant for registration; and</w:t>
      </w:r>
    </w:p>
    <w:p w14:paraId="229A9066" w14:textId="77777777" w:rsidR="00D528A0" w:rsidRPr="0081146C" w:rsidRDefault="00D528A0" w:rsidP="00D528A0">
      <w:pPr>
        <w:pStyle w:val="paragraph"/>
      </w:pPr>
      <w:r w:rsidRPr="0081146C">
        <w:tab/>
        <w:t>(b)</w:t>
      </w:r>
      <w:r w:rsidRPr="0081146C">
        <w:tab/>
        <w:t>if the application was made by a registered remittance network provider for another person to be registered as a remittance affiliate of the registered remittance network provider—the other person.</w:t>
      </w:r>
    </w:p>
    <w:p w14:paraId="1EA2591F" w14:textId="77777777" w:rsidR="00D528A0" w:rsidRPr="0081146C" w:rsidRDefault="00D528A0" w:rsidP="00D528A0">
      <w:pPr>
        <w:pStyle w:val="SubsectionHead"/>
      </w:pPr>
      <w:r w:rsidRPr="0081146C">
        <w:t>Contents of notice of decision to register</w:t>
      </w:r>
    </w:p>
    <w:p w14:paraId="5541B95A" w14:textId="77777777" w:rsidR="00D528A0" w:rsidRPr="0081146C" w:rsidRDefault="00D528A0" w:rsidP="00D528A0">
      <w:pPr>
        <w:pStyle w:val="subsection"/>
      </w:pPr>
      <w:r w:rsidRPr="0081146C">
        <w:tab/>
        <w:t>(5)</w:t>
      </w:r>
      <w:r w:rsidRPr="0081146C">
        <w:tab/>
        <w:t xml:space="preserve">A notice under </w:t>
      </w:r>
      <w:r w:rsidR="004F64A4" w:rsidRPr="0081146C">
        <w:t>subsection (</w:t>
      </w:r>
      <w:r w:rsidRPr="0081146C">
        <w:t>4) in relation to a decision to register a person must specify:</w:t>
      </w:r>
    </w:p>
    <w:p w14:paraId="55708949" w14:textId="77777777" w:rsidR="00D528A0" w:rsidRPr="0081146C" w:rsidRDefault="00D528A0" w:rsidP="00D528A0">
      <w:pPr>
        <w:pStyle w:val="paragraph"/>
      </w:pPr>
      <w:r w:rsidRPr="0081146C">
        <w:tab/>
        <w:t>(a)</w:t>
      </w:r>
      <w:r w:rsidRPr="0081146C">
        <w:tab/>
        <w:t>whether the person is registered as:</w:t>
      </w:r>
    </w:p>
    <w:p w14:paraId="594F9C52" w14:textId="77777777" w:rsidR="00D528A0" w:rsidRPr="0081146C" w:rsidRDefault="00D528A0" w:rsidP="00D528A0">
      <w:pPr>
        <w:pStyle w:val="paragraphsub"/>
      </w:pPr>
      <w:r w:rsidRPr="0081146C">
        <w:tab/>
        <w:t>(i)</w:t>
      </w:r>
      <w:r w:rsidRPr="0081146C">
        <w:tab/>
        <w:t>a remittance network provider; or</w:t>
      </w:r>
    </w:p>
    <w:p w14:paraId="5E2CD7B8" w14:textId="77777777" w:rsidR="00D528A0" w:rsidRPr="0081146C" w:rsidRDefault="00D528A0" w:rsidP="00D528A0">
      <w:pPr>
        <w:pStyle w:val="paragraphsub"/>
      </w:pPr>
      <w:r w:rsidRPr="0081146C">
        <w:tab/>
        <w:t>(ii)</w:t>
      </w:r>
      <w:r w:rsidRPr="0081146C">
        <w:tab/>
        <w:t>an independent remittance dealer; or</w:t>
      </w:r>
    </w:p>
    <w:p w14:paraId="795C9731" w14:textId="77777777" w:rsidR="00D528A0" w:rsidRPr="0081146C" w:rsidRDefault="00D528A0" w:rsidP="00D528A0">
      <w:pPr>
        <w:pStyle w:val="paragraphsub"/>
      </w:pPr>
      <w:r w:rsidRPr="0081146C">
        <w:tab/>
        <w:t>(iii)</w:t>
      </w:r>
      <w:r w:rsidRPr="0081146C">
        <w:tab/>
        <w:t>a remittance affiliate of a registered remittance network provider; and</w:t>
      </w:r>
    </w:p>
    <w:p w14:paraId="70211B79" w14:textId="77777777" w:rsidR="00D528A0" w:rsidRPr="0081146C" w:rsidRDefault="00D528A0" w:rsidP="00D528A0">
      <w:pPr>
        <w:pStyle w:val="paragraph"/>
      </w:pPr>
      <w:r w:rsidRPr="0081146C">
        <w:tab/>
        <w:t>(b)</w:t>
      </w:r>
      <w:r w:rsidRPr="0081146C">
        <w:tab/>
        <w:t>the conditions (if any) to which the registration is subject (see section</w:t>
      </w:r>
      <w:r w:rsidR="004F64A4" w:rsidRPr="0081146C">
        <w:t> </w:t>
      </w:r>
      <w:r w:rsidRPr="0081146C">
        <w:t>75E); and</w:t>
      </w:r>
    </w:p>
    <w:p w14:paraId="4127E7B8" w14:textId="77777777" w:rsidR="00D528A0" w:rsidRPr="0081146C" w:rsidRDefault="00D528A0" w:rsidP="00D528A0">
      <w:pPr>
        <w:pStyle w:val="paragraph"/>
      </w:pPr>
      <w:r w:rsidRPr="0081146C">
        <w:tab/>
        <w:t>(c)</w:t>
      </w:r>
      <w:r w:rsidRPr="0081146C">
        <w:tab/>
        <w:t>the date on which the registration takes effect.</w:t>
      </w:r>
    </w:p>
    <w:p w14:paraId="32F153F0" w14:textId="77777777" w:rsidR="00D528A0" w:rsidRPr="0081146C" w:rsidRDefault="00D528A0" w:rsidP="00D528A0">
      <w:pPr>
        <w:pStyle w:val="ActHead5"/>
      </w:pPr>
      <w:bookmarkStart w:id="332" w:name="_Toc185415859"/>
      <w:r w:rsidRPr="0081146C">
        <w:rPr>
          <w:rStyle w:val="CharSectno"/>
        </w:rPr>
        <w:t>75D</w:t>
      </w:r>
      <w:r w:rsidRPr="0081146C">
        <w:t xml:space="preserve">  Spent convictions scheme</w:t>
      </w:r>
      <w:bookmarkEnd w:id="332"/>
    </w:p>
    <w:p w14:paraId="6F2DECB6" w14:textId="77777777" w:rsidR="00D528A0" w:rsidRPr="0081146C" w:rsidRDefault="00D528A0" w:rsidP="00D528A0">
      <w:pPr>
        <w:pStyle w:val="subsection"/>
      </w:pPr>
      <w:r w:rsidRPr="0081146C">
        <w:tab/>
      </w:r>
      <w:r w:rsidRPr="0081146C">
        <w:tab/>
        <w:t>The AML/CTF Rules made under paragraph</w:t>
      </w:r>
      <w:r w:rsidR="004F64A4" w:rsidRPr="0081146C">
        <w:t> </w:t>
      </w:r>
      <w:r w:rsidRPr="0081146C">
        <w:t xml:space="preserve">75B(3)(b) or 75C(2)(b) must not affect the operation of Part VIIC of the </w:t>
      </w:r>
      <w:r w:rsidRPr="0081146C">
        <w:rPr>
          <w:i/>
        </w:rPr>
        <w:t>Crimes Act 1914</w:t>
      </w:r>
      <w:r w:rsidRPr="0081146C">
        <w:t xml:space="preserve"> (which includes provisions that, in certain circumstances, relieve persons from the requirement to disclose spent convictions and require persons aware of such convictions to disregard them).</w:t>
      </w:r>
    </w:p>
    <w:p w14:paraId="4FDEE9BE" w14:textId="77777777" w:rsidR="00D528A0" w:rsidRPr="0081146C" w:rsidRDefault="00D528A0" w:rsidP="00D528A0">
      <w:pPr>
        <w:pStyle w:val="ActHead5"/>
      </w:pPr>
      <w:bookmarkStart w:id="333" w:name="_Toc185415860"/>
      <w:r w:rsidRPr="0081146C">
        <w:rPr>
          <w:rStyle w:val="CharSectno"/>
        </w:rPr>
        <w:t>75E</w:t>
      </w:r>
      <w:r w:rsidRPr="0081146C">
        <w:t xml:space="preserve">  Registration may be subject to conditions</w:t>
      </w:r>
      <w:bookmarkEnd w:id="333"/>
    </w:p>
    <w:p w14:paraId="35B9FFF5" w14:textId="77777777" w:rsidR="00D528A0" w:rsidRPr="0081146C" w:rsidRDefault="00D528A0" w:rsidP="00D528A0">
      <w:pPr>
        <w:pStyle w:val="subsection"/>
      </w:pPr>
      <w:r w:rsidRPr="0081146C">
        <w:tab/>
        <w:t>(1)</w:t>
      </w:r>
      <w:r w:rsidRPr="0081146C">
        <w:tab/>
        <w:t xml:space="preserve">The AUSTRAC CEO may, in writing, impose conditions to which the registration of a person </w:t>
      </w:r>
      <w:r w:rsidR="0049002F" w:rsidRPr="0081146C">
        <w:t xml:space="preserve">under this </w:t>
      </w:r>
      <w:r w:rsidR="00753679" w:rsidRPr="0081146C">
        <w:t>Part i</w:t>
      </w:r>
      <w:r w:rsidRPr="0081146C">
        <w:t>s subject.</w:t>
      </w:r>
    </w:p>
    <w:p w14:paraId="3B9D1CFE" w14:textId="77777777" w:rsidR="00586132" w:rsidRPr="0081146C" w:rsidRDefault="00586132" w:rsidP="00586132">
      <w:pPr>
        <w:pStyle w:val="notetext"/>
      </w:pPr>
      <w:r w:rsidRPr="0081146C">
        <w:t>Note:</w:t>
      </w:r>
      <w:r w:rsidRPr="0081146C">
        <w:tab/>
        <w:t xml:space="preserve">A decision to impose a condition is reviewable (see </w:t>
      </w:r>
      <w:r w:rsidR="00CA78AA" w:rsidRPr="0081146C">
        <w:t>Part 1</w:t>
      </w:r>
      <w:r w:rsidRPr="0081146C">
        <w:t>7A).</w:t>
      </w:r>
    </w:p>
    <w:p w14:paraId="156DFE97" w14:textId="77777777" w:rsidR="00D528A0" w:rsidRPr="0081146C" w:rsidRDefault="00D528A0" w:rsidP="00D528A0">
      <w:pPr>
        <w:pStyle w:val="subsection"/>
      </w:pPr>
      <w:r w:rsidRPr="0081146C">
        <w:tab/>
        <w:t>(2)</w:t>
      </w:r>
      <w:r w:rsidRPr="0081146C">
        <w:tab/>
        <w:t xml:space="preserve">Without limiting the conditions that the AUSTRAC CEO may impose under </w:t>
      </w:r>
      <w:r w:rsidR="004F64A4" w:rsidRPr="0081146C">
        <w:t>subsection (</w:t>
      </w:r>
      <w:r w:rsidRPr="0081146C">
        <w:t>1), the conditions may relate to the following:</w:t>
      </w:r>
    </w:p>
    <w:p w14:paraId="37CC90D1" w14:textId="77777777" w:rsidR="00D528A0" w:rsidRPr="0081146C" w:rsidRDefault="00D528A0" w:rsidP="00D528A0">
      <w:pPr>
        <w:pStyle w:val="paragraph"/>
      </w:pPr>
      <w:r w:rsidRPr="0081146C">
        <w:tab/>
        <w:t>(a)</w:t>
      </w:r>
      <w:r w:rsidRPr="0081146C">
        <w:tab/>
        <w:t>the volume of funds remitted (whether by reference to a particular time, a particular amount or otherwise);</w:t>
      </w:r>
    </w:p>
    <w:p w14:paraId="3DDC70FA" w14:textId="77777777" w:rsidR="00D528A0" w:rsidRPr="0081146C" w:rsidRDefault="00D528A0" w:rsidP="00D528A0">
      <w:pPr>
        <w:pStyle w:val="paragraph"/>
      </w:pPr>
      <w:r w:rsidRPr="0081146C">
        <w:tab/>
        <w:t>(b)</w:t>
      </w:r>
      <w:r w:rsidRPr="0081146C">
        <w:tab/>
        <w:t>the destination (however described) of funds remitted;</w:t>
      </w:r>
    </w:p>
    <w:p w14:paraId="4CE6F27F" w14:textId="77777777" w:rsidR="00D528A0" w:rsidRPr="0081146C" w:rsidRDefault="00D528A0" w:rsidP="00D528A0">
      <w:pPr>
        <w:pStyle w:val="paragraph"/>
      </w:pPr>
      <w:r w:rsidRPr="0081146C">
        <w:tab/>
        <w:t>(c)</w:t>
      </w:r>
      <w:r w:rsidRPr="0081146C">
        <w:tab/>
        <w:t>requiring notification of particular changes in circumstances.</w:t>
      </w:r>
    </w:p>
    <w:p w14:paraId="52F1DD82" w14:textId="77777777" w:rsidR="00D528A0" w:rsidRPr="0081146C" w:rsidRDefault="00D528A0" w:rsidP="00D528A0">
      <w:pPr>
        <w:pStyle w:val="notetext"/>
      </w:pPr>
      <w:r w:rsidRPr="0081146C">
        <w:t>Note:</w:t>
      </w:r>
      <w:r w:rsidRPr="0081146C">
        <w:tab/>
        <w:t>Section</w:t>
      </w:r>
      <w:r w:rsidR="004F64A4" w:rsidRPr="0081146C">
        <w:t> </w:t>
      </w:r>
      <w:r w:rsidRPr="0081146C">
        <w:t>75M imposes a general obligation in relation to notification of changes in circumstances.</w:t>
      </w:r>
    </w:p>
    <w:p w14:paraId="23CBA93B" w14:textId="77777777" w:rsidR="00D528A0" w:rsidRPr="0081146C" w:rsidRDefault="00D528A0" w:rsidP="00D528A0">
      <w:pPr>
        <w:pStyle w:val="ActHead5"/>
      </w:pPr>
      <w:bookmarkStart w:id="334" w:name="_Toc185415861"/>
      <w:r w:rsidRPr="0081146C">
        <w:rPr>
          <w:rStyle w:val="CharSectno"/>
        </w:rPr>
        <w:t>75F</w:t>
      </w:r>
      <w:r w:rsidRPr="0081146C">
        <w:t xml:space="preserve">  When registration of a person ceases</w:t>
      </w:r>
      <w:bookmarkEnd w:id="334"/>
    </w:p>
    <w:p w14:paraId="57281094" w14:textId="77777777" w:rsidR="00D528A0" w:rsidRPr="0081146C" w:rsidRDefault="00D528A0" w:rsidP="00D528A0">
      <w:pPr>
        <w:pStyle w:val="subsection"/>
      </w:pPr>
      <w:r w:rsidRPr="0081146C">
        <w:tab/>
        <w:t>(1)</w:t>
      </w:r>
      <w:r w:rsidRPr="0081146C">
        <w:tab/>
        <w:t>The registration of a person ceases at the earliest of the following times:</w:t>
      </w:r>
    </w:p>
    <w:p w14:paraId="3710D6EE" w14:textId="77777777" w:rsidR="00D528A0" w:rsidRPr="0081146C" w:rsidRDefault="00D528A0" w:rsidP="00D528A0">
      <w:pPr>
        <w:pStyle w:val="paragraph"/>
      </w:pPr>
      <w:r w:rsidRPr="0081146C">
        <w:tab/>
        <w:t>(a)</w:t>
      </w:r>
      <w:r w:rsidRPr="0081146C">
        <w:tab/>
        <w:t>when the cancellation of the registration of the person under section</w:t>
      </w:r>
      <w:r w:rsidR="004F64A4" w:rsidRPr="0081146C">
        <w:t> </w:t>
      </w:r>
      <w:r w:rsidRPr="0081146C">
        <w:t>75G takes effect;</w:t>
      </w:r>
    </w:p>
    <w:p w14:paraId="1C124826" w14:textId="77777777" w:rsidR="00D528A0" w:rsidRPr="0081146C" w:rsidRDefault="00D528A0" w:rsidP="00D528A0">
      <w:pPr>
        <w:pStyle w:val="paragraph"/>
      </w:pPr>
      <w:r w:rsidRPr="0081146C">
        <w:tab/>
        <w:t>(b)</w:t>
      </w:r>
      <w:r w:rsidRPr="0081146C">
        <w:tab/>
        <w:t>when the entry relating to the registration of the person is removed from the Remittance Sector Register under subsection</w:t>
      </w:r>
      <w:r w:rsidR="004F64A4" w:rsidRPr="0081146C">
        <w:t> </w:t>
      </w:r>
      <w:r w:rsidRPr="0081146C">
        <w:t>75K(2);</w:t>
      </w:r>
    </w:p>
    <w:p w14:paraId="04668B90" w14:textId="77777777" w:rsidR="00D528A0" w:rsidRPr="0081146C" w:rsidRDefault="00D528A0" w:rsidP="00D528A0">
      <w:pPr>
        <w:pStyle w:val="paragraph"/>
      </w:pPr>
      <w:r w:rsidRPr="0081146C">
        <w:tab/>
        <w:t>(c)</w:t>
      </w:r>
      <w:r w:rsidRPr="0081146C">
        <w:tab/>
        <w:t xml:space="preserve">subject to </w:t>
      </w:r>
      <w:r w:rsidR="004F64A4" w:rsidRPr="0081146C">
        <w:t>subsection (</w:t>
      </w:r>
      <w:r w:rsidRPr="0081146C">
        <w:t>2)—3 years after the day on which the registration took effect;</w:t>
      </w:r>
    </w:p>
    <w:p w14:paraId="6D04B7CD" w14:textId="77777777" w:rsidR="00D528A0" w:rsidRPr="0081146C" w:rsidRDefault="00D528A0" w:rsidP="00D528A0">
      <w:pPr>
        <w:pStyle w:val="paragraph"/>
      </w:pPr>
      <w:r w:rsidRPr="0081146C">
        <w:tab/>
        <w:t>(d)</w:t>
      </w:r>
      <w:r w:rsidRPr="0081146C">
        <w:tab/>
        <w:t>in the case of an individual—when the individual dies;</w:t>
      </w:r>
    </w:p>
    <w:p w14:paraId="690C1EEB" w14:textId="77777777" w:rsidR="00D528A0" w:rsidRPr="0081146C" w:rsidRDefault="00D528A0" w:rsidP="00D528A0">
      <w:pPr>
        <w:pStyle w:val="paragraph"/>
      </w:pPr>
      <w:r w:rsidRPr="0081146C">
        <w:tab/>
        <w:t>(e)</w:t>
      </w:r>
      <w:r w:rsidRPr="0081146C">
        <w:tab/>
        <w:t>in the case of a body corporate—when the body corporate ceases to exist.</w:t>
      </w:r>
    </w:p>
    <w:p w14:paraId="110B097F" w14:textId="77777777" w:rsidR="00D528A0" w:rsidRPr="0081146C" w:rsidRDefault="00D528A0" w:rsidP="00D528A0">
      <w:pPr>
        <w:pStyle w:val="subsection"/>
      </w:pPr>
      <w:r w:rsidRPr="0081146C">
        <w:tab/>
        <w:t>(2)</w:t>
      </w:r>
      <w:r w:rsidRPr="0081146C">
        <w:tab/>
      </w:r>
      <w:r w:rsidR="004F64A4" w:rsidRPr="0081146C">
        <w:t>Paragraph (</w:t>
      </w:r>
      <w:r w:rsidRPr="0081146C">
        <w:t>1)(c) is subject to the AML/CTF Rules made under section</w:t>
      </w:r>
      <w:r w:rsidR="004F64A4" w:rsidRPr="0081146C">
        <w:t> </w:t>
      </w:r>
      <w:r w:rsidRPr="0081146C">
        <w:t>75J (which deals with renewal of registration).</w:t>
      </w:r>
    </w:p>
    <w:p w14:paraId="6F7804BB" w14:textId="77777777" w:rsidR="00D528A0" w:rsidRPr="0081146C" w:rsidRDefault="00D528A0" w:rsidP="00D528A0">
      <w:pPr>
        <w:pStyle w:val="ActHead5"/>
      </w:pPr>
      <w:bookmarkStart w:id="335" w:name="_Toc185415862"/>
      <w:r w:rsidRPr="0081146C">
        <w:rPr>
          <w:rStyle w:val="CharSectno"/>
        </w:rPr>
        <w:t>75G</w:t>
      </w:r>
      <w:r w:rsidRPr="0081146C">
        <w:t xml:space="preserve">  Cancellation of registration</w:t>
      </w:r>
      <w:bookmarkEnd w:id="335"/>
    </w:p>
    <w:p w14:paraId="6A5A7198" w14:textId="77777777" w:rsidR="00D528A0" w:rsidRPr="0081146C" w:rsidRDefault="00D528A0" w:rsidP="00D528A0">
      <w:pPr>
        <w:pStyle w:val="subsection"/>
        <w:rPr>
          <w:rFonts w:eastAsia="Calibri"/>
        </w:rPr>
      </w:pPr>
      <w:r w:rsidRPr="0081146C">
        <w:tab/>
        <w:t>(1)</w:t>
      </w:r>
      <w:r w:rsidRPr="0081146C">
        <w:tab/>
        <w:t>The AUSTRAC CEO may cancel the registration of a person if the AUSTRAC CEO is satisfied that</w:t>
      </w:r>
      <w:r w:rsidRPr="0081146C">
        <w:rPr>
          <w:rFonts w:eastAsia="Calibri"/>
        </w:rPr>
        <w:t xml:space="preserve"> it is appropriate to do so, having regard to:</w:t>
      </w:r>
    </w:p>
    <w:p w14:paraId="2AC4B135" w14:textId="77777777" w:rsidR="00D528A0" w:rsidRPr="0081146C" w:rsidRDefault="00D528A0" w:rsidP="00D528A0">
      <w:pPr>
        <w:pStyle w:val="paragraph"/>
        <w:rPr>
          <w:rFonts w:eastAsia="Calibri"/>
        </w:rPr>
      </w:pPr>
      <w:r w:rsidRPr="0081146C">
        <w:rPr>
          <w:rFonts w:eastAsia="Calibri"/>
        </w:rPr>
        <w:tab/>
        <w:t>(a)</w:t>
      </w:r>
      <w:r w:rsidRPr="0081146C">
        <w:rPr>
          <w:rFonts w:eastAsia="Calibri"/>
        </w:rPr>
        <w:tab/>
        <w:t>whether the continued registration of the person involves, or may involve, a significant money laundering, financing of terrorism</w:t>
      </w:r>
      <w:r w:rsidR="0049002F" w:rsidRPr="0081146C">
        <w:t>, people smuggling or other serious crime</w:t>
      </w:r>
      <w:r w:rsidRPr="0081146C">
        <w:rPr>
          <w:rFonts w:eastAsia="Calibri"/>
        </w:rPr>
        <w:t xml:space="preserve"> risk; or</w:t>
      </w:r>
    </w:p>
    <w:p w14:paraId="56CF01B0" w14:textId="77777777" w:rsidR="00D528A0" w:rsidRPr="0081146C" w:rsidRDefault="00D528A0" w:rsidP="00D528A0">
      <w:pPr>
        <w:pStyle w:val="paragraph"/>
        <w:rPr>
          <w:rFonts w:eastAsia="Calibri"/>
        </w:rPr>
      </w:pPr>
      <w:r w:rsidRPr="0081146C">
        <w:tab/>
        <w:t>(b)</w:t>
      </w:r>
      <w:r w:rsidRPr="0081146C">
        <w:tab/>
        <w:t>one or more breaches by the person of a condition of registration; or</w:t>
      </w:r>
    </w:p>
    <w:p w14:paraId="5E80A90F" w14:textId="77777777" w:rsidR="00D528A0" w:rsidRPr="0081146C" w:rsidRDefault="00D528A0" w:rsidP="00D528A0">
      <w:pPr>
        <w:pStyle w:val="paragraph"/>
        <w:rPr>
          <w:rFonts w:eastAsia="Calibri"/>
        </w:rPr>
      </w:pPr>
      <w:r w:rsidRPr="0081146C">
        <w:rPr>
          <w:rFonts w:eastAsia="Calibri"/>
        </w:rPr>
        <w:tab/>
        <w:t>(c)</w:t>
      </w:r>
      <w:r w:rsidRPr="0081146C">
        <w:rPr>
          <w:rFonts w:eastAsia="Calibri"/>
        </w:rPr>
        <w:tab/>
        <w:t>such other matters (if any) as are specified in the AML/CTF Rules under this paragraph.</w:t>
      </w:r>
    </w:p>
    <w:p w14:paraId="08E2826A" w14:textId="77777777" w:rsidR="00586132" w:rsidRPr="0081146C" w:rsidRDefault="00586132" w:rsidP="00586132">
      <w:pPr>
        <w:pStyle w:val="notetext"/>
      </w:pPr>
      <w:r w:rsidRPr="0081146C">
        <w:t>Note:</w:t>
      </w:r>
      <w:r w:rsidRPr="0081146C">
        <w:tab/>
        <w:t xml:space="preserve">A decision to cancel a registration is reviewable (see </w:t>
      </w:r>
      <w:r w:rsidR="00CA78AA" w:rsidRPr="0081146C">
        <w:t>Part 1</w:t>
      </w:r>
      <w:r w:rsidRPr="0081146C">
        <w:t>7A).</w:t>
      </w:r>
    </w:p>
    <w:p w14:paraId="74B1C770" w14:textId="77777777" w:rsidR="0049002F" w:rsidRPr="0081146C" w:rsidRDefault="0049002F" w:rsidP="0049002F">
      <w:pPr>
        <w:pStyle w:val="subsection"/>
      </w:pPr>
      <w:r w:rsidRPr="0081146C">
        <w:tab/>
        <w:t>(1A)</w:t>
      </w:r>
      <w:r w:rsidRPr="0081146C">
        <w:tab/>
        <w:t>The AUSTRAC CEO may also cancel the registration of a person if the AUSTRAC CEO has reasonable grounds to believe that the registered person no longer carries on a business that gives rise to the requirement to be registered under this Part.</w:t>
      </w:r>
    </w:p>
    <w:p w14:paraId="633D16F6" w14:textId="77777777" w:rsidR="00D528A0" w:rsidRPr="0081146C" w:rsidRDefault="00D528A0" w:rsidP="00D528A0">
      <w:pPr>
        <w:pStyle w:val="subsection"/>
      </w:pPr>
      <w:r w:rsidRPr="0081146C">
        <w:tab/>
        <w:t>(2)</w:t>
      </w:r>
      <w:r w:rsidRPr="0081146C">
        <w:tab/>
        <w:t xml:space="preserve">The cancellation of the registration of a person takes effect on the day specified in the notice given to the person under </w:t>
      </w:r>
      <w:r w:rsidR="00586132" w:rsidRPr="0081146C">
        <w:t>subsection</w:t>
      </w:r>
      <w:r w:rsidR="004F64A4" w:rsidRPr="0081146C">
        <w:t> </w:t>
      </w:r>
      <w:r w:rsidR="00586132" w:rsidRPr="0081146C">
        <w:t>233C(1)</w:t>
      </w:r>
      <w:r w:rsidRPr="0081146C">
        <w:t>.</w:t>
      </w:r>
    </w:p>
    <w:p w14:paraId="39A6BE33" w14:textId="77777777" w:rsidR="00D528A0" w:rsidRPr="0081146C" w:rsidRDefault="00D528A0" w:rsidP="00D528A0">
      <w:pPr>
        <w:pStyle w:val="subsection"/>
      </w:pPr>
      <w:r w:rsidRPr="0081146C">
        <w:tab/>
        <w:t>(3)</w:t>
      </w:r>
      <w:r w:rsidRPr="0081146C">
        <w:tab/>
        <w:t>The AUSTRAC CEO may publish, in the manner specified in the AML/CTF Rules, a list of the names of persons whose registration has been cancelled and the date the cancellation takes effect.</w:t>
      </w:r>
    </w:p>
    <w:p w14:paraId="4CDB7468" w14:textId="77777777" w:rsidR="00D528A0" w:rsidRPr="0081146C" w:rsidRDefault="00D528A0" w:rsidP="00D528A0">
      <w:pPr>
        <w:pStyle w:val="ActHead5"/>
      </w:pPr>
      <w:bookmarkStart w:id="336" w:name="_Toc185415863"/>
      <w:r w:rsidRPr="0081146C">
        <w:rPr>
          <w:rStyle w:val="CharSectno"/>
        </w:rPr>
        <w:t>75H</w:t>
      </w:r>
      <w:r w:rsidRPr="0081146C">
        <w:t xml:space="preserve">  Suspension of registration</w:t>
      </w:r>
      <w:bookmarkEnd w:id="336"/>
    </w:p>
    <w:p w14:paraId="1A0D975F" w14:textId="77777777" w:rsidR="00D528A0" w:rsidRPr="0081146C" w:rsidRDefault="00D528A0" w:rsidP="00D528A0">
      <w:pPr>
        <w:pStyle w:val="subsection"/>
      </w:pPr>
      <w:r w:rsidRPr="0081146C">
        <w:tab/>
        <w:t>(1)</w:t>
      </w:r>
      <w:r w:rsidRPr="0081146C">
        <w:tab/>
        <w:t>The AML/CTF Rules may make provision for and in relation to the suspension of registrations by the AUSTRAC CEO under this Part.</w:t>
      </w:r>
    </w:p>
    <w:p w14:paraId="1674C5F8" w14:textId="77777777" w:rsidR="00D528A0" w:rsidRPr="0081146C" w:rsidRDefault="00D528A0" w:rsidP="00D528A0">
      <w:pPr>
        <w:pStyle w:val="subsection"/>
      </w:pPr>
      <w:r w:rsidRPr="0081146C">
        <w:tab/>
        <w:t>(2)</w:t>
      </w:r>
      <w:r w:rsidRPr="0081146C">
        <w:tab/>
        <w:t>The AML/CTF Rules may provide for matters including, but not limited to, the following:</w:t>
      </w:r>
    </w:p>
    <w:p w14:paraId="18DB8640" w14:textId="77777777" w:rsidR="00D528A0" w:rsidRPr="0081146C" w:rsidRDefault="00D528A0" w:rsidP="00D528A0">
      <w:pPr>
        <w:pStyle w:val="paragraph"/>
      </w:pPr>
      <w:r w:rsidRPr="0081146C">
        <w:tab/>
        <w:t>(a)</w:t>
      </w:r>
      <w:r w:rsidRPr="0081146C">
        <w:tab/>
        <w:t>the grounds for suspension of registration;</w:t>
      </w:r>
    </w:p>
    <w:p w14:paraId="38B9FFD8" w14:textId="77777777" w:rsidR="00D528A0" w:rsidRPr="0081146C" w:rsidRDefault="00D528A0" w:rsidP="00D528A0">
      <w:pPr>
        <w:pStyle w:val="paragraph"/>
      </w:pPr>
      <w:r w:rsidRPr="0081146C">
        <w:tab/>
        <w:t>(b)</w:t>
      </w:r>
      <w:r w:rsidRPr="0081146C">
        <w:tab/>
        <w:t>the effect of suspension on registration;</w:t>
      </w:r>
    </w:p>
    <w:p w14:paraId="5298DCF5" w14:textId="77777777" w:rsidR="00D528A0" w:rsidRPr="0081146C" w:rsidRDefault="00D528A0" w:rsidP="00D528A0">
      <w:pPr>
        <w:pStyle w:val="paragraph"/>
      </w:pPr>
      <w:r w:rsidRPr="0081146C">
        <w:tab/>
        <w:t>(c)</w:t>
      </w:r>
      <w:r w:rsidRPr="0081146C">
        <w:tab/>
        <w:t>the period for which suspensions have effect;</w:t>
      </w:r>
    </w:p>
    <w:p w14:paraId="4D617487" w14:textId="77777777" w:rsidR="00D528A0" w:rsidRPr="0081146C" w:rsidRDefault="00D528A0" w:rsidP="00D528A0">
      <w:pPr>
        <w:pStyle w:val="paragraph"/>
      </w:pPr>
      <w:r w:rsidRPr="0081146C">
        <w:tab/>
        <w:t>(d)</w:t>
      </w:r>
      <w:r w:rsidRPr="0081146C">
        <w:tab/>
        <w:t>the effect of suspension of a registered remittance network provider upon its registered remittance affiliates;</w:t>
      </w:r>
    </w:p>
    <w:p w14:paraId="2EC02A7F" w14:textId="77777777" w:rsidR="00D528A0" w:rsidRPr="0081146C" w:rsidRDefault="00D528A0" w:rsidP="00D528A0">
      <w:pPr>
        <w:pStyle w:val="paragraph"/>
      </w:pPr>
      <w:r w:rsidRPr="0081146C">
        <w:tab/>
        <w:t>(e)</w:t>
      </w:r>
      <w:r w:rsidRPr="0081146C">
        <w:tab/>
        <w:t>making entries in and removing entries from the Remittance Sector Register in relation to suspension;</w:t>
      </w:r>
    </w:p>
    <w:p w14:paraId="1D2B209B" w14:textId="77777777" w:rsidR="00D528A0" w:rsidRPr="0081146C" w:rsidRDefault="00D528A0" w:rsidP="00D528A0">
      <w:pPr>
        <w:pStyle w:val="paragraph"/>
      </w:pPr>
      <w:r w:rsidRPr="0081146C">
        <w:tab/>
        <w:t>(f)</w:t>
      </w:r>
      <w:r w:rsidRPr="0081146C">
        <w:tab/>
        <w:t>notices of suspension;</w:t>
      </w:r>
    </w:p>
    <w:p w14:paraId="1A8EA550" w14:textId="77777777" w:rsidR="00D528A0" w:rsidRPr="0081146C" w:rsidRDefault="00D528A0" w:rsidP="00D528A0">
      <w:pPr>
        <w:pStyle w:val="paragraph"/>
      </w:pPr>
      <w:r w:rsidRPr="0081146C">
        <w:tab/>
        <w:t>(g)</w:t>
      </w:r>
      <w:r w:rsidRPr="0081146C">
        <w:tab/>
        <w:t>review of decisions relating to suspension.</w:t>
      </w:r>
    </w:p>
    <w:p w14:paraId="6D68C115" w14:textId="77777777" w:rsidR="00D528A0" w:rsidRPr="0081146C" w:rsidRDefault="00D528A0" w:rsidP="00D528A0">
      <w:pPr>
        <w:pStyle w:val="ActHead5"/>
      </w:pPr>
      <w:bookmarkStart w:id="337" w:name="_Toc185415864"/>
      <w:r w:rsidRPr="0081146C">
        <w:rPr>
          <w:rStyle w:val="CharSectno"/>
        </w:rPr>
        <w:t>75J</w:t>
      </w:r>
      <w:r w:rsidRPr="0081146C">
        <w:t xml:space="preserve">  Renewal of registration</w:t>
      </w:r>
      <w:bookmarkEnd w:id="337"/>
    </w:p>
    <w:p w14:paraId="66C4265B" w14:textId="77777777" w:rsidR="00D528A0" w:rsidRPr="0081146C" w:rsidRDefault="00D528A0" w:rsidP="00D528A0">
      <w:pPr>
        <w:pStyle w:val="subsection"/>
      </w:pPr>
      <w:r w:rsidRPr="0081146C">
        <w:tab/>
        <w:t>(1)</w:t>
      </w:r>
      <w:r w:rsidRPr="0081146C">
        <w:tab/>
        <w:t>The AML/CTF Rules may make provision for and in relation to the renewal of registrations by the AUSTRAC CEO under this Part.</w:t>
      </w:r>
    </w:p>
    <w:p w14:paraId="0E006846" w14:textId="77777777" w:rsidR="00D528A0" w:rsidRPr="0081146C" w:rsidRDefault="00D528A0" w:rsidP="00D528A0">
      <w:pPr>
        <w:pStyle w:val="subsection"/>
      </w:pPr>
      <w:r w:rsidRPr="0081146C">
        <w:tab/>
        <w:t>(2)</w:t>
      </w:r>
      <w:r w:rsidRPr="0081146C">
        <w:tab/>
        <w:t>The AML/CTF Rules may provide for matters including, but not limited to, the following:</w:t>
      </w:r>
    </w:p>
    <w:p w14:paraId="40ACF888" w14:textId="77777777" w:rsidR="00D528A0" w:rsidRPr="0081146C" w:rsidRDefault="00D528A0" w:rsidP="00D528A0">
      <w:pPr>
        <w:pStyle w:val="paragraph"/>
      </w:pPr>
      <w:r w:rsidRPr="0081146C">
        <w:tab/>
        <w:t>(a)</w:t>
      </w:r>
      <w:r w:rsidRPr="0081146C">
        <w:tab/>
        <w:t>the making of applications for renewal;</w:t>
      </w:r>
    </w:p>
    <w:p w14:paraId="46C74E9A" w14:textId="77777777" w:rsidR="00D528A0" w:rsidRPr="0081146C" w:rsidRDefault="00D528A0" w:rsidP="00D528A0">
      <w:pPr>
        <w:pStyle w:val="paragraph"/>
      </w:pPr>
      <w:r w:rsidRPr="0081146C">
        <w:tab/>
        <w:t>(b)</w:t>
      </w:r>
      <w:r w:rsidRPr="0081146C">
        <w:tab/>
        <w:t>the period within which applications for renewal may be made;</w:t>
      </w:r>
    </w:p>
    <w:p w14:paraId="671F3193" w14:textId="77777777" w:rsidR="00D528A0" w:rsidRPr="0081146C" w:rsidRDefault="00D528A0" w:rsidP="00D528A0">
      <w:pPr>
        <w:pStyle w:val="paragraph"/>
      </w:pPr>
      <w:r w:rsidRPr="0081146C">
        <w:tab/>
        <w:t>(c)</w:t>
      </w:r>
      <w:r w:rsidRPr="0081146C">
        <w:tab/>
        <w:t>the criteria for determining applications for renewal;</w:t>
      </w:r>
    </w:p>
    <w:p w14:paraId="32BDC71E" w14:textId="77777777" w:rsidR="00D528A0" w:rsidRPr="0081146C" w:rsidRDefault="00D528A0" w:rsidP="00D528A0">
      <w:pPr>
        <w:pStyle w:val="paragraph"/>
      </w:pPr>
      <w:r w:rsidRPr="0081146C">
        <w:tab/>
        <w:t>(d)</w:t>
      </w:r>
      <w:r w:rsidRPr="0081146C">
        <w:tab/>
        <w:t>entries in the Remittance Sector Register in relation to renewal;</w:t>
      </w:r>
    </w:p>
    <w:p w14:paraId="358CA743" w14:textId="77777777" w:rsidR="00D528A0" w:rsidRPr="0081146C" w:rsidRDefault="00D528A0" w:rsidP="00D528A0">
      <w:pPr>
        <w:pStyle w:val="paragraph"/>
      </w:pPr>
      <w:r w:rsidRPr="0081146C">
        <w:tab/>
        <w:t>(e)</w:t>
      </w:r>
      <w:r w:rsidRPr="0081146C">
        <w:tab/>
        <w:t>the giving of notices relating to decisions on applications for renewal;</w:t>
      </w:r>
    </w:p>
    <w:p w14:paraId="6FF97540" w14:textId="77777777" w:rsidR="00D528A0" w:rsidRPr="0081146C" w:rsidRDefault="00D528A0" w:rsidP="00D528A0">
      <w:pPr>
        <w:pStyle w:val="paragraph"/>
      </w:pPr>
      <w:r w:rsidRPr="0081146C">
        <w:tab/>
        <w:t>(f)</w:t>
      </w:r>
      <w:r w:rsidRPr="0081146C">
        <w:tab/>
        <w:t>review of decisions relating to applications for renewal;</w:t>
      </w:r>
    </w:p>
    <w:p w14:paraId="50141621" w14:textId="77777777" w:rsidR="00D528A0" w:rsidRPr="0081146C" w:rsidRDefault="00D528A0" w:rsidP="00D528A0">
      <w:pPr>
        <w:pStyle w:val="paragraph"/>
      </w:pPr>
      <w:r w:rsidRPr="0081146C">
        <w:tab/>
        <w:t>(g)</w:t>
      </w:r>
      <w:r w:rsidRPr="0081146C">
        <w:tab/>
        <w:t>the period for which renewed registrations have effect.</w:t>
      </w:r>
    </w:p>
    <w:p w14:paraId="2DA1CFD3" w14:textId="77777777" w:rsidR="00D528A0" w:rsidRPr="0081146C" w:rsidRDefault="00D528A0" w:rsidP="00D528A0">
      <w:pPr>
        <w:pStyle w:val="subsection"/>
      </w:pPr>
      <w:r w:rsidRPr="0081146C">
        <w:tab/>
        <w:t>(3)</w:t>
      </w:r>
      <w:r w:rsidRPr="0081146C">
        <w:tab/>
        <w:t>In particular, the AML/CTF Rules may provide that:</w:t>
      </w:r>
    </w:p>
    <w:p w14:paraId="33AE9158" w14:textId="77777777" w:rsidR="00D528A0" w:rsidRPr="0081146C" w:rsidRDefault="00D528A0" w:rsidP="00D528A0">
      <w:pPr>
        <w:pStyle w:val="paragraph"/>
      </w:pPr>
      <w:r w:rsidRPr="0081146C">
        <w:tab/>
        <w:t>(a)</w:t>
      </w:r>
      <w:r w:rsidRPr="0081146C">
        <w:tab/>
        <w:t>if the registration of a person would otherwise cease at the end of the period of 3 years commencing on the day on which the registration took effect; and</w:t>
      </w:r>
    </w:p>
    <w:p w14:paraId="4B0A9F94" w14:textId="77777777" w:rsidR="00D528A0" w:rsidRPr="0081146C" w:rsidRDefault="00D528A0" w:rsidP="00D528A0">
      <w:pPr>
        <w:pStyle w:val="paragraph"/>
      </w:pPr>
      <w:r w:rsidRPr="0081146C">
        <w:tab/>
        <w:t>(b)</w:t>
      </w:r>
      <w:r w:rsidRPr="0081146C">
        <w:tab/>
        <w:t>before the end of that period, an application for renewal of the registration was made to the AUSTRAC CEO within the period, and in the manner provided for, in the AML/CTF Rules;</w:t>
      </w:r>
    </w:p>
    <w:p w14:paraId="7198DCF6" w14:textId="77777777" w:rsidR="00D528A0" w:rsidRPr="0081146C" w:rsidRDefault="00D528A0" w:rsidP="00D528A0">
      <w:pPr>
        <w:pStyle w:val="subsection2"/>
      </w:pPr>
      <w:r w:rsidRPr="0081146C">
        <w:t>the registration of the person continues in effect after the end of that period in accordance with the Rules.</w:t>
      </w:r>
    </w:p>
    <w:p w14:paraId="1061AE4D" w14:textId="77777777" w:rsidR="00D528A0" w:rsidRPr="0081146C" w:rsidRDefault="00D528A0" w:rsidP="00D528A0">
      <w:pPr>
        <w:pStyle w:val="ActHead5"/>
      </w:pPr>
      <w:bookmarkStart w:id="338" w:name="_Toc185415865"/>
      <w:r w:rsidRPr="0081146C">
        <w:rPr>
          <w:rStyle w:val="CharSectno"/>
        </w:rPr>
        <w:t>75K</w:t>
      </w:r>
      <w:r w:rsidRPr="0081146C">
        <w:t xml:space="preserve">  Removal of entries from the Remittance Sector Register</w:t>
      </w:r>
      <w:bookmarkEnd w:id="338"/>
    </w:p>
    <w:p w14:paraId="0E6866DD" w14:textId="77777777" w:rsidR="00D528A0" w:rsidRPr="0081146C" w:rsidRDefault="00D528A0" w:rsidP="00D528A0">
      <w:pPr>
        <w:pStyle w:val="SubsectionHead"/>
      </w:pPr>
      <w:r w:rsidRPr="0081146C">
        <w:t>Removal on request</w:t>
      </w:r>
    </w:p>
    <w:p w14:paraId="563EEA2D" w14:textId="77777777" w:rsidR="00D528A0" w:rsidRPr="0081146C" w:rsidRDefault="00D528A0" w:rsidP="00D528A0">
      <w:pPr>
        <w:pStyle w:val="subsection"/>
      </w:pPr>
      <w:r w:rsidRPr="0081146C">
        <w:tab/>
        <w:t>(1)</w:t>
      </w:r>
      <w:r w:rsidRPr="0081146C">
        <w:tab/>
        <w:t>A person who is one or more of the following:</w:t>
      </w:r>
    </w:p>
    <w:p w14:paraId="46AA9B89" w14:textId="77777777" w:rsidR="00D528A0" w:rsidRPr="0081146C" w:rsidRDefault="00D528A0" w:rsidP="00D528A0">
      <w:pPr>
        <w:pStyle w:val="paragraph"/>
      </w:pPr>
      <w:r w:rsidRPr="0081146C">
        <w:tab/>
        <w:t>(a)</w:t>
      </w:r>
      <w:r w:rsidRPr="0081146C">
        <w:tab/>
        <w:t>a registered remittance network provider;</w:t>
      </w:r>
    </w:p>
    <w:p w14:paraId="1A1DB2C9" w14:textId="77777777" w:rsidR="00D528A0" w:rsidRPr="0081146C" w:rsidRDefault="00D528A0" w:rsidP="00D528A0">
      <w:pPr>
        <w:pStyle w:val="paragraph"/>
      </w:pPr>
      <w:r w:rsidRPr="0081146C">
        <w:tab/>
        <w:t>(b)</w:t>
      </w:r>
      <w:r w:rsidRPr="0081146C">
        <w:tab/>
        <w:t>a registered independent remittance dealer;</w:t>
      </w:r>
    </w:p>
    <w:p w14:paraId="00607E99" w14:textId="77777777" w:rsidR="00D528A0" w:rsidRPr="0081146C" w:rsidRDefault="00D528A0" w:rsidP="00D528A0">
      <w:pPr>
        <w:pStyle w:val="paragraph"/>
      </w:pPr>
      <w:r w:rsidRPr="0081146C">
        <w:tab/>
        <w:t>(c)</w:t>
      </w:r>
      <w:r w:rsidRPr="0081146C">
        <w:tab/>
        <w:t>a registered remittance affiliate of a registered remittance network provider;</w:t>
      </w:r>
    </w:p>
    <w:p w14:paraId="10E56231" w14:textId="77777777" w:rsidR="00D528A0" w:rsidRPr="0081146C" w:rsidRDefault="00D528A0" w:rsidP="00D528A0">
      <w:pPr>
        <w:pStyle w:val="subsection2"/>
      </w:pPr>
      <w:r w:rsidRPr="0081146C">
        <w:t>may request the AUSTRAC CEO, in writing, to remove the entry relating to one or more of the registrations of the person from the Remittance Sector Register.</w:t>
      </w:r>
    </w:p>
    <w:p w14:paraId="4AF4A487" w14:textId="77777777" w:rsidR="00D528A0" w:rsidRPr="0081146C" w:rsidRDefault="00D528A0" w:rsidP="00D528A0">
      <w:pPr>
        <w:pStyle w:val="subsection"/>
      </w:pPr>
      <w:r w:rsidRPr="0081146C">
        <w:tab/>
        <w:t>(2)</w:t>
      </w:r>
      <w:r w:rsidRPr="0081146C">
        <w:tab/>
        <w:t xml:space="preserve">If a person makes a request under </w:t>
      </w:r>
      <w:r w:rsidR="004F64A4" w:rsidRPr="0081146C">
        <w:t>subsection (</w:t>
      </w:r>
      <w:r w:rsidRPr="0081146C">
        <w:t>1) in relation to one or more registrations, the AUSTRAC CEO must remove from the Remittance Sector Register the entry relating to each registration to which the request relates.</w:t>
      </w:r>
    </w:p>
    <w:p w14:paraId="2658B621" w14:textId="77777777" w:rsidR="00D528A0" w:rsidRPr="0081146C" w:rsidRDefault="00D528A0" w:rsidP="00D528A0">
      <w:pPr>
        <w:pStyle w:val="SubsectionHead"/>
      </w:pPr>
      <w:r w:rsidRPr="0081146C">
        <w:t>Removal on cessation of registration—remittance network providers</w:t>
      </w:r>
    </w:p>
    <w:p w14:paraId="344FC8EF" w14:textId="77777777" w:rsidR="00D528A0" w:rsidRPr="0081146C" w:rsidRDefault="00D528A0" w:rsidP="00D528A0">
      <w:pPr>
        <w:pStyle w:val="subsection"/>
      </w:pPr>
      <w:r w:rsidRPr="0081146C">
        <w:tab/>
        <w:t>(3)</w:t>
      </w:r>
      <w:r w:rsidRPr="0081146C">
        <w:tab/>
        <w:t>If a person ceases to be a registered remittance network provider, the AUSTRAC CEO must remove from the Remittance Sector Register:</w:t>
      </w:r>
    </w:p>
    <w:p w14:paraId="73DC5475" w14:textId="77777777" w:rsidR="00D528A0" w:rsidRPr="0081146C" w:rsidRDefault="00D528A0" w:rsidP="00D528A0">
      <w:pPr>
        <w:pStyle w:val="paragraph"/>
      </w:pPr>
      <w:r w:rsidRPr="0081146C">
        <w:tab/>
        <w:t>(a)</w:t>
      </w:r>
      <w:r w:rsidRPr="0081146C">
        <w:tab/>
        <w:t>the entry relating to the registered remittance network provider; and</w:t>
      </w:r>
    </w:p>
    <w:p w14:paraId="66A11253" w14:textId="77777777" w:rsidR="00D528A0" w:rsidRPr="0081146C" w:rsidRDefault="00D528A0" w:rsidP="00D528A0">
      <w:pPr>
        <w:pStyle w:val="paragraph"/>
      </w:pPr>
      <w:r w:rsidRPr="0081146C">
        <w:tab/>
        <w:t>(b)</w:t>
      </w:r>
      <w:r w:rsidRPr="0081146C">
        <w:tab/>
        <w:t>each entry relating to a registered remittance affiliate of the registered remittance network provider.</w:t>
      </w:r>
    </w:p>
    <w:p w14:paraId="4C48E3E0" w14:textId="77777777" w:rsidR="00D528A0" w:rsidRPr="0081146C" w:rsidRDefault="00D528A0" w:rsidP="00D528A0">
      <w:pPr>
        <w:pStyle w:val="SubsectionHead"/>
      </w:pPr>
      <w:r w:rsidRPr="0081146C">
        <w:t>Removal on cessation of registration—independent remittance dealers and affiliates</w:t>
      </w:r>
    </w:p>
    <w:p w14:paraId="235AED88" w14:textId="77777777" w:rsidR="00D528A0" w:rsidRPr="0081146C" w:rsidRDefault="00D528A0" w:rsidP="00D528A0">
      <w:pPr>
        <w:pStyle w:val="subsection"/>
      </w:pPr>
      <w:r w:rsidRPr="0081146C">
        <w:tab/>
        <w:t>(4)</w:t>
      </w:r>
      <w:r w:rsidRPr="0081146C">
        <w:tab/>
        <w:t>If a person ceases to be a registered independent remittance dealer or a registered remittance affiliate of a registered remittance network provider, the AUSTRAC CEO must remove from the Remittance Sector Register each entry relating to the independent remittance dealer or the remittance affiliate, as the case requires.</w:t>
      </w:r>
    </w:p>
    <w:p w14:paraId="7257361F" w14:textId="77777777" w:rsidR="00D528A0" w:rsidRPr="0081146C" w:rsidRDefault="00D528A0" w:rsidP="00D528A0">
      <w:pPr>
        <w:pStyle w:val="SubsectionHead"/>
      </w:pPr>
      <w:r w:rsidRPr="0081146C">
        <w:t>Notice of removal—remittance network providers</w:t>
      </w:r>
    </w:p>
    <w:p w14:paraId="16C43A8D" w14:textId="77777777" w:rsidR="00D528A0" w:rsidRPr="0081146C" w:rsidRDefault="00D528A0" w:rsidP="00D528A0">
      <w:pPr>
        <w:pStyle w:val="subsection"/>
      </w:pPr>
      <w:r w:rsidRPr="0081146C">
        <w:tab/>
        <w:t>(5)</w:t>
      </w:r>
      <w:r w:rsidRPr="0081146C">
        <w:tab/>
        <w:t>The AUSTRAC CEO must, as soon as reasonably practicable, notify a remittance network provider, in writing, if:</w:t>
      </w:r>
    </w:p>
    <w:p w14:paraId="0106ED4C" w14:textId="77777777" w:rsidR="00D528A0" w:rsidRPr="0081146C" w:rsidRDefault="00D528A0" w:rsidP="00D528A0">
      <w:pPr>
        <w:pStyle w:val="paragraph"/>
      </w:pPr>
      <w:r w:rsidRPr="0081146C">
        <w:tab/>
        <w:t>(a)</w:t>
      </w:r>
      <w:r w:rsidRPr="0081146C">
        <w:tab/>
        <w:t>the AUSTRAC CEO removes from the Remittance Sector Register an entry relating to a remittance affiliate of the provider; and</w:t>
      </w:r>
    </w:p>
    <w:p w14:paraId="01CA2753" w14:textId="77777777" w:rsidR="00D528A0" w:rsidRPr="0081146C" w:rsidRDefault="00D528A0" w:rsidP="00D528A0">
      <w:pPr>
        <w:pStyle w:val="paragraph"/>
      </w:pPr>
      <w:r w:rsidRPr="0081146C">
        <w:tab/>
        <w:t>(b)</w:t>
      </w:r>
      <w:r w:rsidRPr="0081146C">
        <w:tab/>
        <w:t xml:space="preserve">the removal of the affiliate was not because of the removal of the provider as required by </w:t>
      </w:r>
      <w:r w:rsidR="004F64A4" w:rsidRPr="0081146C">
        <w:t>paragraph (</w:t>
      </w:r>
      <w:r w:rsidRPr="0081146C">
        <w:t>3)(b).</w:t>
      </w:r>
    </w:p>
    <w:p w14:paraId="43533CCC" w14:textId="77777777" w:rsidR="00D528A0" w:rsidRPr="0081146C" w:rsidRDefault="00D528A0" w:rsidP="00D528A0">
      <w:pPr>
        <w:pStyle w:val="SubsectionHead"/>
      </w:pPr>
      <w:r w:rsidRPr="0081146C">
        <w:t>Notice of removal—affiliates of remittance network providers</w:t>
      </w:r>
    </w:p>
    <w:p w14:paraId="6B503270" w14:textId="77777777" w:rsidR="00D528A0" w:rsidRPr="0081146C" w:rsidRDefault="00D528A0" w:rsidP="00D528A0">
      <w:pPr>
        <w:pStyle w:val="subsection"/>
      </w:pPr>
      <w:r w:rsidRPr="0081146C">
        <w:tab/>
        <w:t>(6)</w:t>
      </w:r>
      <w:r w:rsidRPr="0081146C">
        <w:tab/>
        <w:t>The AUSTRAC CEO must, as soon as reasonably practicable, notify each affiliate of a remittance network provider, in writing, if the AUSTRAC CEO removes from the Remittance Sector Register the entry relating to the provider.</w:t>
      </w:r>
    </w:p>
    <w:p w14:paraId="7EABD97C" w14:textId="77777777" w:rsidR="00D528A0" w:rsidRPr="0081146C" w:rsidRDefault="00D528A0" w:rsidP="00D528A0">
      <w:pPr>
        <w:pStyle w:val="ActHead5"/>
      </w:pPr>
      <w:bookmarkStart w:id="339" w:name="_Toc185415866"/>
      <w:r w:rsidRPr="0081146C">
        <w:rPr>
          <w:rStyle w:val="CharSectno"/>
        </w:rPr>
        <w:t>75L</w:t>
      </w:r>
      <w:r w:rsidRPr="0081146C">
        <w:t xml:space="preserve">  AML/CTF Rules—general provision</w:t>
      </w:r>
      <w:bookmarkEnd w:id="339"/>
    </w:p>
    <w:p w14:paraId="21C37258" w14:textId="77777777" w:rsidR="00D528A0" w:rsidRPr="0081146C" w:rsidRDefault="00D528A0" w:rsidP="00D528A0">
      <w:pPr>
        <w:pStyle w:val="subsection"/>
      </w:pPr>
      <w:r w:rsidRPr="0081146C">
        <w:tab/>
      </w:r>
      <w:r w:rsidRPr="0081146C">
        <w:tab/>
        <w:t>If a provision of this Part provides for the AML/CTF Rules to make provision in relation to a matter relating to the registration or proposed registration of a person, the AML/CTF Rules may make different provision in relation to a matter depending on whether the registration or proposed registration of the person is as:</w:t>
      </w:r>
    </w:p>
    <w:p w14:paraId="62065D07" w14:textId="77777777" w:rsidR="00D528A0" w:rsidRPr="0081146C" w:rsidRDefault="00D528A0" w:rsidP="00D528A0">
      <w:pPr>
        <w:pStyle w:val="paragraph"/>
      </w:pPr>
      <w:r w:rsidRPr="0081146C">
        <w:tab/>
        <w:t>(a)</w:t>
      </w:r>
      <w:r w:rsidRPr="0081146C">
        <w:tab/>
        <w:t>a remittance network provider; or</w:t>
      </w:r>
    </w:p>
    <w:p w14:paraId="292BC530" w14:textId="77777777" w:rsidR="00D528A0" w:rsidRPr="0081146C" w:rsidRDefault="00D528A0" w:rsidP="00D528A0">
      <w:pPr>
        <w:pStyle w:val="paragraph"/>
      </w:pPr>
      <w:r w:rsidRPr="0081146C">
        <w:tab/>
        <w:t>(b)</w:t>
      </w:r>
      <w:r w:rsidRPr="0081146C">
        <w:tab/>
        <w:t>an independent remittance dealer; or</w:t>
      </w:r>
    </w:p>
    <w:p w14:paraId="0F388EA5" w14:textId="77777777" w:rsidR="00D528A0" w:rsidRPr="0081146C" w:rsidRDefault="00D528A0" w:rsidP="00D528A0">
      <w:pPr>
        <w:pStyle w:val="paragraph"/>
      </w:pPr>
      <w:r w:rsidRPr="0081146C">
        <w:tab/>
        <w:t>(c)</w:t>
      </w:r>
      <w:r w:rsidRPr="0081146C">
        <w:tab/>
        <w:t>a remittance affiliate of a registered remittance network provider.</w:t>
      </w:r>
    </w:p>
    <w:p w14:paraId="07C4F902" w14:textId="77777777" w:rsidR="00D528A0" w:rsidRPr="0081146C" w:rsidRDefault="00D528A0" w:rsidP="00D528A0">
      <w:pPr>
        <w:pStyle w:val="ActHead5"/>
      </w:pPr>
      <w:bookmarkStart w:id="340" w:name="_Toc185415867"/>
      <w:r w:rsidRPr="0081146C">
        <w:rPr>
          <w:rStyle w:val="CharSectno"/>
        </w:rPr>
        <w:t>75M</w:t>
      </w:r>
      <w:r w:rsidRPr="0081146C">
        <w:t xml:space="preserve">  Registered persons to advise of material changes in circumstance etc.</w:t>
      </w:r>
      <w:bookmarkEnd w:id="340"/>
    </w:p>
    <w:p w14:paraId="2A916385" w14:textId="77777777" w:rsidR="00D528A0" w:rsidRPr="0081146C" w:rsidRDefault="00D528A0" w:rsidP="00D528A0">
      <w:pPr>
        <w:pStyle w:val="subsection"/>
      </w:pPr>
      <w:r w:rsidRPr="0081146C">
        <w:tab/>
        <w:t>(1)</w:t>
      </w:r>
      <w:r w:rsidRPr="0081146C">
        <w:tab/>
        <w:t>A person who is registered under this Part as:</w:t>
      </w:r>
    </w:p>
    <w:p w14:paraId="26A3BC16" w14:textId="77777777" w:rsidR="00D528A0" w:rsidRPr="0081146C" w:rsidRDefault="00D528A0" w:rsidP="00D528A0">
      <w:pPr>
        <w:pStyle w:val="paragraph"/>
      </w:pPr>
      <w:r w:rsidRPr="0081146C">
        <w:tab/>
        <w:t>(a)</w:t>
      </w:r>
      <w:r w:rsidRPr="0081146C">
        <w:tab/>
        <w:t>a remittance network provider; or</w:t>
      </w:r>
    </w:p>
    <w:p w14:paraId="72735881" w14:textId="77777777" w:rsidR="00D528A0" w:rsidRPr="0081146C" w:rsidRDefault="00D528A0" w:rsidP="00D528A0">
      <w:pPr>
        <w:pStyle w:val="paragraph"/>
      </w:pPr>
      <w:r w:rsidRPr="0081146C">
        <w:tab/>
        <w:t>(b)</w:t>
      </w:r>
      <w:r w:rsidRPr="0081146C">
        <w:tab/>
        <w:t>an independent remittance dealer; or</w:t>
      </w:r>
    </w:p>
    <w:p w14:paraId="4E1735C3" w14:textId="77777777" w:rsidR="00D528A0" w:rsidRPr="0081146C" w:rsidRDefault="00D528A0" w:rsidP="00D528A0">
      <w:pPr>
        <w:pStyle w:val="paragraph"/>
      </w:pPr>
      <w:r w:rsidRPr="0081146C">
        <w:tab/>
        <w:t>(c)</w:t>
      </w:r>
      <w:r w:rsidRPr="0081146C">
        <w:tab/>
        <w:t>a remittance affiliate of a registered remittance network provider that applied for registration on its own behalf (see paragraph</w:t>
      </w:r>
      <w:r w:rsidR="004F64A4" w:rsidRPr="0081146C">
        <w:t> </w:t>
      </w:r>
      <w:r w:rsidRPr="0081146C">
        <w:t>75B(1)(c));</w:t>
      </w:r>
    </w:p>
    <w:p w14:paraId="6B765F11" w14:textId="77777777" w:rsidR="00D528A0" w:rsidRPr="0081146C" w:rsidRDefault="00D528A0" w:rsidP="00D528A0">
      <w:pPr>
        <w:pStyle w:val="subsection2"/>
      </w:pPr>
      <w:r w:rsidRPr="0081146C">
        <w:t>must advise the AUSTRAC CEO of the following:</w:t>
      </w:r>
    </w:p>
    <w:p w14:paraId="3729F83A" w14:textId="77777777" w:rsidR="00D528A0" w:rsidRPr="0081146C" w:rsidRDefault="00D528A0" w:rsidP="00D528A0">
      <w:pPr>
        <w:pStyle w:val="paragraph"/>
      </w:pPr>
      <w:r w:rsidRPr="0081146C">
        <w:tab/>
        <w:t>(d)</w:t>
      </w:r>
      <w:r w:rsidRPr="0081146C">
        <w:tab/>
        <w:t>any change in circumstances that could materially affect the person’s registration;</w:t>
      </w:r>
    </w:p>
    <w:p w14:paraId="60249605" w14:textId="77777777" w:rsidR="00D528A0" w:rsidRPr="0081146C" w:rsidRDefault="00D528A0" w:rsidP="00D528A0">
      <w:pPr>
        <w:pStyle w:val="paragraph"/>
      </w:pPr>
      <w:r w:rsidRPr="0081146C">
        <w:tab/>
        <w:t>(e)</w:t>
      </w:r>
      <w:r w:rsidRPr="0081146C">
        <w:tab/>
        <w:t>any matters specified in the AML/CTF Rules for the purposes of this paragraph.</w:t>
      </w:r>
    </w:p>
    <w:p w14:paraId="769C2C8F" w14:textId="77777777" w:rsidR="00D528A0" w:rsidRPr="0081146C" w:rsidRDefault="00D528A0" w:rsidP="00D528A0">
      <w:pPr>
        <w:pStyle w:val="subsection"/>
      </w:pPr>
      <w:r w:rsidRPr="0081146C">
        <w:tab/>
        <w:t>(2)</w:t>
      </w:r>
      <w:r w:rsidRPr="0081146C">
        <w:tab/>
        <w:t>A registered remittance affiliate of a registered remittance network provider must advise the provider of the following:</w:t>
      </w:r>
    </w:p>
    <w:p w14:paraId="6066559F" w14:textId="77777777" w:rsidR="00D528A0" w:rsidRPr="0081146C" w:rsidRDefault="00D528A0" w:rsidP="00D528A0">
      <w:pPr>
        <w:pStyle w:val="paragraph"/>
      </w:pPr>
      <w:r w:rsidRPr="0081146C">
        <w:tab/>
        <w:t>(a)</w:t>
      </w:r>
      <w:r w:rsidRPr="0081146C">
        <w:tab/>
        <w:t>any change in circumstances that could materially affect the person’s registration;</w:t>
      </w:r>
    </w:p>
    <w:p w14:paraId="50EF8F59" w14:textId="77777777" w:rsidR="00D528A0" w:rsidRPr="0081146C" w:rsidRDefault="00D528A0" w:rsidP="00D528A0">
      <w:pPr>
        <w:pStyle w:val="paragraph"/>
      </w:pPr>
      <w:r w:rsidRPr="0081146C">
        <w:tab/>
        <w:t>(b)</w:t>
      </w:r>
      <w:r w:rsidRPr="0081146C">
        <w:tab/>
        <w:t>any matters specified in the AML/CTF Rules for the purposes of this paragraph;</w:t>
      </w:r>
    </w:p>
    <w:p w14:paraId="115B3A54" w14:textId="77777777" w:rsidR="00D528A0" w:rsidRPr="0081146C" w:rsidRDefault="00D528A0" w:rsidP="00D528A0">
      <w:pPr>
        <w:pStyle w:val="subsection2"/>
      </w:pPr>
      <w:r w:rsidRPr="0081146C">
        <w:t>unless the affiliate applied for registration on its own behalf (see paragraph</w:t>
      </w:r>
      <w:r w:rsidR="004F64A4" w:rsidRPr="0081146C">
        <w:t> </w:t>
      </w:r>
      <w:r w:rsidRPr="0081146C">
        <w:t>75B(1)(c)).</w:t>
      </w:r>
    </w:p>
    <w:p w14:paraId="73D958B1" w14:textId="77777777" w:rsidR="00D528A0" w:rsidRPr="0081146C" w:rsidRDefault="00D528A0" w:rsidP="00D528A0">
      <w:pPr>
        <w:pStyle w:val="subsection"/>
      </w:pPr>
      <w:r w:rsidRPr="0081146C">
        <w:tab/>
        <w:t>(3)</w:t>
      </w:r>
      <w:r w:rsidRPr="0081146C">
        <w:tab/>
        <w:t xml:space="preserve">A registered remittance network provider must advise the AUSTRAC CEO of any changes notified to it under </w:t>
      </w:r>
      <w:r w:rsidR="004F64A4" w:rsidRPr="0081146C">
        <w:t>subsection (</w:t>
      </w:r>
      <w:r w:rsidRPr="0081146C">
        <w:t>2).</w:t>
      </w:r>
    </w:p>
    <w:p w14:paraId="742C76A2" w14:textId="77777777" w:rsidR="00D528A0" w:rsidRPr="0081146C" w:rsidRDefault="00D528A0" w:rsidP="00D528A0">
      <w:pPr>
        <w:pStyle w:val="subsection"/>
      </w:pPr>
      <w:r w:rsidRPr="0081146C">
        <w:tab/>
        <w:t>(4)</w:t>
      </w:r>
      <w:r w:rsidRPr="0081146C">
        <w:tab/>
        <w:t>A person who is required by this section to advise the AUSTRAC CEO or a registered remittance network provider of a change in circumstances or a matter must do so in accordance with the approved form, and:</w:t>
      </w:r>
    </w:p>
    <w:p w14:paraId="68D01A43" w14:textId="77777777" w:rsidR="00D528A0" w:rsidRPr="0081146C" w:rsidRDefault="00D528A0" w:rsidP="00D528A0">
      <w:pPr>
        <w:pStyle w:val="paragraph"/>
      </w:pPr>
      <w:r w:rsidRPr="0081146C">
        <w:tab/>
        <w:t>(a)</w:t>
      </w:r>
      <w:r w:rsidRPr="0081146C">
        <w:tab/>
        <w:t xml:space="preserve">in the case of a requirement under </w:t>
      </w:r>
      <w:r w:rsidR="004F64A4" w:rsidRPr="0081146C">
        <w:t>subsection (</w:t>
      </w:r>
      <w:r w:rsidRPr="0081146C">
        <w:t>1) or (2)—within 14 days of the change in circumstances or the matter arising (however described); and</w:t>
      </w:r>
    </w:p>
    <w:p w14:paraId="128C6E75" w14:textId="77777777" w:rsidR="00D528A0" w:rsidRPr="0081146C" w:rsidRDefault="00D528A0" w:rsidP="00D528A0">
      <w:pPr>
        <w:pStyle w:val="paragraph"/>
      </w:pPr>
      <w:r w:rsidRPr="0081146C">
        <w:tab/>
        <w:t>(b)</w:t>
      </w:r>
      <w:r w:rsidRPr="0081146C">
        <w:tab/>
        <w:t xml:space="preserve">in the case of a requirement under </w:t>
      </w:r>
      <w:r w:rsidR="004F64A4" w:rsidRPr="0081146C">
        <w:t>subsection (</w:t>
      </w:r>
      <w:r w:rsidRPr="0081146C">
        <w:t>3)—within 7 days of the registered remittance network provider concerned receiving the advice.</w:t>
      </w:r>
    </w:p>
    <w:p w14:paraId="30764A7C" w14:textId="77777777" w:rsidR="00D528A0" w:rsidRPr="0081146C" w:rsidRDefault="00D528A0" w:rsidP="00D528A0">
      <w:pPr>
        <w:pStyle w:val="SubsectionHead"/>
      </w:pPr>
      <w:r w:rsidRPr="0081146C">
        <w:t>Civil penalty</w:t>
      </w:r>
    </w:p>
    <w:p w14:paraId="45143191" w14:textId="77777777" w:rsidR="00D528A0" w:rsidRPr="0081146C" w:rsidRDefault="00D528A0" w:rsidP="00D528A0">
      <w:pPr>
        <w:pStyle w:val="subsection"/>
      </w:pPr>
      <w:r w:rsidRPr="0081146C">
        <w:tab/>
        <w:t>(5)</w:t>
      </w:r>
      <w:r w:rsidRPr="0081146C">
        <w:tab/>
      </w:r>
      <w:r w:rsidR="004F64A4" w:rsidRPr="0081146C">
        <w:t>Subsections (</w:t>
      </w:r>
      <w:r w:rsidRPr="0081146C">
        <w:t>1), (2) and (3) are civil penalty provisions.</w:t>
      </w:r>
    </w:p>
    <w:p w14:paraId="32BE5C32" w14:textId="77777777" w:rsidR="00D528A0" w:rsidRPr="0081146C" w:rsidRDefault="00D528A0" w:rsidP="00D528A0">
      <w:pPr>
        <w:pStyle w:val="ActHead5"/>
      </w:pPr>
      <w:bookmarkStart w:id="341" w:name="_Toc185415868"/>
      <w:r w:rsidRPr="0081146C">
        <w:rPr>
          <w:rStyle w:val="CharSectno"/>
        </w:rPr>
        <w:t>75N</w:t>
      </w:r>
      <w:r w:rsidRPr="0081146C">
        <w:t xml:space="preserve">  AUSTRAC CEO may request further information</w:t>
      </w:r>
      <w:bookmarkEnd w:id="341"/>
    </w:p>
    <w:p w14:paraId="4BE3BFCF" w14:textId="77777777" w:rsidR="00D528A0" w:rsidRPr="0081146C" w:rsidRDefault="00D528A0" w:rsidP="00D528A0">
      <w:pPr>
        <w:pStyle w:val="subsection"/>
      </w:pPr>
      <w:r w:rsidRPr="0081146C">
        <w:tab/>
        <w:t>(1)</w:t>
      </w:r>
      <w:r w:rsidRPr="0081146C">
        <w:tab/>
        <w:t>The AUSTRAC CEO may, in writing, request further information from any person for the purposes of making a decision under this Part.</w:t>
      </w:r>
    </w:p>
    <w:p w14:paraId="7B423346" w14:textId="77777777" w:rsidR="00D528A0" w:rsidRPr="0081146C" w:rsidRDefault="00D528A0" w:rsidP="00D528A0">
      <w:pPr>
        <w:pStyle w:val="subsection"/>
      </w:pPr>
      <w:r w:rsidRPr="0081146C">
        <w:tab/>
        <w:t>(2)</w:t>
      </w:r>
      <w:r w:rsidRPr="0081146C">
        <w:tab/>
        <w:t xml:space="preserve">The AUSTRAC CEO is not required to make a decision under this Part until any information requested under </w:t>
      </w:r>
      <w:r w:rsidR="004F64A4" w:rsidRPr="0081146C">
        <w:t>subsection (</w:t>
      </w:r>
      <w:r w:rsidRPr="0081146C">
        <w:t>1) in relation to the decision has been provided.</w:t>
      </w:r>
    </w:p>
    <w:p w14:paraId="39D54344" w14:textId="77777777" w:rsidR="002F4208" w:rsidRPr="0081146C" w:rsidRDefault="002F4208" w:rsidP="002F4208">
      <w:pPr>
        <w:pStyle w:val="subsection"/>
      </w:pPr>
      <w:r w:rsidRPr="0081146C">
        <w:tab/>
        <w:t>(3)</w:t>
      </w:r>
      <w:r w:rsidRPr="0081146C">
        <w:tab/>
        <w:t>If:</w:t>
      </w:r>
    </w:p>
    <w:p w14:paraId="45825EEB" w14:textId="77777777" w:rsidR="002F4208" w:rsidRPr="0081146C" w:rsidRDefault="002F4208" w:rsidP="002F4208">
      <w:pPr>
        <w:pStyle w:val="paragraph"/>
      </w:pPr>
      <w:r w:rsidRPr="0081146C">
        <w:tab/>
        <w:t>(a)</w:t>
      </w:r>
      <w:r w:rsidRPr="0081146C">
        <w:tab/>
        <w:t>a person is given a request under subsection (1) in relation to information; and</w:t>
      </w:r>
    </w:p>
    <w:p w14:paraId="358047B2" w14:textId="77777777" w:rsidR="002F4208" w:rsidRPr="0081146C" w:rsidRDefault="002F4208" w:rsidP="002F4208">
      <w:pPr>
        <w:pStyle w:val="paragraph"/>
      </w:pPr>
      <w:r w:rsidRPr="0081146C">
        <w:tab/>
        <w:t>(b)</w:t>
      </w:r>
      <w:r w:rsidRPr="0081146C">
        <w:tab/>
        <w:t>the person reasonably believes that the information is privileged from being given on the ground of legal professional privilege;</w:t>
      </w:r>
    </w:p>
    <w:p w14:paraId="154B47D7" w14:textId="77777777" w:rsidR="002F4208" w:rsidRPr="0081146C" w:rsidRDefault="002F4208" w:rsidP="002F4208">
      <w:pPr>
        <w:pStyle w:val="subsection2"/>
      </w:pPr>
      <w:r w:rsidRPr="0081146C">
        <w:t>the person must give the AUSTRAC CEO an LPP form in relation to the information within the period specified in the request.</w:t>
      </w:r>
    </w:p>
    <w:p w14:paraId="040FC439" w14:textId="77777777" w:rsidR="002F4208" w:rsidRPr="0081146C" w:rsidRDefault="002F4208" w:rsidP="002F4208">
      <w:pPr>
        <w:pStyle w:val="subsection"/>
      </w:pPr>
      <w:r w:rsidRPr="0081146C">
        <w:tab/>
        <w:t>(4)</w:t>
      </w:r>
      <w:r w:rsidRPr="0081146C">
        <w:tab/>
        <w:t>Subsection (3) is a civil penalty provision.</w:t>
      </w:r>
    </w:p>
    <w:p w14:paraId="6BE76C43" w14:textId="77777777" w:rsidR="002F4208" w:rsidRPr="0081146C" w:rsidRDefault="002F4208" w:rsidP="002F4208">
      <w:pPr>
        <w:pStyle w:val="notetext"/>
      </w:pPr>
      <w:r w:rsidRPr="0081146C">
        <w:t>Note:</w:t>
      </w:r>
      <w:r w:rsidRPr="0081146C">
        <w:tab/>
        <w:t>For other provisions dealing with legal professional privilege, see sections 242 and 242A.</w:t>
      </w:r>
    </w:p>
    <w:p w14:paraId="35B604C8" w14:textId="77777777" w:rsidR="00D528A0" w:rsidRPr="0081146C" w:rsidRDefault="00D528A0" w:rsidP="00D528A0">
      <w:pPr>
        <w:pStyle w:val="ActHead5"/>
      </w:pPr>
      <w:bookmarkStart w:id="342" w:name="_Toc185415869"/>
      <w:r w:rsidRPr="0081146C">
        <w:rPr>
          <w:rStyle w:val="CharSectno"/>
        </w:rPr>
        <w:t>75P</w:t>
      </w:r>
      <w:r w:rsidRPr="0081146C">
        <w:t xml:space="preserve">  Immunity from suit</w:t>
      </w:r>
      <w:bookmarkEnd w:id="342"/>
    </w:p>
    <w:p w14:paraId="22E24C57" w14:textId="77777777" w:rsidR="00D528A0" w:rsidRPr="0081146C" w:rsidRDefault="00D528A0" w:rsidP="00D528A0">
      <w:pPr>
        <w:pStyle w:val="subsection"/>
      </w:pPr>
      <w:r w:rsidRPr="0081146C">
        <w:tab/>
      </w:r>
      <w:r w:rsidRPr="0081146C">
        <w:tab/>
        <w:t>An action, suit or proceeding (whether criminal or civil) does not lie against:</w:t>
      </w:r>
    </w:p>
    <w:p w14:paraId="5E977DB8" w14:textId="77777777" w:rsidR="00D528A0" w:rsidRPr="0081146C" w:rsidRDefault="00D528A0" w:rsidP="00D528A0">
      <w:pPr>
        <w:pStyle w:val="paragraph"/>
      </w:pPr>
      <w:r w:rsidRPr="0081146C">
        <w:tab/>
        <w:t>(a)</w:t>
      </w:r>
      <w:r w:rsidRPr="0081146C">
        <w:tab/>
        <w:t>the Commonwealth; or</w:t>
      </w:r>
    </w:p>
    <w:p w14:paraId="74BEED0F" w14:textId="77777777" w:rsidR="00D528A0" w:rsidRPr="0081146C" w:rsidRDefault="00D528A0" w:rsidP="00D528A0">
      <w:pPr>
        <w:pStyle w:val="paragraph"/>
      </w:pPr>
      <w:r w:rsidRPr="0081146C">
        <w:tab/>
        <w:t>(b)</w:t>
      </w:r>
      <w:r w:rsidRPr="0081146C">
        <w:tab/>
        <w:t>the AUSTRAC CEO; or</w:t>
      </w:r>
    </w:p>
    <w:p w14:paraId="5B9943E5" w14:textId="77777777" w:rsidR="00D528A0" w:rsidRPr="0081146C" w:rsidRDefault="00D528A0" w:rsidP="00D528A0">
      <w:pPr>
        <w:pStyle w:val="paragraph"/>
      </w:pPr>
      <w:r w:rsidRPr="0081146C">
        <w:tab/>
        <w:t>(c)</w:t>
      </w:r>
      <w:r w:rsidRPr="0081146C">
        <w:tab/>
        <w:t>a member of the staff of AUSTRAC;</w:t>
      </w:r>
    </w:p>
    <w:p w14:paraId="21CE9451" w14:textId="77777777" w:rsidR="00D528A0" w:rsidRPr="0081146C" w:rsidRDefault="00D528A0" w:rsidP="00D528A0">
      <w:pPr>
        <w:pStyle w:val="subsection2"/>
      </w:pPr>
      <w:r w:rsidRPr="0081146C">
        <w:t>in relation to the publication of the Remittance Sector Register or a list of a kind mentioned in subsection</w:t>
      </w:r>
      <w:r w:rsidR="004F64A4" w:rsidRPr="0081146C">
        <w:t> </w:t>
      </w:r>
      <w:r w:rsidRPr="0081146C">
        <w:t>75G(3).</w:t>
      </w:r>
    </w:p>
    <w:p w14:paraId="0D1C9F07" w14:textId="77777777" w:rsidR="00D528A0" w:rsidRPr="0081146C" w:rsidRDefault="00D528A0" w:rsidP="00D528A0">
      <w:pPr>
        <w:pStyle w:val="ActHead5"/>
      </w:pPr>
      <w:bookmarkStart w:id="343" w:name="_Toc185415870"/>
      <w:r w:rsidRPr="0081146C">
        <w:rPr>
          <w:rStyle w:val="CharSectno"/>
        </w:rPr>
        <w:t>75Q</w:t>
      </w:r>
      <w:r w:rsidRPr="0081146C">
        <w:t xml:space="preserve">  Steps to be taken by AUSTRAC CEO before making certain reviewable decisions</w:t>
      </w:r>
      <w:bookmarkEnd w:id="343"/>
    </w:p>
    <w:p w14:paraId="1E0D7A7B" w14:textId="77777777" w:rsidR="00D528A0" w:rsidRPr="0081146C" w:rsidRDefault="00D528A0" w:rsidP="00D528A0">
      <w:pPr>
        <w:pStyle w:val="subsection"/>
      </w:pPr>
      <w:r w:rsidRPr="0081146C">
        <w:tab/>
        <w:t>(1)</w:t>
      </w:r>
      <w:r w:rsidRPr="0081146C">
        <w:tab/>
        <w:t xml:space="preserve">Before making a </w:t>
      </w:r>
      <w:r w:rsidR="00586132" w:rsidRPr="0081146C">
        <w:t>reviewable decision under section</w:t>
      </w:r>
      <w:r w:rsidR="004F64A4" w:rsidRPr="0081146C">
        <w:t> </w:t>
      </w:r>
      <w:r w:rsidR="00586132" w:rsidRPr="0081146C">
        <w:t>75C, 75E or 75G in relation to one or more persons</w:t>
      </w:r>
      <w:r w:rsidRPr="0081146C">
        <w:t xml:space="preserve">, the AUSTRAC CEO must give a written notice to </w:t>
      </w:r>
      <w:r w:rsidR="00586132" w:rsidRPr="0081146C">
        <w:t>each of the persons</w:t>
      </w:r>
      <w:r w:rsidRPr="0081146C">
        <w:t xml:space="preserve"> containing:</w:t>
      </w:r>
    </w:p>
    <w:p w14:paraId="0620773C" w14:textId="77777777" w:rsidR="00D528A0" w:rsidRPr="0081146C" w:rsidRDefault="00D528A0" w:rsidP="00D528A0">
      <w:pPr>
        <w:pStyle w:val="paragraph"/>
      </w:pPr>
      <w:r w:rsidRPr="0081146C">
        <w:tab/>
        <w:t>(a)</w:t>
      </w:r>
      <w:r w:rsidRPr="0081146C">
        <w:tab/>
        <w:t>the terms of the proposed decision; and</w:t>
      </w:r>
    </w:p>
    <w:p w14:paraId="268AF544" w14:textId="77777777" w:rsidR="00D528A0" w:rsidRPr="0081146C" w:rsidRDefault="00D528A0" w:rsidP="00D528A0">
      <w:pPr>
        <w:pStyle w:val="paragraph"/>
      </w:pPr>
      <w:r w:rsidRPr="0081146C">
        <w:tab/>
        <w:t>(b)</w:t>
      </w:r>
      <w:r w:rsidRPr="0081146C">
        <w:tab/>
        <w:t>if the proposed decision is to cancel a registration—the date on which the cancellation is proposed to take effect; and</w:t>
      </w:r>
    </w:p>
    <w:p w14:paraId="3BEFFB95" w14:textId="77777777" w:rsidR="00D528A0" w:rsidRPr="0081146C" w:rsidRDefault="00D528A0" w:rsidP="00D528A0">
      <w:pPr>
        <w:pStyle w:val="paragraph"/>
      </w:pPr>
      <w:r w:rsidRPr="0081146C">
        <w:tab/>
        <w:t>(c)</w:t>
      </w:r>
      <w:r w:rsidRPr="0081146C">
        <w:tab/>
        <w:t>the reasons for the proposed decision; and</w:t>
      </w:r>
    </w:p>
    <w:p w14:paraId="009360B8" w14:textId="77777777" w:rsidR="00D528A0" w:rsidRPr="0081146C" w:rsidRDefault="00D528A0" w:rsidP="00D528A0">
      <w:pPr>
        <w:pStyle w:val="paragraph"/>
      </w:pPr>
      <w:r w:rsidRPr="0081146C">
        <w:tab/>
        <w:t>(d)</w:t>
      </w:r>
      <w:r w:rsidRPr="0081146C">
        <w:tab/>
        <w:t>a statement that the person may, within 28 days of the giving of the notice, make a submission under this section in relation to the proposed decision.</w:t>
      </w:r>
    </w:p>
    <w:p w14:paraId="30F2214D" w14:textId="77777777" w:rsidR="00586132" w:rsidRPr="0081146C" w:rsidRDefault="00586132" w:rsidP="00586132">
      <w:pPr>
        <w:pStyle w:val="notetext"/>
      </w:pPr>
      <w:r w:rsidRPr="0081146C">
        <w:t>Note:</w:t>
      </w:r>
      <w:r w:rsidRPr="0081146C">
        <w:tab/>
        <w:t>An example of a reviewable decision relating to 2 persons is a decision refusing to register a person as a remittance affiliate of a registered remittance network provider, if the provider applied under subsection</w:t>
      </w:r>
      <w:r w:rsidR="004F64A4" w:rsidRPr="0081146C">
        <w:t> </w:t>
      </w:r>
      <w:r w:rsidRPr="0081146C">
        <w:t>75B(2) for that person to be so registered.</w:t>
      </w:r>
    </w:p>
    <w:p w14:paraId="53F45220" w14:textId="77777777" w:rsidR="00D528A0" w:rsidRPr="0081146C" w:rsidRDefault="00D528A0" w:rsidP="00D528A0">
      <w:pPr>
        <w:pStyle w:val="subsection"/>
      </w:pPr>
      <w:r w:rsidRPr="0081146C">
        <w:tab/>
        <w:t>(2)</w:t>
      </w:r>
      <w:r w:rsidRPr="0081146C">
        <w:tab/>
        <w:t>The AUSTRAC CEO is not required to give a notice under this section if the AUSTRAC CEO is satisfied that it is inappropriate to do so because of the urgency of the circumstances.</w:t>
      </w:r>
    </w:p>
    <w:p w14:paraId="5EFF8215" w14:textId="77777777" w:rsidR="00D528A0" w:rsidRPr="0081146C" w:rsidRDefault="00CA78AA" w:rsidP="00AE2DA2">
      <w:pPr>
        <w:pStyle w:val="ActHead3"/>
        <w:pageBreakBefore/>
      </w:pPr>
      <w:bookmarkStart w:id="344" w:name="_Toc185415871"/>
      <w:r w:rsidRPr="0081146C">
        <w:rPr>
          <w:rStyle w:val="CharDivNo"/>
        </w:rPr>
        <w:t>Division 5</w:t>
      </w:r>
      <w:r w:rsidR="00D528A0" w:rsidRPr="0081146C">
        <w:t>—</w:t>
      </w:r>
      <w:r w:rsidR="00D528A0" w:rsidRPr="0081146C">
        <w:rPr>
          <w:rStyle w:val="CharDivText"/>
        </w:rPr>
        <w:t>Basis of registration</w:t>
      </w:r>
      <w:bookmarkEnd w:id="344"/>
    </w:p>
    <w:p w14:paraId="0B2E49BB" w14:textId="77777777" w:rsidR="00D528A0" w:rsidRPr="0081146C" w:rsidRDefault="00D528A0" w:rsidP="00D528A0">
      <w:pPr>
        <w:pStyle w:val="ActHead5"/>
      </w:pPr>
      <w:bookmarkStart w:id="345" w:name="_Toc185415872"/>
      <w:r w:rsidRPr="0081146C">
        <w:rPr>
          <w:rStyle w:val="CharSectno"/>
        </w:rPr>
        <w:t>75T</w:t>
      </w:r>
      <w:r w:rsidRPr="0081146C">
        <w:t xml:space="preserve">  Basis of registration</w:t>
      </w:r>
      <w:bookmarkEnd w:id="345"/>
    </w:p>
    <w:p w14:paraId="09CF4635" w14:textId="77777777" w:rsidR="00D528A0" w:rsidRPr="0081146C" w:rsidRDefault="00D528A0" w:rsidP="00D528A0">
      <w:pPr>
        <w:pStyle w:val="subsection"/>
      </w:pPr>
      <w:r w:rsidRPr="0081146C">
        <w:tab/>
      </w:r>
      <w:r w:rsidRPr="0081146C">
        <w:tab/>
        <w:t xml:space="preserve">Registration under this </w:t>
      </w:r>
      <w:r w:rsidR="00753679" w:rsidRPr="0081146C">
        <w:t>Part i</w:t>
      </w:r>
      <w:r w:rsidRPr="0081146C">
        <w:t>s on the basis that:</w:t>
      </w:r>
    </w:p>
    <w:p w14:paraId="6FC5065D" w14:textId="77777777" w:rsidR="00D528A0" w:rsidRPr="0081146C" w:rsidRDefault="00D528A0" w:rsidP="00D528A0">
      <w:pPr>
        <w:pStyle w:val="paragraph"/>
      </w:pPr>
      <w:r w:rsidRPr="0081146C">
        <w:tab/>
        <w:t>(a)</w:t>
      </w:r>
      <w:r w:rsidRPr="0081146C">
        <w:tab/>
        <w:t>the registration may cease as mentioned in section</w:t>
      </w:r>
      <w:r w:rsidR="004F64A4" w:rsidRPr="0081146C">
        <w:t> </w:t>
      </w:r>
      <w:r w:rsidRPr="0081146C">
        <w:t>75F; and</w:t>
      </w:r>
    </w:p>
    <w:p w14:paraId="749216F1" w14:textId="77777777" w:rsidR="00D528A0" w:rsidRPr="0081146C" w:rsidRDefault="00D528A0" w:rsidP="00D528A0">
      <w:pPr>
        <w:pStyle w:val="paragraph"/>
      </w:pPr>
      <w:r w:rsidRPr="0081146C">
        <w:tab/>
        <w:t>(b)</w:t>
      </w:r>
      <w:r w:rsidRPr="0081146C">
        <w:tab/>
        <w:t>the registration may be suspended as mentioned in section</w:t>
      </w:r>
      <w:r w:rsidR="004F64A4" w:rsidRPr="0081146C">
        <w:t> </w:t>
      </w:r>
      <w:r w:rsidRPr="0081146C">
        <w:t>75H; and</w:t>
      </w:r>
    </w:p>
    <w:p w14:paraId="238710D1" w14:textId="77777777" w:rsidR="00D528A0" w:rsidRPr="0081146C" w:rsidRDefault="00D528A0" w:rsidP="00D528A0">
      <w:pPr>
        <w:pStyle w:val="paragraph"/>
      </w:pPr>
      <w:r w:rsidRPr="0081146C">
        <w:tab/>
        <w:t>(c)</w:t>
      </w:r>
      <w:r w:rsidRPr="0081146C">
        <w:tab/>
        <w:t>the registration may be made subject to conditions as mentioned in section</w:t>
      </w:r>
      <w:r w:rsidR="004F64A4" w:rsidRPr="0081146C">
        <w:t> </w:t>
      </w:r>
      <w:r w:rsidRPr="0081146C">
        <w:t>75E; and</w:t>
      </w:r>
    </w:p>
    <w:p w14:paraId="0F9CDFBF" w14:textId="77777777" w:rsidR="00D528A0" w:rsidRPr="0081146C" w:rsidRDefault="00D528A0" w:rsidP="00D528A0">
      <w:pPr>
        <w:pStyle w:val="paragraph"/>
      </w:pPr>
      <w:r w:rsidRPr="0081146C">
        <w:tab/>
        <w:t>(d)</w:t>
      </w:r>
      <w:r w:rsidRPr="0081146C">
        <w:tab/>
        <w:t>the registration may cease, be suspended or be made subject to conditions by or under later legislation; and</w:t>
      </w:r>
    </w:p>
    <w:p w14:paraId="1040503F" w14:textId="77777777" w:rsidR="00D528A0" w:rsidRPr="0081146C" w:rsidRDefault="00D528A0" w:rsidP="00D528A0">
      <w:pPr>
        <w:pStyle w:val="paragraph"/>
      </w:pPr>
      <w:r w:rsidRPr="0081146C">
        <w:tab/>
        <w:t>(e)</w:t>
      </w:r>
      <w:r w:rsidRPr="0081146C">
        <w:tab/>
        <w:t>no compensation is payable if the registration ceases, is suspended or made subject to conditions as mentioned in any of the above paragraphs.</w:t>
      </w:r>
    </w:p>
    <w:p w14:paraId="0E533AA9" w14:textId="25873BCB" w:rsidR="0049002F" w:rsidRPr="0081146C" w:rsidRDefault="0049002F" w:rsidP="00AF6E02">
      <w:pPr>
        <w:pStyle w:val="ActHead2"/>
        <w:pageBreakBefore/>
      </w:pPr>
      <w:bookmarkStart w:id="346" w:name="_Toc185415873"/>
      <w:r w:rsidRPr="0081146C">
        <w:rPr>
          <w:rStyle w:val="CharPartNo"/>
        </w:rPr>
        <w:t>Part</w:t>
      </w:r>
      <w:r w:rsidR="004F64A4" w:rsidRPr="0081146C">
        <w:rPr>
          <w:rStyle w:val="CharPartNo"/>
        </w:rPr>
        <w:t> </w:t>
      </w:r>
      <w:r w:rsidRPr="0081146C">
        <w:rPr>
          <w:rStyle w:val="CharPartNo"/>
        </w:rPr>
        <w:t>6A</w:t>
      </w:r>
      <w:r w:rsidRPr="0081146C">
        <w:t>—</w:t>
      </w:r>
      <w:r w:rsidRPr="0081146C">
        <w:rPr>
          <w:rStyle w:val="CharPartText"/>
        </w:rPr>
        <w:t xml:space="preserve">The </w:t>
      </w:r>
      <w:r w:rsidR="00610C10" w:rsidRPr="0081146C">
        <w:t>Virtual Asset Service Provider</w:t>
      </w:r>
      <w:r w:rsidRPr="0081146C">
        <w:rPr>
          <w:rStyle w:val="CharPartText"/>
        </w:rPr>
        <w:t xml:space="preserve"> Register</w:t>
      </w:r>
      <w:bookmarkEnd w:id="346"/>
    </w:p>
    <w:p w14:paraId="29FE1A98" w14:textId="77777777" w:rsidR="0049002F" w:rsidRPr="0081146C" w:rsidRDefault="00CA78AA" w:rsidP="0049002F">
      <w:pPr>
        <w:pStyle w:val="ActHead3"/>
      </w:pPr>
      <w:bookmarkStart w:id="347" w:name="_Toc185415874"/>
      <w:r w:rsidRPr="0081146C">
        <w:rPr>
          <w:rStyle w:val="CharDivNo"/>
        </w:rPr>
        <w:t>Division 1</w:t>
      </w:r>
      <w:r w:rsidR="0049002F" w:rsidRPr="0081146C">
        <w:t>—</w:t>
      </w:r>
      <w:r w:rsidR="0049002F" w:rsidRPr="0081146C">
        <w:rPr>
          <w:rStyle w:val="CharDivText"/>
        </w:rPr>
        <w:t>Simplified outline</w:t>
      </w:r>
      <w:bookmarkEnd w:id="347"/>
    </w:p>
    <w:p w14:paraId="144F11B6" w14:textId="77777777" w:rsidR="0049002F" w:rsidRPr="0081146C" w:rsidRDefault="0049002F" w:rsidP="0049002F">
      <w:pPr>
        <w:pStyle w:val="ActHead5"/>
      </w:pPr>
      <w:bookmarkStart w:id="348" w:name="_Toc185415875"/>
      <w:r w:rsidRPr="0081146C">
        <w:rPr>
          <w:rStyle w:val="CharSectno"/>
        </w:rPr>
        <w:t>76</w:t>
      </w:r>
      <w:r w:rsidRPr="0081146C">
        <w:t xml:space="preserve">  Simplified outline</w:t>
      </w:r>
      <w:bookmarkEnd w:id="348"/>
    </w:p>
    <w:p w14:paraId="38673A73" w14:textId="77777777" w:rsidR="0049002F" w:rsidRPr="0081146C" w:rsidRDefault="0049002F" w:rsidP="0049002F">
      <w:pPr>
        <w:pStyle w:val="subsection"/>
      </w:pPr>
      <w:r w:rsidRPr="0081146C">
        <w:tab/>
      </w:r>
      <w:r w:rsidRPr="0081146C">
        <w:tab/>
        <w:t>The following is a simplified outline of this Part:</w:t>
      </w:r>
    </w:p>
    <w:p w14:paraId="6B3A249E" w14:textId="3792D69A" w:rsidR="0049002F" w:rsidRPr="0081146C" w:rsidRDefault="0049002F" w:rsidP="0049002F">
      <w:pPr>
        <w:pStyle w:val="BoxList"/>
      </w:pPr>
      <w:r w:rsidRPr="0081146C">
        <w:t>•</w:t>
      </w:r>
      <w:r w:rsidRPr="0081146C">
        <w:tab/>
        <w:t xml:space="preserve">This Part provides for a system of registration for providers of </w:t>
      </w:r>
      <w:r w:rsidR="00610C10" w:rsidRPr="0081146C">
        <w:t>virtual asset</w:t>
      </w:r>
      <w:r w:rsidRPr="0081146C">
        <w:t xml:space="preserve"> services.</w:t>
      </w:r>
    </w:p>
    <w:p w14:paraId="309BAF3F" w14:textId="0751594A" w:rsidR="0049002F" w:rsidRPr="0081146C" w:rsidRDefault="0049002F" w:rsidP="0049002F">
      <w:pPr>
        <w:pStyle w:val="BoxList"/>
      </w:pPr>
      <w:r w:rsidRPr="0081146C">
        <w:t>•</w:t>
      </w:r>
      <w:r w:rsidRPr="0081146C">
        <w:tab/>
      </w:r>
      <w:r w:rsidR="00CA78AA" w:rsidRPr="0081146C">
        <w:t>Division 2</w:t>
      </w:r>
      <w:r w:rsidRPr="0081146C">
        <w:t xml:space="preserve"> sets out offences and civil penalties in relation to the provision of registrable </w:t>
      </w:r>
      <w:r w:rsidR="00610C10" w:rsidRPr="0081146C">
        <w:t>virtual asset</w:t>
      </w:r>
      <w:r w:rsidRPr="0081146C">
        <w:t xml:space="preserve"> services by persons who are not registered.</w:t>
      </w:r>
    </w:p>
    <w:p w14:paraId="5F9EC273" w14:textId="32E1D970" w:rsidR="0049002F" w:rsidRPr="0081146C" w:rsidRDefault="0049002F" w:rsidP="0049002F">
      <w:pPr>
        <w:pStyle w:val="BoxList"/>
      </w:pPr>
      <w:r w:rsidRPr="0081146C">
        <w:t>•</w:t>
      </w:r>
      <w:r w:rsidRPr="0081146C">
        <w:tab/>
      </w:r>
      <w:r w:rsidR="00CA78AA" w:rsidRPr="0081146C">
        <w:t>Division 3</w:t>
      </w:r>
      <w:r w:rsidRPr="0081146C">
        <w:t xml:space="preserve"> requires the AUSTRAC CEO to maintain the </w:t>
      </w:r>
      <w:bookmarkStart w:id="349" w:name="_Hlk172194338"/>
      <w:r w:rsidR="00610C10" w:rsidRPr="0081146C">
        <w:t>Virtual Asset Service Provider</w:t>
      </w:r>
      <w:bookmarkEnd w:id="349"/>
      <w:r w:rsidR="00610C10" w:rsidRPr="0081146C">
        <w:t xml:space="preserve"> </w:t>
      </w:r>
      <w:r w:rsidRPr="0081146C">
        <w:t>Register and sets out the process of applying for registration.</w:t>
      </w:r>
    </w:p>
    <w:p w14:paraId="6896A951" w14:textId="581C4180" w:rsidR="0049002F" w:rsidRPr="0081146C" w:rsidRDefault="00CA78AA" w:rsidP="00AF6E02">
      <w:pPr>
        <w:pStyle w:val="ActHead3"/>
        <w:pageBreakBefore/>
      </w:pPr>
      <w:bookmarkStart w:id="350" w:name="_Toc185415876"/>
      <w:r w:rsidRPr="0081146C">
        <w:rPr>
          <w:rStyle w:val="CharDivNo"/>
        </w:rPr>
        <w:t>Division 2</w:t>
      </w:r>
      <w:r w:rsidR="0049002F" w:rsidRPr="0081146C">
        <w:t>—</w:t>
      </w:r>
      <w:r w:rsidR="0049002F" w:rsidRPr="0081146C">
        <w:rPr>
          <w:rStyle w:val="CharDivText"/>
        </w:rPr>
        <w:t xml:space="preserve">Restrictions on providing </w:t>
      </w:r>
      <w:bookmarkStart w:id="351" w:name="_Hlk172194339"/>
      <w:r w:rsidR="00610C10" w:rsidRPr="0081146C">
        <w:t>virtual asset</w:t>
      </w:r>
      <w:bookmarkEnd w:id="351"/>
      <w:r w:rsidR="0049002F" w:rsidRPr="0081146C">
        <w:rPr>
          <w:rStyle w:val="CharDivText"/>
        </w:rPr>
        <w:t xml:space="preserve"> services</w:t>
      </w:r>
      <w:bookmarkEnd w:id="350"/>
    </w:p>
    <w:p w14:paraId="76EA65B5" w14:textId="7278B4E2" w:rsidR="0049002F" w:rsidRPr="0081146C" w:rsidRDefault="0049002F" w:rsidP="0049002F">
      <w:pPr>
        <w:pStyle w:val="ActHead5"/>
      </w:pPr>
      <w:bookmarkStart w:id="352" w:name="_Toc185415877"/>
      <w:r w:rsidRPr="0081146C">
        <w:rPr>
          <w:rStyle w:val="CharSectno"/>
        </w:rPr>
        <w:t>76A</w:t>
      </w:r>
      <w:r w:rsidRPr="0081146C">
        <w:t xml:space="preserve">  Unregistered persons must not provide certain </w:t>
      </w:r>
      <w:bookmarkStart w:id="353" w:name="_Hlk172194340"/>
      <w:r w:rsidR="00610C10" w:rsidRPr="0081146C">
        <w:t>virtual asset</w:t>
      </w:r>
      <w:bookmarkEnd w:id="353"/>
      <w:r w:rsidR="00610C10" w:rsidRPr="0081146C" w:rsidDel="00610C10">
        <w:t xml:space="preserve"> </w:t>
      </w:r>
      <w:r w:rsidRPr="0081146C">
        <w:t>services</w:t>
      </w:r>
      <w:bookmarkEnd w:id="352"/>
    </w:p>
    <w:p w14:paraId="00F45949" w14:textId="77777777" w:rsidR="00610C10" w:rsidRPr="0081146C" w:rsidRDefault="00610C10" w:rsidP="00610C10">
      <w:pPr>
        <w:pStyle w:val="SubsectionHead"/>
      </w:pPr>
      <w:r w:rsidRPr="0081146C">
        <w:t>Registrable virtual asset services</w:t>
      </w:r>
    </w:p>
    <w:p w14:paraId="391200DD" w14:textId="77777777" w:rsidR="00610C10" w:rsidRPr="0081146C" w:rsidRDefault="00610C10" w:rsidP="00610C10">
      <w:pPr>
        <w:pStyle w:val="subsection"/>
      </w:pPr>
      <w:r w:rsidRPr="0081146C">
        <w:tab/>
        <w:t>(1)</w:t>
      </w:r>
      <w:r w:rsidRPr="0081146C">
        <w:tab/>
        <w:t xml:space="preserve">A person (the </w:t>
      </w:r>
      <w:r w:rsidRPr="0081146C">
        <w:rPr>
          <w:b/>
          <w:i/>
        </w:rPr>
        <w:t>first person</w:t>
      </w:r>
      <w:r w:rsidRPr="0081146C">
        <w:t>) must not provide a registrable virtual asset service to another person if the first person is not a registered virtual asset service provider.</w:t>
      </w:r>
    </w:p>
    <w:p w14:paraId="0B48B042" w14:textId="77777777" w:rsidR="0049002F" w:rsidRPr="0081146C" w:rsidRDefault="0049002F" w:rsidP="0049002F">
      <w:pPr>
        <w:pStyle w:val="SubsectionHead"/>
      </w:pPr>
      <w:r w:rsidRPr="0081146C">
        <w:t>Breach of conditions</w:t>
      </w:r>
    </w:p>
    <w:p w14:paraId="7E9E972F" w14:textId="6E3AD391" w:rsidR="0049002F" w:rsidRPr="0081146C" w:rsidRDefault="0049002F" w:rsidP="0049002F">
      <w:pPr>
        <w:pStyle w:val="subsection"/>
      </w:pPr>
      <w:r w:rsidRPr="0081146C">
        <w:tab/>
        <w:t>(2)</w:t>
      </w:r>
      <w:r w:rsidRPr="0081146C">
        <w:tab/>
        <w:t xml:space="preserve">A person must not breach a condition to which the registration of the person as a </w:t>
      </w:r>
      <w:r w:rsidR="00610C10" w:rsidRPr="0081146C">
        <w:t>virtual asset service</w:t>
      </w:r>
      <w:r w:rsidR="00610C10" w:rsidRPr="0081146C" w:rsidDel="00610C10">
        <w:t xml:space="preserve"> </w:t>
      </w:r>
      <w:r w:rsidRPr="0081146C">
        <w:t>provider is subject.</w:t>
      </w:r>
    </w:p>
    <w:p w14:paraId="251AE3A8" w14:textId="77777777" w:rsidR="0049002F" w:rsidRPr="0081146C" w:rsidRDefault="0049002F" w:rsidP="0049002F">
      <w:pPr>
        <w:pStyle w:val="SubsectionHead"/>
      </w:pPr>
      <w:r w:rsidRPr="0081146C">
        <w:t>Offences</w:t>
      </w:r>
    </w:p>
    <w:p w14:paraId="139C67FF" w14:textId="77777777" w:rsidR="0049002F" w:rsidRPr="0081146C" w:rsidRDefault="0049002F" w:rsidP="0049002F">
      <w:pPr>
        <w:pStyle w:val="subsection"/>
      </w:pPr>
      <w:r w:rsidRPr="0081146C">
        <w:tab/>
        <w:t>(3)</w:t>
      </w:r>
      <w:r w:rsidRPr="0081146C">
        <w:tab/>
        <w:t>A person commits an offence if:</w:t>
      </w:r>
    </w:p>
    <w:p w14:paraId="724E4B72" w14:textId="77777777" w:rsidR="0049002F" w:rsidRPr="0081146C" w:rsidRDefault="0049002F" w:rsidP="0049002F">
      <w:pPr>
        <w:pStyle w:val="paragraph"/>
      </w:pPr>
      <w:r w:rsidRPr="0081146C">
        <w:tab/>
        <w:t>(a)</w:t>
      </w:r>
      <w:r w:rsidRPr="0081146C">
        <w:tab/>
        <w:t xml:space="preserve">the person is subject to a requirement under </w:t>
      </w:r>
      <w:r w:rsidR="004F64A4" w:rsidRPr="0081146C">
        <w:t>subsection (</w:t>
      </w:r>
      <w:r w:rsidRPr="0081146C">
        <w:t>1) or (2); and</w:t>
      </w:r>
    </w:p>
    <w:p w14:paraId="40B13BE4" w14:textId="77777777" w:rsidR="0049002F" w:rsidRPr="0081146C" w:rsidRDefault="0049002F" w:rsidP="0049002F">
      <w:pPr>
        <w:pStyle w:val="paragraph"/>
      </w:pPr>
      <w:r w:rsidRPr="0081146C">
        <w:tab/>
        <w:t>(b)</w:t>
      </w:r>
      <w:r w:rsidRPr="0081146C">
        <w:tab/>
        <w:t>the person engages in conduct; and</w:t>
      </w:r>
    </w:p>
    <w:p w14:paraId="6A536DD2" w14:textId="77777777" w:rsidR="0049002F" w:rsidRPr="0081146C" w:rsidRDefault="0049002F" w:rsidP="0049002F">
      <w:pPr>
        <w:pStyle w:val="paragraph"/>
      </w:pPr>
      <w:r w:rsidRPr="0081146C">
        <w:tab/>
        <w:t>(c)</w:t>
      </w:r>
      <w:r w:rsidRPr="0081146C">
        <w:tab/>
        <w:t>the person’s conduct breaches the requirement.</w:t>
      </w:r>
    </w:p>
    <w:p w14:paraId="1DA902E2" w14:textId="77777777" w:rsidR="0049002F" w:rsidRPr="0081146C" w:rsidRDefault="0049002F" w:rsidP="0049002F">
      <w:pPr>
        <w:pStyle w:val="Penalty"/>
      </w:pPr>
      <w:r w:rsidRPr="0081146C">
        <w:t>Penalty:</w:t>
      </w:r>
      <w:r w:rsidRPr="0081146C">
        <w:tab/>
        <w:t>Imprisonment for 2 years or 500 penalty units, or both.</w:t>
      </w:r>
    </w:p>
    <w:p w14:paraId="77E059A9" w14:textId="77777777" w:rsidR="0049002F" w:rsidRPr="0081146C" w:rsidRDefault="0049002F" w:rsidP="0049002F">
      <w:pPr>
        <w:pStyle w:val="subsection"/>
      </w:pPr>
      <w:r w:rsidRPr="0081146C">
        <w:tab/>
        <w:t>(4)</w:t>
      </w:r>
      <w:r w:rsidRPr="0081146C">
        <w:tab/>
        <w:t xml:space="preserve">Strict liability applies to </w:t>
      </w:r>
      <w:r w:rsidR="004F64A4" w:rsidRPr="0081146C">
        <w:t>paragraphs (</w:t>
      </w:r>
      <w:r w:rsidRPr="0081146C">
        <w:t>3)(b) and (c).</w:t>
      </w:r>
    </w:p>
    <w:p w14:paraId="74DCA61F" w14:textId="77777777" w:rsidR="0049002F" w:rsidRPr="0081146C" w:rsidRDefault="0049002F" w:rsidP="0049002F">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4FDDEBAC" w14:textId="77777777" w:rsidR="0049002F" w:rsidRPr="0081146C" w:rsidRDefault="0049002F" w:rsidP="0049002F">
      <w:pPr>
        <w:pStyle w:val="subsection"/>
      </w:pPr>
      <w:r w:rsidRPr="0081146C">
        <w:tab/>
        <w:t>(5)</w:t>
      </w:r>
      <w:r w:rsidRPr="0081146C">
        <w:tab/>
        <w:t>A person commits an offence if:</w:t>
      </w:r>
    </w:p>
    <w:p w14:paraId="0FA6FB6E" w14:textId="77777777" w:rsidR="0049002F" w:rsidRPr="0081146C" w:rsidRDefault="0049002F" w:rsidP="0049002F">
      <w:pPr>
        <w:pStyle w:val="paragraph"/>
      </w:pPr>
      <w:r w:rsidRPr="0081146C">
        <w:tab/>
        <w:t>(a)</w:t>
      </w:r>
      <w:r w:rsidRPr="0081146C">
        <w:tab/>
        <w:t xml:space="preserve">the person is subject to a requirement under </w:t>
      </w:r>
      <w:r w:rsidR="004F64A4" w:rsidRPr="0081146C">
        <w:t>subsection (</w:t>
      </w:r>
      <w:r w:rsidRPr="0081146C">
        <w:t>1) or (2); and</w:t>
      </w:r>
    </w:p>
    <w:p w14:paraId="14086B8D" w14:textId="77777777" w:rsidR="0049002F" w:rsidRPr="0081146C" w:rsidRDefault="0049002F" w:rsidP="0049002F">
      <w:pPr>
        <w:pStyle w:val="paragraph"/>
        <w:keepNext/>
        <w:keepLines/>
      </w:pPr>
      <w:r w:rsidRPr="0081146C">
        <w:tab/>
        <w:t>(b)</w:t>
      </w:r>
      <w:r w:rsidRPr="0081146C">
        <w:tab/>
        <w:t>the person engages in conduct; and</w:t>
      </w:r>
    </w:p>
    <w:p w14:paraId="2212C9BB" w14:textId="77777777" w:rsidR="0049002F" w:rsidRPr="0081146C" w:rsidRDefault="0049002F" w:rsidP="0049002F">
      <w:pPr>
        <w:pStyle w:val="paragraph"/>
      </w:pPr>
      <w:r w:rsidRPr="0081146C">
        <w:tab/>
        <w:t>(c)</w:t>
      </w:r>
      <w:r w:rsidRPr="0081146C">
        <w:tab/>
        <w:t>the person’s conduct breaches the requirement; and</w:t>
      </w:r>
    </w:p>
    <w:p w14:paraId="45D1C5AD" w14:textId="77777777" w:rsidR="0049002F" w:rsidRPr="0081146C" w:rsidRDefault="0049002F" w:rsidP="0049002F">
      <w:pPr>
        <w:pStyle w:val="paragraph"/>
      </w:pPr>
      <w:r w:rsidRPr="0081146C">
        <w:tab/>
        <w:t>(d)</w:t>
      </w:r>
      <w:r w:rsidRPr="0081146C">
        <w:tab/>
        <w:t>the AUSTRAC CEO previously:</w:t>
      </w:r>
    </w:p>
    <w:p w14:paraId="1B996746" w14:textId="77777777" w:rsidR="0049002F" w:rsidRPr="0081146C" w:rsidRDefault="0049002F" w:rsidP="0049002F">
      <w:pPr>
        <w:pStyle w:val="paragraphsub"/>
      </w:pPr>
      <w:r w:rsidRPr="0081146C">
        <w:tab/>
        <w:t>(i)</w:t>
      </w:r>
      <w:r w:rsidRPr="0081146C">
        <w:tab/>
        <w:t>gave the person a direction under sub</w:t>
      </w:r>
      <w:r w:rsidR="003B7E15" w:rsidRPr="0081146C">
        <w:t>section 1</w:t>
      </w:r>
      <w:r w:rsidRPr="0081146C">
        <w:t xml:space="preserve">91(2) in relation to </w:t>
      </w:r>
      <w:r w:rsidR="004F64A4" w:rsidRPr="0081146C">
        <w:t>subsection (</w:t>
      </w:r>
      <w:r w:rsidRPr="0081146C">
        <w:t>1) or (2) of this section; or</w:t>
      </w:r>
    </w:p>
    <w:p w14:paraId="671BB1B5" w14:textId="77777777" w:rsidR="0049002F" w:rsidRPr="0081146C" w:rsidRDefault="0049002F" w:rsidP="0049002F">
      <w:pPr>
        <w:pStyle w:val="paragraphsub"/>
      </w:pPr>
      <w:r w:rsidRPr="0081146C">
        <w:tab/>
        <w:t>(ii)</w:t>
      </w:r>
      <w:r w:rsidRPr="0081146C">
        <w:tab/>
        <w:t xml:space="preserve">accepted an undertaking given by the person under </w:t>
      </w:r>
      <w:r w:rsidR="003B7E15" w:rsidRPr="0081146C">
        <w:t>section 1</w:t>
      </w:r>
      <w:r w:rsidRPr="0081146C">
        <w:t xml:space="preserve">97 in relation to </w:t>
      </w:r>
      <w:r w:rsidR="004F64A4" w:rsidRPr="0081146C">
        <w:t>subsection (</w:t>
      </w:r>
      <w:r w:rsidRPr="0081146C">
        <w:t>1) or (2) of this section; and</w:t>
      </w:r>
    </w:p>
    <w:p w14:paraId="2C7D5F52" w14:textId="77777777" w:rsidR="0049002F" w:rsidRPr="0081146C" w:rsidRDefault="0049002F" w:rsidP="0049002F">
      <w:pPr>
        <w:pStyle w:val="paragraph"/>
      </w:pPr>
      <w:r w:rsidRPr="0081146C">
        <w:tab/>
        <w:t>(e)</w:t>
      </w:r>
      <w:r w:rsidRPr="0081146C">
        <w:tab/>
        <w:t>that was the only occasion on which the AUSTRAC CEO previously gave such a direction to, or accepted such an undertaking from, the person.</w:t>
      </w:r>
    </w:p>
    <w:p w14:paraId="60BE9C36" w14:textId="77777777" w:rsidR="0049002F" w:rsidRPr="0081146C" w:rsidRDefault="0049002F" w:rsidP="0049002F">
      <w:pPr>
        <w:pStyle w:val="Penalty"/>
      </w:pPr>
      <w:r w:rsidRPr="0081146C">
        <w:t>Penalty:</w:t>
      </w:r>
      <w:r w:rsidRPr="0081146C">
        <w:tab/>
        <w:t>Imprisonment for 4 years or 1,000 penalty units, or both.</w:t>
      </w:r>
    </w:p>
    <w:p w14:paraId="0B7BB224" w14:textId="77777777" w:rsidR="0049002F" w:rsidRPr="0081146C" w:rsidRDefault="0049002F" w:rsidP="0049002F">
      <w:pPr>
        <w:pStyle w:val="subsection"/>
      </w:pPr>
      <w:r w:rsidRPr="0081146C">
        <w:tab/>
        <w:t>(6)</w:t>
      </w:r>
      <w:r w:rsidRPr="0081146C">
        <w:tab/>
        <w:t xml:space="preserve">Strict liability applies to </w:t>
      </w:r>
      <w:r w:rsidR="004F64A4" w:rsidRPr="0081146C">
        <w:t>paragraphs (</w:t>
      </w:r>
      <w:r w:rsidRPr="0081146C">
        <w:t>5)(b) and (c).</w:t>
      </w:r>
    </w:p>
    <w:p w14:paraId="236DBF7C" w14:textId="77777777" w:rsidR="0049002F" w:rsidRPr="0081146C" w:rsidRDefault="0049002F" w:rsidP="0049002F">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4457B88F" w14:textId="77777777" w:rsidR="0049002F" w:rsidRPr="0081146C" w:rsidRDefault="0049002F" w:rsidP="0049002F">
      <w:pPr>
        <w:pStyle w:val="subsection"/>
      </w:pPr>
      <w:r w:rsidRPr="0081146C">
        <w:tab/>
        <w:t>(7)</w:t>
      </w:r>
      <w:r w:rsidRPr="0081146C">
        <w:tab/>
        <w:t>A person commits an offence if:</w:t>
      </w:r>
    </w:p>
    <w:p w14:paraId="74502ED9" w14:textId="77777777" w:rsidR="0049002F" w:rsidRPr="0081146C" w:rsidRDefault="0049002F" w:rsidP="0049002F">
      <w:pPr>
        <w:pStyle w:val="paragraph"/>
      </w:pPr>
      <w:r w:rsidRPr="0081146C">
        <w:tab/>
        <w:t>(a)</w:t>
      </w:r>
      <w:r w:rsidRPr="0081146C">
        <w:tab/>
        <w:t xml:space="preserve">the person is subject to a requirement under </w:t>
      </w:r>
      <w:r w:rsidR="004F64A4" w:rsidRPr="0081146C">
        <w:t>subsection (</w:t>
      </w:r>
      <w:r w:rsidRPr="0081146C">
        <w:t>1) or (2); and</w:t>
      </w:r>
    </w:p>
    <w:p w14:paraId="4322200F" w14:textId="77777777" w:rsidR="0049002F" w:rsidRPr="0081146C" w:rsidRDefault="0049002F" w:rsidP="0049002F">
      <w:pPr>
        <w:pStyle w:val="paragraph"/>
      </w:pPr>
      <w:r w:rsidRPr="0081146C">
        <w:tab/>
        <w:t>(b)</w:t>
      </w:r>
      <w:r w:rsidRPr="0081146C">
        <w:tab/>
        <w:t>the person engages in conduct; and</w:t>
      </w:r>
    </w:p>
    <w:p w14:paraId="0F34C894" w14:textId="77777777" w:rsidR="0049002F" w:rsidRPr="0081146C" w:rsidRDefault="0049002F" w:rsidP="0049002F">
      <w:pPr>
        <w:pStyle w:val="paragraph"/>
      </w:pPr>
      <w:r w:rsidRPr="0081146C">
        <w:tab/>
        <w:t>(c)</w:t>
      </w:r>
      <w:r w:rsidRPr="0081146C">
        <w:tab/>
        <w:t>the person’s conduct breaches the requirement; and</w:t>
      </w:r>
    </w:p>
    <w:p w14:paraId="76FF832B" w14:textId="77777777" w:rsidR="0049002F" w:rsidRPr="0081146C" w:rsidRDefault="0049002F" w:rsidP="0049002F">
      <w:pPr>
        <w:pStyle w:val="paragraph"/>
      </w:pPr>
      <w:r w:rsidRPr="0081146C">
        <w:tab/>
        <w:t>(d)</w:t>
      </w:r>
      <w:r w:rsidRPr="0081146C">
        <w:tab/>
        <w:t>the AUSTRAC CEO previously:</w:t>
      </w:r>
    </w:p>
    <w:p w14:paraId="43580BAC" w14:textId="77777777" w:rsidR="0049002F" w:rsidRPr="0081146C" w:rsidRDefault="0049002F" w:rsidP="0049002F">
      <w:pPr>
        <w:pStyle w:val="paragraphsub"/>
      </w:pPr>
      <w:r w:rsidRPr="0081146C">
        <w:tab/>
        <w:t>(i)</w:t>
      </w:r>
      <w:r w:rsidRPr="0081146C">
        <w:tab/>
        <w:t>gave the person a direction under sub</w:t>
      </w:r>
      <w:r w:rsidR="003B7E15" w:rsidRPr="0081146C">
        <w:t>section 1</w:t>
      </w:r>
      <w:r w:rsidRPr="0081146C">
        <w:t xml:space="preserve">91(2) in relation to </w:t>
      </w:r>
      <w:r w:rsidR="004F64A4" w:rsidRPr="0081146C">
        <w:t>subsection (</w:t>
      </w:r>
      <w:r w:rsidRPr="0081146C">
        <w:t>1) or (2) of this section; or</w:t>
      </w:r>
    </w:p>
    <w:p w14:paraId="23C4937D" w14:textId="77777777" w:rsidR="0049002F" w:rsidRPr="0081146C" w:rsidRDefault="0049002F" w:rsidP="0049002F">
      <w:pPr>
        <w:pStyle w:val="paragraphsub"/>
      </w:pPr>
      <w:r w:rsidRPr="0081146C">
        <w:tab/>
        <w:t>(ii)</w:t>
      </w:r>
      <w:r w:rsidRPr="0081146C">
        <w:tab/>
        <w:t xml:space="preserve">accepted an undertaking given by the person under </w:t>
      </w:r>
      <w:r w:rsidR="003B7E15" w:rsidRPr="0081146C">
        <w:t>section 1</w:t>
      </w:r>
      <w:r w:rsidRPr="0081146C">
        <w:t xml:space="preserve">97 in relation to </w:t>
      </w:r>
      <w:r w:rsidR="004F64A4" w:rsidRPr="0081146C">
        <w:t>subsection (</w:t>
      </w:r>
      <w:r w:rsidRPr="0081146C">
        <w:t>1) or (2) of this section; and</w:t>
      </w:r>
    </w:p>
    <w:p w14:paraId="475AD942" w14:textId="77777777" w:rsidR="0049002F" w:rsidRPr="0081146C" w:rsidRDefault="0049002F" w:rsidP="0049002F">
      <w:pPr>
        <w:pStyle w:val="paragraph"/>
      </w:pPr>
      <w:r w:rsidRPr="0081146C">
        <w:tab/>
        <w:t>(e)</w:t>
      </w:r>
      <w:r w:rsidRPr="0081146C">
        <w:tab/>
        <w:t>that was not the only occasion on which the AUSTRAC CEO previously gave such a direction to, or accepted such an undertaking from, the person.</w:t>
      </w:r>
    </w:p>
    <w:p w14:paraId="034D9152" w14:textId="77777777" w:rsidR="0049002F" w:rsidRPr="0081146C" w:rsidRDefault="0049002F" w:rsidP="0049002F">
      <w:pPr>
        <w:pStyle w:val="Penalty"/>
      </w:pPr>
      <w:r w:rsidRPr="0081146C">
        <w:t>Penalty:</w:t>
      </w:r>
      <w:r w:rsidRPr="0081146C">
        <w:tab/>
        <w:t>Imprisonment for 7 years or 2,000 penalty units, or both.</w:t>
      </w:r>
    </w:p>
    <w:p w14:paraId="51CCB02F" w14:textId="77777777" w:rsidR="0049002F" w:rsidRPr="0081146C" w:rsidRDefault="0049002F" w:rsidP="0049002F">
      <w:pPr>
        <w:pStyle w:val="subsection"/>
      </w:pPr>
      <w:r w:rsidRPr="0081146C">
        <w:tab/>
        <w:t>(8)</w:t>
      </w:r>
      <w:r w:rsidRPr="0081146C">
        <w:tab/>
        <w:t xml:space="preserve">Strict liability applies to </w:t>
      </w:r>
      <w:r w:rsidR="004F64A4" w:rsidRPr="0081146C">
        <w:t>paragraphs (</w:t>
      </w:r>
      <w:r w:rsidRPr="0081146C">
        <w:t>7)(b) and (c).</w:t>
      </w:r>
    </w:p>
    <w:p w14:paraId="348FDA29" w14:textId="77777777" w:rsidR="0049002F" w:rsidRPr="0081146C" w:rsidRDefault="0049002F" w:rsidP="0049002F">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0DB134A2" w14:textId="77777777" w:rsidR="0049002F" w:rsidRPr="0081146C" w:rsidRDefault="0049002F" w:rsidP="0049002F">
      <w:pPr>
        <w:pStyle w:val="subsection"/>
      </w:pPr>
      <w:r w:rsidRPr="0081146C">
        <w:tab/>
        <w:t>(9)</w:t>
      </w:r>
      <w:r w:rsidRPr="0081146C">
        <w:tab/>
        <w:t>A person commits an offence if:</w:t>
      </w:r>
    </w:p>
    <w:p w14:paraId="623CE73E" w14:textId="77777777" w:rsidR="0049002F" w:rsidRPr="0081146C" w:rsidRDefault="0049002F" w:rsidP="0049002F">
      <w:pPr>
        <w:pStyle w:val="paragraph"/>
      </w:pPr>
      <w:r w:rsidRPr="0081146C">
        <w:tab/>
        <w:t>(a)</w:t>
      </w:r>
      <w:r w:rsidRPr="0081146C">
        <w:tab/>
        <w:t xml:space="preserve">the person is subject to a requirement under </w:t>
      </w:r>
      <w:r w:rsidR="004F64A4" w:rsidRPr="0081146C">
        <w:t>subsection (</w:t>
      </w:r>
      <w:r w:rsidRPr="0081146C">
        <w:t>1) or (2); and</w:t>
      </w:r>
    </w:p>
    <w:p w14:paraId="55801ECC" w14:textId="77777777" w:rsidR="0049002F" w:rsidRPr="0081146C" w:rsidRDefault="0049002F" w:rsidP="0049002F">
      <w:pPr>
        <w:pStyle w:val="paragraph"/>
        <w:keepNext/>
        <w:keepLines/>
      </w:pPr>
      <w:r w:rsidRPr="0081146C">
        <w:tab/>
        <w:t>(b)</w:t>
      </w:r>
      <w:r w:rsidRPr="0081146C">
        <w:tab/>
        <w:t>the person engages in conduct; and</w:t>
      </w:r>
    </w:p>
    <w:p w14:paraId="2F2A59D1" w14:textId="77777777" w:rsidR="0049002F" w:rsidRPr="0081146C" w:rsidRDefault="0049002F" w:rsidP="0049002F">
      <w:pPr>
        <w:pStyle w:val="paragraph"/>
      </w:pPr>
      <w:r w:rsidRPr="0081146C">
        <w:tab/>
        <w:t>(c)</w:t>
      </w:r>
      <w:r w:rsidRPr="0081146C">
        <w:tab/>
        <w:t>the person’s conduct breaches the requirement; and</w:t>
      </w:r>
    </w:p>
    <w:p w14:paraId="06C47B60" w14:textId="77777777" w:rsidR="0049002F" w:rsidRPr="0081146C" w:rsidRDefault="0049002F" w:rsidP="0049002F">
      <w:pPr>
        <w:pStyle w:val="paragraph"/>
      </w:pPr>
      <w:r w:rsidRPr="0081146C">
        <w:tab/>
        <w:t>(d)</w:t>
      </w:r>
      <w:r w:rsidRPr="0081146C">
        <w:tab/>
        <w:t>either:</w:t>
      </w:r>
    </w:p>
    <w:p w14:paraId="3ABDBA30" w14:textId="77777777" w:rsidR="0049002F" w:rsidRPr="0081146C" w:rsidRDefault="0049002F" w:rsidP="0049002F">
      <w:pPr>
        <w:pStyle w:val="paragraphsub"/>
      </w:pPr>
      <w:r w:rsidRPr="0081146C">
        <w:tab/>
        <w:t>(i)</w:t>
      </w:r>
      <w:r w:rsidRPr="0081146C">
        <w:tab/>
        <w:t xml:space="preserve">the person had previously been convicted of an offence against </w:t>
      </w:r>
      <w:r w:rsidR="004F64A4" w:rsidRPr="0081146C">
        <w:t>subsection (</w:t>
      </w:r>
      <w:r w:rsidRPr="0081146C">
        <w:t>3), (5) or (7), and that conviction has not been set aside or quashed; or</w:t>
      </w:r>
    </w:p>
    <w:p w14:paraId="1B9C92A4" w14:textId="77777777" w:rsidR="0049002F" w:rsidRPr="0081146C" w:rsidRDefault="0049002F" w:rsidP="0049002F">
      <w:pPr>
        <w:pStyle w:val="paragraphsub"/>
      </w:pPr>
      <w:r w:rsidRPr="0081146C">
        <w:tab/>
        <w:t>(ii)</w:t>
      </w:r>
      <w:r w:rsidRPr="0081146C">
        <w:tab/>
        <w:t xml:space="preserve">an order had previously been made against the person under </w:t>
      </w:r>
      <w:r w:rsidR="003B7E15" w:rsidRPr="0081146C">
        <w:t>section 1</w:t>
      </w:r>
      <w:r w:rsidRPr="0081146C">
        <w:t xml:space="preserve">9B of the </w:t>
      </w:r>
      <w:r w:rsidRPr="0081146C">
        <w:rPr>
          <w:i/>
        </w:rPr>
        <w:t>Crimes Act 1914</w:t>
      </w:r>
      <w:r w:rsidRPr="0081146C">
        <w:t xml:space="preserve"> in respect of an offence against </w:t>
      </w:r>
      <w:r w:rsidR="004F64A4" w:rsidRPr="0081146C">
        <w:t>subsection (</w:t>
      </w:r>
      <w:r w:rsidRPr="0081146C">
        <w:t>3), (5) or (7), and that order has not been set aside.</w:t>
      </w:r>
    </w:p>
    <w:p w14:paraId="60B250D4" w14:textId="77777777" w:rsidR="0049002F" w:rsidRPr="0081146C" w:rsidRDefault="0049002F" w:rsidP="0049002F">
      <w:pPr>
        <w:pStyle w:val="Penalty"/>
      </w:pPr>
      <w:r w:rsidRPr="0081146C">
        <w:t>Penalty:</w:t>
      </w:r>
      <w:r w:rsidRPr="0081146C">
        <w:tab/>
        <w:t>Imprisonment for 7 years or 2,000 penalty units, or both.</w:t>
      </w:r>
    </w:p>
    <w:p w14:paraId="33D3B826" w14:textId="77777777" w:rsidR="0049002F" w:rsidRPr="0081146C" w:rsidRDefault="0049002F" w:rsidP="0049002F">
      <w:pPr>
        <w:pStyle w:val="subsection"/>
      </w:pPr>
      <w:r w:rsidRPr="0081146C">
        <w:tab/>
        <w:t>(10)</w:t>
      </w:r>
      <w:r w:rsidRPr="0081146C">
        <w:tab/>
        <w:t xml:space="preserve">Strict liability applies to </w:t>
      </w:r>
      <w:r w:rsidR="004F64A4" w:rsidRPr="0081146C">
        <w:t>paragraphs (</w:t>
      </w:r>
      <w:r w:rsidRPr="0081146C">
        <w:t>9)(b) and (c).</w:t>
      </w:r>
    </w:p>
    <w:p w14:paraId="5C4C4931" w14:textId="77777777" w:rsidR="0049002F" w:rsidRPr="0081146C" w:rsidRDefault="0049002F" w:rsidP="0049002F">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75A0D043" w14:textId="77777777" w:rsidR="0049002F" w:rsidRPr="0081146C" w:rsidRDefault="0049002F" w:rsidP="0049002F">
      <w:pPr>
        <w:pStyle w:val="SubsectionHead"/>
      </w:pPr>
      <w:r w:rsidRPr="0081146C">
        <w:t>Civil penalty</w:t>
      </w:r>
    </w:p>
    <w:p w14:paraId="35629706" w14:textId="77777777" w:rsidR="0049002F" w:rsidRPr="0081146C" w:rsidRDefault="0049002F" w:rsidP="0049002F">
      <w:pPr>
        <w:pStyle w:val="subsection"/>
      </w:pPr>
      <w:r w:rsidRPr="0081146C">
        <w:tab/>
        <w:t>(11)</w:t>
      </w:r>
      <w:r w:rsidRPr="0081146C">
        <w:tab/>
      </w:r>
      <w:r w:rsidR="004F64A4" w:rsidRPr="0081146C">
        <w:t>Subsections (</w:t>
      </w:r>
      <w:r w:rsidRPr="0081146C">
        <w:t>1) and (2) are civil penalty provisions.</w:t>
      </w:r>
    </w:p>
    <w:p w14:paraId="22487E40" w14:textId="77777777" w:rsidR="0049002F" w:rsidRPr="0081146C" w:rsidRDefault="00CA78AA" w:rsidP="00AF6E02">
      <w:pPr>
        <w:pStyle w:val="ActHead3"/>
        <w:pageBreakBefore/>
      </w:pPr>
      <w:bookmarkStart w:id="354" w:name="_Toc185415878"/>
      <w:r w:rsidRPr="0081146C">
        <w:rPr>
          <w:rStyle w:val="CharDivNo"/>
        </w:rPr>
        <w:t>Division 3</w:t>
      </w:r>
      <w:r w:rsidR="0049002F" w:rsidRPr="0081146C">
        <w:t>—</w:t>
      </w:r>
      <w:r w:rsidR="0049002F" w:rsidRPr="0081146C">
        <w:rPr>
          <w:rStyle w:val="CharDivText"/>
        </w:rPr>
        <w:t>Registration of persons</w:t>
      </w:r>
      <w:bookmarkEnd w:id="354"/>
    </w:p>
    <w:p w14:paraId="52201226" w14:textId="57A0D41C" w:rsidR="0049002F" w:rsidRPr="0081146C" w:rsidRDefault="0049002F" w:rsidP="0049002F">
      <w:pPr>
        <w:pStyle w:val="ActHead5"/>
      </w:pPr>
      <w:bookmarkStart w:id="355" w:name="_Toc185415879"/>
      <w:r w:rsidRPr="0081146C">
        <w:rPr>
          <w:rStyle w:val="CharSectno"/>
        </w:rPr>
        <w:t>76B</w:t>
      </w:r>
      <w:r w:rsidRPr="0081146C">
        <w:t xml:space="preserve">  </w:t>
      </w:r>
      <w:bookmarkStart w:id="356" w:name="_Hlk172194341"/>
      <w:r w:rsidR="00610C10" w:rsidRPr="0081146C">
        <w:t>Virtual Asset Service Provider</w:t>
      </w:r>
      <w:bookmarkEnd w:id="356"/>
      <w:r w:rsidR="00610C10" w:rsidRPr="0081146C" w:rsidDel="00610C10">
        <w:t xml:space="preserve"> </w:t>
      </w:r>
      <w:r w:rsidRPr="0081146C">
        <w:t>Register</w:t>
      </w:r>
      <w:bookmarkEnd w:id="355"/>
    </w:p>
    <w:p w14:paraId="33651EC9" w14:textId="0DA2A672" w:rsidR="0049002F" w:rsidRPr="0081146C" w:rsidRDefault="0049002F" w:rsidP="0049002F">
      <w:pPr>
        <w:pStyle w:val="subsection"/>
      </w:pPr>
      <w:r w:rsidRPr="0081146C">
        <w:tab/>
        <w:t>(1)</w:t>
      </w:r>
      <w:r w:rsidRPr="0081146C">
        <w:tab/>
        <w:t xml:space="preserve">The AUSTRAC CEO must maintain a register for the purposes of this Part, to be known as the </w:t>
      </w:r>
      <w:bookmarkStart w:id="357" w:name="_Hlk172194342"/>
      <w:r w:rsidR="00610C10" w:rsidRPr="0081146C">
        <w:t>Virtual Asset Service Provider</w:t>
      </w:r>
      <w:bookmarkEnd w:id="357"/>
      <w:r w:rsidRPr="0081146C">
        <w:t xml:space="preserve"> Register.</w:t>
      </w:r>
    </w:p>
    <w:p w14:paraId="495ADCD6" w14:textId="25A19755" w:rsidR="0049002F" w:rsidRPr="0081146C" w:rsidRDefault="0049002F" w:rsidP="0049002F">
      <w:pPr>
        <w:pStyle w:val="subsection"/>
      </w:pPr>
      <w:r w:rsidRPr="0081146C">
        <w:tab/>
        <w:t>(2)</w:t>
      </w:r>
      <w:r w:rsidRPr="0081146C">
        <w:tab/>
        <w:t xml:space="preserve">The AUSTRAC CEO may maintain the </w:t>
      </w:r>
      <w:r w:rsidR="00610C10" w:rsidRPr="0081146C">
        <w:t>Virtual Asset Service Provider</w:t>
      </w:r>
      <w:r w:rsidRPr="0081146C">
        <w:t xml:space="preserve"> Register by electronic means.</w:t>
      </w:r>
    </w:p>
    <w:p w14:paraId="3DD6D316" w14:textId="1FE7709E" w:rsidR="0049002F" w:rsidRPr="0081146C" w:rsidRDefault="0049002F" w:rsidP="0049002F">
      <w:pPr>
        <w:pStyle w:val="subsection"/>
      </w:pPr>
      <w:r w:rsidRPr="0081146C">
        <w:tab/>
        <w:t>(3)</w:t>
      </w:r>
      <w:r w:rsidRPr="0081146C">
        <w:tab/>
        <w:t xml:space="preserve">The </w:t>
      </w:r>
      <w:r w:rsidR="00610C10" w:rsidRPr="0081146C">
        <w:t>Virtual Asset Service Provider</w:t>
      </w:r>
      <w:r w:rsidRPr="0081146C">
        <w:t xml:space="preserve"> Register is not a legislative instrument.</w:t>
      </w:r>
    </w:p>
    <w:p w14:paraId="756CC88F" w14:textId="77777777" w:rsidR="0049002F" w:rsidRPr="0081146C" w:rsidRDefault="0049002F" w:rsidP="0049002F">
      <w:pPr>
        <w:pStyle w:val="subsection"/>
      </w:pPr>
      <w:r w:rsidRPr="0081146C">
        <w:tab/>
        <w:t>(4)</w:t>
      </w:r>
      <w:r w:rsidRPr="0081146C">
        <w:tab/>
        <w:t>The AML/CTF Rules may make provision for and in relation to the following:</w:t>
      </w:r>
    </w:p>
    <w:p w14:paraId="6957006C" w14:textId="700414B2" w:rsidR="0049002F" w:rsidRPr="0081146C" w:rsidRDefault="0049002F" w:rsidP="0049002F">
      <w:pPr>
        <w:pStyle w:val="paragraph"/>
      </w:pPr>
      <w:r w:rsidRPr="0081146C">
        <w:tab/>
        <w:t>(a)</w:t>
      </w:r>
      <w:r w:rsidRPr="0081146C">
        <w:tab/>
        <w:t xml:space="preserve">the correction of entries in the </w:t>
      </w:r>
      <w:r w:rsidR="00610C10" w:rsidRPr="0081146C">
        <w:t>Virtual Asset Service Provider</w:t>
      </w:r>
      <w:r w:rsidRPr="0081146C">
        <w:t xml:space="preserve"> Register;</w:t>
      </w:r>
    </w:p>
    <w:p w14:paraId="49B80D6B" w14:textId="3D319715" w:rsidR="0049002F" w:rsidRPr="0081146C" w:rsidRDefault="0049002F" w:rsidP="0049002F">
      <w:pPr>
        <w:pStyle w:val="paragraph"/>
      </w:pPr>
      <w:r w:rsidRPr="0081146C">
        <w:tab/>
        <w:t>(b)</w:t>
      </w:r>
      <w:r w:rsidRPr="0081146C">
        <w:tab/>
        <w:t xml:space="preserve">the publication of the </w:t>
      </w:r>
      <w:r w:rsidR="00610C10" w:rsidRPr="0081146C">
        <w:t>Virtual Asset Service Provider</w:t>
      </w:r>
      <w:r w:rsidRPr="0081146C">
        <w:t xml:space="preserve"> Register in whole or part, or of specified information entered on the </w:t>
      </w:r>
      <w:r w:rsidR="00610C10" w:rsidRPr="0081146C">
        <w:t>Virtual Asset Service Provider</w:t>
      </w:r>
      <w:r w:rsidRPr="0081146C">
        <w:t xml:space="preserve"> Register;</w:t>
      </w:r>
    </w:p>
    <w:p w14:paraId="34E7A813" w14:textId="7232BFA6" w:rsidR="0049002F" w:rsidRPr="0081146C" w:rsidRDefault="0049002F" w:rsidP="0049002F">
      <w:pPr>
        <w:pStyle w:val="paragraph"/>
      </w:pPr>
      <w:r w:rsidRPr="0081146C">
        <w:tab/>
        <w:t>(c)</w:t>
      </w:r>
      <w:r w:rsidRPr="0081146C">
        <w:tab/>
        <w:t xml:space="preserve">any other matter relating to the administration or operation of the </w:t>
      </w:r>
      <w:r w:rsidR="00610C10" w:rsidRPr="0081146C">
        <w:t>Virtual Asset Service Provider</w:t>
      </w:r>
      <w:r w:rsidRPr="0081146C">
        <w:t xml:space="preserve"> Register.</w:t>
      </w:r>
    </w:p>
    <w:p w14:paraId="3627B174" w14:textId="1BA7C1F4" w:rsidR="0049002F" w:rsidRPr="0081146C" w:rsidRDefault="0049002F" w:rsidP="0049002F">
      <w:pPr>
        <w:pStyle w:val="ActHead5"/>
      </w:pPr>
      <w:bookmarkStart w:id="358" w:name="_Toc185415880"/>
      <w:r w:rsidRPr="0081146C">
        <w:rPr>
          <w:rStyle w:val="CharSectno"/>
        </w:rPr>
        <w:t>76C</w:t>
      </w:r>
      <w:r w:rsidRPr="0081146C">
        <w:t xml:space="preserve">  Information to be entered on the </w:t>
      </w:r>
      <w:bookmarkStart w:id="359" w:name="_Hlk172194343"/>
      <w:r w:rsidR="00610C10" w:rsidRPr="0081146C">
        <w:t>Virtual Asset Service Provider</w:t>
      </w:r>
      <w:bookmarkEnd w:id="359"/>
      <w:r w:rsidRPr="0081146C">
        <w:t xml:space="preserve"> Register</w:t>
      </w:r>
      <w:bookmarkEnd w:id="358"/>
    </w:p>
    <w:p w14:paraId="2BCF6CBC" w14:textId="1B37FB43" w:rsidR="0049002F" w:rsidRPr="0081146C" w:rsidRDefault="0049002F" w:rsidP="0049002F">
      <w:pPr>
        <w:pStyle w:val="subsection"/>
      </w:pPr>
      <w:r w:rsidRPr="0081146C">
        <w:tab/>
      </w:r>
      <w:r w:rsidRPr="0081146C">
        <w:tab/>
        <w:t>If the AUSTRAC CEO decides to register a person under subsection</w:t>
      </w:r>
      <w:r w:rsidR="004F64A4" w:rsidRPr="0081146C">
        <w:t> </w:t>
      </w:r>
      <w:r w:rsidRPr="0081146C">
        <w:t xml:space="preserve">76E(2), the AUSTRAC CEO must enter the following details on the </w:t>
      </w:r>
      <w:bookmarkStart w:id="360" w:name="_Hlk172194344"/>
      <w:r w:rsidR="00610C10" w:rsidRPr="0081146C">
        <w:t>Virtual Asset Service Provider</w:t>
      </w:r>
      <w:bookmarkEnd w:id="360"/>
      <w:r w:rsidRPr="0081146C">
        <w:t xml:space="preserve"> Register:</w:t>
      </w:r>
    </w:p>
    <w:p w14:paraId="4F8B279C" w14:textId="77777777" w:rsidR="0049002F" w:rsidRPr="0081146C" w:rsidRDefault="0049002F" w:rsidP="0049002F">
      <w:pPr>
        <w:pStyle w:val="paragraph"/>
      </w:pPr>
      <w:r w:rsidRPr="0081146C">
        <w:tab/>
        <w:t>(a)</w:t>
      </w:r>
      <w:r w:rsidRPr="0081146C">
        <w:tab/>
        <w:t>the name of the person;</w:t>
      </w:r>
    </w:p>
    <w:p w14:paraId="287B782B" w14:textId="77777777" w:rsidR="0049002F" w:rsidRPr="0081146C" w:rsidRDefault="0049002F" w:rsidP="0049002F">
      <w:pPr>
        <w:pStyle w:val="paragraph"/>
      </w:pPr>
      <w:r w:rsidRPr="0081146C">
        <w:tab/>
        <w:t>(b)</w:t>
      </w:r>
      <w:r w:rsidRPr="0081146C">
        <w:tab/>
        <w:t>any conditions to which the registration of the person is subject;</w:t>
      </w:r>
    </w:p>
    <w:p w14:paraId="23BDE410" w14:textId="77777777" w:rsidR="0049002F" w:rsidRPr="0081146C" w:rsidRDefault="0049002F" w:rsidP="0049002F">
      <w:pPr>
        <w:pStyle w:val="paragraph"/>
      </w:pPr>
      <w:r w:rsidRPr="0081146C">
        <w:tab/>
        <w:t>(c)</w:t>
      </w:r>
      <w:r w:rsidRPr="0081146C">
        <w:tab/>
        <w:t>the date on which the registration takes effect;</w:t>
      </w:r>
    </w:p>
    <w:p w14:paraId="46E2F681" w14:textId="77777777" w:rsidR="0049002F" w:rsidRPr="0081146C" w:rsidRDefault="0049002F" w:rsidP="0049002F">
      <w:pPr>
        <w:pStyle w:val="paragraph"/>
      </w:pPr>
      <w:r w:rsidRPr="0081146C">
        <w:tab/>
        <w:t>(d)</w:t>
      </w:r>
      <w:r w:rsidRPr="0081146C">
        <w:tab/>
        <w:t>the registrable details in relation to the person.</w:t>
      </w:r>
    </w:p>
    <w:p w14:paraId="0C1791A7" w14:textId="77777777" w:rsidR="0049002F" w:rsidRPr="0081146C" w:rsidRDefault="0049002F" w:rsidP="0049002F">
      <w:pPr>
        <w:pStyle w:val="ActHead5"/>
      </w:pPr>
      <w:bookmarkStart w:id="361" w:name="_Toc185415881"/>
      <w:r w:rsidRPr="0081146C">
        <w:rPr>
          <w:rStyle w:val="CharSectno"/>
        </w:rPr>
        <w:t>76D</w:t>
      </w:r>
      <w:r w:rsidRPr="0081146C">
        <w:t xml:space="preserve">  Applications for registration</w:t>
      </w:r>
      <w:bookmarkEnd w:id="361"/>
    </w:p>
    <w:p w14:paraId="7F3B5E86" w14:textId="2476B42C" w:rsidR="0049002F" w:rsidRPr="0081146C" w:rsidRDefault="0049002F" w:rsidP="0049002F">
      <w:pPr>
        <w:pStyle w:val="subsection"/>
      </w:pPr>
      <w:r w:rsidRPr="0081146C">
        <w:tab/>
        <w:t>(1)</w:t>
      </w:r>
      <w:r w:rsidRPr="0081146C">
        <w:tab/>
        <w:t xml:space="preserve">A person may apply in writing to the AUSTRAC CEO for registration as a </w:t>
      </w:r>
      <w:r w:rsidR="00B04A45" w:rsidRPr="0081146C">
        <w:t>virtual asset service</w:t>
      </w:r>
      <w:r w:rsidRPr="0081146C">
        <w:t xml:space="preserve"> provider.</w:t>
      </w:r>
    </w:p>
    <w:p w14:paraId="23A636FD" w14:textId="77777777" w:rsidR="0049002F" w:rsidRPr="0081146C" w:rsidRDefault="0049002F" w:rsidP="0049002F">
      <w:pPr>
        <w:pStyle w:val="subsection"/>
      </w:pPr>
      <w:r w:rsidRPr="0081146C">
        <w:tab/>
        <w:t>(2)</w:t>
      </w:r>
      <w:r w:rsidRPr="0081146C">
        <w:tab/>
        <w:t xml:space="preserve">An application under </w:t>
      </w:r>
      <w:r w:rsidR="004F64A4" w:rsidRPr="0081146C">
        <w:t>subsection (</w:t>
      </w:r>
      <w:r w:rsidRPr="0081146C">
        <w:t>1) must:</w:t>
      </w:r>
    </w:p>
    <w:p w14:paraId="3A984893" w14:textId="77777777" w:rsidR="0049002F" w:rsidRPr="0081146C" w:rsidRDefault="0049002F" w:rsidP="0049002F">
      <w:pPr>
        <w:pStyle w:val="paragraph"/>
      </w:pPr>
      <w:r w:rsidRPr="0081146C">
        <w:tab/>
        <w:t>(a)</w:t>
      </w:r>
      <w:r w:rsidRPr="0081146C">
        <w:tab/>
        <w:t>be in the approved form; and</w:t>
      </w:r>
    </w:p>
    <w:p w14:paraId="7F24FFDF" w14:textId="77777777" w:rsidR="0049002F" w:rsidRPr="0081146C" w:rsidRDefault="0049002F" w:rsidP="0049002F">
      <w:pPr>
        <w:pStyle w:val="paragraph"/>
      </w:pPr>
      <w:r w:rsidRPr="0081146C">
        <w:tab/>
        <w:t>(b)</w:t>
      </w:r>
      <w:r w:rsidRPr="0081146C">
        <w:tab/>
        <w:t>contain the information required by the AML/CTF Rules.</w:t>
      </w:r>
    </w:p>
    <w:p w14:paraId="4979115C" w14:textId="77777777" w:rsidR="0049002F" w:rsidRPr="0081146C" w:rsidRDefault="0049002F" w:rsidP="0049002F">
      <w:pPr>
        <w:pStyle w:val="subsection"/>
      </w:pPr>
      <w:r w:rsidRPr="0081146C">
        <w:tab/>
        <w:t>(3)</w:t>
      </w:r>
      <w:r w:rsidRPr="0081146C">
        <w:tab/>
        <w:t xml:space="preserve">Without limiting the information that the AML/CTF Rules may require under </w:t>
      </w:r>
      <w:r w:rsidR="004F64A4" w:rsidRPr="0081146C">
        <w:t>paragraph (</w:t>
      </w:r>
      <w:r w:rsidRPr="0081146C">
        <w:t>2)(b), the AML/CTF Rules may require information relating to the matters mentioned in paragraph</w:t>
      </w:r>
      <w:r w:rsidR="004F64A4" w:rsidRPr="0081146C">
        <w:t> </w:t>
      </w:r>
      <w:r w:rsidRPr="0081146C">
        <w:t>76E(2)(a) or in Rules made under paragraph</w:t>
      </w:r>
      <w:r w:rsidR="004F64A4" w:rsidRPr="0081146C">
        <w:t> </w:t>
      </w:r>
      <w:r w:rsidRPr="0081146C">
        <w:t>76E(2)(b) (these provisions deal with matters to which the AUSTRAC CEO must have regard in deciding whether to register a person).</w:t>
      </w:r>
    </w:p>
    <w:p w14:paraId="449BE04C" w14:textId="77777777" w:rsidR="0049002F" w:rsidRPr="0081146C" w:rsidRDefault="0049002F" w:rsidP="0049002F">
      <w:pPr>
        <w:pStyle w:val="SubsectionHead"/>
      </w:pPr>
      <w:r w:rsidRPr="0081146C">
        <w:t>Deemed refusal in certain circumstances</w:t>
      </w:r>
    </w:p>
    <w:p w14:paraId="2AF89056" w14:textId="77777777" w:rsidR="0049002F" w:rsidRPr="0081146C" w:rsidRDefault="0049002F" w:rsidP="0049002F">
      <w:pPr>
        <w:pStyle w:val="subsection"/>
      </w:pPr>
      <w:r w:rsidRPr="0081146C">
        <w:tab/>
        <w:t>(4)</w:t>
      </w:r>
      <w:r w:rsidRPr="0081146C">
        <w:tab/>
        <w:t xml:space="preserve">If the AUSTRAC CEO has not made a decision on the application within the relevant period, the AUSTRAC CEO is taken to have decided not to register the person at the end of the relevant period. The </w:t>
      </w:r>
      <w:r w:rsidRPr="0081146C">
        <w:rPr>
          <w:b/>
          <w:i/>
        </w:rPr>
        <w:t>relevant period</w:t>
      </w:r>
      <w:r w:rsidRPr="0081146C">
        <w:t xml:space="preserve"> is the period of 90 days beginning on the latest of the following days:</w:t>
      </w:r>
    </w:p>
    <w:p w14:paraId="1CC60D15" w14:textId="77777777" w:rsidR="0049002F" w:rsidRPr="0081146C" w:rsidRDefault="0049002F" w:rsidP="0049002F">
      <w:pPr>
        <w:pStyle w:val="paragraph"/>
      </w:pPr>
      <w:r w:rsidRPr="0081146C">
        <w:tab/>
        <w:t>(a)</w:t>
      </w:r>
      <w:r w:rsidRPr="0081146C">
        <w:tab/>
        <w:t>the day the application is made;</w:t>
      </w:r>
    </w:p>
    <w:p w14:paraId="74F0B04C" w14:textId="77777777" w:rsidR="0049002F" w:rsidRPr="0081146C" w:rsidRDefault="0049002F" w:rsidP="0049002F">
      <w:pPr>
        <w:pStyle w:val="paragraph"/>
      </w:pPr>
      <w:r w:rsidRPr="0081146C">
        <w:tab/>
        <w:t>(b)</w:t>
      </w:r>
      <w:r w:rsidRPr="0081146C">
        <w:tab/>
        <w:t>if the AUSTRAC CEO requests information under subsection</w:t>
      </w:r>
      <w:r w:rsidR="004F64A4" w:rsidRPr="0081146C">
        <w:t> </w:t>
      </w:r>
      <w:r w:rsidRPr="0081146C">
        <w:t>76Q(1) in relation to the application—the last day such information is provided;</w:t>
      </w:r>
    </w:p>
    <w:p w14:paraId="50A8535D" w14:textId="77777777" w:rsidR="0049002F" w:rsidRPr="0081146C" w:rsidRDefault="0049002F" w:rsidP="0049002F">
      <w:pPr>
        <w:pStyle w:val="paragraph"/>
      </w:pPr>
      <w:r w:rsidRPr="0081146C">
        <w:tab/>
        <w:t>(c)</w:t>
      </w:r>
      <w:r w:rsidRPr="0081146C">
        <w:tab/>
        <w:t>if the person makes a submission under section</w:t>
      </w:r>
      <w:r w:rsidR="004F64A4" w:rsidRPr="0081146C">
        <w:t> </w:t>
      </w:r>
      <w:r w:rsidRPr="0081146C">
        <w:t>76S in relation to the application—the day the person makes the submission.</w:t>
      </w:r>
    </w:p>
    <w:p w14:paraId="6492E515" w14:textId="77777777" w:rsidR="0049002F" w:rsidRPr="0081146C" w:rsidRDefault="0049002F" w:rsidP="0049002F">
      <w:pPr>
        <w:pStyle w:val="notetext"/>
      </w:pPr>
      <w:r w:rsidRPr="0081146C">
        <w:t>Note:</w:t>
      </w:r>
      <w:r w:rsidRPr="0081146C">
        <w:tab/>
        <w:t xml:space="preserve">A deemed decision not to register the person is reviewable (see </w:t>
      </w:r>
      <w:r w:rsidR="00CA78AA" w:rsidRPr="0081146C">
        <w:t>Part 1</w:t>
      </w:r>
      <w:r w:rsidRPr="0081146C">
        <w:t>7A).</w:t>
      </w:r>
    </w:p>
    <w:p w14:paraId="726B4FB6" w14:textId="77777777" w:rsidR="0049002F" w:rsidRPr="0081146C" w:rsidRDefault="00824995" w:rsidP="0049002F">
      <w:pPr>
        <w:pStyle w:val="subsection"/>
      </w:pPr>
      <w:r w:rsidRPr="0081146C">
        <w:tab/>
        <w:t>(5)</w:t>
      </w:r>
      <w:r w:rsidRPr="0081146C">
        <w:tab/>
      </w:r>
      <w:r w:rsidR="0049002F" w:rsidRPr="0081146C">
        <w:t>However, if the AUSTRAC CEO determines in writing that:</w:t>
      </w:r>
    </w:p>
    <w:p w14:paraId="19DDE757" w14:textId="77777777" w:rsidR="0049002F" w:rsidRPr="0081146C" w:rsidRDefault="0049002F" w:rsidP="0049002F">
      <w:pPr>
        <w:pStyle w:val="paragraph"/>
      </w:pPr>
      <w:r w:rsidRPr="0081146C">
        <w:tab/>
        <w:t>(a)</w:t>
      </w:r>
      <w:r w:rsidRPr="0081146C">
        <w:tab/>
        <w:t>the application cannot be dealt with properly within the 90 day period, either because of its complexity or because of other special circumstances; and</w:t>
      </w:r>
    </w:p>
    <w:p w14:paraId="7100AF92" w14:textId="77777777" w:rsidR="0049002F" w:rsidRPr="0081146C" w:rsidRDefault="0049002F" w:rsidP="0049002F">
      <w:pPr>
        <w:pStyle w:val="paragraph"/>
      </w:pPr>
      <w:r w:rsidRPr="0081146C">
        <w:tab/>
        <w:t>(b)</w:t>
      </w:r>
      <w:r w:rsidRPr="0081146C">
        <w:tab/>
        <w:t>that period is extended by a specified period of not more than 30 days;</w:t>
      </w:r>
    </w:p>
    <w:p w14:paraId="425C725E" w14:textId="77777777" w:rsidR="0049002F" w:rsidRPr="0081146C" w:rsidRDefault="0049002F" w:rsidP="0049002F">
      <w:pPr>
        <w:pStyle w:val="subsection2"/>
      </w:pPr>
      <w:r w:rsidRPr="0081146C">
        <w:t>the relevant period is that period as so extended. The AUSTRAC CEO must notify the applicant in writing of the determination before the end of the 90 day period.</w:t>
      </w:r>
    </w:p>
    <w:p w14:paraId="6F9C6393" w14:textId="77777777" w:rsidR="0049002F" w:rsidRPr="0081146C" w:rsidRDefault="0049002F" w:rsidP="0049002F">
      <w:pPr>
        <w:pStyle w:val="ActHead5"/>
      </w:pPr>
      <w:bookmarkStart w:id="362" w:name="_Toc185415882"/>
      <w:r w:rsidRPr="0081146C">
        <w:rPr>
          <w:rStyle w:val="CharSectno"/>
        </w:rPr>
        <w:t>76E</w:t>
      </w:r>
      <w:r w:rsidRPr="0081146C">
        <w:t xml:space="preserve">  Registration by AUSTRAC CEO</w:t>
      </w:r>
      <w:bookmarkEnd w:id="362"/>
    </w:p>
    <w:p w14:paraId="5DA50007" w14:textId="77777777" w:rsidR="0049002F" w:rsidRPr="0081146C" w:rsidRDefault="0049002F" w:rsidP="0049002F">
      <w:pPr>
        <w:pStyle w:val="SubsectionHead"/>
      </w:pPr>
      <w:r w:rsidRPr="0081146C">
        <w:t>When section applies</w:t>
      </w:r>
    </w:p>
    <w:p w14:paraId="1DFEEFAD" w14:textId="77777777" w:rsidR="0049002F" w:rsidRPr="0081146C" w:rsidRDefault="0049002F" w:rsidP="0049002F">
      <w:pPr>
        <w:pStyle w:val="subsection"/>
      </w:pPr>
      <w:r w:rsidRPr="0081146C">
        <w:tab/>
        <w:t>(1)</w:t>
      </w:r>
      <w:r w:rsidRPr="0081146C">
        <w:tab/>
        <w:t>This section applies if an application has been made under section</w:t>
      </w:r>
      <w:r w:rsidR="004F64A4" w:rsidRPr="0081146C">
        <w:t> </w:t>
      </w:r>
      <w:r w:rsidRPr="0081146C">
        <w:t>76D for registration of a person.</w:t>
      </w:r>
    </w:p>
    <w:p w14:paraId="583D7F3C" w14:textId="77777777" w:rsidR="0049002F" w:rsidRPr="0081146C" w:rsidRDefault="0049002F" w:rsidP="0049002F">
      <w:pPr>
        <w:pStyle w:val="SubsectionHead"/>
      </w:pPr>
      <w:r w:rsidRPr="0081146C">
        <w:t>When AUSTRAC CEO must register a person</w:t>
      </w:r>
    </w:p>
    <w:p w14:paraId="4A471443" w14:textId="77777777" w:rsidR="0049002F" w:rsidRPr="0081146C" w:rsidRDefault="0049002F" w:rsidP="0049002F">
      <w:pPr>
        <w:pStyle w:val="subsection"/>
      </w:pPr>
      <w:r w:rsidRPr="0081146C">
        <w:tab/>
        <w:t>(2)</w:t>
      </w:r>
      <w:r w:rsidRPr="0081146C">
        <w:tab/>
        <w:t>The AUSTRAC CEO must decide to register the person in accordance with the application if the AUSTRAC CEO is satisfied that it is appropriate to do so, having regard to:</w:t>
      </w:r>
    </w:p>
    <w:p w14:paraId="23E124A9" w14:textId="77777777" w:rsidR="0049002F" w:rsidRPr="0081146C" w:rsidRDefault="0049002F" w:rsidP="0049002F">
      <w:pPr>
        <w:pStyle w:val="paragraph"/>
      </w:pPr>
      <w:r w:rsidRPr="0081146C">
        <w:tab/>
        <w:t>(a)</w:t>
      </w:r>
      <w:r w:rsidRPr="0081146C">
        <w:tab/>
        <w:t>whether registering the person would involve a significant money laundering, financing of terrorism or other serious crime risk; and</w:t>
      </w:r>
    </w:p>
    <w:p w14:paraId="0F482477" w14:textId="77777777" w:rsidR="0049002F" w:rsidRPr="0081146C" w:rsidRDefault="0049002F" w:rsidP="0049002F">
      <w:pPr>
        <w:pStyle w:val="paragraph"/>
      </w:pPr>
      <w:r w:rsidRPr="0081146C">
        <w:tab/>
        <w:t>(b)</w:t>
      </w:r>
      <w:r w:rsidRPr="0081146C">
        <w:tab/>
        <w:t>such other matters (if any) as are specified in the AML/CTF Rules under this paragraph.</w:t>
      </w:r>
    </w:p>
    <w:p w14:paraId="5DAB9E21" w14:textId="77777777" w:rsidR="0049002F" w:rsidRPr="0081146C" w:rsidRDefault="0049002F" w:rsidP="0049002F">
      <w:pPr>
        <w:pStyle w:val="notetext"/>
      </w:pPr>
      <w:r w:rsidRPr="0081146C">
        <w:t>Note:</w:t>
      </w:r>
      <w:r w:rsidRPr="0081146C">
        <w:tab/>
        <w:t xml:space="preserve">A decision not to register the person is reviewable (see </w:t>
      </w:r>
      <w:r w:rsidR="00CA78AA" w:rsidRPr="0081146C">
        <w:t>Part 1</w:t>
      </w:r>
      <w:r w:rsidRPr="0081146C">
        <w:t>7A).</w:t>
      </w:r>
    </w:p>
    <w:p w14:paraId="1BDE3AF9" w14:textId="77777777" w:rsidR="0049002F" w:rsidRPr="0081146C" w:rsidRDefault="0049002F" w:rsidP="0049002F">
      <w:pPr>
        <w:pStyle w:val="SubsectionHead"/>
      </w:pPr>
      <w:r w:rsidRPr="0081146C">
        <w:t>Matters that may be specified in the AML/CTF Rules</w:t>
      </w:r>
    </w:p>
    <w:p w14:paraId="378913E9" w14:textId="77777777" w:rsidR="0049002F" w:rsidRPr="0081146C" w:rsidRDefault="0049002F" w:rsidP="0049002F">
      <w:pPr>
        <w:pStyle w:val="subsection"/>
      </w:pPr>
      <w:r w:rsidRPr="0081146C">
        <w:tab/>
        <w:t>(3)</w:t>
      </w:r>
      <w:r w:rsidRPr="0081146C">
        <w:tab/>
        <w:t xml:space="preserve">Without limiting the matters that the AML/CTF Rules may specify under </w:t>
      </w:r>
      <w:r w:rsidR="004F64A4" w:rsidRPr="0081146C">
        <w:t>paragraph (</w:t>
      </w:r>
      <w:r w:rsidRPr="0081146C">
        <w:t>2)(b), the matters may relate to the following:</w:t>
      </w:r>
    </w:p>
    <w:p w14:paraId="20CDA6FD" w14:textId="77777777" w:rsidR="0049002F" w:rsidRPr="0081146C" w:rsidRDefault="0049002F" w:rsidP="0049002F">
      <w:pPr>
        <w:pStyle w:val="paragraph"/>
      </w:pPr>
      <w:r w:rsidRPr="0081146C">
        <w:tab/>
        <w:t>(a)</w:t>
      </w:r>
      <w:r w:rsidRPr="0081146C">
        <w:tab/>
        <w:t>offences of which the applicant for registration, or any other person, has been charged or convicted under the law of the Commonwealth, a State or Territory or a foreign country;</w:t>
      </w:r>
    </w:p>
    <w:p w14:paraId="0C8C0D7B" w14:textId="77777777" w:rsidR="0049002F" w:rsidRPr="0081146C" w:rsidRDefault="0049002F" w:rsidP="0049002F">
      <w:pPr>
        <w:pStyle w:val="paragraph"/>
      </w:pPr>
      <w:r w:rsidRPr="0081146C">
        <w:tab/>
        <w:t>(b)</w:t>
      </w:r>
      <w:r w:rsidRPr="0081146C">
        <w:tab/>
        <w:t>the compliance or non</w:t>
      </w:r>
      <w:r w:rsidR="003B7E15" w:rsidRPr="0081146C">
        <w:noBreakHyphen/>
      </w:r>
      <w:r w:rsidRPr="0081146C">
        <w:t>compliance of the applicant, or any other person, with this Act or any other law;</w:t>
      </w:r>
    </w:p>
    <w:p w14:paraId="73EDEBCA" w14:textId="77777777" w:rsidR="0049002F" w:rsidRPr="0081146C" w:rsidRDefault="0049002F" w:rsidP="0049002F">
      <w:pPr>
        <w:pStyle w:val="paragraph"/>
      </w:pPr>
      <w:r w:rsidRPr="0081146C">
        <w:tab/>
        <w:t>(c)</w:t>
      </w:r>
      <w:r w:rsidRPr="0081146C">
        <w:tab/>
        <w:t>the legal and beneficial ownership and control of the applicant, or any other person.</w:t>
      </w:r>
    </w:p>
    <w:p w14:paraId="097BA8DC" w14:textId="77777777" w:rsidR="0049002F" w:rsidRPr="0081146C" w:rsidRDefault="0049002F" w:rsidP="0049002F">
      <w:pPr>
        <w:pStyle w:val="SubsectionHead"/>
      </w:pPr>
      <w:r w:rsidRPr="0081146C">
        <w:t>Notice of decision to register</w:t>
      </w:r>
    </w:p>
    <w:p w14:paraId="6809B8CA" w14:textId="77777777" w:rsidR="0049002F" w:rsidRPr="0081146C" w:rsidRDefault="0049002F" w:rsidP="0049002F">
      <w:pPr>
        <w:pStyle w:val="subsection"/>
      </w:pPr>
      <w:r w:rsidRPr="0081146C">
        <w:tab/>
        <w:t>(4)</w:t>
      </w:r>
      <w:r w:rsidRPr="0081146C">
        <w:tab/>
        <w:t>The AUSTRAC CEO must, as soon as practicable after deciding to register an applicant, give a written notice to the applicant.</w:t>
      </w:r>
    </w:p>
    <w:p w14:paraId="5803186A" w14:textId="77777777" w:rsidR="0049002F" w:rsidRPr="0081146C" w:rsidRDefault="0049002F" w:rsidP="0049002F">
      <w:pPr>
        <w:pStyle w:val="SubsectionHead"/>
      </w:pPr>
      <w:r w:rsidRPr="0081146C">
        <w:t>Contents of notice of decision to register</w:t>
      </w:r>
    </w:p>
    <w:p w14:paraId="09CC7E17" w14:textId="77777777" w:rsidR="0049002F" w:rsidRPr="0081146C" w:rsidRDefault="0049002F" w:rsidP="0049002F">
      <w:pPr>
        <w:pStyle w:val="subsection"/>
      </w:pPr>
      <w:r w:rsidRPr="0081146C">
        <w:tab/>
        <w:t>(5)</w:t>
      </w:r>
      <w:r w:rsidRPr="0081146C">
        <w:tab/>
        <w:t xml:space="preserve">A notice under </w:t>
      </w:r>
      <w:r w:rsidR="004F64A4" w:rsidRPr="0081146C">
        <w:t>subsection (</w:t>
      </w:r>
      <w:r w:rsidRPr="0081146C">
        <w:t>4) must specify:</w:t>
      </w:r>
    </w:p>
    <w:p w14:paraId="050DFB32" w14:textId="77777777" w:rsidR="0049002F" w:rsidRPr="0081146C" w:rsidRDefault="0049002F" w:rsidP="0049002F">
      <w:pPr>
        <w:pStyle w:val="paragraph"/>
      </w:pPr>
      <w:r w:rsidRPr="0081146C">
        <w:tab/>
        <w:t>(a)</w:t>
      </w:r>
      <w:r w:rsidRPr="0081146C">
        <w:tab/>
        <w:t>the conditions (if any) to which the registration is subject (see section</w:t>
      </w:r>
      <w:r w:rsidR="004F64A4" w:rsidRPr="0081146C">
        <w:t> </w:t>
      </w:r>
      <w:r w:rsidRPr="0081146C">
        <w:t>76G); and</w:t>
      </w:r>
    </w:p>
    <w:p w14:paraId="046A618B" w14:textId="77777777" w:rsidR="0049002F" w:rsidRPr="0081146C" w:rsidRDefault="0049002F" w:rsidP="0049002F">
      <w:pPr>
        <w:pStyle w:val="paragraph"/>
      </w:pPr>
      <w:r w:rsidRPr="0081146C">
        <w:tab/>
        <w:t>(b)</w:t>
      </w:r>
      <w:r w:rsidRPr="0081146C">
        <w:tab/>
        <w:t>the date on which the registration takes effect.</w:t>
      </w:r>
    </w:p>
    <w:p w14:paraId="002CC3B4" w14:textId="77777777" w:rsidR="0049002F" w:rsidRPr="0081146C" w:rsidRDefault="0049002F" w:rsidP="0049002F">
      <w:pPr>
        <w:pStyle w:val="ActHead5"/>
      </w:pPr>
      <w:bookmarkStart w:id="363" w:name="_Toc185415883"/>
      <w:r w:rsidRPr="0081146C">
        <w:rPr>
          <w:rStyle w:val="CharSectno"/>
        </w:rPr>
        <w:t>76F</w:t>
      </w:r>
      <w:r w:rsidRPr="0081146C">
        <w:t xml:space="preserve">  Spent convictions scheme</w:t>
      </w:r>
      <w:bookmarkEnd w:id="363"/>
    </w:p>
    <w:p w14:paraId="505C7854" w14:textId="77777777" w:rsidR="0049002F" w:rsidRPr="0081146C" w:rsidRDefault="0049002F" w:rsidP="0049002F">
      <w:pPr>
        <w:pStyle w:val="subsection"/>
      </w:pPr>
      <w:r w:rsidRPr="0081146C">
        <w:tab/>
      </w:r>
      <w:r w:rsidRPr="0081146C">
        <w:tab/>
        <w:t>The AML/CTF Rules made under paragraph</w:t>
      </w:r>
      <w:r w:rsidR="004F64A4" w:rsidRPr="0081146C">
        <w:t> </w:t>
      </w:r>
      <w:r w:rsidRPr="0081146C">
        <w:t xml:space="preserve">76D(2)(b) or 76E(2)(b) must not affect the operation of Part VIIC of the </w:t>
      </w:r>
      <w:r w:rsidRPr="0081146C">
        <w:rPr>
          <w:i/>
        </w:rPr>
        <w:t>Crimes Act 1914</w:t>
      </w:r>
      <w:r w:rsidRPr="0081146C">
        <w:t xml:space="preserve"> (which includes provisions that, in certain circumstances, relieve persons from the requirement to disclose spent convictions and require persons aware of such convictions to disregard them).</w:t>
      </w:r>
    </w:p>
    <w:p w14:paraId="0681013E" w14:textId="77777777" w:rsidR="0049002F" w:rsidRPr="0081146C" w:rsidRDefault="0049002F" w:rsidP="0049002F">
      <w:pPr>
        <w:pStyle w:val="ActHead5"/>
      </w:pPr>
      <w:bookmarkStart w:id="364" w:name="_Toc185415884"/>
      <w:r w:rsidRPr="0081146C">
        <w:rPr>
          <w:rStyle w:val="CharSectno"/>
        </w:rPr>
        <w:t>76G</w:t>
      </w:r>
      <w:r w:rsidRPr="0081146C">
        <w:t xml:space="preserve">  Registration may be subject to conditions</w:t>
      </w:r>
      <w:bookmarkEnd w:id="364"/>
    </w:p>
    <w:p w14:paraId="1E195768" w14:textId="77777777" w:rsidR="0049002F" w:rsidRPr="0081146C" w:rsidRDefault="0049002F" w:rsidP="0049002F">
      <w:pPr>
        <w:pStyle w:val="subsection"/>
      </w:pPr>
      <w:r w:rsidRPr="0081146C">
        <w:tab/>
        <w:t>(1)</w:t>
      </w:r>
      <w:r w:rsidRPr="0081146C">
        <w:tab/>
        <w:t xml:space="preserve">The AUSTRAC CEO may, in writing, impose conditions to which the registration of a person under this </w:t>
      </w:r>
      <w:r w:rsidR="00753679" w:rsidRPr="0081146C">
        <w:t>Part i</w:t>
      </w:r>
      <w:r w:rsidRPr="0081146C">
        <w:t>s subject.</w:t>
      </w:r>
    </w:p>
    <w:p w14:paraId="4D3AE6E1" w14:textId="77777777" w:rsidR="0049002F" w:rsidRPr="0081146C" w:rsidRDefault="0049002F" w:rsidP="0049002F">
      <w:pPr>
        <w:pStyle w:val="notetext"/>
      </w:pPr>
      <w:r w:rsidRPr="0081146C">
        <w:t>Note:</w:t>
      </w:r>
      <w:r w:rsidRPr="0081146C">
        <w:tab/>
        <w:t xml:space="preserve">A decision to impose a condition is reviewable (see </w:t>
      </w:r>
      <w:r w:rsidR="00CA78AA" w:rsidRPr="0081146C">
        <w:t>Part 1</w:t>
      </w:r>
      <w:r w:rsidRPr="0081146C">
        <w:t>7A).</w:t>
      </w:r>
    </w:p>
    <w:p w14:paraId="67B8251F" w14:textId="77777777" w:rsidR="0049002F" w:rsidRPr="0081146C" w:rsidRDefault="0049002F" w:rsidP="0049002F">
      <w:pPr>
        <w:pStyle w:val="subsection"/>
      </w:pPr>
      <w:r w:rsidRPr="0081146C">
        <w:tab/>
        <w:t>(2)</w:t>
      </w:r>
      <w:r w:rsidRPr="0081146C">
        <w:tab/>
        <w:t xml:space="preserve">Without limiting the conditions that the AUSTRAC CEO may impose under </w:t>
      </w:r>
      <w:r w:rsidR="004F64A4" w:rsidRPr="0081146C">
        <w:t>subsection (</w:t>
      </w:r>
      <w:r w:rsidRPr="0081146C">
        <w:t>1), the conditions may relate to the following:</w:t>
      </w:r>
    </w:p>
    <w:p w14:paraId="1E74F8DF" w14:textId="0914BC12" w:rsidR="0049002F" w:rsidRPr="0081146C" w:rsidRDefault="0049002F" w:rsidP="0049002F">
      <w:pPr>
        <w:pStyle w:val="paragraph"/>
      </w:pPr>
      <w:r w:rsidRPr="0081146C">
        <w:tab/>
        <w:t>(a)</w:t>
      </w:r>
      <w:r w:rsidRPr="0081146C">
        <w:tab/>
        <w:t xml:space="preserve">the value of </w:t>
      </w:r>
      <w:bookmarkStart w:id="365" w:name="_Hlk172194345"/>
      <w:r w:rsidR="00B04A45" w:rsidRPr="009E2BDF">
        <w:t>virtual assets</w:t>
      </w:r>
      <w:bookmarkEnd w:id="365"/>
      <w:r w:rsidRPr="0081146C">
        <w:t xml:space="preserve"> or money exchanged;</w:t>
      </w:r>
    </w:p>
    <w:p w14:paraId="087C37FD" w14:textId="3D66E8AA" w:rsidR="0049002F" w:rsidRPr="0081146C" w:rsidRDefault="0049002F" w:rsidP="0049002F">
      <w:pPr>
        <w:pStyle w:val="paragraph"/>
      </w:pPr>
      <w:r w:rsidRPr="0081146C">
        <w:tab/>
        <w:t>(b)</w:t>
      </w:r>
      <w:r w:rsidRPr="0081146C">
        <w:tab/>
        <w:t xml:space="preserve">the </w:t>
      </w:r>
      <w:bookmarkStart w:id="366" w:name="_Hlk172194346"/>
      <w:r w:rsidR="00B04A45" w:rsidRPr="0081146C">
        <w:t>volume of virtual assets</w:t>
      </w:r>
      <w:bookmarkEnd w:id="366"/>
      <w:r w:rsidRPr="0081146C">
        <w:t xml:space="preserve"> exchanged (whether by reference to a particular period, a particular kind of </w:t>
      </w:r>
      <w:bookmarkStart w:id="367" w:name="_Hlk172194347"/>
      <w:r w:rsidR="00B04A45" w:rsidRPr="0081146C">
        <w:t>virtual asset</w:t>
      </w:r>
      <w:bookmarkEnd w:id="367"/>
      <w:r w:rsidRPr="0081146C">
        <w:t>, or otherwise);</w:t>
      </w:r>
    </w:p>
    <w:p w14:paraId="207CA87F" w14:textId="27806CDD" w:rsidR="0049002F" w:rsidRPr="0081146C" w:rsidRDefault="0049002F" w:rsidP="0049002F">
      <w:pPr>
        <w:pStyle w:val="paragraph"/>
      </w:pPr>
      <w:r w:rsidRPr="0081146C">
        <w:tab/>
        <w:t>(c)</w:t>
      </w:r>
      <w:r w:rsidRPr="0081146C">
        <w:tab/>
        <w:t xml:space="preserve">the kinds of </w:t>
      </w:r>
      <w:bookmarkStart w:id="368" w:name="_Hlk172194348"/>
      <w:r w:rsidR="00B04A45" w:rsidRPr="0081146C">
        <w:t>virtual assets</w:t>
      </w:r>
      <w:bookmarkEnd w:id="368"/>
      <w:r w:rsidR="00B04A45" w:rsidRPr="0081146C" w:rsidDel="00B04A45">
        <w:t xml:space="preserve"> </w:t>
      </w:r>
      <w:r w:rsidRPr="0081146C">
        <w:t>exchanged;</w:t>
      </w:r>
    </w:p>
    <w:p w14:paraId="6958E3D4" w14:textId="3EDEE5A8" w:rsidR="0049002F" w:rsidRPr="0081146C" w:rsidRDefault="0049002F" w:rsidP="0049002F">
      <w:pPr>
        <w:pStyle w:val="paragraph"/>
      </w:pPr>
      <w:r w:rsidRPr="0081146C">
        <w:tab/>
        <w:t>(d)</w:t>
      </w:r>
      <w:r w:rsidRPr="0081146C">
        <w:tab/>
        <w:t xml:space="preserve">requiring notification of the exchange of particular kinds of </w:t>
      </w:r>
      <w:bookmarkStart w:id="369" w:name="_Hlk172194349"/>
      <w:r w:rsidR="00B04A45" w:rsidRPr="009E2BDF">
        <w:t>virtual assets</w:t>
      </w:r>
      <w:bookmarkEnd w:id="369"/>
      <w:r w:rsidRPr="0081146C">
        <w:t>, changes in circumstances, or other specified events.</w:t>
      </w:r>
    </w:p>
    <w:p w14:paraId="1229381A" w14:textId="77777777" w:rsidR="0049002F" w:rsidRPr="0081146C" w:rsidRDefault="0049002F" w:rsidP="0049002F">
      <w:pPr>
        <w:pStyle w:val="notetext"/>
      </w:pPr>
      <w:r w:rsidRPr="0081146C">
        <w:t>Note:</w:t>
      </w:r>
      <w:r w:rsidRPr="0081146C">
        <w:tab/>
        <w:t>Section</w:t>
      </w:r>
      <w:r w:rsidR="004F64A4" w:rsidRPr="0081146C">
        <w:t> </w:t>
      </w:r>
      <w:r w:rsidRPr="0081146C">
        <w:t>76P imposes a general obligation in relation to notification of changes in circumstances.</w:t>
      </w:r>
    </w:p>
    <w:p w14:paraId="5259E921" w14:textId="77777777" w:rsidR="0049002F" w:rsidRPr="0081146C" w:rsidRDefault="0049002F" w:rsidP="0049002F">
      <w:pPr>
        <w:pStyle w:val="ActHead5"/>
      </w:pPr>
      <w:bookmarkStart w:id="370" w:name="_Toc185415885"/>
      <w:r w:rsidRPr="0081146C">
        <w:rPr>
          <w:rStyle w:val="CharSectno"/>
        </w:rPr>
        <w:t>76H</w:t>
      </w:r>
      <w:r w:rsidRPr="0081146C">
        <w:t xml:space="preserve">  When registration of a person ceases</w:t>
      </w:r>
      <w:bookmarkEnd w:id="370"/>
    </w:p>
    <w:p w14:paraId="5E516CDB" w14:textId="77777777" w:rsidR="0049002F" w:rsidRPr="0081146C" w:rsidRDefault="0049002F" w:rsidP="0049002F">
      <w:pPr>
        <w:pStyle w:val="subsection"/>
      </w:pPr>
      <w:r w:rsidRPr="0081146C">
        <w:tab/>
        <w:t>(1)</w:t>
      </w:r>
      <w:r w:rsidRPr="0081146C">
        <w:tab/>
        <w:t>The registration of a person ceases at the earliest of the following times:</w:t>
      </w:r>
    </w:p>
    <w:p w14:paraId="74C9ED8A" w14:textId="77777777" w:rsidR="0049002F" w:rsidRPr="0081146C" w:rsidRDefault="0049002F" w:rsidP="0049002F">
      <w:pPr>
        <w:pStyle w:val="paragraph"/>
      </w:pPr>
      <w:r w:rsidRPr="0081146C">
        <w:tab/>
        <w:t>(a)</w:t>
      </w:r>
      <w:r w:rsidRPr="0081146C">
        <w:tab/>
        <w:t>when the cancellation of the registration of the person under section</w:t>
      </w:r>
      <w:r w:rsidR="004F64A4" w:rsidRPr="0081146C">
        <w:t> </w:t>
      </w:r>
      <w:r w:rsidRPr="0081146C">
        <w:t>76J takes effect;</w:t>
      </w:r>
    </w:p>
    <w:p w14:paraId="01AABB20" w14:textId="5BBC695F" w:rsidR="0049002F" w:rsidRPr="0081146C" w:rsidRDefault="0049002F" w:rsidP="0049002F">
      <w:pPr>
        <w:pStyle w:val="paragraph"/>
      </w:pPr>
      <w:r w:rsidRPr="0081146C">
        <w:tab/>
        <w:t>(b)</w:t>
      </w:r>
      <w:r w:rsidRPr="0081146C">
        <w:tab/>
        <w:t xml:space="preserve">when the entry relating to the registration of the person is removed from the </w:t>
      </w:r>
      <w:bookmarkStart w:id="371" w:name="_Hlk172194350"/>
      <w:r w:rsidR="00B04A45" w:rsidRPr="007853E7">
        <w:t>Virtual Asset Service Provider</w:t>
      </w:r>
      <w:bookmarkEnd w:id="371"/>
      <w:r w:rsidRPr="0081146C">
        <w:t xml:space="preserve"> Register under subsection</w:t>
      </w:r>
      <w:r w:rsidR="004F64A4" w:rsidRPr="0081146C">
        <w:t> </w:t>
      </w:r>
      <w:r w:rsidRPr="0081146C">
        <w:t>76M(2);</w:t>
      </w:r>
    </w:p>
    <w:p w14:paraId="0DD974FF" w14:textId="77777777" w:rsidR="0049002F" w:rsidRPr="0081146C" w:rsidRDefault="0049002F" w:rsidP="0049002F">
      <w:pPr>
        <w:pStyle w:val="paragraph"/>
      </w:pPr>
      <w:r w:rsidRPr="0081146C">
        <w:tab/>
        <w:t>(c)</w:t>
      </w:r>
      <w:r w:rsidRPr="0081146C">
        <w:tab/>
        <w:t xml:space="preserve">subject to </w:t>
      </w:r>
      <w:r w:rsidR="004F64A4" w:rsidRPr="0081146C">
        <w:t>subsection (</w:t>
      </w:r>
      <w:r w:rsidRPr="0081146C">
        <w:t>2)—3 years after the day on which the registration took effect;</w:t>
      </w:r>
    </w:p>
    <w:p w14:paraId="6A6A2138" w14:textId="77777777" w:rsidR="0049002F" w:rsidRPr="0081146C" w:rsidRDefault="0049002F" w:rsidP="0049002F">
      <w:pPr>
        <w:pStyle w:val="paragraph"/>
      </w:pPr>
      <w:r w:rsidRPr="0081146C">
        <w:tab/>
        <w:t>(d)</w:t>
      </w:r>
      <w:r w:rsidRPr="0081146C">
        <w:tab/>
        <w:t>in the case of an individual—when the individual dies;</w:t>
      </w:r>
    </w:p>
    <w:p w14:paraId="0489563C" w14:textId="77777777" w:rsidR="0049002F" w:rsidRPr="0081146C" w:rsidRDefault="0049002F" w:rsidP="0049002F">
      <w:pPr>
        <w:pStyle w:val="paragraph"/>
      </w:pPr>
      <w:r w:rsidRPr="0081146C">
        <w:tab/>
        <w:t>(e)</w:t>
      </w:r>
      <w:r w:rsidRPr="0081146C">
        <w:tab/>
        <w:t>in the case of a body corporate—when the body corporate ceases to exist.</w:t>
      </w:r>
    </w:p>
    <w:p w14:paraId="23BDFD10" w14:textId="77777777" w:rsidR="0049002F" w:rsidRPr="0081146C" w:rsidRDefault="0049002F" w:rsidP="0049002F">
      <w:pPr>
        <w:pStyle w:val="subsection"/>
      </w:pPr>
      <w:r w:rsidRPr="0081146C">
        <w:tab/>
        <w:t>(2)</w:t>
      </w:r>
      <w:r w:rsidRPr="0081146C">
        <w:tab/>
      </w:r>
      <w:r w:rsidR="004F64A4" w:rsidRPr="0081146C">
        <w:t>Paragraph (</w:t>
      </w:r>
      <w:r w:rsidRPr="0081146C">
        <w:t>1)(c) is subject to the AML/CTF Rules made under section</w:t>
      </w:r>
      <w:r w:rsidR="004F64A4" w:rsidRPr="0081146C">
        <w:t> </w:t>
      </w:r>
      <w:r w:rsidRPr="0081146C">
        <w:t>76L (which deals with renewal of registration).</w:t>
      </w:r>
    </w:p>
    <w:p w14:paraId="4AA20A4E" w14:textId="77777777" w:rsidR="0049002F" w:rsidRPr="0081146C" w:rsidRDefault="0049002F" w:rsidP="0049002F">
      <w:pPr>
        <w:pStyle w:val="ActHead5"/>
      </w:pPr>
      <w:bookmarkStart w:id="372" w:name="_Toc185415886"/>
      <w:r w:rsidRPr="0081146C">
        <w:rPr>
          <w:rStyle w:val="CharSectno"/>
        </w:rPr>
        <w:t>76J</w:t>
      </w:r>
      <w:r w:rsidRPr="0081146C">
        <w:t xml:space="preserve">  Cancellation of registration</w:t>
      </w:r>
      <w:bookmarkEnd w:id="372"/>
    </w:p>
    <w:p w14:paraId="457234B7" w14:textId="77777777" w:rsidR="0049002F" w:rsidRPr="0081146C" w:rsidRDefault="0049002F" w:rsidP="0049002F">
      <w:pPr>
        <w:pStyle w:val="subsection"/>
        <w:rPr>
          <w:rFonts w:eastAsia="Calibri"/>
        </w:rPr>
      </w:pPr>
      <w:r w:rsidRPr="0081146C">
        <w:tab/>
        <w:t>(1)</w:t>
      </w:r>
      <w:r w:rsidRPr="0081146C">
        <w:tab/>
        <w:t>The AUSTRAC CEO may cancel the registration of a person if the AUSTRAC CEO is satisfied that</w:t>
      </w:r>
      <w:r w:rsidRPr="0081146C">
        <w:rPr>
          <w:rFonts w:eastAsia="Calibri"/>
        </w:rPr>
        <w:t xml:space="preserve"> it is appropriate to do so, having regard to:</w:t>
      </w:r>
    </w:p>
    <w:p w14:paraId="495D3D47" w14:textId="77777777" w:rsidR="0049002F" w:rsidRPr="0081146C" w:rsidRDefault="0049002F" w:rsidP="0049002F">
      <w:pPr>
        <w:pStyle w:val="paragraph"/>
        <w:rPr>
          <w:rFonts w:eastAsia="Calibri"/>
        </w:rPr>
      </w:pPr>
      <w:r w:rsidRPr="0081146C">
        <w:rPr>
          <w:rFonts w:eastAsia="Calibri"/>
        </w:rPr>
        <w:tab/>
        <w:t>(a)</w:t>
      </w:r>
      <w:r w:rsidRPr="0081146C">
        <w:rPr>
          <w:rFonts w:eastAsia="Calibri"/>
        </w:rPr>
        <w:tab/>
        <w:t>whether the continued registration of the person involves, or may involve, a significant money laundering, financing of terrorism or other serious crime risk; or</w:t>
      </w:r>
    </w:p>
    <w:p w14:paraId="19049CBF" w14:textId="77777777" w:rsidR="0049002F" w:rsidRPr="0081146C" w:rsidRDefault="0049002F" w:rsidP="0049002F">
      <w:pPr>
        <w:pStyle w:val="paragraph"/>
        <w:rPr>
          <w:rFonts w:eastAsia="Calibri"/>
        </w:rPr>
      </w:pPr>
      <w:r w:rsidRPr="0081146C">
        <w:tab/>
        <w:t>(b)</w:t>
      </w:r>
      <w:r w:rsidRPr="0081146C">
        <w:tab/>
        <w:t>one or more breaches by the person of a condition of registration; or</w:t>
      </w:r>
    </w:p>
    <w:p w14:paraId="60FDF798" w14:textId="77777777" w:rsidR="0049002F" w:rsidRPr="0081146C" w:rsidRDefault="0049002F" w:rsidP="0049002F">
      <w:pPr>
        <w:pStyle w:val="paragraph"/>
        <w:rPr>
          <w:rFonts w:eastAsia="Calibri"/>
        </w:rPr>
      </w:pPr>
      <w:r w:rsidRPr="0081146C">
        <w:rPr>
          <w:rFonts w:eastAsia="Calibri"/>
        </w:rPr>
        <w:tab/>
        <w:t>(c)</w:t>
      </w:r>
      <w:r w:rsidRPr="0081146C">
        <w:rPr>
          <w:rFonts w:eastAsia="Calibri"/>
        </w:rPr>
        <w:tab/>
        <w:t>such other matters (if any) as are specified in the AML/CTF Rules under this paragraph.</w:t>
      </w:r>
    </w:p>
    <w:p w14:paraId="0A106281" w14:textId="4122219B" w:rsidR="0049002F" w:rsidRPr="0081146C" w:rsidRDefault="0049002F" w:rsidP="0049002F">
      <w:pPr>
        <w:pStyle w:val="subsection"/>
        <w:rPr>
          <w:rFonts w:eastAsia="Calibri"/>
        </w:rPr>
      </w:pPr>
      <w:r w:rsidRPr="0081146C">
        <w:rPr>
          <w:rFonts w:eastAsia="Calibri"/>
        </w:rPr>
        <w:tab/>
        <w:t>(2)</w:t>
      </w:r>
      <w:r w:rsidRPr="0081146C">
        <w:rPr>
          <w:rFonts w:eastAsia="Calibri"/>
        </w:rPr>
        <w:tab/>
        <w:t xml:space="preserve">The AUSTRAC CEO may also cancel the registration of a person if the AUSTRAC CEO has reasonable grounds to believe that the registered person no longer carries on a business that involves providing a </w:t>
      </w:r>
      <w:r w:rsidR="00B04A45" w:rsidRPr="0081146C">
        <w:t>virtual asset</w:t>
      </w:r>
      <w:r w:rsidRPr="0081146C">
        <w:rPr>
          <w:rFonts w:eastAsia="Calibri"/>
        </w:rPr>
        <w:t xml:space="preserve"> service.</w:t>
      </w:r>
    </w:p>
    <w:p w14:paraId="319FB200" w14:textId="77777777" w:rsidR="0049002F" w:rsidRPr="0081146C" w:rsidRDefault="0049002F" w:rsidP="0049002F">
      <w:pPr>
        <w:pStyle w:val="notetext"/>
      </w:pPr>
      <w:r w:rsidRPr="0081146C">
        <w:t>Note:</w:t>
      </w:r>
      <w:r w:rsidRPr="0081146C">
        <w:tab/>
        <w:t xml:space="preserve">A decision to cancel a registration is reviewable (see </w:t>
      </w:r>
      <w:r w:rsidR="00CA78AA" w:rsidRPr="0081146C">
        <w:t>Part 1</w:t>
      </w:r>
      <w:r w:rsidRPr="0081146C">
        <w:t>7A).</w:t>
      </w:r>
    </w:p>
    <w:p w14:paraId="567C7A3F" w14:textId="77777777" w:rsidR="0049002F" w:rsidRPr="0081146C" w:rsidRDefault="0049002F" w:rsidP="0049002F">
      <w:pPr>
        <w:pStyle w:val="subsection"/>
      </w:pPr>
      <w:r w:rsidRPr="0081146C">
        <w:tab/>
        <w:t>(3)</w:t>
      </w:r>
      <w:r w:rsidRPr="0081146C">
        <w:tab/>
        <w:t>The cancellation of the registration of a person takes effect on the day specified in the notice given to the person under subsection</w:t>
      </w:r>
      <w:r w:rsidR="004F64A4" w:rsidRPr="0081146C">
        <w:t> </w:t>
      </w:r>
      <w:r w:rsidRPr="0081146C">
        <w:t>233C(1).</w:t>
      </w:r>
    </w:p>
    <w:p w14:paraId="006AB156" w14:textId="77777777" w:rsidR="0049002F" w:rsidRPr="0081146C" w:rsidRDefault="0049002F" w:rsidP="0049002F">
      <w:pPr>
        <w:pStyle w:val="subsection"/>
      </w:pPr>
      <w:r w:rsidRPr="0081146C">
        <w:tab/>
        <w:t>(4)</w:t>
      </w:r>
      <w:r w:rsidRPr="0081146C">
        <w:tab/>
        <w:t>The AUSTRAC CEO may publish, in the manner specified in the AML/CTF Rules, a list of the names of persons whose registration has been cancelled and the date the cancellation takes effect.</w:t>
      </w:r>
    </w:p>
    <w:p w14:paraId="1821D9AE" w14:textId="77777777" w:rsidR="0049002F" w:rsidRPr="0081146C" w:rsidRDefault="0049002F" w:rsidP="0049002F">
      <w:pPr>
        <w:pStyle w:val="ActHead5"/>
      </w:pPr>
      <w:bookmarkStart w:id="373" w:name="_Toc185415887"/>
      <w:r w:rsidRPr="0081146C">
        <w:rPr>
          <w:rStyle w:val="CharSectno"/>
        </w:rPr>
        <w:t>76K</w:t>
      </w:r>
      <w:r w:rsidRPr="0081146C">
        <w:t xml:space="preserve">  Suspension of registration</w:t>
      </w:r>
      <w:bookmarkEnd w:id="373"/>
    </w:p>
    <w:p w14:paraId="65A8ACD8" w14:textId="77777777" w:rsidR="0049002F" w:rsidRPr="0081146C" w:rsidRDefault="0049002F" w:rsidP="0049002F">
      <w:pPr>
        <w:pStyle w:val="subsection"/>
      </w:pPr>
      <w:r w:rsidRPr="0081146C">
        <w:tab/>
        <w:t>(1)</w:t>
      </w:r>
      <w:r w:rsidRPr="0081146C">
        <w:tab/>
        <w:t>The AML/CTF Rules may make provision for and in relation to the suspension of registrations by the AUSTRAC CEO under this Part.</w:t>
      </w:r>
    </w:p>
    <w:p w14:paraId="12FBCE80" w14:textId="77777777" w:rsidR="0049002F" w:rsidRPr="0081146C" w:rsidRDefault="0049002F" w:rsidP="0049002F">
      <w:pPr>
        <w:pStyle w:val="subsection"/>
      </w:pPr>
      <w:r w:rsidRPr="0081146C">
        <w:tab/>
        <w:t>(2)</w:t>
      </w:r>
      <w:r w:rsidRPr="0081146C">
        <w:tab/>
        <w:t>The AML/CTF Rules may provide for matters including, but not limited to, the following:</w:t>
      </w:r>
    </w:p>
    <w:p w14:paraId="612DAF35" w14:textId="77777777" w:rsidR="0049002F" w:rsidRPr="0081146C" w:rsidRDefault="0049002F" w:rsidP="0049002F">
      <w:pPr>
        <w:pStyle w:val="paragraph"/>
      </w:pPr>
      <w:r w:rsidRPr="0081146C">
        <w:tab/>
        <w:t>(a)</w:t>
      </w:r>
      <w:r w:rsidRPr="0081146C">
        <w:tab/>
        <w:t>the grounds for suspension of registration;</w:t>
      </w:r>
    </w:p>
    <w:p w14:paraId="30A772A0" w14:textId="77777777" w:rsidR="0049002F" w:rsidRPr="0081146C" w:rsidRDefault="0049002F" w:rsidP="0049002F">
      <w:pPr>
        <w:pStyle w:val="paragraph"/>
      </w:pPr>
      <w:r w:rsidRPr="0081146C">
        <w:tab/>
        <w:t>(b)</w:t>
      </w:r>
      <w:r w:rsidRPr="0081146C">
        <w:tab/>
        <w:t>the effect of suspension on registration;</w:t>
      </w:r>
    </w:p>
    <w:p w14:paraId="22E52CF5" w14:textId="77777777" w:rsidR="0049002F" w:rsidRPr="0081146C" w:rsidRDefault="0049002F" w:rsidP="0049002F">
      <w:pPr>
        <w:pStyle w:val="paragraph"/>
      </w:pPr>
      <w:r w:rsidRPr="0081146C">
        <w:tab/>
        <w:t>(c)</w:t>
      </w:r>
      <w:r w:rsidRPr="0081146C">
        <w:tab/>
        <w:t>the period for which suspensions have effect;</w:t>
      </w:r>
    </w:p>
    <w:p w14:paraId="4CFA7BC2" w14:textId="5AB7654F" w:rsidR="0049002F" w:rsidRPr="0081146C" w:rsidRDefault="0049002F" w:rsidP="0049002F">
      <w:pPr>
        <w:pStyle w:val="paragraph"/>
      </w:pPr>
      <w:r w:rsidRPr="0081146C">
        <w:tab/>
        <w:t>(d)</w:t>
      </w:r>
      <w:r w:rsidRPr="0081146C">
        <w:tab/>
        <w:t xml:space="preserve">making entries in and removing entries from the </w:t>
      </w:r>
      <w:r w:rsidR="00B04A45" w:rsidRPr="0081146C">
        <w:t>Virtual Asset Service Provider</w:t>
      </w:r>
      <w:r w:rsidRPr="0081146C">
        <w:t xml:space="preserve"> Register in relation to suspension;</w:t>
      </w:r>
    </w:p>
    <w:p w14:paraId="406AA9A1" w14:textId="77777777" w:rsidR="0049002F" w:rsidRPr="0081146C" w:rsidRDefault="0049002F" w:rsidP="0049002F">
      <w:pPr>
        <w:pStyle w:val="paragraph"/>
      </w:pPr>
      <w:r w:rsidRPr="0081146C">
        <w:tab/>
        <w:t>(e)</w:t>
      </w:r>
      <w:r w:rsidRPr="0081146C">
        <w:tab/>
        <w:t>notices of suspension;</w:t>
      </w:r>
    </w:p>
    <w:p w14:paraId="56FA4B65" w14:textId="77777777" w:rsidR="0049002F" w:rsidRPr="0081146C" w:rsidRDefault="0049002F" w:rsidP="0049002F">
      <w:pPr>
        <w:pStyle w:val="paragraph"/>
      </w:pPr>
      <w:r w:rsidRPr="0081146C">
        <w:tab/>
        <w:t>(f)</w:t>
      </w:r>
      <w:r w:rsidRPr="0081146C">
        <w:tab/>
        <w:t>review of decisions relating to suspension.</w:t>
      </w:r>
    </w:p>
    <w:p w14:paraId="5B2B4D96" w14:textId="77777777" w:rsidR="0049002F" w:rsidRPr="0081146C" w:rsidRDefault="0049002F" w:rsidP="0049002F">
      <w:pPr>
        <w:pStyle w:val="ActHead5"/>
      </w:pPr>
      <w:bookmarkStart w:id="374" w:name="_Toc185415888"/>
      <w:r w:rsidRPr="0081146C">
        <w:rPr>
          <w:rStyle w:val="CharSectno"/>
        </w:rPr>
        <w:t>76L</w:t>
      </w:r>
      <w:r w:rsidRPr="0081146C">
        <w:t xml:space="preserve">  Renewal of registration</w:t>
      </w:r>
      <w:bookmarkEnd w:id="374"/>
    </w:p>
    <w:p w14:paraId="274C62EA" w14:textId="77777777" w:rsidR="0049002F" w:rsidRPr="0081146C" w:rsidRDefault="0049002F" w:rsidP="0049002F">
      <w:pPr>
        <w:pStyle w:val="subsection"/>
      </w:pPr>
      <w:r w:rsidRPr="0081146C">
        <w:tab/>
        <w:t>(1)</w:t>
      </w:r>
      <w:r w:rsidRPr="0081146C">
        <w:tab/>
        <w:t>The AML/CTF Rules may make provision for and in relation to the renewal of registrations by the AUSTRAC CEO under this Part.</w:t>
      </w:r>
    </w:p>
    <w:p w14:paraId="387B624E" w14:textId="77777777" w:rsidR="0049002F" w:rsidRPr="0081146C" w:rsidRDefault="0049002F" w:rsidP="0049002F">
      <w:pPr>
        <w:pStyle w:val="subsection"/>
      </w:pPr>
      <w:r w:rsidRPr="0081146C">
        <w:tab/>
        <w:t>(2)</w:t>
      </w:r>
      <w:r w:rsidRPr="0081146C">
        <w:tab/>
        <w:t>The AML/CTF Rules may provide for matters including, but not limited to, the following:</w:t>
      </w:r>
    </w:p>
    <w:p w14:paraId="7077261F" w14:textId="77777777" w:rsidR="0049002F" w:rsidRPr="0081146C" w:rsidRDefault="0049002F" w:rsidP="0049002F">
      <w:pPr>
        <w:pStyle w:val="paragraph"/>
      </w:pPr>
      <w:r w:rsidRPr="0081146C">
        <w:tab/>
        <w:t>(a)</w:t>
      </w:r>
      <w:r w:rsidRPr="0081146C">
        <w:tab/>
        <w:t>the making of applications for renewal;</w:t>
      </w:r>
    </w:p>
    <w:p w14:paraId="25FE60A9" w14:textId="77777777" w:rsidR="0049002F" w:rsidRPr="0081146C" w:rsidRDefault="0049002F" w:rsidP="0049002F">
      <w:pPr>
        <w:pStyle w:val="paragraph"/>
      </w:pPr>
      <w:r w:rsidRPr="0081146C">
        <w:tab/>
        <w:t>(b)</w:t>
      </w:r>
      <w:r w:rsidRPr="0081146C">
        <w:tab/>
        <w:t>the period within which applications for renewal may be made;</w:t>
      </w:r>
    </w:p>
    <w:p w14:paraId="2ACEEE5D" w14:textId="77777777" w:rsidR="0049002F" w:rsidRPr="0081146C" w:rsidRDefault="0049002F" w:rsidP="0049002F">
      <w:pPr>
        <w:pStyle w:val="paragraph"/>
      </w:pPr>
      <w:r w:rsidRPr="0081146C">
        <w:tab/>
        <w:t>(c)</w:t>
      </w:r>
      <w:r w:rsidRPr="0081146C">
        <w:tab/>
        <w:t>the criteria for determining applications for renewal;</w:t>
      </w:r>
    </w:p>
    <w:p w14:paraId="5F9B3DC0" w14:textId="5D3E0777" w:rsidR="0049002F" w:rsidRPr="0081146C" w:rsidRDefault="0049002F" w:rsidP="0049002F">
      <w:pPr>
        <w:pStyle w:val="paragraph"/>
      </w:pPr>
      <w:r w:rsidRPr="0081146C">
        <w:tab/>
        <w:t>(d)</w:t>
      </w:r>
      <w:r w:rsidRPr="0081146C">
        <w:tab/>
        <w:t xml:space="preserve">entries in the </w:t>
      </w:r>
      <w:r w:rsidR="00B04A45" w:rsidRPr="0081146C">
        <w:t>Virtual Asset Service Provider</w:t>
      </w:r>
      <w:r w:rsidRPr="0081146C">
        <w:t xml:space="preserve"> Register in relation to renewal;</w:t>
      </w:r>
    </w:p>
    <w:p w14:paraId="619CD207" w14:textId="77777777" w:rsidR="0049002F" w:rsidRPr="0081146C" w:rsidRDefault="0049002F" w:rsidP="0049002F">
      <w:pPr>
        <w:pStyle w:val="paragraph"/>
      </w:pPr>
      <w:r w:rsidRPr="0081146C">
        <w:tab/>
        <w:t>(e)</w:t>
      </w:r>
      <w:r w:rsidRPr="0081146C">
        <w:tab/>
        <w:t>the giving of notices relating to decisions on applications for renewal;</w:t>
      </w:r>
    </w:p>
    <w:p w14:paraId="58324A3B" w14:textId="77777777" w:rsidR="0049002F" w:rsidRPr="0081146C" w:rsidRDefault="0049002F" w:rsidP="0049002F">
      <w:pPr>
        <w:pStyle w:val="paragraph"/>
      </w:pPr>
      <w:r w:rsidRPr="0081146C">
        <w:tab/>
        <w:t>(f)</w:t>
      </w:r>
      <w:r w:rsidRPr="0081146C">
        <w:tab/>
        <w:t>review of decisions relating to applications for renewal;</w:t>
      </w:r>
    </w:p>
    <w:p w14:paraId="1C56A4A9" w14:textId="77777777" w:rsidR="0049002F" w:rsidRPr="0081146C" w:rsidRDefault="0049002F" w:rsidP="0049002F">
      <w:pPr>
        <w:pStyle w:val="paragraph"/>
      </w:pPr>
      <w:r w:rsidRPr="0081146C">
        <w:tab/>
        <w:t>(g)</w:t>
      </w:r>
      <w:r w:rsidRPr="0081146C">
        <w:tab/>
        <w:t>the period for which renewed registrations have effect.</w:t>
      </w:r>
    </w:p>
    <w:p w14:paraId="42F79819" w14:textId="77777777" w:rsidR="0049002F" w:rsidRPr="0081146C" w:rsidRDefault="0049002F" w:rsidP="0049002F">
      <w:pPr>
        <w:pStyle w:val="subsection"/>
      </w:pPr>
      <w:r w:rsidRPr="0081146C">
        <w:tab/>
        <w:t>(3)</w:t>
      </w:r>
      <w:r w:rsidRPr="0081146C">
        <w:tab/>
        <w:t>In particular, the AML/CTF Rules may provide that:</w:t>
      </w:r>
    </w:p>
    <w:p w14:paraId="2F92D378" w14:textId="77777777" w:rsidR="0049002F" w:rsidRPr="0081146C" w:rsidRDefault="0049002F" w:rsidP="0049002F">
      <w:pPr>
        <w:pStyle w:val="paragraph"/>
      </w:pPr>
      <w:r w:rsidRPr="0081146C">
        <w:tab/>
        <w:t>(a)</w:t>
      </w:r>
      <w:r w:rsidRPr="0081146C">
        <w:tab/>
        <w:t>if the registration of a person would otherwise cease at the end of the period of 3 years commencing on the day on which the registration took effect; and</w:t>
      </w:r>
    </w:p>
    <w:p w14:paraId="2EC77B03" w14:textId="77777777" w:rsidR="0049002F" w:rsidRPr="0081146C" w:rsidRDefault="0049002F" w:rsidP="0049002F">
      <w:pPr>
        <w:pStyle w:val="paragraph"/>
      </w:pPr>
      <w:r w:rsidRPr="0081146C">
        <w:tab/>
        <w:t>(b)</w:t>
      </w:r>
      <w:r w:rsidRPr="0081146C">
        <w:tab/>
        <w:t>before the end of that period, an application for renewal of the registration was made to the AUSTRAC CEO within the period, and in the manner provided for, in the AML/CTF Rules;</w:t>
      </w:r>
    </w:p>
    <w:p w14:paraId="35C6E274" w14:textId="77777777" w:rsidR="0049002F" w:rsidRPr="0081146C" w:rsidRDefault="0049002F" w:rsidP="0049002F">
      <w:pPr>
        <w:pStyle w:val="subsection2"/>
      </w:pPr>
      <w:r w:rsidRPr="0081146C">
        <w:t>the registration of the person continues in effect after the end of that period in accordance with the Rules.</w:t>
      </w:r>
    </w:p>
    <w:p w14:paraId="29EA571B" w14:textId="169020A5" w:rsidR="0049002F" w:rsidRPr="0081146C" w:rsidRDefault="0049002F" w:rsidP="0049002F">
      <w:pPr>
        <w:pStyle w:val="ActHead5"/>
      </w:pPr>
      <w:bookmarkStart w:id="375" w:name="_Toc185415889"/>
      <w:r w:rsidRPr="0081146C">
        <w:rPr>
          <w:rStyle w:val="CharSectno"/>
        </w:rPr>
        <w:t>76M</w:t>
      </w:r>
      <w:r w:rsidRPr="0081146C">
        <w:t xml:space="preserve">  Removal of entries from the </w:t>
      </w:r>
      <w:bookmarkStart w:id="376" w:name="_Hlk172194351"/>
      <w:r w:rsidR="00B04A45" w:rsidRPr="0081146C">
        <w:t>Virtual Asset Service Provider</w:t>
      </w:r>
      <w:bookmarkEnd w:id="376"/>
      <w:r w:rsidRPr="0081146C">
        <w:t xml:space="preserve"> Register</w:t>
      </w:r>
      <w:bookmarkEnd w:id="375"/>
    </w:p>
    <w:p w14:paraId="1E1C6DEB" w14:textId="77777777" w:rsidR="0049002F" w:rsidRPr="0081146C" w:rsidRDefault="0049002F" w:rsidP="0049002F">
      <w:pPr>
        <w:pStyle w:val="SubsectionHead"/>
      </w:pPr>
      <w:r w:rsidRPr="0081146C">
        <w:t>Removal on request</w:t>
      </w:r>
    </w:p>
    <w:p w14:paraId="43B1924F" w14:textId="09873985" w:rsidR="0049002F" w:rsidRPr="0081146C" w:rsidRDefault="0049002F" w:rsidP="0049002F">
      <w:pPr>
        <w:pStyle w:val="subsection"/>
      </w:pPr>
      <w:r w:rsidRPr="0081146C">
        <w:tab/>
        <w:t>(1)</w:t>
      </w:r>
      <w:r w:rsidRPr="0081146C">
        <w:tab/>
        <w:t xml:space="preserve">A person who is a registered </w:t>
      </w:r>
      <w:r w:rsidR="00B04A45" w:rsidRPr="0081146C">
        <w:t>virtual asset service</w:t>
      </w:r>
      <w:r w:rsidRPr="0081146C">
        <w:t xml:space="preserve"> provider may request the AUSTRAC CEO, in writing, to remove the entry relating to the registration of the person from the </w:t>
      </w:r>
      <w:bookmarkStart w:id="377" w:name="_Hlk172194352"/>
      <w:r w:rsidR="00B04A45" w:rsidRPr="0081146C">
        <w:t>Virtual Asset Service Provider</w:t>
      </w:r>
      <w:bookmarkEnd w:id="377"/>
      <w:r w:rsidRPr="0081146C">
        <w:t xml:space="preserve"> Register.</w:t>
      </w:r>
    </w:p>
    <w:p w14:paraId="0E46B48C" w14:textId="7C12768C" w:rsidR="0049002F" w:rsidRPr="0081146C" w:rsidRDefault="0049002F" w:rsidP="0049002F">
      <w:pPr>
        <w:pStyle w:val="subsection"/>
      </w:pPr>
      <w:r w:rsidRPr="0081146C">
        <w:tab/>
        <w:t>(2)</w:t>
      </w:r>
      <w:r w:rsidRPr="0081146C">
        <w:tab/>
        <w:t xml:space="preserve">If a person makes a request under </w:t>
      </w:r>
      <w:r w:rsidR="004F64A4" w:rsidRPr="0081146C">
        <w:t>subsection (</w:t>
      </w:r>
      <w:r w:rsidRPr="0081146C">
        <w:t xml:space="preserve">1), the AUSTRAC CEO must remove the entry from the </w:t>
      </w:r>
      <w:r w:rsidR="00B04A45" w:rsidRPr="0081146C">
        <w:t>Virtual Asset Service Provider</w:t>
      </w:r>
      <w:r w:rsidRPr="0081146C">
        <w:t xml:space="preserve"> Register.</w:t>
      </w:r>
    </w:p>
    <w:p w14:paraId="49891C27" w14:textId="77777777" w:rsidR="0049002F" w:rsidRPr="0081146C" w:rsidRDefault="0049002F" w:rsidP="0049002F">
      <w:pPr>
        <w:pStyle w:val="SubsectionHead"/>
      </w:pPr>
      <w:r w:rsidRPr="0081146C">
        <w:t>Removal on cessation of registration</w:t>
      </w:r>
    </w:p>
    <w:p w14:paraId="2C09CDF9" w14:textId="51B1FCAF" w:rsidR="0049002F" w:rsidRPr="0081146C" w:rsidRDefault="0049002F" w:rsidP="0049002F">
      <w:pPr>
        <w:pStyle w:val="subsection"/>
      </w:pPr>
      <w:r w:rsidRPr="0081146C">
        <w:tab/>
        <w:t>(3)</w:t>
      </w:r>
      <w:r w:rsidRPr="0081146C">
        <w:tab/>
        <w:t xml:space="preserve">If the registration of a person ceases under another provision of this Part, the AUSTRAC CEO must remove the entry relating to the registration from the </w:t>
      </w:r>
      <w:r w:rsidR="00B04A45" w:rsidRPr="0081146C">
        <w:t>Virtual Asset Service Provider</w:t>
      </w:r>
      <w:r w:rsidRPr="0081146C">
        <w:t xml:space="preserve"> Register.</w:t>
      </w:r>
    </w:p>
    <w:p w14:paraId="0F2FA014" w14:textId="77777777" w:rsidR="0049002F" w:rsidRPr="0081146C" w:rsidRDefault="0049002F" w:rsidP="0049002F">
      <w:pPr>
        <w:pStyle w:val="SubsectionHead"/>
      </w:pPr>
      <w:r w:rsidRPr="0081146C">
        <w:t>Notice of removal</w:t>
      </w:r>
    </w:p>
    <w:p w14:paraId="311CD1D8" w14:textId="77777777" w:rsidR="0049002F" w:rsidRPr="0081146C" w:rsidRDefault="0049002F" w:rsidP="0049002F">
      <w:pPr>
        <w:pStyle w:val="subsection"/>
      </w:pPr>
      <w:r w:rsidRPr="0081146C">
        <w:tab/>
        <w:t>(4)</w:t>
      </w:r>
      <w:r w:rsidRPr="0081146C">
        <w:tab/>
        <w:t xml:space="preserve">The AUSTRAC CEO must, as soon as reasonably practicable, notify a person, in writing, if the AUSTRAC CEO has acted under </w:t>
      </w:r>
      <w:r w:rsidR="004F64A4" w:rsidRPr="0081146C">
        <w:t>subsection (</w:t>
      </w:r>
      <w:r w:rsidRPr="0081146C">
        <w:t>3) in relation to the person (unless the person has died or, in the case of a body corporate, ceased to exist).</w:t>
      </w:r>
    </w:p>
    <w:p w14:paraId="39AB163F" w14:textId="77777777" w:rsidR="0049002F" w:rsidRPr="0081146C" w:rsidRDefault="0049002F" w:rsidP="0049002F">
      <w:pPr>
        <w:pStyle w:val="ActHead5"/>
      </w:pPr>
      <w:bookmarkStart w:id="378" w:name="_Toc185415890"/>
      <w:r w:rsidRPr="0081146C">
        <w:rPr>
          <w:rStyle w:val="CharSectno"/>
        </w:rPr>
        <w:t>76N</w:t>
      </w:r>
      <w:r w:rsidRPr="0081146C">
        <w:t xml:space="preserve">  AML/CTF Rules—general provision</w:t>
      </w:r>
      <w:bookmarkEnd w:id="378"/>
    </w:p>
    <w:p w14:paraId="7381535D" w14:textId="77777777" w:rsidR="0049002F" w:rsidRPr="0081146C" w:rsidRDefault="0049002F" w:rsidP="0049002F">
      <w:pPr>
        <w:pStyle w:val="subsection"/>
      </w:pPr>
      <w:r w:rsidRPr="0081146C">
        <w:tab/>
      </w:r>
      <w:r w:rsidRPr="0081146C">
        <w:tab/>
        <w:t>If a provision of this Part provides for the AML/CTF Rules to make provision in relation to a matter relating to the registration or proposed registration of a person, the AML/CTF Rules may make different provision in relation to a matter depending on different circumstances.</w:t>
      </w:r>
    </w:p>
    <w:p w14:paraId="436806E1" w14:textId="77777777" w:rsidR="0049002F" w:rsidRPr="0081146C" w:rsidRDefault="0049002F" w:rsidP="0049002F">
      <w:pPr>
        <w:pStyle w:val="ActHead5"/>
      </w:pPr>
      <w:bookmarkStart w:id="379" w:name="_Toc185415891"/>
      <w:r w:rsidRPr="0081146C">
        <w:rPr>
          <w:rStyle w:val="CharSectno"/>
        </w:rPr>
        <w:t>76P</w:t>
      </w:r>
      <w:r w:rsidRPr="0081146C">
        <w:t xml:space="preserve">  Registered persons to advise of material changes in circumstance etc.</w:t>
      </w:r>
      <w:bookmarkEnd w:id="379"/>
    </w:p>
    <w:p w14:paraId="08DCB564" w14:textId="77777777" w:rsidR="0049002F" w:rsidRPr="0081146C" w:rsidRDefault="0049002F" w:rsidP="0049002F">
      <w:pPr>
        <w:pStyle w:val="subsection"/>
      </w:pPr>
      <w:r w:rsidRPr="0081146C">
        <w:tab/>
        <w:t>(1)</w:t>
      </w:r>
      <w:r w:rsidRPr="0081146C">
        <w:tab/>
        <w:t>A person who is registered under this Part must advise the AUSTRAC CEO of the following:</w:t>
      </w:r>
    </w:p>
    <w:p w14:paraId="16277407" w14:textId="77777777" w:rsidR="0049002F" w:rsidRPr="0081146C" w:rsidRDefault="0049002F" w:rsidP="0049002F">
      <w:pPr>
        <w:pStyle w:val="paragraph"/>
      </w:pPr>
      <w:r w:rsidRPr="0081146C">
        <w:tab/>
        <w:t>(a)</w:t>
      </w:r>
      <w:r w:rsidRPr="0081146C">
        <w:tab/>
        <w:t>any change in circumstances that could materially affect the person’s registration;</w:t>
      </w:r>
    </w:p>
    <w:p w14:paraId="029AFAF3" w14:textId="77777777" w:rsidR="0049002F" w:rsidRPr="0081146C" w:rsidRDefault="0049002F" w:rsidP="0049002F">
      <w:pPr>
        <w:pStyle w:val="paragraph"/>
      </w:pPr>
      <w:r w:rsidRPr="0081146C">
        <w:tab/>
        <w:t>(b)</w:t>
      </w:r>
      <w:r w:rsidRPr="0081146C">
        <w:tab/>
        <w:t>any matters specified in the AML/CTF Rules for the purposes of this paragraph.</w:t>
      </w:r>
    </w:p>
    <w:p w14:paraId="0E99FDEB" w14:textId="77777777" w:rsidR="0049002F" w:rsidRPr="0081146C" w:rsidRDefault="0049002F" w:rsidP="0049002F">
      <w:pPr>
        <w:pStyle w:val="subsection"/>
      </w:pPr>
      <w:r w:rsidRPr="0081146C">
        <w:tab/>
        <w:t>(2)</w:t>
      </w:r>
      <w:r w:rsidRPr="0081146C">
        <w:tab/>
        <w:t>A person who is required by this section to advise the AUSTRAC CEO of a change in circumstances or a matter must do so:</w:t>
      </w:r>
    </w:p>
    <w:p w14:paraId="44AED858" w14:textId="77777777" w:rsidR="0049002F" w:rsidRPr="0081146C" w:rsidRDefault="0049002F" w:rsidP="0049002F">
      <w:pPr>
        <w:pStyle w:val="paragraph"/>
      </w:pPr>
      <w:r w:rsidRPr="0081146C">
        <w:tab/>
        <w:t>(a)</w:t>
      </w:r>
      <w:r w:rsidRPr="0081146C">
        <w:tab/>
        <w:t>in accordance with the approved form; and</w:t>
      </w:r>
    </w:p>
    <w:p w14:paraId="02AE8CC0" w14:textId="77777777" w:rsidR="0049002F" w:rsidRPr="0081146C" w:rsidRDefault="0049002F" w:rsidP="0049002F">
      <w:pPr>
        <w:pStyle w:val="paragraph"/>
      </w:pPr>
      <w:r w:rsidRPr="0081146C">
        <w:tab/>
        <w:t>(b)</w:t>
      </w:r>
      <w:r w:rsidRPr="0081146C">
        <w:tab/>
        <w:t>within 14 days of the change in circumstances or the matter arising (however described).</w:t>
      </w:r>
    </w:p>
    <w:p w14:paraId="7D5A60FC" w14:textId="77777777" w:rsidR="0049002F" w:rsidRPr="0081146C" w:rsidRDefault="0049002F" w:rsidP="0049002F">
      <w:pPr>
        <w:pStyle w:val="SubsectionHead"/>
      </w:pPr>
      <w:r w:rsidRPr="0081146C">
        <w:t>Civil penalty</w:t>
      </w:r>
    </w:p>
    <w:p w14:paraId="0F47AF72" w14:textId="77777777" w:rsidR="0049002F" w:rsidRPr="0081146C" w:rsidRDefault="0049002F" w:rsidP="0049002F">
      <w:pPr>
        <w:pStyle w:val="subsection"/>
      </w:pPr>
      <w:r w:rsidRPr="0081146C">
        <w:tab/>
        <w:t>(3)</w:t>
      </w:r>
      <w:r w:rsidRPr="0081146C">
        <w:tab/>
      </w:r>
      <w:r w:rsidR="004F64A4" w:rsidRPr="0081146C">
        <w:t>Subsection (</w:t>
      </w:r>
      <w:r w:rsidRPr="0081146C">
        <w:t>1) is a civil penalty provision.</w:t>
      </w:r>
    </w:p>
    <w:p w14:paraId="4C225140" w14:textId="77777777" w:rsidR="0049002F" w:rsidRPr="0081146C" w:rsidRDefault="0049002F" w:rsidP="0049002F">
      <w:pPr>
        <w:pStyle w:val="ActHead5"/>
      </w:pPr>
      <w:bookmarkStart w:id="380" w:name="_Toc185415892"/>
      <w:r w:rsidRPr="0081146C">
        <w:rPr>
          <w:rStyle w:val="CharSectno"/>
        </w:rPr>
        <w:t>76Q</w:t>
      </w:r>
      <w:r w:rsidRPr="0081146C">
        <w:t xml:space="preserve">  AUSTRAC CEO may request further information</w:t>
      </w:r>
      <w:bookmarkEnd w:id="380"/>
    </w:p>
    <w:p w14:paraId="5B93DDDD" w14:textId="77777777" w:rsidR="0049002F" w:rsidRPr="0081146C" w:rsidRDefault="0049002F" w:rsidP="0049002F">
      <w:pPr>
        <w:pStyle w:val="subsection"/>
      </w:pPr>
      <w:r w:rsidRPr="0081146C">
        <w:tab/>
        <w:t>(1)</w:t>
      </w:r>
      <w:r w:rsidRPr="0081146C">
        <w:tab/>
        <w:t>The AUSTRAC CEO may, in writing, request further information from any person for the purposes of making a decision under this Part.</w:t>
      </w:r>
    </w:p>
    <w:p w14:paraId="52B34A6A" w14:textId="77777777" w:rsidR="0049002F" w:rsidRPr="0081146C" w:rsidRDefault="0049002F" w:rsidP="0049002F">
      <w:pPr>
        <w:pStyle w:val="subsection"/>
      </w:pPr>
      <w:r w:rsidRPr="0081146C">
        <w:tab/>
        <w:t>(2)</w:t>
      </w:r>
      <w:r w:rsidRPr="0081146C">
        <w:tab/>
        <w:t xml:space="preserve">The AUSTRAC CEO is not required to make a decision under this Part until any information requested under </w:t>
      </w:r>
      <w:r w:rsidR="004F64A4" w:rsidRPr="0081146C">
        <w:t>subsection (</w:t>
      </w:r>
      <w:r w:rsidRPr="0081146C">
        <w:t>1) in relation to the decision has been provided.</w:t>
      </w:r>
    </w:p>
    <w:p w14:paraId="5D9F3B67" w14:textId="77777777" w:rsidR="002F4208" w:rsidRPr="0081146C" w:rsidRDefault="002F4208" w:rsidP="002F4208">
      <w:pPr>
        <w:pStyle w:val="subsection"/>
      </w:pPr>
      <w:r w:rsidRPr="0081146C">
        <w:tab/>
        <w:t>(3)</w:t>
      </w:r>
      <w:r w:rsidRPr="0081146C">
        <w:tab/>
        <w:t>If:</w:t>
      </w:r>
    </w:p>
    <w:p w14:paraId="40B6D52F" w14:textId="77777777" w:rsidR="002F4208" w:rsidRPr="0081146C" w:rsidRDefault="002F4208" w:rsidP="002F4208">
      <w:pPr>
        <w:pStyle w:val="paragraph"/>
      </w:pPr>
      <w:r w:rsidRPr="0081146C">
        <w:tab/>
        <w:t>(a)</w:t>
      </w:r>
      <w:r w:rsidRPr="0081146C">
        <w:tab/>
        <w:t>a person is given a request under subsection (1) in relation to information; and</w:t>
      </w:r>
    </w:p>
    <w:p w14:paraId="411D32BB" w14:textId="77777777" w:rsidR="002F4208" w:rsidRPr="0081146C" w:rsidRDefault="002F4208" w:rsidP="002F4208">
      <w:pPr>
        <w:pStyle w:val="paragraph"/>
      </w:pPr>
      <w:r w:rsidRPr="0081146C">
        <w:tab/>
        <w:t>(b)</w:t>
      </w:r>
      <w:r w:rsidRPr="0081146C">
        <w:tab/>
        <w:t>the person reasonably believes that the information is privileged from being given on the ground of legal professional privilege;</w:t>
      </w:r>
    </w:p>
    <w:p w14:paraId="183014CA" w14:textId="77777777" w:rsidR="002F4208" w:rsidRPr="0081146C" w:rsidRDefault="002F4208" w:rsidP="002F4208">
      <w:pPr>
        <w:pStyle w:val="subsection2"/>
      </w:pPr>
      <w:r w:rsidRPr="0081146C">
        <w:t>the person must give the AUSTRAC CEO an LPP form in relation to the information within the period specified in the request.</w:t>
      </w:r>
    </w:p>
    <w:p w14:paraId="079A4F98" w14:textId="77777777" w:rsidR="002F4208" w:rsidRPr="0081146C" w:rsidRDefault="002F4208" w:rsidP="002F4208">
      <w:pPr>
        <w:pStyle w:val="subsection"/>
      </w:pPr>
      <w:r w:rsidRPr="0081146C">
        <w:tab/>
        <w:t>(4)</w:t>
      </w:r>
      <w:r w:rsidRPr="0081146C">
        <w:tab/>
        <w:t>Subsection (3) is a civil penalty provision.</w:t>
      </w:r>
    </w:p>
    <w:p w14:paraId="45EC3543" w14:textId="77777777" w:rsidR="002F4208" w:rsidRPr="0081146C" w:rsidRDefault="002F4208" w:rsidP="002F4208">
      <w:pPr>
        <w:pStyle w:val="notetext"/>
      </w:pPr>
      <w:r w:rsidRPr="0081146C">
        <w:t>Note 1:</w:t>
      </w:r>
      <w:r w:rsidRPr="0081146C">
        <w:tab/>
        <w:t>For other provisions dealing with legal professional privilege, see sections 242 and 242A.</w:t>
      </w:r>
    </w:p>
    <w:p w14:paraId="433AAA43" w14:textId="77777777" w:rsidR="0049002F" w:rsidRPr="0081146C" w:rsidRDefault="0049002F" w:rsidP="0049002F">
      <w:pPr>
        <w:pStyle w:val="ActHead5"/>
      </w:pPr>
      <w:bookmarkStart w:id="381" w:name="_Toc185415893"/>
      <w:r w:rsidRPr="0081146C">
        <w:rPr>
          <w:rStyle w:val="CharSectno"/>
        </w:rPr>
        <w:t>76R</w:t>
      </w:r>
      <w:r w:rsidRPr="0081146C">
        <w:t xml:space="preserve">  Immunity from suit</w:t>
      </w:r>
      <w:bookmarkEnd w:id="381"/>
    </w:p>
    <w:p w14:paraId="3CA29971" w14:textId="77777777" w:rsidR="0049002F" w:rsidRPr="0081146C" w:rsidRDefault="0049002F" w:rsidP="0049002F">
      <w:pPr>
        <w:pStyle w:val="subsection"/>
      </w:pPr>
      <w:r w:rsidRPr="0081146C">
        <w:tab/>
      </w:r>
      <w:r w:rsidRPr="0081146C">
        <w:tab/>
        <w:t>An action, suit or proceeding (whether criminal or civil) does not lie against:</w:t>
      </w:r>
    </w:p>
    <w:p w14:paraId="44E55A5E" w14:textId="77777777" w:rsidR="0049002F" w:rsidRPr="0081146C" w:rsidRDefault="0049002F" w:rsidP="0049002F">
      <w:pPr>
        <w:pStyle w:val="paragraph"/>
      </w:pPr>
      <w:r w:rsidRPr="0081146C">
        <w:tab/>
        <w:t>(a)</w:t>
      </w:r>
      <w:r w:rsidRPr="0081146C">
        <w:tab/>
        <w:t>the Commonwealth; or</w:t>
      </w:r>
    </w:p>
    <w:p w14:paraId="2DC8AB94" w14:textId="77777777" w:rsidR="0049002F" w:rsidRPr="0081146C" w:rsidRDefault="0049002F" w:rsidP="0049002F">
      <w:pPr>
        <w:pStyle w:val="paragraph"/>
      </w:pPr>
      <w:r w:rsidRPr="0081146C">
        <w:tab/>
        <w:t>(b)</w:t>
      </w:r>
      <w:r w:rsidRPr="0081146C">
        <w:tab/>
        <w:t>the AUSTRAC CEO; or</w:t>
      </w:r>
    </w:p>
    <w:p w14:paraId="066B2808" w14:textId="77777777" w:rsidR="0049002F" w:rsidRPr="0081146C" w:rsidRDefault="0049002F" w:rsidP="0049002F">
      <w:pPr>
        <w:pStyle w:val="paragraph"/>
      </w:pPr>
      <w:r w:rsidRPr="0081146C">
        <w:tab/>
        <w:t>(c)</w:t>
      </w:r>
      <w:r w:rsidRPr="0081146C">
        <w:tab/>
        <w:t>a member of the staff of AUSTRAC;</w:t>
      </w:r>
    </w:p>
    <w:p w14:paraId="57EB7786" w14:textId="61F28210" w:rsidR="0049002F" w:rsidRPr="0081146C" w:rsidRDefault="0049002F" w:rsidP="0049002F">
      <w:pPr>
        <w:pStyle w:val="subsection2"/>
      </w:pPr>
      <w:r w:rsidRPr="0081146C">
        <w:t xml:space="preserve">in relation to the publication of the </w:t>
      </w:r>
      <w:bookmarkStart w:id="382" w:name="_Hlk172194353"/>
      <w:r w:rsidR="00B04A45" w:rsidRPr="0081146C">
        <w:t>Virtual Asset Service Provider</w:t>
      </w:r>
      <w:bookmarkEnd w:id="382"/>
      <w:r w:rsidRPr="0081146C">
        <w:t xml:space="preserve"> Register or a list of a kind mentioned in subsection</w:t>
      </w:r>
      <w:r w:rsidR="004F64A4" w:rsidRPr="0081146C">
        <w:t> </w:t>
      </w:r>
      <w:r w:rsidRPr="0081146C">
        <w:t>76J(4).</w:t>
      </w:r>
    </w:p>
    <w:p w14:paraId="7F55277E" w14:textId="77777777" w:rsidR="0049002F" w:rsidRPr="0081146C" w:rsidRDefault="0049002F" w:rsidP="0049002F">
      <w:pPr>
        <w:pStyle w:val="ActHead5"/>
      </w:pPr>
      <w:bookmarkStart w:id="383" w:name="_Toc185415894"/>
      <w:r w:rsidRPr="0081146C">
        <w:rPr>
          <w:rStyle w:val="CharSectno"/>
        </w:rPr>
        <w:t>76S</w:t>
      </w:r>
      <w:r w:rsidRPr="0081146C">
        <w:t xml:space="preserve">  Steps to be taken by AUSTRAC CEO before making certain reviewable decisions</w:t>
      </w:r>
      <w:bookmarkEnd w:id="383"/>
    </w:p>
    <w:p w14:paraId="00D9087C" w14:textId="77777777" w:rsidR="0049002F" w:rsidRPr="0081146C" w:rsidRDefault="0049002F" w:rsidP="0049002F">
      <w:pPr>
        <w:pStyle w:val="subsection"/>
      </w:pPr>
      <w:r w:rsidRPr="0081146C">
        <w:tab/>
        <w:t>(1)</w:t>
      </w:r>
      <w:r w:rsidRPr="0081146C">
        <w:tab/>
        <w:t>Before making a reviewable decision under section</w:t>
      </w:r>
      <w:r w:rsidR="004F64A4" w:rsidRPr="0081146C">
        <w:t> </w:t>
      </w:r>
      <w:r w:rsidRPr="0081146C">
        <w:t>76E, 76G or 76J in relation to a person, the AUSTRAC CEO must give a written notice to the person containing:</w:t>
      </w:r>
    </w:p>
    <w:p w14:paraId="21272C54" w14:textId="77777777" w:rsidR="0049002F" w:rsidRPr="0081146C" w:rsidRDefault="0049002F" w:rsidP="0049002F">
      <w:pPr>
        <w:pStyle w:val="paragraph"/>
      </w:pPr>
      <w:r w:rsidRPr="0081146C">
        <w:tab/>
        <w:t>(a)</w:t>
      </w:r>
      <w:r w:rsidRPr="0081146C">
        <w:tab/>
        <w:t>the terms of the proposed decision; and</w:t>
      </w:r>
    </w:p>
    <w:p w14:paraId="76DC5D98" w14:textId="77777777" w:rsidR="0049002F" w:rsidRPr="0081146C" w:rsidRDefault="0049002F" w:rsidP="0049002F">
      <w:pPr>
        <w:pStyle w:val="paragraph"/>
      </w:pPr>
      <w:r w:rsidRPr="0081146C">
        <w:tab/>
        <w:t>(b)</w:t>
      </w:r>
      <w:r w:rsidRPr="0081146C">
        <w:tab/>
        <w:t>if the proposed decision is to cancel a registration—the date on which the cancellation is proposed to take effect; and</w:t>
      </w:r>
    </w:p>
    <w:p w14:paraId="7EFF75B5" w14:textId="77777777" w:rsidR="0049002F" w:rsidRPr="0081146C" w:rsidRDefault="0049002F" w:rsidP="0049002F">
      <w:pPr>
        <w:pStyle w:val="paragraph"/>
      </w:pPr>
      <w:r w:rsidRPr="0081146C">
        <w:tab/>
        <w:t>(c)</w:t>
      </w:r>
      <w:r w:rsidRPr="0081146C">
        <w:tab/>
        <w:t>the reasons for the proposed decision; and</w:t>
      </w:r>
    </w:p>
    <w:p w14:paraId="29538F20" w14:textId="77777777" w:rsidR="0049002F" w:rsidRPr="0081146C" w:rsidRDefault="0049002F" w:rsidP="0049002F">
      <w:pPr>
        <w:pStyle w:val="paragraph"/>
      </w:pPr>
      <w:r w:rsidRPr="0081146C">
        <w:tab/>
        <w:t>(d)</w:t>
      </w:r>
      <w:r w:rsidRPr="0081146C">
        <w:tab/>
        <w:t>a statement that the person may, within 28 days of the giving of the notice, make a submission under this section in relation to the proposed decision.</w:t>
      </w:r>
    </w:p>
    <w:p w14:paraId="05A68789" w14:textId="77777777" w:rsidR="0049002F" w:rsidRPr="0081146C" w:rsidRDefault="0049002F" w:rsidP="0049002F">
      <w:pPr>
        <w:pStyle w:val="subsection"/>
      </w:pPr>
      <w:r w:rsidRPr="0081146C">
        <w:tab/>
        <w:t>(2)</w:t>
      </w:r>
      <w:r w:rsidRPr="0081146C">
        <w:tab/>
        <w:t>The AUSTRAC CEO is not required to give a notice under this section if the AUSTRAC CEO is satisfied that it is inappropriate to do so because of the urgency of the circumstances.</w:t>
      </w:r>
    </w:p>
    <w:p w14:paraId="60AA3C21" w14:textId="77777777" w:rsidR="0049002F" w:rsidRPr="0081146C" w:rsidRDefault="00CA78AA" w:rsidP="00AF6E02">
      <w:pPr>
        <w:pStyle w:val="ActHead3"/>
        <w:pageBreakBefore/>
      </w:pPr>
      <w:bookmarkStart w:id="384" w:name="_Toc185415895"/>
      <w:r w:rsidRPr="0081146C">
        <w:rPr>
          <w:rStyle w:val="CharDivNo"/>
        </w:rPr>
        <w:t>Division 4</w:t>
      </w:r>
      <w:r w:rsidR="0049002F" w:rsidRPr="0081146C">
        <w:t>—</w:t>
      </w:r>
      <w:r w:rsidR="0049002F" w:rsidRPr="0081146C">
        <w:rPr>
          <w:rStyle w:val="CharDivText"/>
        </w:rPr>
        <w:t>Basis of registration</w:t>
      </w:r>
      <w:bookmarkEnd w:id="384"/>
    </w:p>
    <w:p w14:paraId="7DD1A204" w14:textId="77777777" w:rsidR="0049002F" w:rsidRPr="0081146C" w:rsidRDefault="0049002F" w:rsidP="0049002F">
      <w:pPr>
        <w:pStyle w:val="ActHead5"/>
      </w:pPr>
      <w:bookmarkStart w:id="385" w:name="_Toc185415896"/>
      <w:r w:rsidRPr="0081146C">
        <w:rPr>
          <w:rStyle w:val="CharSectno"/>
        </w:rPr>
        <w:t>76T</w:t>
      </w:r>
      <w:r w:rsidRPr="0081146C">
        <w:t xml:space="preserve">  Basis of registration</w:t>
      </w:r>
      <w:bookmarkEnd w:id="385"/>
    </w:p>
    <w:p w14:paraId="6E416019" w14:textId="77777777" w:rsidR="0049002F" w:rsidRPr="0081146C" w:rsidRDefault="0049002F" w:rsidP="0049002F">
      <w:pPr>
        <w:pStyle w:val="subsection"/>
      </w:pPr>
      <w:r w:rsidRPr="0081146C">
        <w:tab/>
      </w:r>
      <w:r w:rsidRPr="0081146C">
        <w:tab/>
        <w:t xml:space="preserve">Registration under this </w:t>
      </w:r>
      <w:r w:rsidR="00753679" w:rsidRPr="0081146C">
        <w:t>Part i</w:t>
      </w:r>
      <w:r w:rsidRPr="0081146C">
        <w:t>s on the basis that:</w:t>
      </w:r>
    </w:p>
    <w:p w14:paraId="5D10879B" w14:textId="77777777" w:rsidR="0049002F" w:rsidRPr="0081146C" w:rsidRDefault="0049002F" w:rsidP="0049002F">
      <w:pPr>
        <w:pStyle w:val="paragraph"/>
      </w:pPr>
      <w:r w:rsidRPr="0081146C">
        <w:tab/>
        <w:t>(a)</w:t>
      </w:r>
      <w:r w:rsidRPr="0081146C">
        <w:tab/>
        <w:t>the registration may cease as mentioned in section</w:t>
      </w:r>
      <w:r w:rsidR="004F64A4" w:rsidRPr="0081146C">
        <w:t> </w:t>
      </w:r>
      <w:r w:rsidRPr="0081146C">
        <w:t>76H; and</w:t>
      </w:r>
    </w:p>
    <w:p w14:paraId="5E2F2E22" w14:textId="77777777" w:rsidR="0049002F" w:rsidRPr="0081146C" w:rsidRDefault="0049002F" w:rsidP="0049002F">
      <w:pPr>
        <w:pStyle w:val="paragraph"/>
      </w:pPr>
      <w:r w:rsidRPr="0081146C">
        <w:tab/>
        <w:t>(b)</w:t>
      </w:r>
      <w:r w:rsidRPr="0081146C">
        <w:tab/>
        <w:t>the registration may be suspended as mentioned in section</w:t>
      </w:r>
      <w:r w:rsidR="004F64A4" w:rsidRPr="0081146C">
        <w:t> </w:t>
      </w:r>
      <w:r w:rsidRPr="0081146C">
        <w:t>76K; and</w:t>
      </w:r>
    </w:p>
    <w:p w14:paraId="5309AC9C" w14:textId="77777777" w:rsidR="0049002F" w:rsidRPr="0081146C" w:rsidRDefault="0049002F" w:rsidP="0049002F">
      <w:pPr>
        <w:pStyle w:val="paragraph"/>
      </w:pPr>
      <w:r w:rsidRPr="0081146C">
        <w:tab/>
        <w:t>(c)</w:t>
      </w:r>
      <w:r w:rsidRPr="0081146C">
        <w:tab/>
        <w:t>the registration may be made subject to conditions as mentioned in section</w:t>
      </w:r>
      <w:r w:rsidR="004F64A4" w:rsidRPr="0081146C">
        <w:t> </w:t>
      </w:r>
      <w:r w:rsidRPr="0081146C">
        <w:t>76G; and</w:t>
      </w:r>
    </w:p>
    <w:p w14:paraId="352FC9D8" w14:textId="77777777" w:rsidR="0049002F" w:rsidRPr="0081146C" w:rsidRDefault="0049002F" w:rsidP="0049002F">
      <w:pPr>
        <w:pStyle w:val="paragraph"/>
      </w:pPr>
      <w:r w:rsidRPr="0081146C">
        <w:tab/>
        <w:t>(d)</w:t>
      </w:r>
      <w:r w:rsidRPr="0081146C">
        <w:tab/>
        <w:t>the registration may cease, be suspended or be made subject to conditions by or under later legislation; and</w:t>
      </w:r>
    </w:p>
    <w:p w14:paraId="055F2FE6" w14:textId="77777777" w:rsidR="0049002F" w:rsidRPr="0081146C" w:rsidRDefault="0049002F" w:rsidP="0049002F">
      <w:pPr>
        <w:pStyle w:val="paragraph"/>
      </w:pPr>
      <w:r w:rsidRPr="0081146C">
        <w:tab/>
        <w:t>(e)</w:t>
      </w:r>
      <w:r w:rsidRPr="0081146C">
        <w:tab/>
        <w:t>no compensation is payable if the registration ceases, is suspended or made subject to conditions as mentioned in any of the above paragraphs.</w:t>
      </w:r>
    </w:p>
    <w:p w14:paraId="2B05A9B1" w14:textId="77777777" w:rsidR="00035544" w:rsidRPr="0081146C" w:rsidRDefault="00035544" w:rsidP="00AE2DA2">
      <w:pPr>
        <w:pStyle w:val="ActHead2"/>
        <w:pageBreakBefore/>
      </w:pPr>
      <w:bookmarkStart w:id="386" w:name="_Toc185415897"/>
      <w:r w:rsidRPr="0081146C">
        <w:rPr>
          <w:rStyle w:val="CharPartNo"/>
        </w:rPr>
        <w:t>Part</w:t>
      </w:r>
      <w:r w:rsidR="004F64A4" w:rsidRPr="0081146C">
        <w:rPr>
          <w:rStyle w:val="CharPartNo"/>
        </w:rPr>
        <w:t> </w:t>
      </w:r>
      <w:r w:rsidRPr="0081146C">
        <w:rPr>
          <w:rStyle w:val="CharPartNo"/>
        </w:rPr>
        <w:t>8</w:t>
      </w:r>
      <w:r w:rsidRPr="0081146C">
        <w:t>—</w:t>
      </w:r>
      <w:r w:rsidRPr="0081146C">
        <w:rPr>
          <w:rStyle w:val="CharPartText"/>
        </w:rPr>
        <w:t>Correspondent banking</w:t>
      </w:r>
      <w:bookmarkEnd w:id="386"/>
    </w:p>
    <w:p w14:paraId="134BA97F" w14:textId="77777777" w:rsidR="00035544" w:rsidRPr="0081146C" w:rsidRDefault="00C72BA2" w:rsidP="00035544">
      <w:pPr>
        <w:pStyle w:val="Header"/>
      </w:pPr>
      <w:r w:rsidRPr="0081146C">
        <w:rPr>
          <w:rStyle w:val="CharDivNo"/>
        </w:rPr>
        <w:t xml:space="preserve"> </w:t>
      </w:r>
      <w:r w:rsidRPr="0081146C">
        <w:rPr>
          <w:rStyle w:val="CharDivText"/>
        </w:rPr>
        <w:t xml:space="preserve"> </w:t>
      </w:r>
    </w:p>
    <w:p w14:paraId="58B21778" w14:textId="77777777" w:rsidR="00FB44EF" w:rsidRPr="0081146C" w:rsidRDefault="00FB44EF" w:rsidP="00FB44EF">
      <w:pPr>
        <w:pStyle w:val="ActHead5"/>
      </w:pPr>
      <w:bookmarkStart w:id="387" w:name="_Toc185415898"/>
      <w:bookmarkStart w:id="388" w:name="_Hlk75772686"/>
      <w:r w:rsidRPr="0081146C">
        <w:rPr>
          <w:rStyle w:val="CharSectno"/>
        </w:rPr>
        <w:t>94</w:t>
      </w:r>
      <w:r w:rsidRPr="0081146C">
        <w:t xml:space="preserve">  Simplified outline of this Part</w:t>
      </w:r>
      <w:bookmarkEnd w:id="387"/>
    </w:p>
    <w:p w14:paraId="433B487C" w14:textId="77777777" w:rsidR="00FB44EF" w:rsidRPr="0081146C" w:rsidRDefault="00FB44EF" w:rsidP="00FB44EF">
      <w:pPr>
        <w:pStyle w:val="SOBullet"/>
      </w:pPr>
      <w:r w:rsidRPr="0081146C">
        <w:t>•</w:t>
      </w:r>
      <w:r w:rsidRPr="0081146C">
        <w:tab/>
        <w:t>A financial institution must not enter into a correspondent banking relationship with:</w:t>
      </w:r>
    </w:p>
    <w:p w14:paraId="54589A7B" w14:textId="77777777" w:rsidR="00FB44EF" w:rsidRPr="0081146C" w:rsidRDefault="00FB44EF" w:rsidP="00FB44EF">
      <w:pPr>
        <w:pStyle w:val="SOPara"/>
      </w:pPr>
      <w:r w:rsidRPr="0081146C">
        <w:tab/>
        <w:t>(a)</w:t>
      </w:r>
      <w:r w:rsidRPr="0081146C">
        <w:tab/>
        <w:t>a shell bank; or</w:t>
      </w:r>
    </w:p>
    <w:p w14:paraId="662B4DED" w14:textId="77777777" w:rsidR="00FB44EF" w:rsidRPr="0081146C" w:rsidRDefault="00FB44EF" w:rsidP="00FB44EF">
      <w:pPr>
        <w:pStyle w:val="SOPara"/>
      </w:pPr>
      <w:r w:rsidRPr="0081146C">
        <w:tab/>
        <w:t>(b)</w:t>
      </w:r>
      <w:r w:rsidRPr="0081146C">
        <w:tab/>
        <w:t>another financial institution that has a correspondent banking relationship with a shell bank; or</w:t>
      </w:r>
    </w:p>
    <w:p w14:paraId="265976DC" w14:textId="77777777" w:rsidR="00FB44EF" w:rsidRPr="0081146C" w:rsidRDefault="00FB44EF" w:rsidP="00FB44EF">
      <w:pPr>
        <w:pStyle w:val="SOPara"/>
      </w:pPr>
      <w:r w:rsidRPr="0081146C">
        <w:tab/>
        <w:t>(c)</w:t>
      </w:r>
      <w:r w:rsidRPr="0081146C">
        <w:tab/>
        <w:t>another financial institution that permits its accounts to be used by a shell bank.</w:t>
      </w:r>
    </w:p>
    <w:p w14:paraId="51318FC4" w14:textId="77777777" w:rsidR="00FB44EF" w:rsidRPr="0081146C" w:rsidRDefault="00FB44EF" w:rsidP="00FB44EF">
      <w:pPr>
        <w:pStyle w:val="SOBullet"/>
      </w:pPr>
      <w:r w:rsidRPr="0081146C">
        <w:t>•</w:t>
      </w:r>
      <w:r w:rsidRPr="0081146C">
        <w:tab/>
        <w:t>A financial institution must carry out due diligence assessments before it enters into, and while it is in, a correspondent banking relationship with another financial institution involving a vostro account.</w:t>
      </w:r>
    </w:p>
    <w:p w14:paraId="22F68BAF" w14:textId="77777777" w:rsidR="001C5A6B" w:rsidRPr="0081146C" w:rsidRDefault="001C5A6B" w:rsidP="001C5A6B">
      <w:pPr>
        <w:pStyle w:val="ActHead5"/>
      </w:pPr>
      <w:bookmarkStart w:id="389" w:name="_Toc176444376"/>
      <w:bookmarkStart w:id="390" w:name="_Toc184033997"/>
      <w:bookmarkStart w:id="391" w:name="_Toc185415899"/>
      <w:r w:rsidRPr="0081146C">
        <w:rPr>
          <w:rStyle w:val="CharSectno"/>
        </w:rPr>
        <w:t>94A</w:t>
      </w:r>
      <w:r w:rsidRPr="0081146C">
        <w:t xml:space="preserve">  Shell banks</w:t>
      </w:r>
      <w:bookmarkEnd w:id="389"/>
      <w:bookmarkEnd w:id="390"/>
      <w:bookmarkEnd w:id="391"/>
    </w:p>
    <w:p w14:paraId="67597BEF" w14:textId="77777777" w:rsidR="001C5A6B" w:rsidRPr="0081146C" w:rsidRDefault="001C5A6B" w:rsidP="001C5A6B">
      <w:pPr>
        <w:pStyle w:val="subsection"/>
      </w:pPr>
      <w:r w:rsidRPr="0081146C">
        <w:tab/>
        <w:t>(1)</w:t>
      </w:r>
      <w:r w:rsidRPr="0081146C">
        <w:tab/>
        <w:t xml:space="preserve">A </w:t>
      </w:r>
      <w:r w:rsidRPr="0081146C">
        <w:rPr>
          <w:b/>
          <w:i/>
        </w:rPr>
        <w:t>shell bank</w:t>
      </w:r>
      <w:r w:rsidRPr="0081146C">
        <w:t xml:space="preserve"> is a corporation that:</w:t>
      </w:r>
    </w:p>
    <w:p w14:paraId="6EF464FA" w14:textId="77777777" w:rsidR="001C5A6B" w:rsidRPr="0081146C" w:rsidRDefault="001C5A6B" w:rsidP="001C5A6B">
      <w:pPr>
        <w:pStyle w:val="paragraph"/>
      </w:pPr>
      <w:r w:rsidRPr="0081146C">
        <w:tab/>
        <w:t>(a)</w:t>
      </w:r>
      <w:r w:rsidRPr="0081146C">
        <w:tab/>
        <w:t>is incorporated in a foreign country; and</w:t>
      </w:r>
    </w:p>
    <w:p w14:paraId="30D2ACE7" w14:textId="77777777" w:rsidR="001C5A6B" w:rsidRPr="0081146C" w:rsidRDefault="001C5A6B" w:rsidP="001C5A6B">
      <w:pPr>
        <w:pStyle w:val="paragraph"/>
      </w:pPr>
      <w:r w:rsidRPr="0081146C">
        <w:tab/>
        <w:t>(b)</w:t>
      </w:r>
      <w:r w:rsidRPr="0081146C">
        <w:tab/>
        <w:t>is authorised to carry on banking business in its country of incorporation; and</w:t>
      </w:r>
    </w:p>
    <w:p w14:paraId="1D3FEAEB" w14:textId="77777777" w:rsidR="001C5A6B" w:rsidRPr="0081146C" w:rsidRDefault="001C5A6B" w:rsidP="001C5A6B">
      <w:pPr>
        <w:pStyle w:val="paragraph"/>
      </w:pPr>
      <w:r w:rsidRPr="0081146C">
        <w:tab/>
        <w:t>(c)</w:t>
      </w:r>
      <w:r w:rsidRPr="0081146C">
        <w:tab/>
        <w:t>does not have a physical presence in its country of incorporation; and</w:t>
      </w:r>
    </w:p>
    <w:p w14:paraId="3823FA69" w14:textId="77777777" w:rsidR="001C5A6B" w:rsidRPr="0081146C" w:rsidRDefault="001C5A6B" w:rsidP="001C5A6B">
      <w:pPr>
        <w:pStyle w:val="paragraph"/>
      </w:pPr>
      <w:r w:rsidRPr="0081146C">
        <w:tab/>
        <w:t>(d)</w:t>
      </w:r>
      <w:r w:rsidRPr="0081146C">
        <w:tab/>
        <w:t>is not an affiliate of another corporation that:</w:t>
      </w:r>
    </w:p>
    <w:p w14:paraId="574A5B18" w14:textId="77777777" w:rsidR="001C5A6B" w:rsidRPr="0081146C" w:rsidRDefault="001C5A6B" w:rsidP="001C5A6B">
      <w:pPr>
        <w:pStyle w:val="paragraphsub"/>
      </w:pPr>
      <w:r w:rsidRPr="0081146C">
        <w:tab/>
        <w:t>(i)</w:t>
      </w:r>
      <w:r w:rsidRPr="0081146C">
        <w:tab/>
        <w:t>is incorporated in a particular country; and</w:t>
      </w:r>
    </w:p>
    <w:p w14:paraId="5A959676" w14:textId="77777777" w:rsidR="001C5A6B" w:rsidRPr="0081146C" w:rsidRDefault="001C5A6B" w:rsidP="001C5A6B">
      <w:pPr>
        <w:pStyle w:val="paragraphsub"/>
      </w:pPr>
      <w:r w:rsidRPr="0081146C">
        <w:tab/>
        <w:t>(ii)</w:t>
      </w:r>
      <w:r w:rsidRPr="0081146C">
        <w:tab/>
        <w:t>is authorised to carry on banking business in its country of incorporation; and</w:t>
      </w:r>
    </w:p>
    <w:p w14:paraId="37BA188A" w14:textId="77777777" w:rsidR="001C5A6B" w:rsidRPr="0081146C" w:rsidRDefault="001C5A6B" w:rsidP="001C5A6B">
      <w:pPr>
        <w:pStyle w:val="paragraphsub"/>
      </w:pPr>
      <w:r w:rsidRPr="0081146C">
        <w:tab/>
        <w:t>(iii)</w:t>
      </w:r>
      <w:r w:rsidRPr="0081146C">
        <w:tab/>
        <w:t>has a physical presence in its country of incorporation.</w:t>
      </w:r>
    </w:p>
    <w:p w14:paraId="794C40A5" w14:textId="77777777" w:rsidR="001C5A6B" w:rsidRPr="0081146C" w:rsidRDefault="001C5A6B" w:rsidP="001C5A6B">
      <w:pPr>
        <w:pStyle w:val="SubsectionHead"/>
      </w:pPr>
      <w:r w:rsidRPr="0081146C">
        <w:t>When a corporation has a physical presence in a country</w:t>
      </w:r>
    </w:p>
    <w:p w14:paraId="7D58E3F6" w14:textId="77777777" w:rsidR="001C5A6B" w:rsidRPr="0081146C" w:rsidRDefault="001C5A6B" w:rsidP="001C5A6B">
      <w:pPr>
        <w:pStyle w:val="subsection"/>
      </w:pPr>
      <w:r w:rsidRPr="0081146C">
        <w:tab/>
        <w:t>(2)</w:t>
      </w:r>
      <w:r w:rsidRPr="0081146C">
        <w:tab/>
        <w:t xml:space="preserve">For the purposes of determining what is a shell bank, a corporation has a </w:t>
      </w:r>
      <w:r w:rsidRPr="0081146C">
        <w:rPr>
          <w:b/>
          <w:i/>
        </w:rPr>
        <w:t>physical presence</w:t>
      </w:r>
      <w:r w:rsidRPr="0081146C">
        <w:t xml:space="preserve"> in a country if, and only if:</w:t>
      </w:r>
    </w:p>
    <w:p w14:paraId="562E5578" w14:textId="77777777" w:rsidR="001C5A6B" w:rsidRPr="0081146C" w:rsidRDefault="001C5A6B" w:rsidP="001C5A6B">
      <w:pPr>
        <w:pStyle w:val="paragraph"/>
      </w:pPr>
      <w:r w:rsidRPr="0081146C">
        <w:tab/>
        <w:t>(a)</w:t>
      </w:r>
      <w:r w:rsidRPr="0081146C">
        <w:tab/>
        <w:t>the corporation carries on banking business at a place in that country; and</w:t>
      </w:r>
    </w:p>
    <w:p w14:paraId="4A91B53C" w14:textId="77777777" w:rsidR="001C5A6B" w:rsidRPr="0081146C" w:rsidRDefault="001C5A6B" w:rsidP="001C5A6B">
      <w:pPr>
        <w:pStyle w:val="paragraph"/>
      </w:pPr>
      <w:r w:rsidRPr="0081146C">
        <w:tab/>
        <w:t>(b)</w:t>
      </w:r>
      <w:r w:rsidRPr="0081146C">
        <w:tab/>
        <w:t>at least one full</w:t>
      </w:r>
      <w:r w:rsidRPr="0081146C">
        <w:noBreakHyphen/>
        <w:t>time employee of the corporation performs banking</w:t>
      </w:r>
      <w:r w:rsidRPr="0081146C">
        <w:noBreakHyphen/>
        <w:t>related duties at that place.</w:t>
      </w:r>
    </w:p>
    <w:p w14:paraId="52E29410" w14:textId="77777777" w:rsidR="001C5A6B" w:rsidRPr="0081146C" w:rsidRDefault="001C5A6B" w:rsidP="001C5A6B">
      <w:pPr>
        <w:pStyle w:val="SubsectionHead"/>
      </w:pPr>
      <w:r w:rsidRPr="0081146C">
        <w:t>When a corporation is affiliated with another corporation</w:t>
      </w:r>
    </w:p>
    <w:p w14:paraId="59571EC6" w14:textId="77777777" w:rsidR="001C5A6B" w:rsidRPr="0081146C" w:rsidRDefault="001C5A6B" w:rsidP="001C5A6B">
      <w:pPr>
        <w:pStyle w:val="subsection"/>
      </w:pPr>
      <w:r w:rsidRPr="0081146C">
        <w:tab/>
        <w:t>(3)</w:t>
      </w:r>
      <w:r w:rsidRPr="0081146C">
        <w:tab/>
        <w:t xml:space="preserve">For the purposes of determining what is a shell bank, a corporation is </w:t>
      </w:r>
      <w:r w:rsidRPr="0081146C">
        <w:rPr>
          <w:b/>
          <w:i/>
        </w:rPr>
        <w:t>affiliated</w:t>
      </w:r>
      <w:r w:rsidRPr="0081146C">
        <w:t xml:space="preserve"> with another corporation if, and only if:</w:t>
      </w:r>
    </w:p>
    <w:p w14:paraId="7E448085" w14:textId="77777777" w:rsidR="001C5A6B" w:rsidRPr="0081146C" w:rsidRDefault="001C5A6B" w:rsidP="001C5A6B">
      <w:pPr>
        <w:pStyle w:val="paragraph"/>
      </w:pPr>
      <w:r w:rsidRPr="0081146C">
        <w:tab/>
        <w:t>(a)</w:t>
      </w:r>
      <w:r w:rsidRPr="0081146C">
        <w:tab/>
        <w:t>the corporation is a subsidiary of the other corporation; or</w:t>
      </w:r>
    </w:p>
    <w:p w14:paraId="2503726B" w14:textId="77777777" w:rsidR="001C5A6B" w:rsidRPr="0081146C" w:rsidRDefault="001C5A6B" w:rsidP="001C5A6B">
      <w:pPr>
        <w:pStyle w:val="paragraph"/>
      </w:pPr>
      <w:r w:rsidRPr="0081146C">
        <w:tab/>
        <w:t>(b)</w:t>
      </w:r>
      <w:r w:rsidRPr="0081146C">
        <w:tab/>
        <w:t>at least one individual controls both corporations; or</w:t>
      </w:r>
    </w:p>
    <w:p w14:paraId="10492F57" w14:textId="77777777" w:rsidR="001C5A6B" w:rsidRPr="0081146C" w:rsidRDefault="001C5A6B" w:rsidP="001C5A6B">
      <w:pPr>
        <w:pStyle w:val="paragraph"/>
      </w:pPr>
      <w:r w:rsidRPr="0081146C">
        <w:tab/>
        <w:t>(c)</w:t>
      </w:r>
      <w:r w:rsidRPr="0081146C">
        <w:tab/>
        <w:t>under the regulations, both corporations are taken to be under common control.</w:t>
      </w:r>
    </w:p>
    <w:p w14:paraId="756534BB" w14:textId="77777777" w:rsidR="00FB44EF" w:rsidRPr="0081146C" w:rsidRDefault="00FB44EF" w:rsidP="00FB44EF">
      <w:pPr>
        <w:pStyle w:val="ActHead5"/>
      </w:pPr>
      <w:bookmarkStart w:id="392" w:name="_Toc185415900"/>
      <w:r w:rsidRPr="0081146C">
        <w:rPr>
          <w:rStyle w:val="CharSectno"/>
        </w:rPr>
        <w:t>95</w:t>
      </w:r>
      <w:r w:rsidRPr="0081146C">
        <w:t xml:space="preserve">  Prohibitions on correspondent banking relationships involving shell banks</w:t>
      </w:r>
      <w:bookmarkEnd w:id="392"/>
    </w:p>
    <w:p w14:paraId="46A4E4AB" w14:textId="77777777" w:rsidR="00FB44EF" w:rsidRPr="0081146C" w:rsidRDefault="00FB44EF" w:rsidP="00FB44EF">
      <w:pPr>
        <w:pStyle w:val="SubsectionHead"/>
      </w:pPr>
      <w:r w:rsidRPr="0081146C">
        <w:t>Entry</w:t>
      </w:r>
    </w:p>
    <w:p w14:paraId="3EE53BFA" w14:textId="77777777" w:rsidR="00FB44EF" w:rsidRPr="0081146C" w:rsidRDefault="00FB44EF" w:rsidP="00FB44EF">
      <w:pPr>
        <w:pStyle w:val="subsection"/>
      </w:pPr>
      <w:r w:rsidRPr="0081146C">
        <w:tab/>
        <w:t>(1)</w:t>
      </w:r>
      <w:r w:rsidRPr="0081146C">
        <w:tab/>
        <w:t>A financial institution must not enter into a correspondent banking relationship with another person if:</w:t>
      </w:r>
    </w:p>
    <w:p w14:paraId="7B3AC713" w14:textId="77777777" w:rsidR="00FB44EF" w:rsidRPr="0081146C" w:rsidRDefault="00FB44EF" w:rsidP="00FB44EF">
      <w:pPr>
        <w:pStyle w:val="paragraph"/>
      </w:pPr>
      <w:r w:rsidRPr="0081146C">
        <w:tab/>
        <w:t>(a)</w:t>
      </w:r>
      <w:r w:rsidRPr="0081146C">
        <w:tab/>
        <w:t>the other person is a shell bank; or</w:t>
      </w:r>
    </w:p>
    <w:p w14:paraId="18F41B44" w14:textId="77777777" w:rsidR="00FB44EF" w:rsidRPr="0081146C" w:rsidRDefault="00FB44EF" w:rsidP="00FB44EF">
      <w:pPr>
        <w:pStyle w:val="paragraph"/>
      </w:pPr>
      <w:r w:rsidRPr="0081146C">
        <w:tab/>
        <w:t>(b)</w:t>
      </w:r>
      <w:r w:rsidRPr="0081146C">
        <w:tab/>
        <w:t>the other person is a financial institution that has a correspondent banking relationship with a shell bank; or</w:t>
      </w:r>
    </w:p>
    <w:p w14:paraId="67C6C0D0" w14:textId="77777777" w:rsidR="00FB44EF" w:rsidRPr="0081146C" w:rsidRDefault="00FB44EF" w:rsidP="00FB44EF">
      <w:pPr>
        <w:pStyle w:val="paragraph"/>
      </w:pPr>
      <w:r w:rsidRPr="0081146C">
        <w:tab/>
        <w:t>(c)</w:t>
      </w:r>
      <w:r w:rsidRPr="0081146C">
        <w:tab/>
        <w:t>the other person is a financial institution that permits its accounts to be used by a shell bank.</w:t>
      </w:r>
    </w:p>
    <w:p w14:paraId="4EDFE5D8" w14:textId="77777777" w:rsidR="00FB44EF" w:rsidRPr="0081146C" w:rsidRDefault="00FB44EF" w:rsidP="00FB44EF">
      <w:pPr>
        <w:pStyle w:val="notetext"/>
      </w:pPr>
      <w:r w:rsidRPr="0081146C">
        <w:t>Note:</w:t>
      </w:r>
      <w:r w:rsidRPr="0081146C">
        <w:tab/>
        <w:t xml:space="preserve">For geographical links, see </w:t>
      </w:r>
      <w:r w:rsidR="003B7E15" w:rsidRPr="0081146C">
        <w:t>section 1</w:t>
      </w:r>
      <w:r w:rsidRPr="0081146C">
        <w:t>00.</w:t>
      </w:r>
    </w:p>
    <w:p w14:paraId="7E817A17" w14:textId="77777777" w:rsidR="00FB44EF" w:rsidRPr="0081146C" w:rsidRDefault="00FB44EF" w:rsidP="00FB44EF">
      <w:pPr>
        <w:pStyle w:val="SubsectionHead"/>
      </w:pPr>
      <w:r w:rsidRPr="0081146C">
        <w:t>Termination</w:t>
      </w:r>
    </w:p>
    <w:p w14:paraId="4835B067" w14:textId="77777777" w:rsidR="00FB44EF" w:rsidRPr="0081146C" w:rsidRDefault="00FB44EF" w:rsidP="00FB44EF">
      <w:pPr>
        <w:pStyle w:val="subsection"/>
      </w:pPr>
      <w:r w:rsidRPr="0081146C">
        <w:tab/>
        <w:t>(2)</w:t>
      </w:r>
      <w:r w:rsidRPr="0081146C">
        <w:tab/>
        <w:t xml:space="preserve">If a financial institution (the </w:t>
      </w:r>
      <w:r w:rsidRPr="0081146C">
        <w:rPr>
          <w:b/>
          <w:i/>
        </w:rPr>
        <w:t>first institution</w:t>
      </w:r>
      <w:r w:rsidRPr="0081146C">
        <w:t>) is in a correspondent banking relationship with another person and the first institution becomes aware that:</w:t>
      </w:r>
    </w:p>
    <w:p w14:paraId="4EBD368F" w14:textId="77777777" w:rsidR="00FB44EF" w:rsidRPr="0081146C" w:rsidRDefault="00FB44EF" w:rsidP="00FB44EF">
      <w:pPr>
        <w:pStyle w:val="paragraph"/>
      </w:pPr>
      <w:r w:rsidRPr="0081146C">
        <w:tab/>
        <w:t>(a)</w:t>
      </w:r>
      <w:r w:rsidRPr="0081146C">
        <w:tab/>
        <w:t>the other person is a shell bank; or</w:t>
      </w:r>
    </w:p>
    <w:p w14:paraId="4BE2EF4E" w14:textId="77777777" w:rsidR="00FB44EF" w:rsidRPr="0081146C" w:rsidRDefault="00FB44EF" w:rsidP="00FB44EF">
      <w:pPr>
        <w:pStyle w:val="paragraph"/>
      </w:pPr>
      <w:r w:rsidRPr="0081146C">
        <w:tab/>
        <w:t>(b)</w:t>
      </w:r>
      <w:r w:rsidRPr="0081146C">
        <w:tab/>
        <w:t>the other person is a financial institution that has a correspondent banking relationship with a shell bank; or</w:t>
      </w:r>
    </w:p>
    <w:p w14:paraId="5C0357A1" w14:textId="77777777" w:rsidR="00FB44EF" w:rsidRPr="0081146C" w:rsidRDefault="00FB44EF" w:rsidP="00FB44EF">
      <w:pPr>
        <w:pStyle w:val="paragraph"/>
      </w:pPr>
      <w:r w:rsidRPr="0081146C">
        <w:tab/>
        <w:t>(c)</w:t>
      </w:r>
      <w:r w:rsidRPr="0081146C">
        <w:tab/>
        <w:t>the other person is a financial institution that permits its accounts to be used by a shell bank;</w:t>
      </w:r>
    </w:p>
    <w:p w14:paraId="0745A298" w14:textId="77777777" w:rsidR="00FB44EF" w:rsidRPr="0081146C" w:rsidRDefault="00FB44EF" w:rsidP="00FB44EF">
      <w:pPr>
        <w:pStyle w:val="subsection2"/>
      </w:pPr>
      <w:r w:rsidRPr="0081146C">
        <w:t>the first institution must, within 20 days after becoming so aware or such longer period (if any) as the AUSTRAC CEO allows, do one of the following:</w:t>
      </w:r>
    </w:p>
    <w:p w14:paraId="157B524D" w14:textId="77777777" w:rsidR="00FB44EF" w:rsidRPr="0081146C" w:rsidRDefault="00FB44EF" w:rsidP="00FB44EF">
      <w:pPr>
        <w:pStyle w:val="paragraph"/>
      </w:pPr>
      <w:r w:rsidRPr="0081146C">
        <w:tab/>
        <w:t>(d)</w:t>
      </w:r>
      <w:r w:rsidRPr="0081146C">
        <w:tab/>
        <w:t>terminate the correspondent banking relationship;</w:t>
      </w:r>
    </w:p>
    <w:p w14:paraId="3711067A" w14:textId="77777777" w:rsidR="00FB44EF" w:rsidRPr="0081146C" w:rsidRDefault="00FB44EF" w:rsidP="00FB44EF">
      <w:pPr>
        <w:pStyle w:val="paragraph"/>
      </w:pPr>
      <w:r w:rsidRPr="0081146C">
        <w:tab/>
        <w:t>(e)</w:t>
      </w:r>
      <w:r w:rsidRPr="0081146C">
        <w:tab/>
        <w:t>if paragraph (b) applies—request the other financial institution to terminate the correspondent banking relationship mentioned in that paragraph.</w:t>
      </w:r>
    </w:p>
    <w:p w14:paraId="23323A22" w14:textId="77777777" w:rsidR="00FB44EF" w:rsidRPr="0081146C" w:rsidRDefault="00FB44EF" w:rsidP="00FB44EF">
      <w:pPr>
        <w:pStyle w:val="notetext"/>
      </w:pPr>
      <w:r w:rsidRPr="0081146C">
        <w:t>Note:</w:t>
      </w:r>
      <w:r w:rsidRPr="0081146C">
        <w:tab/>
        <w:t xml:space="preserve">For geographical links, see </w:t>
      </w:r>
      <w:r w:rsidR="003B7E15" w:rsidRPr="0081146C">
        <w:t>section 1</w:t>
      </w:r>
      <w:r w:rsidRPr="0081146C">
        <w:t>00.</w:t>
      </w:r>
    </w:p>
    <w:p w14:paraId="58ECEC96" w14:textId="77777777" w:rsidR="00FB44EF" w:rsidRPr="0081146C" w:rsidRDefault="00FB44EF" w:rsidP="00FB44EF">
      <w:pPr>
        <w:pStyle w:val="subsection"/>
      </w:pPr>
      <w:r w:rsidRPr="0081146C">
        <w:tab/>
        <w:t>(3)</w:t>
      </w:r>
      <w:r w:rsidRPr="0081146C">
        <w:tab/>
        <w:t>If:</w:t>
      </w:r>
    </w:p>
    <w:p w14:paraId="143D2637" w14:textId="77777777" w:rsidR="00FB44EF" w:rsidRPr="0081146C" w:rsidRDefault="00FB44EF" w:rsidP="00FB44EF">
      <w:pPr>
        <w:pStyle w:val="paragraph"/>
      </w:pPr>
      <w:r w:rsidRPr="0081146C">
        <w:tab/>
        <w:t>(a)</w:t>
      </w:r>
      <w:r w:rsidRPr="0081146C">
        <w:tab/>
        <w:t>the first institution makes a request under paragraph (2)(e) of another financial institution; and</w:t>
      </w:r>
    </w:p>
    <w:p w14:paraId="08EFB8CB" w14:textId="77777777" w:rsidR="00FB44EF" w:rsidRPr="0081146C" w:rsidRDefault="00FB44EF" w:rsidP="00FB44EF">
      <w:pPr>
        <w:pStyle w:val="paragraph"/>
      </w:pPr>
      <w:r w:rsidRPr="0081146C">
        <w:tab/>
        <w:t>(b)</w:t>
      </w:r>
      <w:r w:rsidRPr="0081146C">
        <w:tab/>
        <w:t xml:space="preserve">at the end of the period (the </w:t>
      </w:r>
      <w:r w:rsidRPr="0081146C">
        <w:rPr>
          <w:b/>
          <w:i/>
        </w:rPr>
        <w:t>first period</w:t>
      </w:r>
      <w:r w:rsidRPr="0081146C">
        <w:t>) of 20 business days after the request was made, the other financial institution has not complied with the request;</w:t>
      </w:r>
    </w:p>
    <w:p w14:paraId="6F90E8AF" w14:textId="77777777" w:rsidR="00FB44EF" w:rsidRPr="0081146C" w:rsidRDefault="00FB44EF" w:rsidP="00FB44EF">
      <w:pPr>
        <w:pStyle w:val="subsection2"/>
      </w:pPr>
      <w:r w:rsidRPr="0081146C">
        <w:t>the first institution must terminate its correspondent banking relationship with the other financial institution within 20 days after the end of the first period or such longer period (if any) as the AUSTRAC CEO allows.</w:t>
      </w:r>
    </w:p>
    <w:p w14:paraId="253B7078" w14:textId="77777777" w:rsidR="00FB44EF" w:rsidRPr="0081146C" w:rsidRDefault="00FB44EF" w:rsidP="00FB44EF">
      <w:pPr>
        <w:pStyle w:val="notetext"/>
      </w:pPr>
      <w:r w:rsidRPr="0081146C">
        <w:t>Note:</w:t>
      </w:r>
      <w:r w:rsidRPr="0081146C">
        <w:tab/>
        <w:t xml:space="preserve">For geographical links, see </w:t>
      </w:r>
      <w:r w:rsidR="003B7E15" w:rsidRPr="0081146C">
        <w:t>section 1</w:t>
      </w:r>
      <w:r w:rsidRPr="0081146C">
        <w:t>00.</w:t>
      </w:r>
    </w:p>
    <w:p w14:paraId="74567ED6" w14:textId="77777777" w:rsidR="00FB44EF" w:rsidRPr="0081146C" w:rsidRDefault="00FB44EF" w:rsidP="00FB44EF">
      <w:pPr>
        <w:pStyle w:val="SubsectionHead"/>
      </w:pPr>
      <w:r w:rsidRPr="0081146C">
        <w:t>Civil penalty</w:t>
      </w:r>
    </w:p>
    <w:p w14:paraId="354CD061" w14:textId="77777777" w:rsidR="00FB44EF" w:rsidRPr="0081146C" w:rsidRDefault="00FB44EF" w:rsidP="00FB44EF">
      <w:pPr>
        <w:pStyle w:val="subsection"/>
      </w:pPr>
      <w:r w:rsidRPr="0081146C">
        <w:tab/>
        <w:t>(4)</w:t>
      </w:r>
      <w:r w:rsidRPr="0081146C">
        <w:tab/>
        <w:t>Subsections (1), (2) and (3) are civil penalty provisions.</w:t>
      </w:r>
    </w:p>
    <w:p w14:paraId="5EE2DDCC" w14:textId="77777777" w:rsidR="00FB44EF" w:rsidRPr="0081146C" w:rsidRDefault="00FB44EF" w:rsidP="00FB44EF">
      <w:pPr>
        <w:pStyle w:val="ActHead5"/>
      </w:pPr>
      <w:bookmarkStart w:id="393" w:name="_Toc185415901"/>
      <w:r w:rsidRPr="0081146C">
        <w:rPr>
          <w:rStyle w:val="CharSectno"/>
        </w:rPr>
        <w:t>96</w:t>
      </w:r>
      <w:r w:rsidRPr="0081146C">
        <w:t xml:space="preserve">  Due diligence assessments and records of correspondent banking relationships</w:t>
      </w:r>
      <w:bookmarkEnd w:id="393"/>
    </w:p>
    <w:p w14:paraId="4063BCAB" w14:textId="77777777" w:rsidR="00FB44EF" w:rsidRPr="0081146C" w:rsidRDefault="00FB44EF" w:rsidP="00FB44EF">
      <w:pPr>
        <w:pStyle w:val="SubsectionHead"/>
      </w:pPr>
      <w:r w:rsidRPr="0081146C">
        <w:t>Entry</w:t>
      </w:r>
    </w:p>
    <w:p w14:paraId="4D49B2A1" w14:textId="77777777" w:rsidR="00FB44EF" w:rsidRPr="0081146C" w:rsidRDefault="00FB44EF" w:rsidP="00FB44EF">
      <w:pPr>
        <w:pStyle w:val="subsection"/>
      </w:pPr>
      <w:r w:rsidRPr="0081146C">
        <w:tab/>
        <w:t>(1)</w:t>
      </w:r>
      <w:r w:rsidRPr="0081146C">
        <w:tab/>
        <w:t xml:space="preserve">A financial institution (the </w:t>
      </w:r>
      <w:r w:rsidRPr="0081146C">
        <w:rPr>
          <w:b/>
          <w:i/>
        </w:rPr>
        <w:t>first institution</w:t>
      </w:r>
      <w:r w:rsidRPr="0081146C">
        <w:t>) must not enter into a correspondent banking relationship with another financial institution that will involve a vostro account unless:</w:t>
      </w:r>
    </w:p>
    <w:p w14:paraId="1F56A168" w14:textId="77777777" w:rsidR="00FB44EF" w:rsidRPr="0081146C" w:rsidRDefault="00FB44EF" w:rsidP="00FB44EF">
      <w:pPr>
        <w:pStyle w:val="paragraph"/>
      </w:pPr>
      <w:r w:rsidRPr="0081146C">
        <w:tab/>
        <w:t>(a)</w:t>
      </w:r>
      <w:r w:rsidRPr="0081146C">
        <w:tab/>
        <w:t>the first institution carries out a due diligence assessment in accordance with the AML/CTF Rules and prepares a written record of the assessment; and</w:t>
      </w:r>
    </w:p>
    <w:p w14:paraId="597AE13B" w14:textId="77777777" w:rsidR="00FB44EF" w:rsidRPr="0081146C" w:rsidRDefault="00FB44EF" w:rsidP="00FB44EF">
      <w:pPr>
        <w:pStyle w:val="paragraph"/>
      </w:pPr>
      <w:r w:rsidRPr="0081146C">
        <w:tab/>
        <w:t>(b)</w:t>
      </w:r>
      <w:r w:rsidRPr="0081146C">
        <w:tab/>
        <w:t>a senior officer of the first institution approves the entering into of that relationship, having regard to such matters (if any) as are specified in the AML/CTF Rules.</w:t>
      </w:r>
    </w:p>
    <w:p w14:paraId="5A1F7517" w14:textId="77777777" w:rsidR="00FB44EF" w:rsidRPr="0081146C" w:rsidRDefault="00FB44EF" w:rsidP="00FB44EF">
      <w:pPr>
        <w:pStyle w:val="notetext"/>
      </w:pPr>
      <w:r w:rsidRPr="0081146C">
        <w:t>Note:</w:t>
      </w:r>
      <w:r w:rsidRPr="0081146C">
        <w:tab/>
        <w:t xml:space="preserve">For geographical links, see </w:t>
      </w:r>
      <w:r w:rsidR="003B7E15" w:rsidRPr="0081146C">
        <w:t>section 1</w:t>
      </w:r>
      <w:r w:rsidRPr="0081146C">
        <w:t>00.</w:t>
      </w:r>
    </w:p>
    <w:p w14:paraId="03DBD956" w14:textId="77777777" w:rsidR="00FB44EF" w:rsidRPr="0081146C" w:rsidRDefault="00FB44EF" w:rsidP="00FB44EF">
      <w:pPr>
        <w:pStyle w:val="subsection"/>
      </w:pPr>
      <w:r w:rsidRPr="0081146C">
        <w:tab/>
        <w:t>(2)</w:t>
      </w:r>
      <w:r w:rsidRPr="0081146C">
        <w:tab/>
        <w:t xml:space="preserve">If a financial institution (the </w:t>
      </w:r>
      <w:r w:rsidRPr="0081146C">
        <w:rPr>
          <w:b/>
          <w:i/>
        </w:rPr>
        <w:t>first institution</w:t>
      </w:r>
      <w:r w:rsidRPr="0081146C">
        <w:t>) enters into a correspondent banking relationship with another financial institution that involves a vostro account, the first institution must, within 20 business days after the day of entering into the relationship, prepare a written record that sets out:</w:t>
      </w:r>
    </w:p>
    <w:p w14:paraId="242D73E3" w14:textId="77777777" w:rsidR="00FB44EF" w:rsidRPr="0081146C" w:rsidRDefault="00FB44EF" w:rsidP="00FB44EF">
      <w:pPr>
        <w:pStyle w:val="paragraph"/>
      </w:pPr>
      <w:r w:rsidRPr="0081146C">
        <w:tab/>
        <w:t>(a)</w:t>
      </w:r>
      <w:r w:rsidRPr="0081146C">
        <w:tab/>
        <w:t>its responsibilities under that relationship; and</w:t>
      </w:r>
    </w:p>
    <w:p w14:paraId="7EC3956A" w14:textId="77777777" w:rsidR="00FB44EF" w:rsidRPr="0081146C" w:rsidRDefault="00FB44EF" w:rsidP="00FB44EF">
      <w:pPr>
        <w:pStyle w:val="paragraph"/>
      </w:pPr>
      <w:r w:rsidRPr="0081146C">
        <w:tab/>
        <w:t>(b)</w:t>
      </w:r>
      <w:r w:rsidRPr="0081146C">
        <w:tab/>
        <w:t>the responsibilities of the other financial institution under that relationship.</w:t>
      </w:r>
    </w:p>
    <w:p w14:paraId="30480E6D" w14:textId="77777777" w:rsidR="00FB44EF" w:rsidRPr="0081146C" w:rsidRDefault="00FB44EF" w:rsidP="00FB44EF">
      <w:pPr>
        <w:pStyle w:val="SubsectionHead"/>
      </w:pPr>
      <w:r w:rsidRPr="0081146C">
        <w:t>Ongoing assessments</w:t>
      </w:r>
    </w:p>
    <w:p w14:paraId="575E3C72" w14:textId="77777777" w:rsidR="00FB44EF" w:rsidRPr="0081146C" w:rsidRDefault="00FB44EF" w:rsidP="00FB44EF">
      <w:pPr>
        <w:pStyle w:val="subsection"/>
      </w:pPr>
      <w:r w:rsidRPr="0081146C">
        <w:tab/>
        <w:t>(3)</w:t>
      </w:r>
      <w:r w:rsidRPr="0081146C">
        <w:tab/>
        <w:t xml:space="preserve">If a financial institution (the </w:t>
      </w:r>
      <w:r w:rsidRPr="0081146C">
        <w:rPr>
          <w:b/>
          <w:i/>
        </w:rPr>
        <w:t>first institution</w:t>
      </w:r>
      <w:r w:rsidRPr="0081146C">
        <w:t>) is in a correspondent banking relationship with another financial institution that involves a vostro account, the first institution must:</w:t>
      </w:r>
    </w:p>
    <w:p w14:paraId="5541BAE1" w14:textId="77777777" w:rsidR="00FB44EF" w:rsidRPr="0081146C" w:rsidRDefault="00FB44EF" w:rsidP="00FB44EF">
      <w:pPr>
        <w:pStyle w:val="paragraph"/>
      </w:pPr>
      <w:r w:rsidRPr="0081146C">
        <w:tab/>
        <w:t>(a)</w:t>
      </w:r>
      <w:r w:rsidRPr="0081146C">
        <w:tab/>
        <w:t>carry out due diligence assessments in accordance with the AML/CTF Rules; and</w:t>
      </w:r>
    </w:p>
    <w:p w14:paraId="55AB1EEE" w14:textId="77777777" w:rsidR="00FB44EF" w:rsidRPr="0081146C" w:rsidRDefault="00FB44EF" w:rsidP="00FB44EF">
      <w:pPr>
        <w:pStyle w:val="paragraph"/>
      </w:pPr>
      <w:r w:rsidRPr="0081146C">
        <w:tab/>
        <w:t>(b)</w:t>
      </w:r>
      <w:r w:rsidRPr="0081146C">
        <w:tab/>
        <w:t>carry out those assessments at the times worked out in accordance with the AML/CTF Rules; and</w:t>
      </w:r>
    </w:p>
    <w:p w14:paraId="20CE7E75" w14:textId="77777777" w:rsidR="00FB44EF" w:rsidRPr="0081146C" w:rsidRDefault="00FB44EF" w:rsidP="00FB44EF">
      <w:pPr>
        <w:pStyle w:val="paragraph"/>
      </w:pPr>
      <w:r w:rsidRPr="0081146C">
        <w:tab/>
        <w:t>(c)</w:t>
      </w:r>
      <w:r w:rsidRPr="0081146C">
        <w:tab/>
        <w:t>in relation to each assessment, prepare a written record of the assessment within 10 business days after the day of completing the assessment; and</w:t>
      </w:r>
    </w:p>
    <w:p w14:paraId="2CD61ADB" w14:textId="77777777" w:rsidR="00FB44EF" w:rsidRPr="0081146C" w:rsidRDefault="00FB44EF" w:rsidP="00FB44EF">
      <w:pPr>
        <w:pStyle w:val="paragraph"/>
      </w:pPr>
      <w:r w:rsidRPr="0081146C">
        <w:tab/>
        <w:t>(d)</w:t>
      </w:r>
      <w:r w:rsidRPr="0081146C">
        <w:tab/>
        <w:t>in relation to each assessment, ensure that, within 20 business days after the preparation of the written record, a senior officer of the first institution reviews the written record and makes a decision about whether the first institution should remain in a correspondent banking relationship with the other financial institution.</w:t>
      </w:r>
    </w:p>
    <w:p w14:paraId="2CD120EC" w14:textId="77777777" w:rsidR="00FB44EF" w:rsidRPr="0081146C" w:rsidRDefault="00FB44EF" w:rsidP="00FB44EF">
      <w:pPr>
        <w:pStyle w:val="notetext"/>
      </w:pPr>
      <w:r w:rsidRPr="0081146C">
        <w:t>Note:</w:t>
      </w:r>
      <w:r w:rsidRPr="0081146C">
        <w:tab/>
        <w:t xml:space="preserve">For geographical links, see </w:t>
      </w:r>
      <w:r w:rsidR="003B7E15" w:rsidRPr="0081146C">
        <w:t>section 1</w:t>
      </w:r>
      <w:r w:rsidRPr="0081146C">
        <w:t>00.</w:t>
      </w:r>
    </w:p>
    <w:p w14:paraId="6DE8BDA5" w14:textId="77777777" w:rsidR="00FB44EF" w:rsidRPr="0081146C" w:rsidRDefault="00FB44EF" w:rsidP="00FB44EF">
      <w:pPr>
        <w:pStyle w:val="SubsectionHead"/>
      </w:pPr>
      <w:r w:rsidRPr="0081146C">
        <w:t>Civil penalty</w:t>
      </w:r>
    </w:p>
    <w:p w14:paraId="14C060D3" w14:textId="77777777" w:rsidR="00FB44EF" w:rsidRPr="0081146C" w:rsidRDefault="00FB44EF" w:rsidP="00FB44EF">
      <w:pPr>
        <w:pStyle w:val="subsection"/>
      </w:pPr>
      <w:r w:rsidRPr="0081146C">
        <w:tab/>
        <w:t>(4)</w:t>
      </w:r>
      <w:r w:rsidRPr="0081146C">
        <w:tab/>
        <w:t>Subsections (1), (2) and (3) are civil penalty provisions.</w:t>
      </w:r>
    </w:p>
    <w:p w14:paraId="334F3820" w14:textId="77777777" w:rsidR="00035544" w:rsidRPr="0081146C" w:rsidRDefault="00035544" w:rsidP="00035544">
      <w:pPr>
        <w:pStyle w:val="ActHead5"/>
      </w:pPr>
      <w:bookmarkStart w:id="394" w:name="_Toc185415902"/>
      <w:bookmarkEnd w:id="388"/>
      <w:r w:rsidRPr="0081146C">
        <w:rPr>
          <w:rStyle w:val="CharSectno"/>
        </w:rPr>
        <w:t>100</w:t>
      </w:r>
      <w:r w:rsidRPr="0081146C">
        <w:t xml:space="preserve">  Geographical links</w:t>
      </w:r>
      <w:bookmarkEnd w:id="394"/>
    </w:p>
    <w:p w14:paraId="0128E351" w14:textId="77777777" w:rsidR="00035544" w:rsidRPr="0081146C" w:rsidRDefault="00035544" w:rsidP="00035544">
      <w:pPr>
        <w:pStyle w:val="subsection"/>
      </w:pPr>
      <w:r w:rsidRPr="0081146C">
        <w:tab/>
      </w:r>
      <w:r w:rsidRPr="0081146C">
        <w:tab/>
        <w:t xml:space="preserve">A financial institution is not subject to a requirement under this </w:t>
      </w:r>
      <w:r w:rsidR="00753679" w:rsidRPr="0081146C">
        <w:t>Part i</w:t>
      </w:r>
      <w:r w:rsidRPr="0081146C">
        <w:t>n connection with a correspondent banking relationship the financial institution has, or proposes to have, with another person unless:</w:t>
      </w:r>
    </w:p>
    <w:p w14:paraId="18A55D0A" w14:textId="77777777" w:rsidR="00035544" w:rsidRPr="0081146C" w:rsidRDefault="00035544" w:rsidP="00035544">
      <w:pPr>
        <w:pStyle w:val="paragraph"/>
      </w:pPr>
      <w:r w:rsidRPr="0081146C">
        <w:tab/>
        <w:t>(a)</w:t>
      </w:r>
      <w:r w:rsidRPr="0081146C">
        <w:tab/>
        <w:t>the financial institution carries on an activity or business at or through a permanent establishment of the financial institution in Australia; or</w:t>
      </w:r>
    </w:p>
    <w:p w14:paraId="1AEF0E78" w14:textId="77777777" w:rsidR="00035544" w:rsidRPr="0081146C" w:rsidRDefault="00035544" w:rsidP="00035544">
      <w:pPr>
        <w:pStyle w:val="paragraph"/>
      </w:pPr>
      <w:r w:rsidRPr="0081146C">
        <w:tab/>
        <w:t>(b)</w:t>
      </w:r>
      <w:r w:rsidRPr="0081146C">
        <w:tab/>
        <w:t>both:</w:t>
      </w:r>
    </w:p>
    <w:p w14:paraId="600ADBA9" w14:textId="77777777" w:rsidR="00035544" w:rsidRPr="0081146C" w:rsidRDefault="00035544" w:rsidP="00035544">
      <w:pPr>
        <w:pStyle w:val="paragraphsub"/>
      </w:pPr>
      <w:r w:rsidRPr="0081146C">
        <w:tab/>
        <w:t>(i)</w:t>
      </w:r>
      <w:r w:rsidRPr="0081146C">
        <w:tab/>
        <w:t>the financial institution is a resident of Australia; and</w:t>
      </w:r>
    </w:p>
    <w:p w14:paraId="1B99BE39" w14:textId="77777777" w:rsidR="00035544" w:rsidRPr="0081146C" w:rsidRDefault="00035544" w:rsidP="00035544">
      <w:pPr>
        <w:pStyle w:val="paragraphsub"/>
      </w:pPr>
      <w:r w:rsidRPr="0081146C">
        <w:tab/>
        <w:t>(ii)</w:t>
      </w:r>
      <w:r w:rsidRPr="0081146C">
        <w:tab/>
        <w:t>the financial institution carries on an activity or business at or through a permanent establishment of the financial institution in a foreign country; or</w:t>
      </w:r>
    </w:p>
    <w:p w14:paraId="74234800" w14:textId="77777777" w:rsidR="00035544" w:rsidRPr="0081146C" w:rsidRDefault="00035544" w:rsidP="00035544">
      <w:pPr>
        <w:pStyle w:val="paragraph"/>
      </w:pPr>
      <w:r w:rsidRPr="0081146C">
        <w:tab/>
        <w:t>(c)</w:t>
      </w:r>
      <w:r w:rsidRPr="0081146C">
        <w:tab/>
        <w:t>both:</w:t>
      </w:r>
    </w:p>
    <w:p w14:paraId="088E2A27" w14:textId="77777777" w:rsidR="00035544" w:rsidRPr="0081146C" w:rsidRDefault="00035544" w:rsidP="00035544">
      <w:pPr>
        <w:pStyle w:val="paragraphsub"/>
      </w:pPr>
      <w:r w:rsidRPr="0081146C">
        <w:tab/>
        <w:t>(i)</w:t>
      </w:r>
      <w:r w:rsidRPr="0081146C">
        <w:tab/>
        <w:t>the financial institution is a subsidiary of a company that is a resident of Australia; and</w:t>
      </w:r>
    </w:p>
    <w:p w14:paraId="50F3E146" w14:textId="77777777" w:rsidR="00035544" w:rsidRPr="0081146C" w:rsidRDefault="00035544" w:rsidP="00035544">
      <w:pPr>
        <w:pStyle w:val="paragraphsub"/>
      </w:pPr>
      <w:r w:rsidRPr="0081146C">
        <w:tab/>
        <w:t>(ii)</w:t>
      </w:r>
      <w:r w:rsidRPr="0081146C">
        <w:tab/>
        <w:t>the financial institution carries on an activity or business at or through a permanent establishment of the financial institution in a foreign country.</w:t>
      </w:r>
    </w:p>
    <w:p w14:paraId="371622BB" w14:textId="77777777" w:rsidR="00035544" w:rsidRPr="0081146C" w:rsidRDefault="00035544" w:rsidP="00035544">
      <w:pPr>
        <w:pStyle w:val="notetext"/>
      </w:pPr>
      <w:r w:rsidRPr="0081146C">
        <w:t>Note:</w:t>
      </w:r>
      <w:r w:rsidRPr="0081146C">
        <w:tab/>
        <w:t xml:space="preserve">For </w:t>
      </w:r>
      <w:r w:rsidRPr="0081146C">
        <w:rPr>
          <w:b/>
          <w:i/>
        </w:rPr>
        <w:t>resident</w:t>
      </w:r>
      <w:r w:rsidRPr="0081146C">
        <w:t xml:space="preserve">, see </w:t>
      </w:r>
      <w:r w:rsidR="003B7E15" w:rsidRPr="0081146C">
        <w:t>section 1</w:t>
      </w:r>
      <w:r w:rsidRPr="0081146C">
        <w:t>4.</w:t>
      </w:r>
    </w:p>
    <w:p w14:paraId="673F33C7" w14:textId="77777777" w:rsidR="00035544" w:rsidRPr="0081146C" w:rsidRDefault="00035544" w:rsidP="00AE2DA2">
      <w:pPr>
        <w:pStyle w:val="ActHead2"/>
        <w:pageBreakBefore/>
      </w:pPr>
      <w:bookmarkStart w:id="395" w:name="_Toc185415903"/>
      <w:r w:rsidRPr="0081146C">
        <w:rPr>
          <w:rStyle w:val="CharPartNo"/>
        </w:rPr>
        <w:t>Part</w:t>
      </w:r>
      <w:r w:rsidR="004F64A4" w:rsidRPr="0081146C">
        <w:rPr>
          <w:rStyle w:val="CharPartNo"/>
        </w:rPr>
        <w:t> </w:t>
      </w:r>
      <w:r w:rsidRPr="0081146C">
        <w:rPr>
          <w:rStyle w:val="CharPartNo"/>
        </w:rPr>
        <w:t>9</w:t>
      </w:r>
      <w:r w:rsidRPr="0081146C">
        <w:t>—</w:t>
      </w:r>
      <w:r w:rsidRPr="0081146C">
        <w:rPr>
          <w:rStyle w:val="CharPartText"/>
        </w:rPr>
        <w:t>Countermeasures</w:t>
      </w:r>
      <w:bookmarkEnd w:id="395"/>
    </w:p>
    <w:p w14:paraId="7EB23CF2" w14:textId="77777777" w:rsidR="00035544" w:rsidRPr="0081146C" w:rsidRDefault="00C72BA2" w:rsidP="00035544">
      <w:pPr>
        <w:pStyle w:val="Header"/>
      </w:pPr>
      <w:r w:rsidRPr="0081146C">
        <w:rPr>
          <w:rStyle w:val="CharDivNo"/>
        </w:rPr>
        <w:t xml:space="preserve"> </w:t>
      </w:r>
      <w:r w:rsidRPr="0081146C">
        <w:rPr>
          <w:rStyle w:val="CharDivText"/>
        </w:rPr>
        <w:t xml:space="preserve"> </w:t>
      </w:r>
    </w:p>
    <w:p w14:paraId="16D90016" w14:textId="77777777" w:rsidR="00035544" w:rsidRPr="0081146C" w:rsidRDefault="00035544" w:rsidP="00035544">
      <w:pPr>
        <w:pStyle w:val="ActHead5"/>
      </w:pPr>
      <w:bookmarkStart w:id="396" w:name="_Toc185415904"/>
      <w:r w:rsidRPr="0081146C">
        <w:rPr>
          <w:rStyle w:val="CharSectno"/>
        </w:rPr>
        <w:t>101</w:t>
      </w:r>
      <w:r w:rsidRPr="0081146C">
        <w:t xml:space="preserve">  Simplified outline</w:t>
      </w:r>
      <w:bookmarkEnd w:id="396"/>
    </w:p>
    <w:p w14:paraId="1DE4FC53" w14:textId="77777777" w:rsidR="00035544" w:rsidRPr="0081146C" w:rsidRDefault="00035544" w:rsidP="00035544">
      <w:pPr>
        <w:pStyle w:val="subsection"/>
      </w:pPr>
      <w:r w:rsidRPr="0081146C">
        <w:tab/>
      </w:r>
      <w:r w:rsidRPr="0081146C">
        <w:tab/>
        <w:t>The following is a simplified outline of this Part:</w:t>
      </w:r>
    </w:p>
    <w:p w14:paraId="74B0B5B2" w14:textId="77777777" w:rsidR="00035544" w:rsidRPr="0081146C" w:rsidRDefault="00035544" w:rsidP="00035544">
      <w:pPr>
        <w:pStyle w:val="BoxList"/>
      </w:pPr>
      <w:r w:rsidRPr="0081146C">
        <w:t>•</w:t>
      </w:r>
      <w:r w:rsidRPr="0081146C">
        <w:tab/>
        <w:t>The regulations may prohibit or regulate the entering into of transactions with residents of prescribed foreign countries.</w:t>
      </w:r>
    </w:p>
    <w:p w14:paraId="3A375AAF" w14:textId="77777777" w:rsidR="00035544" w:rsidRPr="0081146C" w:rsidRDefault="00035544" w:rsidP="00035544">
      <w:pPr>
        <w:pStyle w:val="ActHead5"/>
      </w:pPr>
      <w:bookmarkStart w:id="397" w:name="_Toc185415905"/>
      <w:r w:rsidRPr="0081146C">
        <w:rPr>
          <w:rStyle w:val="CharSectno"/>
        </w:rPr>
        <w:t>102</w:t>
      </w:r>
      <w:r w:rsidRPr="0081146C">
        <w:t xml:space="preserve">  Countermeasures</w:t>
      </w:r>
      <w:bookmarkEnd w:id="397"/>
    </w:p>
    <w:p w14:paraId="789ED080" w14:textId="77777777" w:rsidR="00035544" w:rsidRPr="0081146C" w:rsidRDefault="00035544" w:rsidP="00035544">
      <w:pPr>
        <w:pStyle w:val="subsection"/>
      </w:pPr>
      <w:r w:rsidRPr="0081146C">
        <w:tab/>
        <w:t>(1)</w:t>
      </w:r>
      <w:r w:rsidRPr="0081146C">
        <w:tab/>
        <w:t>The regulations may make provision for or in relation to prohibiting or regulating the entering into of transactions, where:</w:t>
      </w:r>
    </w:p>
    <w:p w14:paraId="7FB1B209" w14:textId="77777777" w:rsidR="00035544" w:rsidRPr="0081146C" w:rsidRDefault="00035544" w:rsidP="00035544">
      <w:pPr>
        <w:pStyle w:val="paragraph"/>
      </w:pPr>
      <w:r w:rsidRPr="0081146C">
        <w:tab/>
        <w:t>(a)</w:t>
      </w:r>
      <w:r w:rsidRPr="0081146C">
        <w:tab/>
        <w:t>both:</w:t>
      </w:r>
    </w:p>
    <w:p w14:paraId="5F080711" w14:textId="77777777" w:rsidR="00035544" w:rsidRPr="0081146C" w:rsidRDefault="00035544" w:rsidP="00035544">
      <w:pPr>
        <w:pStyle w:val="paragraphsub"/>
      </w:pPr>
      <w:r w:rsidRPr="0081146C">
        <w:tab/>
        <w:t>(i)</w:t>
      </w:r>
      <w:r w:rsidRPr="0081146C">
        <w:tab/>
        <w:t>one of the parties to the transaction is a resident of Australia; and</w:t>
      </w:r>
    </w:p>
    <w:p w14:paraId="5204047F" w14:textId="77777777" w:rsidR="00035544" w:rsidRPr="0081146C" w:rsidRDefault="00035544" w:rsidP="00035544">
      <w:pPr>
        <w:pStyle w:val="paragraphsub"/>
      </w:pPr>
      <w:r w:rsidRPr="0081146C">
        <w:tab/>
        <w:t>(ii)</w:t>
      </w:r>
      <w:r w:rsidRPr="0081146C">
        <w:tab/>
        <w:t>the other party, or any of the other parties, is a resident of a prescribed foreign country; or</w:t>
      </w:r>
    </w:p>
    <w:p w14:paraId="7F2D567F" w14:textId="77777777" w:rsidR="00035544" w:rsidRPr="0081146C" w:rsidRDefault="00035544" w:rsidP="00035544">
      <w:pPr>
        <w:pStyle w:val="paragraph"/>
      </w:pPr>
      <w:r w:rsidRPr="0081146C">
        <w:tab/>
        <w:t>(b)</w:t>
      </w:r>
      <w:r w:rsidRPr="0081146C">
        <w:tab/>
        <w:t>both:</w:t>
      </w:r>
    </w:p>
    <w:p w14:paraId="095C4897" w14:textId="77777777" w:rsidR="00035544" w:rsidRPr="0081146C" w:rsidRDefault="00035544" w:rsidP="00035544">
      <w:pPr>
        <w:pStyle w:val="paragraphsub"/>
      </w:pPr>
      <w:r w:rsidRPr="0081146C">
        <w:tab/>
        <w:t>(i)</w:t>
      </w:r>
      <w:r w:rsidRPr="0081146C">
        <w:tab/>
        <w:t>one of the parties to the transaction enters into the transaction in the course of carrying on an activity or business at or through a permanent establishment of the party in Australia; and</w:t>
      </w:r>
    </w:p>
    <w:p w14:paraId="34598579" w14:textId="77777777" w:rsidR="00035544" w:rsidRPr="0081146C" w:rsidRDefault="00035544" w:rsidP="00035544">
      <w:pPr>
        <w:pStyle w:val="paragraphsub"/>
      </w:pPr>
      <w:r w:rsidRPr="0081146C">
        <w:tab/>
        <w:t>(ii)</w:t>
      </w:r>
      <w:r w:rsidRPr="0081146C">
        <w:tab/>
        <w:t>the other party, or any of the other parties, is a resident of a prescribed foreign country; or</w:t>
      </w:r>
    </w:p>
    <w:p w14:paraId="69624AC5" w14:textId="77777777" w:rsidR="00035544" w:rsidRPr="0081146C" w:rsidRDefault="00035544" w:rsidP="00035544">
      <w:pPr>
        <w:pStyle w:val="paragraph"/>
      </w:pPr>
      <w:r w:rsidRPr="0081146C">
        <w:tab/>
        <w:t>(c)</w:t>
      </w:r>
      <w:r w:rsidRPr="0081146C">
        <w:tab/>
        <w:t>both:</w:t>
      </w:r>
    </w:p>
    <w:p w14:paraId="7ADB6345" w14:textId="77777777" w:rsidR="00035544" w:rsidRPr="0081146C" w:rsidRDefault="00035544" w:rsidP="00035544">
      <w:pPr>
        <w:pStyle w:val="paragraphsub"/>
      </w:pPr>
      <w:r w:rsidRPr="0081146C">
        <w:tab/>
        <w:t>(i)</w:t>
      </w:r>
      <w:r w:rsidRPr="0081146C">
        <w:tab/>
        <w:t>one of the parties to the transaction is a resident of Australia; and</w:t>
      </w:r>
    </w:p>
    <w:p w14:paraId="4D7C49FF" w14:textId="77777777" w:rsidR="00035544" w:rsidRPr="0081146C" w:rsidRDefault="00035544" w:rsidP="00035544">
      <w:pPr>
        <w:pStyle w:val="paragraphsub"/>
      </w:pPr>
      <w:r w:rsidRPr="0081146C">
        <w:tab/>
        <w:t>(ii)</w:t>
      </w:r>
      <w:r w:rsidRPr="0081146C">
        <w:tab/>
        <w:t>the other party, or any of the other parties, is a corporation incorporated in a prescribed foreign country; or</w:t>
      </w:r>
    </w:p>
    <w:p w14:paraId="342FA643" w14:textId="77777777" w:rsidR="00035544" w:rsidRPr="0081146C" w:rsidRDefault="00035544" w:rsidP="00035544">
      <w:pPr>
        <w:pStyle w:val="paragraph"/>
      </w:pPr>
      <w:r w:rsidRPr="0081146C">
        <w:tab/>
        <w:t>(d)</w:t>
      </w:r>
      <w:r w:rsidRPr="0081146C">
        <w:tab/>
        <w:t>both:</w:t>
      </w:r>
    </w:p>
    <w:p w14:paraId="230A1E06" w14:textId="77777777" w:rsidR="00035544" w:rsidRPr="0081146C" w:rsidRDefault="00035544" w:rsidP="00035544">
      <w:pPr>
        <w:pStyle w:val="paragraphsub"/>
      </w:pPr>
      <w:r w:rsidRPr="0081146C">
        <w:tab/>
        <w:t>(i)</w:t>
      </w:r>
      <w:r w:rsidRPr="0081146C">
        <w:tab/>
        <w:t>one of the parties to the transaction enters into the transaction in the course of carrying on an activity or business at or through a permanent establishment of the party in Australia; and</w:t>
      </w:r>
    </w:p>
    <w:p w14:paraId="562EA32C" w14:textId="77777777" w:rsidR="00035544" w:rsidRPr="0081146C" w:rsidRDefault="00035544" w:rsidP="00035544">
      <w:pPr>
        <w:pStyle w:val="paragraphsub"/>
      </w:pPr>
      <w:r w:rsidRPr="0081146C">
        <w:tab/>
        <w:t>(ii)</w:t>
      </w:r>
      <w:r w:rsidRPr="0081146C">
        <w:tab/>
        <w:t>the other party, or any of the other parties, is a corporation incorporated in a prescribed foreign country; or</w:t>
      </w:r>
    </w:p>
    <w:p w14:paraId="5636A467" w14:textId="77777777" w:rsidR="00035544" w:rsidRPr="0081146C" w:rsidRDefault="00035544" w:rsidP="00035544">
      <w:pPr>
        <w:pStyle w:val="paragraph"/>
      </w:pPr>
      <w:r w:rsidRPr="0081146C">
        <w:tab/>
        <w:t>(e)</w:t>
      </w:r>
      <w:r w:rsidRPr="0081146C">
        <w:tab/>
        <w:t>both:</w:t>
      </w:r>
    </w:p>
    <w:p w14:paraId="094DDFF5" w14:textId="77777777" w:rsidR="00035544" w:rsidRPr="0081146C" w:rsidRDefault="00035544" w:rsidP="00035544">
      <w:pPr>
        <w:pStyle w:val="paragraphsub"/>
      </w:pPr>
      <w:r w:rsidRPr="0081146C">
        <w:tab/>
        <w:t>(i)</w:t>
      </w:r>
      <w:r w:rsidRPr="0081146C">
        <w:tab/>
        <w:t>one of the parties to the transaction is a resident of Australia; and</w:t>
      </w:r>
    </w:p>
    <w:p w14:paraId="0B9579FF" w14:textId="77777777" w:rsidR="00035544" w:rsidRPr="0081146C" w:rsidRDefault="00035544" w:rsidP="00035544">
      <w:pPr>
        <w:pStyle w:val="paragraphsub"/>
      </w:pPr>
      <w:r w:rsidRPr="0081146C">
        <w:tab/>
        <w:t>(ii)</w:t>
      </w:r>
      <w:r w:rsidRPr="0081146C">
        <w:tab/>
        <w:t>the other party, or any of the other parties, is an individual who is physically present in a prescribed foreign country; or</w:t>
      </w:r>
    </w:p>
    <w:p w14:paraId="0075E3C3" w14:textId="77777777" w:rsidR="00035544" w:rsidRPr="0081146C" w:rsidRDefault="00035544" w:rsidP="00035544">
      <w:pPr>
        <w:pStyle w:val="paragraph"/>
      </w:pPr>
      <w:r w:rsidRPr="0081146C">
        <w:tab/>
        <w:t>(f)</w:t>
      </w:r>
      <w:r w:rsidRPr="0081146C">
        <w:tab/>
        <w:t>both:</w:t>
      </w:r>
    </w:p>
    <w:p w14:paraId="45AF6530" w14:textId="77777777" w:rsidR="00035544" w:rsidRPr="0081146C" w:rsidRDefault="00035544" w:rsidP="00035544">
      <w:pPr>
        <w:pStyle w:val="paragraphsub"/>
      </w:pPr>
      <w:r w:rsidRPr="0081146C">
        <w:tab/>
        <w:t>(i)</w:t>
      </w:r>
      <w:r w:rsidRPr="0081146C">
        <w:tab/>
        <w:t>one of the parties to the transaction enters into the transaction in the course of carrying on an activity or business at or through a permanent establishment of the party in Australia; and</w:t>
      </w:r>
    </w:p>
    <w:p w14:paraId="74C9C8DD" w14:textId="77777777" w:rsidR="00035544" w:rsidRPr="0081146C" w:rsidRDefault="00035544" w:rsidP="00035544">
      <w:pPr>
        <w:pStyle w:val="paragraphsub"/>
      </w:pPr>
      <w:r w:rsidRPr="0081146C">
        <w:tab/>
        <w:t>(ii)</w:t>
      </w:r>
      <w:r w:rsidRPr="0081146C">
        <w:tab/>
        <w:t>the other party, or any of the other parties, is an individual who is physically present in a prescribed foreign country.</w:t>
      </w:r>
    </w:p>
    <w:p w14:paraId="7C2BB733" w14:textId="77777777" w:rsidR="00035544" w:rsidRPr="0081146C" w:rsidRDefault="00035544" w:rsidP="00035544">
      <w:pPr>
        <w:pStyle w:val="notetext"/>
      </w:pPr>
      <w:r w:rsidRPr="0081146C">
        <w:t>Note:</w:t>
      </w:r>
      <w:r w:rsidRPr="0081146C">
        <w:tab/>
        <w:t xml:space="preserve">For </w:t>
      </w:r>
      <w:r w:rsidRPr="0081146C">
        <w:rPr>
          <w:b/>
          <w:i/>
        </w:rPr>
        <w:t>resident</w:t>
      </w:r>
      <w:r w:rsidRPr="0081146C">
        <w:t xml:space="preserve">, see </w:t>
      </w:r>
      <w:r w:rsidR="003B7E15" w:rsidRPr="0081146C">
        <w:t>section 1</w:t>
      </w:r>
      <w:r w:rsidRPr="0081146C">
        <w:t>4.</w:t>
      </w:r>
    </w:p>
    <w:p w14:paraId="3420158A" w14:textId="77777777" w:rsidR="00035544" w:rsidRPr="0081146C" w:rsidRDefault="00035544" w:rsidP="00035544">
      <w:pPr>
        <w:pStyle w:val="subsection"/>
      </w:pPr>
      <w:r w:rsidRPr="0081146C">
        <w:tab/>
        <w:t>(2)</w:t>
      </w:r>
      <w:r w:rsidRPr="0081146C">
        <w:tab/>
        <w:t xml:space="preserve">Regulations made for the purposes of </w:t>
      </w:r>
      <w:r w:rsidR="004F64A4" w:rsidRPr="0081146C">
        <w:t>subsection (</w:t>
      </w:r>
      <w:r w:rsidRPr="0081146C">
        <w:t>1):</w:t>
      </w:r>
    </w:p>
    <w:p w14:paraId="4DE72C45" w14:textId="77777777" w:rsidR="00035544" w:rsidRPr="0081146C" w:rsidRDefault="00035544" w:rsidP="00035544">
      <w:pPr>
        <w:pStyle w:val="paragraph"/>
      </w:pPr>
      <w:r w:rsidRPr="0081146C">
        <w:tab/>
        <w:t>(a)</w:t>
      </w:r>
      <w:r w:rsidRPr="0081146C">
        <w:tab/>
        <w:t>may be of general application; or</w:t>
      </w:r>
    </w:p>
    <w:p w14:paraId="389A2470" w14:textId="77777777" w:rsidR="00035544" w:rsidRPr="0081146C" w:rsidRDefault="00035544" w:rsidP="00035544">
      <w:pPr>
        <w:pStyle w:val="paragraph"/>
      </w:pPr>
      <w:r w:rsidRPr="0081146C">
        <w:tab/>
        <w:t>(b)</w:t>
      </w:r>
      <w:r w:rsidRPr="0081146C">
        <w:tab/>
        <w:t>may be limited by reference to any or all of the following:</w:t>
      </w:r>
    </w:p>
    <w:p w14:paraId="0C74C092" w14:textId="77777777" w:rsidR="00035544" w:rsidRPr="0081146C" w:rsidRDefault="00035544" w:rsidP="00035544">
      <w:pPr>
        <w:pStyle w:val="paragraphsub"/>
      </w:pPr>
      <w:r w:rsidRPr="0081146C">
        <w:tab/>
        <w:t>(i)</w:t>
      </w:r>
      <w:r w:rsidRPr="0081146C">
        <w:tab/>
        <w:t>a specified transaction;</w:t>
      </w:r>
    </w:p>
    <w:p w14:paraId="760C5962" w14:textId="77777777" w:rsidR="00035544" w:rsidRPr="0081146C" w:rsidRDefault="00035544" w:rsidP="00035544">
      <w:pPr>
        <w:pStyle w:val="paragraphsub"/>
      </w:pPr>
      <w:r w:rsidRPr="0081146C">
        <w:tab/>
        <w:t>(ii)</w:t>
      </w:r>
      <w:r w:rsidRPr="0081146C">
        <w:tab/>
        <w:t>a specified party;</w:t>
      </w:r>
    </w:p>
    <w:p w14:paraId="52CDF538" w14:textId="77777777" w:rsidR="00035544" w:rsidRPr="0081146C" w:rsidRDefault="00035544" w:rsidP="00035544">
      <w:pPr>
        <w:pStyle w:val="paragraphsub"/>
      </w:pPr>
      <w:r w:rsidRPr="0081146C">
        <w:tab/>
        <w:t>(iii)</w:t>
      </w:r>
      <w:r w:rsidRPr="0081146C">
        <w:tab/>
        <w:t>a specified prescribed foreign country.</w:t>
      </w:r>
    </w:p>
    <w:p w14:paraId="42453F7C" w14:textId="77777777" w:rsidR="00035544" w:rsidRPr="0081146C" w:rsidRDefault="00035544" w:rsidP="00035544">
      <w:pPr>
        <w:pStyle w:val="notetext"/>
      </w:pPr>
      <w:r w:rsidRPr="0081146C">
        <w:t>Note 1:</w:t>
      </w:r>
      <w:r w:rsidRPr="0081146C">
        <w:tab/>
        <w:t>For specification by class, see sub</w:t>
      </w:r>
      <w:r w:rsidR="003B7E15" w:rsidRPr="0081146C">
        <w:t>section 1</w:t>
      </w:r>
      <w:r w:rsidRPr="0081146C">
        <w:t xml:space="preserve">3(3) of the </w:t>
      </w:r>
      <w:r w:rsidR="00503747" w:rsidRPr="0081146C">
        <w:rPr>
          <w:i/>
        </w:rPr>
        <w:t>Legislation Act 2003</w:t>
      </w:r>
      <w:r w:rsidRPr="0081146C">
        <w:t>.</w:t>
      </w:r>
    </w:p>
    <w:p w14:paraId="75A13F3A" w14:textId="77777777" w:rsidR="00035544" w:rsidRPr="0081146C" w:rsidRDefault="00035544" w:rsidP="00035544">
      <w:pPr>
        <w:pStyle w:val="notetext"/>
      </w:pPr>
      <w:r w:rsidRPr="0081146C">
        <w:t>Note 2:</w:t>
      </w:r>
      <w:r w:rsidRPr="0081146C">
        <w:tab/>
        <w:t xml:space="preserve">For consultation requirements, see </w:t>
      </w:r>
      <w:r w:rsidR="003B7E15" w:rsidRPr="0081146C">
        <w:t>section 1</w:t>
      </w:r>
      <w:r w:rsidRPr="0081146C">
        <w:t xml:space="preserve">7 of the </w:t>
      </w:r>
      <w:r w:rsidR="00503747" w:rsidRPr="0081146C">
        <w:rPr>
          <w:i/>
        </w:rPr>
        <w:t>Legislation Act 2003</w:t>
      </w:r>
      <w:r w:rsidRPr="0081146C">
        <w:t>.</w:t>
      </w:r>
    </w:p>
    <w:p w14:paraId="46038357" w14:textId="77777777" w:rsidR="00035544" w:rsidRPr="0081146C" w:rsidRDefault="00035544" w:rsidP="002B35E8">
      <w:pPr>
        <w:pStyle w:val="ActHead5"/>
      </w:pPr>
      <w:bookmarkStart w:id="398" w:name="_Toc185415906"/>
      <w:r w:rsidRPr="0081146C">
        <w:rPr>
          <w:rStyle w:val="CharSectno"/>
        </w:rPr>
        <w:t>103</w:t>
      </w:r>
      <w:r w:rsidRPr="0081146C">
        <w:t xml:space="preserve">  Sunsetting of regulations after 2 years</w:t>
      </w:r>
      <w:bookmarkEnd w:id="398"/>
    </w:p>
    <w:p w14:paraId="0FD27068" w14:textId="77777777" w:rsidR="00035544" w:rsidRPr="0081146C" w:rsidRDefault="00035544" w:rsidP="00D161E9">
      <w:pPr>
        <w:pStyle w:val="subsection"/>
        <w:keepLines/>
      </w:pPr>
      <w:r w:rsidRPr="0081146C">
        <w:tab/>
      </w:r>
      <w:r w:rsidRPr="0081146C">
        <w:tab/>
        <w:t>Section</w:t>
      </w:r>
      <w:r w:rsidR="004F64A4" w:rsidRPr="0081146C">
        <w:t> </w:t>
      </w:r>
      <w:r w:rsidRPr="0081146C">
        <w:t xml:space="preserve">50 of the </w:t>
      </w:r>
      <w:r w:rsidR="00503747" w:rsidRPr="0081146C">
        <w:rPr>
          <w:i/>
        </w:rPr>
        <w:t>Legislation Act 2003</w:t>
      </w:r>
      <w:r w:rsidRPr="0081146C">
        <w:t xml:space="preserve"> has effect, in relation to regulations made for the purposes of sub</w:t>
      </w:r>
      <w:r w:rsidR="003B7E15" w:rsidRPr="0081146C">
        <w:t>section 1</w:t>
      </w:r>
      <w:r w:rsidRPr="0081146C">
        <w:t>02(1), as if each reference in that section to tenth anniversary were read as a reference to second anniversary.</w:t>
      </w:r>
    </w:p>
    <w:p w14:paraId="172F0A6B" w14:textId="77777777" w:rsidR="00035544" w:rsidRPr="0081146C" w:rsidRDefault="00CA78AA" w:rsidP="00AE2DA2">
      <w:pPr>
        <w:pStyle w:val="ActHead2"/>
        <w:pageBreakBefore/>
      </w:pPr>
      <w:bookmarkStart w:id="399" w:name="_Toc185415907"/>
      <w:r w:rsidRPr="0081146C">
        <w:rPr>
          <w:rStyle w:val="CharPartNo"/>
        </w:rPr>
        <w:t>Part 1</w:t>
      </w:r>
      <w:r w:rsidR="00035544" w:rsidRPr="0081146C">
        <w:rPr>
          <w:rStyle w:val="CharPartNo"/>
        </w:rPr>
        <w:t>0</w:t>
      </w:r>
      <w:r w:rsidR="00035544" w:rsidRPr="0081146C">
        <w:t>—</w:t>
      </w:r>
      <w:r w:rsidR="00035544" w:rsidRPr="0081146C">
        <w:rPr>
          <w:rStyle w:val="CharPartText"/>
        </w:rPr>
        <w:t>Record</w:t>
      </w:r>
      <w:r w:rsidR="003B7E15" w:rsidRPr="0081146C">
        <w:rPr>
          <w:rStyle w:val="CharPartText"/>
        </w:rPr>
        <w:noBreakHyphen/>
      </w:r>
      <w:r w:rsidR="00035544" w:rsidRPr="0081146C">
        <w:rPr>
          <w:rStyle w:val="CharPartText"/>
        </w:rPr>
        <w:t>keeping requirements</w:t>
      </w:r>
      <w:bookmarkEnd w:id="399"/>
    </w:p>
    <w:p w14:paraId="02AF6D09" w14:textId="77777777" w:rsidR="00035544" w:rsidRPr="0081146C" w:rsidRDefault="00CA78AA" w:rsidP="00035544">
      <w:pPr>
        <w:pStyle w:val="ActHead3"/>
      </w:pPr>
      <w:bookmarkStart w:id="400" w:name="_Toc185415908"/>
      <w:r w:rsidRPr="0081146C">
        <w:rPr>
          <w:rStyle w:val="CharDivNo"/>
        </w:rPr>
        <w:t>Division 1</w:t>
      </w:r>
      <w:r w:rsidR="00035544" w:rsidRPr="0081146C">
        <w:t>—</w:t>
      </w:r>
      <w:r w:rsidR="00035544" w:rsidRPr="0081146C">
        <w:rPr>
          <w:rStyle w:val="CharDivText"/>
        </w:rPr>
        <w:t>Introduction</w:t>
      </w:r>
      <w:bookmarkEnd w:id="400"/>
    </w:p>
    <w:p w14:paraId="1EF6B4A9" w14:textId="77777777" w:rsidR="00035544" w:rsidRPr="0081146C" w:rsidRDefault="00035544" w:rsidP="00035544">
      <w:pPr>
        <w:pStyle w:val="ActHead5"/>
      </w:pPr>
      <w:bookmarkStart w:id="401" w:name="_Toc185415909"/>
      <w:r w:rsidRPr="0081146C">
        <w:rPr>
          <w:rStyle w:val="CharSectno"/>
        </w:rPr>
        <w:t>104</w:t>
      </w:r>
      <w:r w:rsidRPr="0081146C">
        <w:t xml:space="preserve">  Simplified outline</w:t>
      </w:r>
      <w:bookmarkEnd w:id="401"/>
    </w:p>
    <w:p w14:paraId="797D6852" w14:textId="77777777" w:rsidR="00035544" w:rsidRPr="0081146C" w:rsidRDefault="00035544" w:rsidP="00035544">
      <w:pPr>
        <w:pStyle w:val="subsection"/>
      </w:pPr>
      <w:r w:rsidRPr="0081146C">
        <w:tab/>
      </w:r>
      <w:r w:rsidRPr="0081146C">
        <w:tab/>
        <w:t>The following is a simplified outline of this Part:</w:t>
      </w:r>
    </w:p>
    <w:p w14:paraId="5B181A15" w14:textId="77777777" w:rsidR="00035544" w:rsidRPr="0081146C" w:rsidRDefault="00035544" w:rsidP="0074573E">
      <w:pPr>
        <w:pStyle w:val="SOBullet"/>
      </w:pPr>
      <w:r w:rsidRPr="0081146C">
        <w:t>•</w:t>
      </w:r>
      <w:r w:rsidRPr="0081146C">
        <w:tab/>
        <w:t>The AML/CTF Rules may provide that a reporting entity must make a record of a designated service. The reporting entity must retain the record for 7 years.</w:t>
      </w:r>
    </w:p>
    <w:p w14:paraId="46AD810E" w14:textId="77777777" w:rsidR="00035544" w:rsidRPr="0081146C" w:rsidRDefault="00035544" w:rsidP="0074573E">
      <w:pPr>
        <w:pStyle w:val="SOBullet"/>
      </w:pPr>
      <w:r w:rsidRPr="0081146C">
        <w:t>•</w:t>
      </w:r>
      <w:r w:rsidRPr="0081146C">
        <w:tab/>
        <w:t>If a customer of a reporting entity gives the reporting entity a document relating to the provision of a designated service, the reporting entity must retain the document for 7 years.</w:t>
      </w:r>
    </w:p>
    <w:p w14:paraId="093CBF5F" w14:textId="77777777" w:rsidR="00624DFA" w:rsidRPr="0081146C" w:rsidRDefault="00624DFA" w:rsidP="00624DFA">
      <w:pPr>
        <w:pStyle w:val="SOBullet"/>
      </w:pPr>
      <w:bookmarkStart w:id="402" w:name="_Hlk74652106"/>
      <w:r w:rsidRPr="0081146C">
        <w:t>•</w:t>
      </w:r>
      <w:r w:rsidRPr="0081146C">
        <w:tab/>
        <w:t>A reporting entity must retain records relating to:</w:t>
      </w:r>
    </w:p>
    <w:p w14:paraId="7A864559" w14:textId="3EE0C480" w:rsidR="00624DFA" w:rsidRPr="0081146C" w:rsidRDefault="00624DFA" w:rsidP="00624DFA">
      <w:pPr>
        <w:pStyle w:val="SOPara"/>
      </w:pPr>
      <w:r w:rsidRPr="0081146C">
        <w:tab/>
        <w:t>(a)</w:t>
      </w:r>
      <w:r w:rsidRPr="0081146C">
        <w:tab/>
      </w:r>
      <w:r w:rsidR="009779DD" w:rsidRPr="0081146C">
        <w:t>customer due diligence</w:t>
      </w:r>
      <w:r w:rsidRPr="0081146C">
        <w:t>; and</w:t>
      </w:r>
    </w:p>
    <w:p w14:paraId="0C1F5D1F" w14:textId="1D4A721C" w:rsidR="00624DFA" w:rsidRPr="0081146C" w:rsidRDefault="00624DFA" w:rsidP="00624DFA">
      <w:pPr>
        <w:pStyle w:val="SOPara"/>
      </w:pPr>
      <w:r w:rsidRPr="0081146C">
        <w:tab/>
        <w:t>(b)</w:t>
      </w:r>
      <w:r w:rsidRPr="0081146C">
        <w:tab/>
        <w:t xml:space="preserve">assessments it carries out of agreements or arrangements it has entered into relating to its reliance on </w:t>
      </w:r>
      <w:r w:rsidR="009779DD" w:rsidRPr="0081146C">
        <w:t>the collection and verification of KYC information about a customer</w:t>
      </w:r>
      <w:r w:rsidRPr="0081146C">
        <w:t>, or other procedures, carried out by another person.</w:t>
      </w:r>
    </w:p>
    <w:bookmarkEnd w:id="402"/>
    <w:p w14:paraId="648E57A6" w14:textId="77777777" w:rsidR="001C5A6B" w:rsidRPr="0081146C" w:rsidRDefault="001C5A6B" w:rsidP="001C5A6B">
      <w:pPr>
        <w:pStyle w:val="SOBullet"/>
      </w:pPr>
      <w:r w:rsidRPr="0081146C">
        <w:t>•</w:t>
      </w:r>
      <w:r w:rsidRPr="0081146C">
        <w:tab/>
        <w:t>A reporting entity must retain records relating to its AML/CTF program.</w:t>
      </w:r>
    </w:p>
    <w:p w14:paraId="15E87DA4" w14:textId="77777777" w:rsidR="00035544" w:rsidRPr="0081146C" w:rsidRDefault="00035544" w:rsidP="00035544">
      <w:pPr>
        <w:pStyle w:val="ActHead5"/>
      </w:pPr>
      <w:bookmarkStart w:id="403" w:name="_Toc185415910"/>
      <w:r w:rsidRPr="0081146C">
        <w:rPr>
          <w:rStyle w:val="CharSectno"/>
        </w:rPr>
        <w:t>105</w:t>
      </w:r>
      <w:r w:rsidRPr="0081146C">
        <w:t xml:space="preserve">  Privacy Act not overridden by this Part</w:t>
      </w:r>
      <w:bookmarkEnd w:id="403"/>
    </w:p>
    <w:p w14:paraId="1328BD18" w14:textId="77777777" w:rsidR="00035544" w:rsidRPr="0081146C" w:rsidRDefault="00035544" w:rsidP="00035544">
      <w:pPr>
        <w:pStyle w:val="subsection"/>
      </w:pPr>
      <w:r w:rsidRPr="0081146C">
        <w:tab/>
      </w:r>
      <w:r w:rsidRPr="0081146C">
        <w:tab/>
        <w:t xml:space="preserve">This Part does not override Part IIIA of the </w:t>
      </w:r>
      <w:r w:rsidRPr="0081146C">
        <w:rPr>
          <w:i/>
        </w:rPr>
        <w:t>Privacy Act 1988</w:t>
      </w:r>
      <w:r w:rsidRPr="0081146C">
        <w:t>.</w:t>
      </w:r>
    </w:p>
    <w:p w14:paraId="1CEB0442" w14:textId="77777777" w:rsidR="00035544" w:rsidRPr="0081146C" w:rsidRDefault="00CA78AA" w:rsidP="00AE2DA2">
      <w:pPr>
        <w:pStyle w:val="ActHead3"/>
        <w:pageBreakBefore/>
      </w:pPr>
      <w:bookmarkStart w:id="404" w:name="_Toc185415911"/>
      <w:r w:rsidRPr="0081146C">
        <w:rPr>
          <w:rStyle w:val="CharDivNo"/>
        </w:rPr>
        <w:t>Division 2</w:t>
      </w:r>
      <w:r w:rsidR="00035544" w:rsidRPr="0081146C">
        <w:t>—</w:t>
      </w:r>
      <w:r w:rsidR="00035544" w:rsidRPr="0081146C">
        <w:rPr>
          <w:rStyle w:val="CharDivText"/>
        </w:rPr>
        <w:t>Records of transactions etc.</w:t>
      </w:r>
      <w:bookmarkEnd w:id="404"/>
    </w:p>
    <w:p w14:paraId="7A0A7B9E" w14:textId="77777777" w:rsidR="00064C94" w:rsidRPr="0081146C" w:rsidRDefault="00064C94" w:rsidP="00064C94">
      <w:pPr>
        <w:pStyle w:val="ActHead5"/>
      </w:pPr>
      <w:bookmarkStart w:id="405" w:name="_Toc176444500"/>
      <w:bookmarkStart w:id="406" w:name="_Toc184034121"/>
      <w:bookmarkStart w:id="407" w:name="_Toc185415912"/>
      <w:r w:rsidRPr="0081146C">
        <w:rPr>
          <w:rStyle w:val="CharSectno"/>
        </w:rPr>
        <w:t>107</w:t>
      </w:r>
      <w:r w:rsidRPr="0081146C">
        <w:t xml:space="preserve">  Transaction records to be retained</w:t>
      </w:r>
      <w:bookmarkEnd w:id="405"/>
      <w:bookmarkEnd w:id="406"/>
      <w:bookmarkEnd w:id="407"/>
    </w:p>
    <w:p w14:paraId="7F356451" w14:textId="77777777" w:rsidR="00064C94" w:rsidRPr="0081146C" w:rsidRDefault="00064C94" w:rsidP="00064C94">
      <w:pPr>
        <w:pStyle w:val="SubsectionHead"/>
      </w:pPr>
      <w:r w:rsidRPr="0081146C">
        <w:t>Retention of records</w:t>
      </w:r>
    </w:p>
    <w:p w14:paraId="3E566472" w14:textId="77777777" w:rsidR="00064C94" w:rsidRPr="0081146C" w:rsidRDefault="00064C94" w:rsidP="00064C94">
      <w:pPr>
        <w:pStyle w:val="subsection"/>
      </w:pPr>
      <w:r w:rsidRPr="0081146C">
        <w:tab/>
        <w:t>(1)</w:t>
      </w:r>
      <w:r w:rsidRPr="0081146C">
        <w:tab/>
        <w:t>If a reporting entity commences to provide, or provides, a designated service to a customer, the reporting entity must retain sufficient records to allow the reconstruction of individual transactions relating to the provision of the designated service to the customer.</w:t>
      </w:r>
    </w:p>
    <w:p w14:paraId="13584E58" w14:textId="77777777" w:rsidR="00064C94" w:rsidRPr="0081146C" w:rsidRDefault="00064C94" w:rsidP="00064C94">
      <w:pPr>
        <w:pStyle w:val="subsection"/>
      </w:pPr>
      <w:r w:rsidRPr="0081146C">
        <w:tab/>
        <w:t>(2)</w:t>
      </w:r>
      <w:r w:rsidRPr="0081146C">
        <w:tab/>
        <w:t>A record under subsection (1) must comply with any requirements specified by the AML/CTF Rules.</w:t>
      </w:r>
    </w:p>
    <w:p w14:paraId="3DC25325" w14:textId="77777777" w:rsidR="00064C94" w:rsidRPr="0081146C" w:rsidRDefault="00064C94" w:rsidP="00064C94">
      <w:pPr>
        <w:pStyle w:val="SubsectionHead"/>
      </w:pPr>
      <w:r w:rsidRPr="0081146C">
        <w:t>Period for which records must be retained</w:t>
      </w:r>
    </w:p>
    <w:p w14:paraId="62FC8FBA" w14:textId="77777777" w:rsidR="00064C94" w:rsidRPr="0081146C" w:rsidRDefault="00064C94" w:rsidP="00064C94">
      <w:pPr>
        <w:pStyle w:val="subsection"/>
      </w:pPr>
      <w:r w:rsidRPr="0081146C">
        <w:tab/>
        <w:t>(3)</w:t>
      </w:r>
      <w:r w:rsidRPr="0081146C">
        <w:tab/>
        <w:t>A person who is or was a reporting entity must retain a record referred to in subsection (1) for a period of 7 years beginning on the day the record is made.</w:t>
      </w:r>
    </w:p>
    <w:p w14:paraId="0E22B1E2" w14:textId="77777777" w:rsidR="00064C94" w:rsidRPr="0081146C" w:rsidRDefault="00064C94" w:rsidP="00064C94">
      <w:pPr>
        <w:pStyle w:val="SubsectionHead"/>
      </w:pPr>
      <w:r w:rsidRPr="0081146C">
        <w:t>Civil penalty</w:t>
      </w:r>
    </w:p>
    <w:p w14:paraId="640EE060" w14:textId="77777777" w:rsidR="00064C94" w:rsidRPr="0081146C" w:rsidRDefault="00064C94" w:rsidP="00064C94">
      <w:pPr>
        <w:pStyle w:val="subsection"/>
      </w:pPr>
      <w:r w:rsidRPr="0081146C">
        <w:tab/>
        <w:t>(4)</w:t>
      </w:r>
      <w:r w:rsidRPr="0081146C">
        <w:tab/>
        <w:t>Subsections (1) and (3) are civil penalty provisions.</w:t>
      </w:r>
    </w:p>
    <w:p w14:paraId="29C2A256" w14:textId="77777777" w:rsidR="00064C94" w:rsidRPr="0081146C" w:rsidRDefault="00064C94" w:rsidP="00064C94">
      <w:pPr>
        <w:pStyle w:val="SubsectionHead"/>
      </w:pPr>
      <w:r w:rsidRPr="0081146C">
        <w:t>AML/CTF Rules</w:t>
      </w:r>
    </w:p>
    <w:p w14:paraId="2ADA8074" w14:textId="77777777" w:rsidR="00064C94" w:rsidRPr="0081146C" w:rsidRDefault="00064C94" w:rsidP="00064C94">
      <w:pPr>
        <w:pStyle w:val="subsection"/>
      </w:pPr>
      <w:r w:rsidRPr="0081146C">
        <w:tab/>
        <w:t>(5)</w:t>
      </w:r>
      <w:r w:rsidRPr="0081146C">
        <w:tab/>
        <w:t>The AML/CTF Rules may specify kinds of records to which this section does not apply.</w:t>
      </w:r>
    </w:p>
    <w:p w14:paraId="54F3F430" w14:textId="77777777" w:rsidR="00035544" w:rsidRPr="0081146C" w:rsidRDefault="00035544" w:rsidP="00035544">
      <w:pPr>
        <w:pStyle w:val="ActHead5"/>
      </w:pPr>
      <w:bookmarkStart w:id="408" w:name="_Toc185415913"/>
      <w:r w:rsidRPr="0081146C">
        <w:rPr>
          <w:rStyle w:val="CharSectno"/>
        </w:rPr>
        <w:t>108</w:t>
      </w:r>
      <w:r w:rsidRPr="0081146C">
        <w:t xml:space="preserve">  Customer</w:t>
      </w:r>
      <w:r w:rsidR="003B7E15" w:rsidRPr="0081146C">
        <w:noBreakHyphen/>
      </w:r>
      <w:r w:rsidRPr="0081146C">
        <w:t>provided transaction documents to be retained</w:t>
      </w:r>
      <w:bookmarkEnd w:id="408"/>
    </w:p>
    <w:p w14:paraId="2DEBADB4" w14:textId="77777777" w:rsidR="00035544" w:rsidRPr="0081146C" w:rsidRDefault="00035544" w:rsidP="00035544">
      <w:pPr>
        <w:pStyle w:val="SubsectionHead"/>
      </w:pPr>
      <w:r w:rsidRPr="0081146C">
        <w:t>Scope</w:t>
      </w:r>
    </w:p>
    <w:p w14:paraId="4573AB2E" w14:textId="77777777" w:rsidR="00035544" w:rsidRPr="0081146C" w:rsidRDefault="00035544" w:rsidP="00035544">
      <w:pPr>
        <w:pStyle w:val="subsection"/>
      </w:pPr>
      <w:r w:rsidRPr="0081146C">
        <w:tab/>
        <w:t>(1)</w:t>
      </w:r>
      <w:r w:rsidRPr="0081146C">
        <w:tab/>
        <w:t>This section applies if:</w:t>
      </w:r>
    </w:p>
    <w:p w14:paraId="017AE6EC" w14:textId="77777777" w:rsidR="00035544" w:rsidRPr="0081146C" w:rsidRDefault="00035544" w:rsidP="00035544">
      <w:pPr>
        <w:pStyle w:val="paragraph"/>
      </w:pPr>
      <w:r w:rsidRPr="0081146C">
        <w:tab/>
        <w:t>(a)</w:t>
      </w:r>
      <w:r w:rsidRPr="0081146C">
        <w:tab/>
        <w:t>a document relating to the provision, or prospective provision, of a designated service by a reporting entity is given to the reporting entity by or on behalf of the customer concerned; and</w:t>
      </w:r>
    </w:p>
    <w:p w14:paraId="62F98BBA" w14:textId="77777777" w:rsidR="00035544" w:rsidRPr="0081146C" w:rsidRDefault="00035544" w:rsidP="00035544">
      <w:pPr>
        <w:pStyle w:val="paragraph"/>
      </w:pPr>
      <w:r w:rsidRPr="0081146C">
        <w:tab/>
        <w:t>(b)</w:t>
      </w:r>
      <w:r w:rsidRPr="0081146C">
        <w:tab/>
        <w:t>the reporting entity commences, or has commenced, to provide the service to the customer.</w:t>
      </w:r>
    </w:p>
    <w:p w14:paraId="1A724DEB" w14:textId="77777777" w:rsidR="00035544" w:rsidRPr="0081146C" w:rsidRDefault="00035544" w:rsidP="00035544">
      <w:pPr>
        <w:pStyle w:val="subsection"/>
      </w:pPr>
      <w:r w:rsidRPr="0081146C">
        <w:tab/>
        <w:t>(2)</w:t>
      </w:r>
      <w:r w:rsidRPr="0081146C">
        <w:tab/>
        <w:t>The reporting entity must retain:</w:t>
      </w:r>
    </w:p>
    <w:p w14:paraId="2E23EC2A" w14:textId="77777777" w:rsidR="00035544" w:rsidRPr="0081146C" w:rsidRDefault="00035544" w:rsidP="00035544">
      <w:pPr>
        <w:pStyle w:val="paragraph"/>
      </w:pPr>
      <w:r w:rsidRPr="0081146C">
        <w:tab/>
        <w:t>(a)</w:t>
      </w:r>
      <w:r w:rsidRPr="0081146C">
        <w:tab/>
        <w:t>the document; or</w:t>
      </w:r>
    </w:p>
    <w:p w14:paraId="3327DF26" w14:textId="77777777" w:rsidR="00035544" w:rsidRPr="0081146C" w:rsidRDefault="00035544" w:rsidP="00035544">
      <w:pPr>
        <w:pStyle w:val="paragraph"/>
      </w:pPr>
      <w:r w:rsidRPr="0081146C">
        <w:tab/>
        <w:t>(b)</w:t>
      </w:r>
      <w:r w:rsidRPr="0081146C">
        <w:tab/>
        <w:t>a copy of the document;</w:t>
      </w:r>
    </w:p>
    <w:p w14:paraId="1BA8911E" w14:textId="77777777" w:rsidR="00035544" w:rsidRPr="0081146C" w:rsidRDefault="00035544" w:rsidP="00035544">
      <w:pPr>
        <w:pStyle w:val="subsection2"/>
      </w:pPr>
      <w:r w:rsidRPr="0081146C">
        <w:t>for 7 years after the giving of the document.</w:t>
      </w:r>
    </w:p>
    <w:p w14:paraId="2CD3FD59" w14:textId="77777777" w:rsidR="00035544" w:rsidRPr="0081146C" w:rsidRDefault="00035544" w:rsidP="00035544">
      <w:pPr>
        <w:pStyle w:val="SubsectionHead"/>
      </w:pPr>
      <w:r w:rsidRPr="0081146C">
        <w:t>Civil penalty</w:t>
      </w:r>
    </w:p>
    <w:p w14:paraId="5BAB03D1" w14:textId="77777777" w:rsidR="00035544" w:rsidRPr="0081146C" w:rsidRDefault="00035544" w:rsidP="00035544">
      <w:pPr>
        <w:pStyle w:val="subsection"/>
      </w:pPr>
      <w:r w:rsidRPr="0081146C">
        <w:tab/>
        <w:t>(3)</w:t>
      </w:r>
      <w:r w:rsidRPr="0081146C">
        <w:tab/>
      </w:r>
      <w:r w:rsidR="004F64A4" w:rsidRPr="0081146C">
        <w:t>Subsection (</w:t>
      </w:r>
      <w:r w:rsidRPr="0081146C">
        <w:t>2) is a civil penalty provision.</w:t>
      </w:r>
    </w:p>
    <w:p w14:paraId="43E638B1" w14:textId="77777777" w:rsidR="00035544" w:rsidRPr="0081146C" w:rsidRDefault="00035544" w:rsidP="00035544">
      <w:pPr>
        <w:pStyle w:val="ActHead5"/>
      </w:pPr>
      <w:bookmarkStart w:id="409" w:name="_Toc185415914"/>
      <w:r w:rsidRPr="0081146C">
        <w:rPr>
          <w:rStyle w:val="CharSectno"/>
        </w:rPr>
        <w:t>109</w:t>
      </w:r>
      <w:r w:rsidRPr="0081146C">
        <w:t xml:space="preserve">  Records relating to transferred ADI accounts</w:t>
      </w:r>
      <w:bookmarkEnd w:id="409"/>
    </w:p>
    <w:p w14:paraId="7219B9EF" w14:textId="77777777" w:rsidR="00035544" w:rsidRPr="0081146C" w:rsidRDefault="00035544" w:rsidP="00035544">
      <w:pPr>
        <w:pStyle w:val="SubsectionHead"/>
      </w:pPr>
      <w:r w:rsidRPr="0081146C">
        <w:t>Scope</w:t>
      </w:r>
    </w:p>
    <w:p w14:paraId="5FFF0BA5" w14:textId="77777777" w:rsidR="00035544" w:rsidRPr="0081146C" w:rsidRDefault="00035544" w:rsidP="00035544">
      <w:pPr>
        <w:pStyle w:val="subsection"/>
      </w:pPr>
      <w:r w:rsidRPr="0081146C">
        <w:tab/>
        <w:t>(1)</w:t>
      </w:r>
      <w:r w:rsidRPr="0081146C">
        <w:tab/>
        <w:t>This section applies if:</w:t>
      </w:r>
    </w:p>
    <w:p w14:paraId="566EA2AA" w14:textId="77777777" w:rsidR="00035544" w:rsidRPr="0081146C" w:rsidRDefault="00035544" w:rsidP="00035544">
      <w:pPr>
        <w:pStyle w:val="paragraph"/>
      </w:pPr>
      <w:r w:rsidRPr="0081146C">
        <w:tab/>
        <w:t>(a)</w:t>
      </w:r>
      <w:r w:rsidRPr="0081146C">
        <w:tab/>
        <w:t xml:space="preserve">a document is in the possession of an ADI (the </w:t>
      </w:r>
      <w:r w:rsidRPr="0081146C">
        <w:rPr>
          <w:b/>
          <w:i/>
        </w:rPr>
        <w:t>transferor ADI</w:t>
      </w:r>
      <w:r w:rsidRPr="0081146C">
        <w:t xml:space="preserve">) in fulfilment of an obligation imposed on it by </w:t>
      </w:r>
      <w:r w:rsidR="003B7E15" w:rsidRPr="0081146C">
        <w:t>section 1</w:t>
      </w:r>
      <w:r w:rsidRPr="0081146C">
        <w:t>07 or 108; and</w:t>
      </w:r>
    </w:p>
    <w:p w14:paraId="6D6338E9" w14:textId="77777777" w:rsidR="00035544" w:rsidRPr="0081146C" w:rsidRDefault="00035544" w:rsidP="00035544">
      <w:pPr>
        <w:pStyle w:val="paragraph"/>
      </w:pPr>
      <w:r w:rsidRPr="0081146C">
        <w:tab/>
        <w:t>(b)</w:t>
      </w:r>
      <w:r w:rsidRPr="0081146C">
        <w:tab/>
        <w:t xml:space="preserve">the document relates to an active account that has been, or is proposed to be, transferred to another ADI (the </w:t>
      </w:r>
      <w:r w:rsidRPr="0081146C">
        <w:rPr>
          <w:b/>
          <w:i/>
        </w:rPr>
        <w:t>transferee ADI</w:t>
      </w:r>
      <w:r w:rsidRPr="0081146C">
        <w:t>) under:</w:t>
      </w:r>
    </w:p>
    <w:p w14:paraId="128B24BB" w14:textId="77777777" w:rsidR="00035544" w:rsidRPr="0081146C" w:rsidRDefault="00035544" w:rsidP="00035544">
      <w:pPr>
        <w:pStyle w:val="paragraphsub"/>
      </w:pPr>
      <w:r w:rsidRPr="0081146C">
        <w:tab/>
        <w:t>(i)</w:t>
      </w:r>
      <w:r w:rsidRPr="0081146C">
        <w:tab/>
        <w:t>a law of the Commonwealth or of a State or Territory; or</w:t>
      </w:r>
    </w:p>
    <w:p w14:paraId="7F0CC490" w14:textId="77777777" w:rsidR="00035544" w:rsidRPr="0081146C" w:rsidRDefault="00035544" w:rsidP="00035544">
      <w:pPr>
        <w:pStyle w:val="paragraphsub"/>
      </w:pPr>
      <w:r w:rsidRPr="0081146C">
        <w:tab/>
        <w:t>(ii)</w:t>
      </w:r>
      <w:r w:rsidRPr="0081146C">
        <w:tab/>
        <w:t>an arrangement between the transferor ADI and the transferee ADI.</w:t>
      </w:r>
    </w:p>
    <w:p w14:paraId="27DDD614" w14:textId="77777777" w:rsidR="00035544" w:rsidRPr="0081146C" w:rsidRDefault="00035544" w:rsidP="00035544">
      <w:pPr>
        <w:pStyle w:val="SubsectionHead"/>
      </w:pPr>
      <w:r w:rsidRPr="0081146C">
        <w:t>Transferor ADI must give document to the transferee ADI</w:t>
      </w:r>
    </w:p>
    <w:p w14:paraId="046A8A39" w14:textId="77777777" w:rsidR="00035544" w:rsidRPr="0081146C" w:rsidRDefault="00035544" w:rsidP="00035544">
      <w:pPr>
        <w:pStyle w:val="subsection"/>
      </w:pPr>
      <w:r w:rsidRPr="0081146C">
        <w:tab/>
        <w:t>(2)</w:t>
      </w:r>
      <w:r w:rsidRPr="0081146C">
        <w:tab/>
        <w:t>The transferor ADI must give the document to the transferee ADI within the 120</w:t>
      </w:r>
      <w:r w:rsidR="003B7E15" w:rsidRPr="0081146C">
        <w:noBreakHyphen/>
      </w:r>
      <w:r w:rsidRPr="0081146C">
        <w:t>day period beginning 30 days before the transfer of the account.</w:t>
      </w:r>
    </w:p>
    <w:p w14:paraId="06454EBA" w14:textId="77777777" w:rsidR="00035544" w:rsidRPr="0081146C" w:rsidRDefault="00035544" w:rsidP="00035544">
      <w:pPr>
        <w:pStyle w:val="SubsectionHead"/>
      </w:pPr>
      <w:r w:rsidRPr="0081146C">
        <w:t>Transferor ADI released from retention obligations</w:t>
      </w:r>
    </w:p>
    <w:p w14:paraId="2BE9FAE1" w14:textId="77777777" w:rsidR="00035544" w:rsidRPr="0081146C" w:rsidRDefault="00035544" w:rsidP="00035544">
      <w:pPr>
        <w:pStyle w:val="subsection"/>
      </w:pPr>
      <w:r w:rsidRPr="0081146C">
        <w:tab/>
        <w:t>(3)</w:t>
      </w:r>
      <w:r w:rsidRPr="0081146C">
        <w:tab/>
        <w:t>Sections</w:t>
      </w:r>
      <w:r w:rsidR="004F64A4" w:rsidRPr="0081146C">
        <w:t> </w:t>
      </w:r>
      <w:r w:rsidRPr="0081146C">
        <w:t>107 and 108 do not apply to the transferor ADI, in relation to the document, if the transferor ADI gave the original or a copy of the document to the transferee ADI within the 120</w:t>
      </w:r>
      <w:r w:rsidR="003B7E15" w:rsidRPr="0081146C">
        <w:noBreakHyphen/>
      </w:r>
      <w:r w:rsidRPr="0081146C">
        <w:t>day period beginning 30 days before the transfer of the account.</w:t>
      </w:r>
    </w:p>
    <w:p w14:paraId="4A4A6440"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3) (see sub</w:t>
      </w:r>
      <w:r w:rsidR="003B7E15" w:rsidRPr="0081146C">
        <w:t>section 1</w:t>
      </w:r>
      <w:r w:rsidRPr="0081146C">
        <w:t xml:space="preserve">3.3(3) of the </w:t>
      </w:r>
      <w:r w:rsidRPr="0081146C">
        <w:rPr>
          <w:i/>
        </w:rPr>
        <w:t>Criminal Code</w:t>
      </w:r>
      <w:r w:rsidRPr="0081146C">
        <w:t>).</w:t>
      </w:r>
    </w:p>
    <w:p w14:paraId="22F4D547" w14:textId="77777777" w:rsidR="00035544" w:rsidRPr="0081146C" w:rsidRDefault="00035544" w:rsidP="00035544">
      <w:pPr>
        <w:pStyle w:val="SubsectionHead"/>
      </w:pPr>
      <w:r w:rsidRPr="0081146C">
        <w:t>Retention obligations of transferee ADI</w:t>
      </w:r>
    </w:p>
    <w:p w14:paraId="25A6B918" w14:textId="77777777" w:rsidR="00035544" w:rsidRPr="0081146C" w:rsidRDefault="00035544" w:rsidP="00035544">
      <w:pPr>
        <w:pStyle w:val="subsection"/>
      </w:pPr>
      <w:r w:rsidRPr="0081146C">
        <w:tab/>
        <w:t>(4)</w:t>
      </w:r>
      <w:r w:rsidRPr="0081146C">
        <w:tab/>
        <w:t>If the transferee ADI is given the document within the 120</w:t>
      </w:r>
      <w:r w:rsidR="003B7E15" w:rsidRPr="0081146C">
        <w:noBreakHyphen/>
      </w:r>
      <w:r w:rsidRPr="0081146C">
        <w:t>day period beginning 30 days before the transfer of the account, the transferee ADI must retain:</w:t>
      </w:r>
    </w:p>
    <w:p w14:paraId="08179F52" w14:textId="77777777" w:rsidR="00035544" w:rsidRPr="0081146C" w:rsidRDefault="00035544" w:rsidP="00035544">
      <w:pPr>
        <w:pStyle w:val="paragraph"/>
      </w:pPr>
      <w:r w:rsidRPr="0081146C">
        <w:tab/>
        <w:t>(a)</w:t>
      </w:r>
      <w:r w:rsidRPr="0081146C">
        <w:tab/>
        <w:t>the document; or</w:t>
      </w:r>
    </w:p>
    <w:p w14:paraId="0D47B8DA" w14:textId="77777777" w:rsidR="00035544" w:rsidRPr="0081146C" w:rsidRDefault="00035544" w:rsidP="00035544">
      <w:pPr>
        <w:pStyle w:val="paragraph"/>
      </w:pPr>
      <w:r w:rsidRPr="0081146C">
        <w:tab/>
        <w:t>(b)</w:t>
      </w:r>
      <w:r w:rsidRPr="0081146C">
        <w:tab/>
        <w:t>a copy of the document;</w:t>
      </w:r>
    </w:p>
    <w:p w14:paraId="138B2F2E" w14:textId="77777777" w:rsidR="00035544" w:rsidRPr="0081146C" w:rsidRDefault="00035544" w:rsidP="00035544">
      <w:pPr>
        <w:pStyle w:val="subsection2"/>
      </w:pPr>
      <w:r w:rsidRPr="0081146C">
        <w:t>for 7 years after the giving of the document.</w:t>
      </w:r>
    </w:p>
    <w:p w14:paraId="5D9DC316" w14:textId="77777777" w:rsidR="00035544" w:rsidRPr="0081146C" w:rsidRDefault="00035544" w:rsidP="00035544">
      <w:pPr>
        <w:pStyle w:val="SubsectionHead"/>
      </w:pPr>
      <w:r w:rsidRPr="0081146C">
        <w:t>Civil penalty</w:t>
      </w:r>
    </w:p>
    <w:p w14:paraId="085218DC" w14:textId="77777777" w:rsidR="00035544" w:rsidRPr="0081146C" w:rsidRDefault="00035544" w:rsidP="00035544">
      <w:pPr>
        <w:pStyle w:val="subsection"/>
      </w:pPr>
      <w:r w:rsidRPr="0081146C">
        <w:tab/>
        <w:t>(5)</w:t>
      </w:r>
      <w:r w:rsidRPr="0081146C">
        <w:tab/>
      </w:r>
      <w:r w:rsidR="004F64A4" w:rsidRPr="0081146C">
        <w:t>Subsections (</w:t>
      </w:r>
      <w:r w:rsidRPr="0081146C">
        <w:t>2) and (4) are civil penalty provisions.</w:t>
      </w:r>
    </w:p>
    <w:p w14:paraId="509058AF" w14:textId="77777777" w:rsidR="00035544" w:rsidRPr="0081146C" w:rsidRDefault="00035544" w:rsidP="00145E66">
      <w:pPr>
        <w:pStyle w:val="ActHead5"/>
      </w:pPr>
      <w:bookmarkStart w:id="410" w:name="_Toc185415915"/>
      <w:r w:rsidRPr="0081146C">
        <w:rPr>
          <w:rStyle w:val="CharSectno"/>
        </w:rPr>
        <w:t>110</w:t>
      </w:r>
      <w:r w:rsidRPr="0081146C">
        <w:t xml:space="preserve">  Retention of records relating to closed ADI accounts</w:t>
      </w:r>
      <w:bookmarkEnd w:id="410"/>
    </w:p>
    <w:p w14:paraId="4CA70438" w14:textId="77777777" w:rsidR="00035544" w:rsidRPr="0081146C" w:rsidRDefault="00035544" w:rsidP="00145E66">
      <w:pPr>
        <w:pStyle w:val="SubsectionHead"/>
      </w:pPr>
      <w:r w:rsidRPr="0081146C">
        <w:t>Transferor ADI may give documents to transferee ADI</w:t>
      </w:r>
    </w:p>
    <w:p w14:paraId="3E59BF98" w14:textId="77777777" w:rsidR="00035544" w:rsidRPr="0081146C" w:rsidRDefault="00035544" w:rsidP="00145E66">
      <w:pPr>
        <w:pStyle w:val="subsection"/>
        <w:keepNext/>
        <w:keepLines/>
      </w:pPr>
      <w:r w:rsidRPr="0081146C">
        <w:tab/>
        <w:t>(1)</w:t>
      </w:r>
      <w:r w:rsidRPr="0081146C">
        <w:tab/>
        <w:t xml:space="preserve">An ADI (the </w:t>
      </w:r>
      <w:r w:rsidRPr="0081146C">
        <w:rPr>
          <w:b/>
          <w:i/>
        </w:rPr>
        <w:t>transferor ADI</w:t>
      </w:r>
      <w:r w:rsidRPr="0081146C">
        <w:t xml:space="preserve">) may give the original and copies of a document (the </w:t>
      </w:r>
      <w:r w:rsidRPr="0081146C">
        <w:rPr>
          <w:b/>
          <w:i/>
        </w:rPr>
        <w:t>second document</w:t>
      </w:r>
      <w:r w:rsidRPr="0081146C">
        <w:t xml:space="preserve">) relating to an account to another ADI (the </w:t>
      </w:r>
      <w:r w:rsidRPr="0081146C">
        <w:rPr>
          <w:b/>
          <w:i/>
        </w:rPr>
        <w:t>transferee ADI</w:t>
      </w:r>
      <w:r w:rsidRPr="0081146C">
        <w:t>) if:</w:t>
      </w:r>
    </w:p>
    <w:p w14:paraId="14180F9A" w14:textId="77777777" w:rsidR="00035544" w:rsidRPr="0081146C" w:rsidRDefault="00035544" w:rsidP="00145E66">
      <w:pPr>
        <w:pStyle w:val="paragraph"/>
        <w:keepNext/>
        <w:keepLines/>
      </w:pPr>
      <w:r w:rsidRPr="0081146C">
        <w:tab/>
        <w:t>(a)</w:t>
      </w:r>
      <w:r w:rsidRPr="0081146C">
        <w:tab/>
        <w:t xml:space="preserve">the transferor ADI has given another document (the </w:t>
      </w:r>
      <w:r w:rsidRPr="0081146C">
        <w:rPr>
          <w:b/>
          <w:i/>
        </w:rPr>
        <w:t>first document</w:t>
      </w:r>
      <w:r w:rsidRPr="0081146C">
        <w:t xml:space="preserve">) relating to the same account to the transferee ADI in accordance with </w:t>
      </w:r>
      <w:r w:rsidR="003B7E15" w:rsidRPr="0081146C">
        <w:t>section 1</w:t>
      </w:r>
      <w:r w:rsidRPr="0081146C">
        <w:t>09; and</w:t>
      </w:r>
    </w:p>
    <w:p w14:paraId="7A1B3134" w14:textId="77777777" w:rsidR="00035544" w:rsidRPr="0081146C" w:rsidRDefault="00035544" w:rsidP="00035544">
      <w:pPr>
        <w:pStyle w:val="paragraph"/>
      </w:pPr>
      <w:r w:rsidRPr="0081146C">
        <w:tab/>
        <w:t>(b)</w:t>
      </w:r>
      <w:r w:rsidRPr="0081146C">
        <w:tab/>
        <w:t xml:space="preserve">the second document is in the transferor ADI’s possession in fulfilment of an obligation imposed on it by </w:t>
      </w:r>
      <w:r w:rsidR="003B7E15" w:rsidRPr="0081146C">
        <w:t>section 1</w:t>
      </w:r>
      <w:r w:rsidRPr="0081146C">
        <w:t>07 or 108; and</w:t>
      </w:r>
    </w:p>
    <w:p w14:paraId="003B82D1" w14:textId="77777777" w:rsidR="00035544" w:rsidRPr="0081146C" w:rsidRDefault="00035544" w:rsidP="00035544">
      <w:pPr>
        <w:pStyle w:val="paragraph"/>
      </w:pPr>
      <w:r w:rsidRPr="0081146C">
        <w:tab/>
        <w:t>(c)</w:t>
      </w:r>
      <w:r w:rsidRPr="0081146C">
        <w:tab/>
        <w:t>the second document relates to a closed account; and</w:t>
      </w:r>
    </w:p>
    <w:p w14:paraId="06164733" w14:textId="77777777" w:rsidR="00035544" w:rsidRPr="0081146C" w:rsidRDefault="00035544" w:rsidP="00035544">
      <w:pPr>
        <w:pStyle w:val="paragraph"/>
      </w:pPr>
      <w:r w:rsidRPr="0081146C">
        <w:tab/>
        <w:t>(d)</w:t>
      </w:r>
      <w:r w:rsidRPr="0081146C">
        <w:tab/>
        <w:t>the transferor ADI and the transferee ADI agree in writing that the second document should be given by the transferor ADI to the transferee ADI within the 120</w:t>
      </w:r>
      <w:r w:rsidR="003B7E15" w:rsidRPr="0081146C">
        <w:noBreakHyphen/>
      </w:r>
      <w:r w:rsidRPr="0081146C">
        <w:t xml:space="preserve">day period allowed by </w:t>
      </w:r>
      <w:r w:rsidR="003B7E15" w:rsidRPr="0081146C">
        <w:t>section 1</w:t>
      </w:r>
      <w:r w:rsidRPr="0081146C">
        <w:t>09 for the giving of the first document.</w:t>
      </w:r>
    </w:p>
    <w:p w14:paraId="1FB616A5" w14:textId="77777777" w:rsidR="00035544" w:rsidRPr="0081146C" w:rsidRDefault="00035544" w:rsidP="00035544">
      <w:pPr>
        <w:pStyle w:val="SubsectionHead"/>
      </w:pPr>
      <w:r w:rsidRPr="0081146C">
        <w:t>Transferor ADI released from retention obligations</w:t>
      </w:r>
    </w:p>
    <w:p w14:paraId="278F72BF" w14:textId="77777777" w:rsidR="00035544" w:rsidRPr="0081146C" w:rsidRDefault="00035544" w:rsidP="00035544">
      <w:pPr>
        <w:pStyle w:val="subsection"/>
      </w:pPr>
      <w:r w:rsidRPr="0081146C">
        <w:tab/>
        <w:t>(2)</w:t>
      </w:r>
      <w:r w:rsidRPr="0081146C">
        <w:tab/>
        <w:t>Sections</w:t>
      </w:r>
      <w:r w:rsidR="004F64A4" w:rsidRPr="0081146C">
        <w:t> </w:t>
      </w:r>
      <w:r w:rsidRPr="0081146C">
        <w:t>107 and 108 do not apply to the transferor ADI, in relation to the second document, if the transferor ADI gave the original or a copy of the second document to the transferee ADI within the 120</w:t>
      </w:r>
      <w:r w:rsidR="003B7E15" w:rsidRPr="0081146C">
        <w:noBreakHyphen/>
      </w:r>
      <w:r w:rsidRPr="0081146C">
        <w:t xml:space="preserve">day period allowed by </w:t>
      </w:r>
      <w:r w:rsidR="003B7E15" w:rsidRPr="0081146C">
        <w:t>section 1</w:t>
      </w:r>
      <w:r w:rsidRPr="0081146C">
        <w:t>09 for the giving of the first document.</w:t>
      </w:r>
    </w:p>
    <w:p w14:paraId="4531E2E3"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2) (see sub</w:t>
      </w:r>
      <w:r w:rsidR="003B7E15" w:rsidRPr="0081146C">
        <w:t>section 1</w:t>
      </w:r>
      <w:r w:rsidRPr="0081146C">
        <w:t xml:space="preserve">3.3(3) of the </w:t>
      </w:r>
      <w:r w:rsidRPr="0081146C">
        <w:rPr>
          <w:i/>
        </w:rPr>
        <w:t>Criminal Code</w:t>
      </w:r>
      <w:r w:rsidRPr="0081146C">
        <w:t>).</w:t>
      </w:r>
    </w:p>
    <w:p w14:paraId="25DA0A53" w14:textId="77777777" w:rsidR="00035544" w:rsidRPr="0081146C" w:rsidRDefault="00035544" w:rsidP="00035544">
      <w:pPr>
        <w:pStyle w:val="SubsectionHead"/>
      </w:pPr>
      <w:r w:rsidRPr="0081146C">
        <w:t>Retention obligations of transferee ADI</w:t>
      </w:r>
    </w:p>
    <w:p w14:paraId="38CAEADE" w14:textId="77777777" w:rsidR="00035544" w:rsidRPr="0081146C" w:rsidRDefault="00035544" w:rsidP="00035544">
      <w:pPr>
        <w:pStyle w:val="subsection"/>
      </w:pPr>
      <w:r w:rsidRPr="0081146C">
        <w:tab/>
        <w:t>(3)</w:t>
      </w:r>
      <w:r w:rsidRPr="0081146C">
        <w:tab/>
        <w:t>If the transferee ADI is given the original or a copy of the second document within the 120</w:t>
      </w:r>
      <w:r w:rsidR="003B7E15" w:rsidRPr="0081146C">
        <w:noBreakHyphen/>
      </w:r>
      <w:r w:rsidRPr="0081146C">
        <w:t xml:space="preserve">day period allowed by </w:t>
      </w:r>
      <w:r w:rsidR="003B7E15" w:rsidRPr="0081146C">
        <w:t>section 1</w:t>
      </w:r>
      <w:r w:rsidRPr="0081146C">
        <w:t>09 for the giving of the first document, the transferee ADI must retain:</w:t>
      </w:r>
    </w:p>
    <w:p w14:paraId="5BA122E2" w14:textId="77777777" w:rsidR="00035544" w:rsidRPr="0081146C" w:rsidRDefault="00035544" w:rsidP="00035544">
      <w:pPr>
        <w:pStyle w:val="paragraph"/>
      </w:pPr>
      <w:r w:rsidRPr="0081146C">
        <w:tab/>
        <w:t>(a)</w:t>
      </w:r>
      <w:r w:rsidRPr="0081146C">
        <w:tab/>
        <w:t>the second document; or</w:t>
      </w:r>
    </w:p>
    <w:p w14:paraId="4FC428F1" w14:textId="77777777" w:rsidR="00035544" w:rsidRPr="0081146C" w:rsidRDefault="00035544" w:rsidP="00035544">
      <w:pPr>
        <w:pStyle w:val="paragraph"/>
      </w:pPr>
      <w:r w:rsidRPr="0081146C">
        <w:tab/>
        <w:t>(b)</w:t>
      </w:r>
      <w:r w:rsidRPr="0081146C">
        <w:tab/>
        <w:t>a copy of the second document;</w:t>
      </w:r>
    </w:p>
    <w:p w14:paraId="33639485" w14:textId="77777777" w:rsidR="00035544" w:rsidRPr="0081146C" w:rsidRDefault="00035544" w:rsidP="00035544">
      <w:pPr>
        <w:pStyle w:val="subsection2"/>
      </w:pPr>
      <w:r w:rsidRPr="0081146C">
        <w:t>for 7 years after the giving of the second document.</w:t>
      </w:r>
    </w:p>
    <w:p w14:paraId="0E458C89" w14:textId="77777777" w:rsidR="00035544" w:rsidRPr="0081146C" w:rsidRDefault="00035544" w:rsidP="00035544">
      <w:pPr>
        <w:pStyle w:val="SubsectionHead"/>
      </w:pPr>
      <w:r w:rsidRPr="0081146C">
        <w:t>Civil penalty</w:t>
      </w:r>
    </w:p>
    <w:p w14:paraId="1D2D0B8F" w14:textId="77777777" w:rsidR="00035544" w:rsidRPr="0081146C" w:rsidRDefault="00035544" w:rsidP="00035544">
      <w:pPr>
        <w:pStyle w:val="subsection"/>
      </w:pPr>
      <w:r w:rsidRPr="0081146C">
        <w:tab/>
        <w:t>(4)</w:t>
      </w:r>
      <w:r w:rsidRPr="0081146C">
        <w:tab/>
      </w:r>
      <w:r w:rsidR="004F64A4" w:rsidRPr="0081146C">
        <w:t>Subsection (</w:t>
      </w:r>
      <w:r w:rsidRPr="0081146C">
        <w:t>3) is a civil penalty provision.</w:t>
      </w:r>
    </w:p>
    <w:p w14:paraId="642131BB" w14:textId="35D517BA" w:rsidR="0056640B" w:rsidRPr="0081146C" w:rsidRDefault="00CA78AA" w:rsidP="00F24FC7">
      <w:pPr>
        <w:pStyle w:val="ActHead3"/>
        <w:pageBreakBefore/>
      </w:pPr>
      <w:bookmarkStart w:id="411" w:name="_Toc185415916"/>
      <w:r w:rsidRPr="0081146C">
        <w:rPr>
          <w:rStyle w:val="CharDivNo"/>
        </w:rPr>
        <w:t>Division 3</w:t>
      </w:r>
      <w:r w:rsidR="0056640B" w:rsidRPr="0081146C">
        <w:t>—</w:t>
      </w:r>
      <w:r w:rsidR="0056640B" w:rsidRPr="0081146C">
        <w:rPr>
          <w:rStyle w:val="CharDivText"/>
        </w:rPr>
        <w:t xml:space="preserve">Records in connection with </w:t>
      </w:r>
      <w:r w:rsidR="009779DD" w:rsidRPr="0081146C">
        <w:t>customer due diligence and other procedures</w:t>
      </w:r>
      <w:bookmarkEnd w:id="411"/>
    </w:p>
    <w:p w14:paraId="5AAD262E" w14:textId="77777777" w:rsidR="00B03636" w:rsidRPr="0081146C" w:rsidRDefault="00B03636" w:rsidP="00B03636">
      <w:pPr>
        <w:pStyle w:val="ActHead5"/>
      </w:pPr>
      <w:bookmarkStart w:id="412" w:name="_Toc176444397"/>
      <w:bookmarkStart w:id="413" w:name="_Toc184034018"/>
      <w:bookmarkStart w:id="414" w:name="_Toc185415917"/>
      <w:bookmarkStart w:id="415" w:name="_Hlk184368515"/>
      <w:r w:rsidRPr="0081146C">
        <w:rPr>
          <w:rStyle w:val="CharSectno"/>
        </w:rPr>
        <w:t>111</w:t>
      </w:r>
      <w:r w:rsidRPr="0081146C">
        <w:t xml:space="preserve">  Retention of records of customer due diligence</w:t>
      </w:r>
      <w:bookmarkEnd w:id="412"/>
      <w:bookmarkEnd w:id="413"/>
      <w:bookmarkEnd w:id="414"/>
    </w:p>
    <w:p w14:paraId="3F9E9551" w14:textId="77777777" w:rsidR="00B03636" w:rsidRPr="0081146C" w:rsidRDefault="00B03636" w:rsidP="00B03636">
      <w:pPr>
        <w:pStyle w:val="subsection"/>
      </w:pPr>
      <w:r w:rsidRPr="0081146C">
        <w:tab/>
        <w:t>(1)</w:t>
      </w:r>
      <w:r w:rsidRPr="0081146C">
        <w:tab/>
        <w:t>This section applies to a reporting entity if the reporting entity complies with section 28 (undertaking initial customer due diligence) or 30 (undertaking ongoing customer due diligence) in relation to a customer to whom the reporting entity provides a designated service, or proposed or proposes to provide a designated service.</w:t>
      </w:r>
    </w:p>
    <w:p w14:paraId="41D31FC3" w14:textId="77777777" w:rsidR="00B03636" w:rsidRPr="0081146C" w:rsidRDefault="00B03636" w:rsidP="00B03636">
      <w:pPr>
        <w:pStyle w:val="subsection"/>
      </w:pPr>
      <w:r w:rsidRPr="0081146C">
        <w:tab/>
        <w:t>(2)</w:t>
      </w:r>
      <w:r w:rsidRPr="0081146C">
        <w:tab/>
        <w:t>The reporting entity must retain, until the end of the 7 year period that begins when the business relationship ends or the reporting entity completes the provision of the occasional transaction, records that:</w:t>
      </w:r>
    </w:p>
    <w:p w14:paraId="5B7665C9" w14:textId="77777777" w:rsidR="00B03636" w:rsidRPr="0081146C" w:rsidRDefault="00B03636" w:rsidP="00B03636">
      <w:pPr>
        <w:pStyle w:val="paragraph"/>
      </w:pPr>
      <w:r w:rsidRPr="0081146C">
        <w:tab/>
        <w:t>(a)</w:t>
      </w:r>
      <w:r w:rsidRPr="0081146C">
        <w:tab/>
        <w:t>are reasonably necessary to demonstrate compliance with the reporting entity’s obligations under Part 2; and</w:t>
      </w:r>
    </w:p>
    <w:p w14:paraId="682BCA13" w14:textId="77777777" w:rsidR="00B03636" w:rsidRPr="0081146C" w:rsidRDefault="00B03636" w:rsidP="00B03636">
      <w:pPr>
        <w:pStyle w:val="paragraph"/>
      </w:pPr>
      <w:r w:rsidRPr="0081146C">
        <w:tab/>
        <w:t>(b)</w:t>
      </w:r>
      <w:r w:rsidRPr="0081146C">
        <w:tab/>
        <w:t>are in the English language, or in a form in which the records are readily accessible and readily convertible into writing in the English language.</w:t>
      </w:r>
    </w:p>
    <w:p w14:paraId="72F436FB" w14:textId="77777777" w:rsidR="00B03636" w:rsidRPr="0081146C" w:rsidRDefault="00B03636" w:rsidP="00B03636">
      <w:pPr>
        <w:pStyle w:val="subsection"/>
      </w:pPr>
      <w:r w:rsidRPr="0081146C">
        <w:tab/>
        <w:t>(3)</w:t>
      </w:r>
      <w:r w:rsidRPr="0081146C">
        <w:tab/>
        <w:t>Without limiting paragraph (2)(a), the records must include:</w:t>
      </w:r>
    </w:p>
    <w:p w14:paraId="1DEE3399" w14:textId="77777777" w:rsidR="00B03636" w:rsidRPr="0081146C" w:rsidRDefault="00B03636" w:rsidP="00B03636">
      <w:pPr>
        <w:pStyle w:val="paragraph"/>
      </w:pPr>
      <w:r w:rsidRPr="0081146C">
        <w:tab/>
        <w:t>(a)</w:t>
      </w:r>
      <w:r w:rsidRPr="0081146C">
        <w:tab/>
        <w:t>sufficient and accurate records which demonstrate the type and content of the data collected by the reporting entity in relation to the customer for the purposes of complying with section 28 or 30; and</w:t>
      </w:r>
    </w:p>
    <w:p w14:paraId="563E2429" w14:textId="77777777" w:rsidR="00B03636" w:rsidRPr="0081146C" w:rsidRDefault="00B03636" w:rsidP="00B03636">
      <w:pPr>
        <w:pStyle w:val="paragraph"/>
      </w:pPr>
      <w:r w:rsidRPr="0081146C">
        <w:tab/>
        <w:t>(b)</w:t>
      </w:r>
      <w:r w:rsidRPr="0081146C">
        <w:tab/>
        <w:t>records of any analysis, identification or assessment of ML/TF risk, or decision making, undertaken by the reporting entity in relation to the customer for the purposes of complying with section 28 or 30.</w:t>
      </w:r>
    </w:p>
    <w:p w14:paraId="28FE1FD9" w14:textId="77777777" w:rsidR="00B03636" w:rsidRPr="0081146C" w:rsidRDefault="00B03636" w:rsidP="00B03636">
      <w:pPr>
        <w:pStyle w:val="subsection"/>
      </w:pPr>
      <w:r w:rsidRPr="0081146C">
        <w:tab/>
        <w:t>(4)</w:t>
      </w:r>
      <w:r w:rsidRPr="0081146C">
        <w:tab/>
        <w:t>Subsection (2) is a civil penalty provision.</w:t>
      </w:r>
    </w:p>
    <w:p w14:paraId="47615666" w14:textId="211587D5" w:rsidR="00FB44EF" w:rsidRPr="0081146C" w:rsidRDefault="00FB44EF" w:rsidP="00FB44EF">
      <w:pPr>
        <w:pStyle w:val="ActHead5"/>
      </w:pPr>
      <w:bookmarkStart w:id="416" w:name="_Toc185415918"/>
      <w:bookmarkStart w:id="417" w:name="_Hlk75772597"/>
      <w:bookmarkEnd w:id="415"/>
      <w:r w:rsidRPr="0081146C">
        <w:rPr>
          <w:rStyle w:val="CharSectno"/>
        </w:rPr>
        <w:t>114</w:t>
      </w:r>
      <w:r w:rsidRPr="0081146C">
        <w:t xml:space="preserve">  Retention of information if </w:t>
      </w:r>
      <w:r w:rsidR="00B03636" w:rsidRPr="0081146C">
        <w:t>initial customer due diligence</w:t>
      </w:r>
      <w:r w:rsidRPr="0081146C">
        <w:t xml:space="preserve"> taken to have been carried out by a reporting entity</w:t>
      </w:r>
      <w:bookmarkEnd w:id="416"/>
    </w:p>
    <w:p w14:paraId="7C3C7293" w14:textId="77777777" w:rsidR="00FB44EF" w:rsidRPr="0081146C" w:rsidRDefault="00FB44EF" w:rsidP="00FB44EF">
      <w:pPr>
        <w:pStyle w:val="subsection"/>
      </w:pPr>
      <w:r w:rsidRPr="0081146C">
        <w:tab/>
        <w:t>(1)</w:t>
      </w:r>
      <w:r w:rsidRPr="0081146C">
        <w:tab/>
        <w:t>If:</w:t>
      </w:r>
    </w:p>
    <w:p w14:paraId="36046458" w14:textId="77777777" w:rsidR="00FB44EF" w:rsidRPr="0081146C" w:rsidRDefault="00FB44EF" w:rsidP="00FB44EF">
      <w:pPr>
        <w:pStyle w:val="paragraph"/>
      </w:pPr>
      <w:r w:rsidRPr="0081146C">
        <w:tab/>
        <w:t>(a)</w:t>
      </w:r>
      <w:r w:rsidRPr="0081146C">
        <w:tab/>
        <w:t xml:space="preserve">a person (the </w:t>
      </w:r>
      <w:r w:rsidRPr="0081146C">
        <w:rPr>
          <w:b/>
          <w:i/>
        </w:rPr>
        <w:t>first person</w:t>
      </w:r>
      <w:r w:rsidRPr="0081146C">
        <w:t xml:space="preserve">) carries out a procedure (the </w:t>
      </w:r>
      <w:r w:rsidRPr="0081146C">
        <w:rPr>
          <w:b/>
          <w:i/>
        </w:rPr>
        <w:t>initial procedure</w:t>
      </w:r>
      <w:r w:rsidRPr="0081146C">
        <w:t>) mentioned in paragraph 37A(1)(a) or 38(b); and</w:t>
      </w:r>
    </w:p>
    <w:p w14:paraId="618A5005" w14:textId="2EC1B8E4" w:rsidR="00FB44EF" w:rsidRPr="0081146C" w:rsidRDefault="00FB44EF" w:rsidP="00FB44EF">
      <w:pPr>
        <w:pStyle w:val="paragraph"/>
      </w:pPr>
      <w:r w:rsidRPr="0081146C">
        <w:tab/>
        <w:t>(b)</w:t>
      </w:r>
      <w:r w:rsidRPr="0081146C">
        <w:tab/>
        <w:t xml:space="preserve">under section 37A or 38 and in connection with the initial procedure, Part 2 has effect as if a reporting entity had </w:t>
      </w:r>
      <w:r w:rsidR="00B03636" w:rsidRPr="0081146C">
        <w:t>complied with paragraph 28(3)(c) or (d)</w:t>
      </w:r>
      <w:r w:rsidRPr="0081146C">
        <w:t xml:space="preserve"> in respect of a customer; and</w:t>
      </w:r>
    </w:p>
    <w:p w14:paraId="122CB7AC" w14:textId="77777777" w:rsidR="00FB44EF" w:rsidRPr="0081146C" w:rsidRDefault="00FB44EF" w:rsidP="00FB44EF">
      <w:pPr>
        <w:pStyle w:val="paragraph"/>
      </w:pPr>
      <w:r w:rsidRPr="0081146C">
        <w:tab/>
        <w:t>(c)</w:t>
      </w:r>
      <w:r w:rsidRPr="0081146C">
        <w:tab/>
        <w:t>the first person makes a record of the initial procedure and gives a copy of the record to the reporting entity;</w:t>
      </w:r>
    </w:p>
    <w:p w14:paraId="588EEB85" w14:textId="77777777" w:rsidR="00FB44EF" w:rsidRPr="0081146C" w:rsidRDefault="00FB44EF" w:rsidP="00FB44EF">
      <w:pPr>
        <w:pStyle w:val="subsection2"/>
      </w:pPr>
      <w:r w:rsidRPr="0081146C">
        <w:t>the reporting entity must retain the copy until the end of the first 7</w:t>
      </w:r>
      <w:r w:rsidR="003B7E15" w:rsidRPr="0081146C">
        <w:noBreakHyphen/>
      </w:r>
      <w:r w:rsidRPr="0081146C">
        <w:t>year period:</w:t>
      </w:r>
    </w:p>
    <w:p w14:paraId="7DEE2355" w14:textId="77777777" w:rsidR="00FB44EF" w:rsidRPr="0081146C" w:rsidRDefault="00FB44EF" w:rsidP="00FB44EF">
      <w:pPr>
        <w:pStyle w:val="paragraph"/>
      </w:pPr>
      <w:r w:rsidRPr="0081146C">
        <w:tab/>
        <w:t>(d)</w:t>
      </w:r>
      <w:r w:rsidRPr="0081146C">
        <w:tab/>
        <w:t>that began at a time after Part 2 had that effect; and</w:t>
      </w:r>
    </w:p>
    <w:p w14:paraId="33CE61CD" w14:textId="77777777" w:rsidR="00FB44EF" w:rsidRPr="0081146C" w:rsidRDefault="00FB44EF" w:rsidP="00FB44EF">
      <w:pPr>
        <w:pStyle w:val="paragraph"/>
      </w:pPr>
      <w:r w:rsidRPr="0081146C">
        <w:tab/>
        <w:t>(e)</w:t>
      </w:r>
      <w:r w:rsidRPr="0081146C">
        <w:tab/>
        <w:t>throughout the whole of which the reporting entity did not provide any designated services to the customer.</w:t>
      </w:r>
    </w:p>
    <w:p w14:paraId="0F8ABAEF" w14:textId="77777777" w:rsidR="00FB44EF" w:rsidRPr="0081146C" w:rsidRDefault="00FB44EF" w:rsidP="00FB44EF">
      <w:pPr>
        <w:pStyle w:val="SubsectionHead"/>
      </w:pPr>
      <w:r w:rsidRPr="0081146C">
        <w:t>Civil penalty</w:t>
      </w:r>
    </w:p>
    <w:p w14:paraId="583224E9" w14:textId="77777777" w:rsidR="00FB44EF" w:rsidRPr="0081146C" w:rsidRDefault="00FB44EF" w:rsidP="00FB44EF">
      <w:pPr>
        <w:pStyle w:val="subsection"/>
      </w:pPr>
      <w:r w:rsidRPr="0081146C">
        <w:tab/>
        <w:t>(2)</w:t>
      </w:r>
      <w:r w:rsidRPr="0081146C">
        <w:tab/>
        <w:t>Subsection (1) is a civil penalty provision.</w:t>
      </w:r>
    </w:p>
    <w:p w14:paraId="16BEE06E" w14:textId="77777777" w:rsidR="00FB44EF" w:rsidRPr="0081146C" w:rsidRDefault="00FB44EF" w:rsidP="00FB44EF">
      <w:pPr>
        <w:pStyle w:val="ActHead5"/>
      </w:pPr>
      <w:bookmarkStart w:id="418" w:name="_Toc185415919"/>
      <w:r w:rsidRPr="0081146C">
        <w:rPr>
          <w:rStyle w:val="CharSectno"/>
        </w:rPr>
        <w:t>114A</w:t>
      </w:r>
      <w:r w:rsidRPr="0081146C">
        <w:t xml:space="preserve">  Retention of records of assessments of agreements or arrangements covered by section 37A</w:t>
      </w:r>
      <w:bookmarkEnd w:id="418"/>
    </w:p>
    <w:p w14:paraId="33B49103" w14:textId="77777777" w:rsidR="00FB44EF" w:rsidRPr="0081146C" w:rsidRDefault="00FB44EF" w:rsidP="00FB44EF">
      <w:pPr>
        <w:pStyle w:val="subsection"/>
      </w:pPr>
      <w:r w:rsidRPr="0081146C">
        <w:tab/>
        <w:t>(1)</w:t>
      </w:r>
      <w:r w:rsidRPr="0081146C">
        <w:tab/>
        <w:t>If a reporting entity prepares a record under paragraph 37B(1)(c), the reporting entity must retain the record, or a copy of the record, for 7 years after the completion of the preparation of the record.</w:t>
      </w:r>
    </w:p>
    <w:p w14:paraId="312BEAA5" w14:textId="77777777" w:rsidR="00FB44EF" w:rsidRPr="0081146C" w:rsidRDefault="00FB44EF" w:rsidP="00FB44EF">
      <w:pPr>
        <w:pStyle w:val="SubsectionHead"/>
      </w:pPr>
      <w:r w:rsidRPr="0081146C">
        <w:t>Civil penalty</w:t>
      </w:r>
    </w:p>
    <w:p w14:paraId="7CD58B83" w14:textId="77777777" w:rsidR="00FB44EF" w:rsidRPr="0081146C" w:rsidRDefault="00FB44EF" w:rsidP="00FB44EF">
      <w:pPr>
        <w:pStyle w:val="subsection"/>
      </w:pPr>
      <w:r w:rsidRPr="0081146C">
        <w:tab/>
        <w:t>(2)</w:t>
      </w:r>
      <w:r w:rsidRPr="0081146C">
        <w:tab/>
        <w:t>Subsection (1) is a civil penalty provision.</w:t>
      </w:r>
    </w:p>
    <w:p w14:paraId="7E4759B9" w14:textId="77777777" w:rsidR="007A2342" w:rsidRPr="0081146C" w:rsidRDefault="007A2342" w:rsidP="007A2342">
      <w:pPr>
        <w:pStyle w:val="ActHead5"/>
      </w:pPr>
      <w:bookmarkStart w:id="419" w:name="_Toc176444511"/>
      <w:bookmarkStart w:id="420" w:name="_Toc184034132"/>
      <w:bookmarkStart w:id="421" w:name="_Toc185415920"/>
      <w:bookmarkEnd w:id="417"/>
      <w:r w:rsidRPr="0081146C">
        <w:rPr>
          <w:rStyle w:val="CharSectno"/>
        </w:rPr>
        <w:t>114B</w:t>
      </w:r>
      <w:r w:rsidRPr="0081146C">
        <w:t xml:space="preserve">  Retention of records made or obtained under the repealed </w:t>
      </w:r>
      <w:r w:rsidRPr="0081146C">
        <w:rPr>
          <w:i/>
        </w:rPr>
        <w:t>Financial Transaction Reports Act 1988</w:t>
      </w:r>
      <w:bookmarkEnd w:id="419"/>
      <w:bookmarkEnd w:id="420"/>
      <w:bookmarkEnd w:id="421"/>
    </w:p>
    <w:p w14:paraId="1249FF0D" w14:textId="77777777" w:rsidR="007A2342" w:rsidRPr="0081146C" w:rsidRDefault="007A2342" w:rsidP="007A2342">
      <w:pPr>
        <w:pStyle w:val="subsection"/>
      </w:pPr>
      <w:r w:rsidRPr="0081146C">
        <w:tab/>
        <w:t>(1)</w:t>
      </w:r>
      <w:r w:rsidRPr="0081146C">
        <w:tab/>
        <w:t xml:space="preserve">This section applies to a reporting entity if, immediately before this section commences, the reporting entity is retaining a record or a copy of a record, for the purposes of Part III of the </w:t>
      </w:r>
      <w:r w:rsidRPr="0081146C">
        <w:rPr>
          <w:i/>
        </w:rPr>
        <w:t>Financial Transaction Reports Act 1988</w:t>
      </w:r>
      <w:r w:rsidRPr="0081146C">
        <w:t>, in relation to a customer to whom the reporting entity has provided, or is providing, a designated service.</w:t>
      </w:r>
    </w:p>
    <w:p w14:paraId="3BCA5E7B" w14:textId="77777777" w:rsidR="007A2342" w:rsidRPr="0081146C" w:rsidRDefault="007A2342" w:rsidP="007A2342">
      <w:pPr>
        <w:pStyle w:val="subsection"/>
      </w:pPr>
      <w:r w:rsidRPr="0081146C">
        <w:tab/>
        <w:t>(2)</w:t>
      </w:r>
      <w:r w:rsidRPr="0081146C">
        <w:tab/>
        <w:t>The reporting entity must continue to retain the record, or a copy of the record, until the end of the first 7</w:t>
      </w:r>
      <w:r w:rsidRPr="0081146C">
        <w:noBreakHyphen/>
        <w:t>year period throughout the whole of which the reporting entity did not provide any designated services to the customer.</w:t>
      </w:r>
    </w:p>
    <w:p w14:paraId="5D975678" w14:textId="77777777" w:rsidR="007A2342" w:rsidRPr="0081146C" w:rsidRDefault="007A2342" w:rsidP="007A2342">
      <w:pPr>
        <w:pStyle w:val="SubsectionHead"/>
      </w:pPr>
      <w:r w:rsidRPr="0081146C">
        <w:t>Civil penalty</w:t>
      </w:r>
    </w:p>
    <w:p w14:paraId="11DD25DE" w14:textId="77777777" w:rsidR="007A2342" w:rsidRPr="0081146C" w:rsidRDefault="007A2342" w:rsidP="007A2342">
      <w:pPr>
        <w:pStyle w:val="subsection"/>
      </w:pPr>
      <w:r w:rsidRPr="0081146C">
        <w:tab/>
        <w:t>(3)</w:t>
      </w:r>
      <w:r w:rsidRPr="0081146C">
        <w:tab/>
        <w:t>Subsection (2) is a civil penalty provision.</w:t>
      </w:r>
    </w:p>
    <w:p w14:paraId="5E38FD94" w14:textId="77777777" w:rsidR="001C5A6B" w:rsidRPr="0081146C" w:rsidRDefault="001C5A6B" w:rsidP="009E2BDF">
      <w:pPr>
        <w:pStyle w:val="ActHead3"/>
        <w:pageBreakBefore/>
      </w:pPr>
      <w:bookmarkStart w:id="422" w:name="_Toc176444377"/>
      <w:bookmarkStart w:id="423" w:name="_Toc184033998"/>
      <w:bookmarkStart w:id="424" w:name="_Toc185415921"/>
      <w:r w:rsidRPr="0081146C">
        <w:rPr>
          <w:rStyle w:val="CharDivNo"/>
        </w:rPr>
        <w:t>Division 5</w:t>
      </w:r>
      <w:r w:rsidRPr="0081146C">
        <w:t>—</w:t>
      </w:r>
      <w:r w:rsidRPr="0081146C">
        <w:rPr>
          <w:rStyle w:val="CharDivText"/>
        </w:rPr>
        <w:t>AML/CTF program record</w:t>
      </w:r>
      <w:r w:rsidRPr="0081146C">
        <w:rPr>
          <w:rStyle w:val="CharDivText"/>
        </w:rPr>
        <w:noBreakHyphen/>
        <w:t>keeping requirements</w:t>
      </w:r>
      <w:bookmarkEnd w:id="422"/>
      <w:bookmarkEnd w:id="423"/>
      <w:bookmarkEnd w:id="424"/>
    </w:p>
    <w:p w14:paraId="4B650715" w14:textId="77777777" w:rsidR="001C5A6B" w:rsidRPr="0081146C" w:rsidRDefault="001C5A6B" w:rsidP="001C5A6B">
      <w:pPr>
        <w:pStyle w:val="ActHead5"/>
      </w:pPr>
      <w:bookmarkStart w:id="425" w:name="_Toc176444378"/>
      <w:bookmarkStart w:id="426" w:name="_Toc184033999"/>
      <w:bookmarkStart w:id="427" w:name="_Toc185415922"/>
      <w:r w:rsidRPr="0081146C">
        <w:rPr>
          <w:rStyle w:val="CharSectno"/>
        </w:rPr>
        <w:t>116</w:t>
      </w:r>
      <w:r w:rsidRPr="0081146C">
        <w:t xml:space="preserve">  Retention of records relating to Part 1A</w:t>
      </w:r>
      <w:bookmarkEnd w:id="425"/>
      <w:bookmarkEnd w:id="426"/>
      <w:bookmarkEnd w:id="427"/>
    </w:p>
    <w:p w14:paraId="7DCD952E" w14:textId="77777777" w:rsidR="001C5A6B" w:rsidRPr="0081146C" w:rsidRDefault="001C5A6B" w:rsidP="001C5A6B">
      <w:pPr>
        <w:pStyle w:val="subsection"/>
      </w:pPr>
      <w:r w:rsidRPr="0081146C">
        <w:tab/>
        <w:t>(1)</w:t>
      </w:r>
      <w:r w:rsidRPr="0081146C">
        <w:tab/>
        <w:t>A reporting entity must keep records that:</w:t>
      </w:r>
    </w:p>
    <w:p w14:paraId="52E0FCC5" w14:textId="77777777" w:rsidR="001C5A6B" w:rsidRPr="0081146C" w:rsidRDefault="001C5A6B" w:rsidP="001C5A6B">
      <w:pPr>
        <w:pStyle w:val="paragraph"/>
      </w:pPr>
      <w:r w:rsidRPr="0081146C">
        <w:tab/>
        <w:t>(a)</w:t>
      </w:r>
      <w:r w:rsidRPr="0081146C">
        <w:tab/>
        <w:t>are reasonably necessary to demonstrate compliance with the reporting entity’s obligations under Part 1A; and</w:t>
      </w:r>
    </w:p>
    <w:p w14:paraId="1C4E0389" w14:textId="77777777" w:rsidR="001C5A6B" w:rsidRPr="0081146C" w:rsidRDefault="001C5A6B" w:rsidP="001C5A6B">
      <w:pPr>
        <w:pStyle w:val="paragraph"/>
      </w:pPr>
      <w:r w:rsidRPr="0081146C">
        <w:tab/>
        <w:t>(b)</w:t>
      </w:r>
      <w:r w:rsidRPr="0081146C">
        <w:tab/>
        <w:t>are in the English language, or in a form in which the records are readily accessible and readily convertible into writing in the English language.</w:t>
      </w:r>
    </w:p>
    <w:p w14:paraId="77EA5CCF" w14:textId="77777777" w:rsidR="001C5A6B" w:rsidRPr="0081146C" w:rsidRDefault="001C5A6B" w:rsidP="001C5A6B">
      <w:pPr>
        <w:pStyle w:val="subsection"/>
      </w:pPr>
      <w:r w:rsidRPr="0081146C">
        <w:tab/>
        <w:t>(2)</w:t>
      </w:r>
      <w:r w:rsidRPr="0081146C">
        <w:tab/>
        <w:t>Subsection (1) is a civil penalty provision.</w:t>
      </w:r>
    </w:p>
    <w:p w14:paraId="74F75A52" w14:textId="77777777" w:rsidR="001C5A6B" w:rsidRPr="0081146C" w:rsidRDefault="001C5A6B" w:rsidP="001C5A6B">
      <w:pPr>
        <w:pStyle w:val="subsection"/>
      </w:pPr>
      <w:r w:rsidRPr="0081146C">
        <w:tab/>
        <w:t>(3)</w:t>
      </w:r>
      <w:r w:rsidRPr="0081146C">
        <w:tab/>
        <w:t>A person who is or was a reporting entity must retain the records referred to in subsection (1) throughout the period:</w:t>
      </w:r>
    </w:p>
    <w:p w14:paraId="5050F5FF" w14:textId="77777777" w:rsidR="001C5A6B" w:rsidRPr="0081146C" w:rsidRDefault="001C5A6B" w:rsidP="001C5A6B">
      <w:pPr>
        <w:pStyle w:val="paragraph"/>
      </w:pPr>
      <w:r w:rsidRPr="0081146C">
        <w:tab/>
        <w:t>(a)</w:t>
      </w:r>
      <w:r w:rsidRPr="0081146C">
        <w:tab/>
        <w:t>beginning at the time the record was made; and</w:t>
      </w:r>
    </w:p>
    <w:p w14:paraId="4CFA1B5E" w14:textId="77777777" w:rsidR="001C5A6B" w:rsidRPr="0081146C" w:rsidRDefault="001C5A6B" w:rsidP="001C5A6B">
      <w:pPr>
        <w:pStyle w:val="paragraph"/>
      </w:pPr>
      <w:r w:rsidRPr="0081146C">
        <w:tab/>
        <w:t>(b)</w:t>
      </w:r>
      <w:r w:rsidRPr="0081146C">
        <w:tab/>
        <w:t>ending 7 years after the record is no longer relevant to the reporting entity’s compliance with its obligations under Part 1A.</w:t>
      </w:r>
    </w:p>
    <w:p w14:paraId="31F8B5EC" w14:textId="77777777" w:rsidR="001C5A6B" w:rsidRPr="0081146C" w:rsidRDefault="001C5A6B" w:rsidP="001C5A6B">
      <w:pPr>
        <w:pStyle w:val="subsection"/>
      </w:pPr>
      <w:r w:rsidRPr="0081146C">
        <w:tab/>
        <w:t>(4)</w:t>
      </w:r>
      <w:r w:rsidRPr="0081146C">
        <w:tab/>
        <w:t>Subsection (3) is a civil penalty provision.</w:t>
      </w:r>
    </w:p>
    <w:p w14:paraId="60E9A460" w14:textId="77777777" w:rsidR="00FB44EF" w:rsidRPr="0081146C" w:rsidRDefault="003A364D" w:rsidP="00F24FC7">
      <w:pPr>
        <w:pStyle w:val="ActHead3"/>
        <w:pageBreakBefore/>
      </w:pPr>
      <w:bookmarkStart w:id="428" w:name="_Toc185415923"/>
      <w:r w:rsidRPr="0081146C">
        <w:rPr>
          <w:rStyle w:val="CharDivNo"/>
        </w:rPr>
        <w:t>Division 6</w:t>
      </w:r>
      <w:r w:rsidR="00FB44EF" w:rsidRPr="0081146C">
        <w:t>—</w:t>
      </w:r>
      <w:r w:rsidR="00FB44EF" w:rsidRPr="0081146C">
        <w:rPr>
          <w:rStyle w:val="CharDivText"/>
        </w:rPr>
        <w:t>Records about correspondent banking relationships</w:t>
      </w:r>
      <w:bookmarkEnd w:id="428"/>
    </w:p>
    <w:p w14:paraId="7E53D8E1" w14:textId="77777777" w:rsidR="00FB44EF" w:rsidRPr="0081146C" w:rsidRDefault="00FB44EF" w:rsidP="00FB44EF">
      <w:pPr>
        <w:pStyle w:val="ActHead5"/>
      </w:pPr>
      <w:bookmarkStart w:id="429" w:name="_Toc185415924"/>
      <w:r w:rsidRPr="0081146C">
        <w:rPr>
          <w:rStyle w:val="CharSectno"/>
        </w:rPr>
        <w:t>117</w:t>
      </w:r>
      <w:r w:rsidRPr="0081146C">
        <w:t xml:space="preserve">  Retention of records about correspondent banking relationships</w:t>
      </w:r>
      <w:bookmarkEnd w:id="429"/>
    </w:p>
    <w:p w14:paraId="71B4200E" w14:textId="77777777" w:rsidR="00035544" w:rsidRPr="0081146C" w:rsidRDefault="00035544" w:rsidP="00035544">
      <w:pPr>
        <w:pStyle w:val="SubsectionHead"/>
      </w:pPr>
      <w:r w:rsidRPr="0081146C">
        <w:t>Scope</w:t>
      </w:r>
    </w:p>
    <w:p w14:paraId="263E9DB7" w14:textId="77777777" w:rsidR="00035544" w:rsidRPr="0081146C" w:rsidRDefault="00035544" w:rsidP="00035544">
      <w:pPr>
        <w:pStyle w:val="subsection"/>
      </w:pPr>
      <w:r w:rsidRPr="0081146C">
        <w:tab/>
        <w:t>(1)</w:t>
      </w:r>
      <w:r w:rsidRPr="0081146C">
        <w:tab/>
        <w:t xml:space="preserve">This section applies to a financial institution if the financial institution prepared a record under </w:t>
      </w:r>
      <w:r w:rsidR="00FB44EF" w:rsidRPr="0081146C">
        <w:t>section 96</w:t>
      </w:r>
      <w:r w:rsidRPr="0081146C">
        <w:t>.</w:t>
      </w:r>
    </w:p>
    <w:p w14:paraId="4B354D39" w14:textId="77777777" w:rsidR="00035544" w:rsidRPr="0081146C" w:rsidRDefault="00035544" w:rsidP="00035544">
      <w:pPr>
        <w:pStyle w:val="SubsectionHead"/>
      </w:pPr>
      <w:r w:rsidRPr="0081146C">
        <w:t>Retention</w:t>
      </w:r>
    </w:p>
    <w:p w14:paraId="56E05215" w14:textId="77777777" w:rsidR="00035544" w:rsidRPr="0081146C" w:rsidRDefault="00035544" w:rsidP="00035544">
      <w:pPr>
        <w:pStyle w:val="subsection"/>
      </w:pPr>
      <w:r w:rsidRPr="0081146C">
        <w:tab/>
        <w:t>(2)</w:t>
      </w:r>
      <w:r w:rsidRPr="0081146C">
        <w:tab/>
        <w:t>The financial institution must retain the record, or a copy of the record, for 7 years after the completion of the preparation of the record.</w:t>
      </w:r>
    </w:p>
    <w:p w14:paraId="76B9C951" w14:textId="77777777" w:rsidR="00035544" w:rsidRPr="0081146C" w:rsidRDefault="00035544" w:rsidP="00035544">
      <w:pPr>
        <w:pStyle w:val="SubsectionHead"/>
      </w:pPr>
      <w:r w:rsidRPr="0081146C">
        <w:t>Civil penalty</w:t>
      </w:r>
    </w:p>
    <w:p w14:paraId="506D1286" w14:textId="77777777" w:rsidR="00035544" w:rsidRPr="0081146C" w:rsidRDefault="00035544" w:rsidP="00035544">
      <w:pPr>
        <w:pStyle w:val="subsection"/>
      </w:pPr>
      <w:r w:rsidRPr="0081146C">
        <w:tab/>
        <w:t>(3)</w:t>
      </w:r>
      <w:r w:rsidRPr="0081146C">
        <w:tab/>
      </w:r>
      <w:r w:rsidR="004F64A4" w:rsidRPr="0081146C">
        <w:t>Subsection (</w:t>
      </w:r>
      <w:r w:rsidRPr="0081146C">
        <w:t>2) is a civil penalty provision.</w:t>
      </w:r>
    </w:p>
    <w:p w14:paraId="036C8051" w14:textId="77777777" w:rsidR="00035544" w:rsidRPr="0081146C" w:rsidRDefault="00CA78AA" w:rsidP="00AE2DA2">
      <w:pPr>
        <w:pStyle w:val="ActHead3"/>
        <w:pageBreakBefore/>
      </w:pPr>
      <w:bookmarkStart w:id="430" w:name="_Toc185415925"/>
      <w:r w:rsidRPr="0081146C">
        <w:rPr>
          <w:rStyle w:val="CharDivNo"/>
        </w:rPr>
        <w:t>Division 7</w:t>
      </w:r>
      <w:r w:rsidR="00035544" w:rsidRPr="0081146C">
        <w:t>—</w:t>
      </w:r>
      <w:r w:rsidR="00035544" w:rsidRPr="0081146C">
        <w:rPr>
          <w:rStyle w:val="CharDivText"/>
        </w:rPr>
        <w:t>General provisions</w:t>
      </w:r>
      <w:bookmarkEnd w:id="430"/>
    </w:p>
    <w:p w14:paraId="74834A89" w14:textId="77777777" w:rsidR="00035544" w:rsidRPr="0081146C" w:rsidRDefault="00035544" w:rsidP="00035544">
      <w:pPr>
        <w:pStyle w:val="ActHead5"/>
      </w:pPr>
      <w:bookmarkStart w:id="431" w:name="_Toc185415926"/>
      <w:r w:rsidRPr="0081146C">
        <w:rPr>
          <w:rStyle w:val="CharSectno"/>
        </w:rPr>
        <w:t>118</w:t>
      </w:r>
      <w:r w:rsidRPr="0081146C">
        <w:t xml:space="preserve">  Exemptions</w:t>
      </w:r>
      <w:bookmarkEnd w:id="431"/>
    </w:p>
    <w:p w14:paraId="6BCF62ED" w14:textId="3CC61448" w:rsidR="00035544" w:rsidRPr="0081146C" w:rsidRDefault="00035544" w:rsidP="00035544">
      <w:pPr>
        <w:pStyle w:val="subsection"/>
      </w:pPr>
      <w:r w:rsidRPr="0081146C">
        <w:tab/>
        <w:t>(1)</w:t>
      </w:r>
      <w:r w:rsidRPr="0081146C">
        <w:tab/>
        <w:t>This Part (other than sections</w:t>
      </w:r>
      <w:r w:rsidR="004F64A4" w:rsidRPr="0081146C">
        <w:t> </w:t>
      </w:r>
      <w:r w:rsidRPr="0081146C">
        <w:t>109, 110, 116 and 117) does not apply to a designated service that is of a kind specified in the AML/CTF Rules.</w:t>
      </w:r>
    </w:p>
    <w:p w14:paraId="0E13135D" w14:textId="043FE204" w:rsidR="00035544" w:rsidRPr="0081146C" w:rsidRDefault="00035544" w:rsidP="00035544">
      <w:pPr>
        <w:pStyle w:val="subsection"/>
      </w:pPr>
      <w:r w:rsidRPr="0081146C">
        <w:tab/>
        <w:t>(2)</w:t>
      </w:r>
      <w:r w:rsidRPr="0081146C">
        <w:tab/>
        <w:t>The AML/CTF Rules may provide that a specified provision of this Part (other than sections</w:t>
      </w:r>
      <w:r w:rsidR="004F64A4" w:rsidRPr="0081146C">
        <w:t> </w:t>
      </w:r>
      <w:r w:rsidRPr="0081146C">
        <w:t>109, 110, 116 and 117) does not apply to a designated service that is of a kind specified in the AML/CTF Rules.</w:t>
      </w:r>
    </w:p>
    <w:p w14:paraId="0CDA949B" w14:textId="41C3A22A" w:rsidR="00035544" w:rsidRPr="0081146C" w:rsidRDefault="00035544" w:rsidP="00035544">
      <w:pPr>
        <w:pStyle w:val="subsection"/>
      </w:pPr>
      <w:r w:rsidRPr="0081146C">
        <w:tab/>
        <w:t>(3)</w:t>
      </w:r>
      <w:r w:rsidRPr="0081146C">
        <w:tab/>
        <w:t>This Part (other than sections</w:t>
      </w:r>
      <w:r w:rsidR="004F64A4" w:rsidRPr="0081146C">
        <w:t> </w:t>
      </w:r>
      <w:r w:rsidRPr="0081146C">
        <w:t>109, 110, 116 and 117) does not apply to a designated service that is provided in circumstances specified in the AML/CTF Rules.</w:t>
      </w:r>
    </w:p>
    <w:p w14:paraId="3883AC2A" w14:textId="0533DD12" w:rsidR="00035544" w:rsidRPr="0081146C" w:rsidRDefault="00035544" w:rsidP="00035544">
      <w:pPr>
        <w:pStyle w:val="subsection"/>
      </w:pPr>
      <w:r w:rsidRPr="0081146C">
        <w:tab/>
        <w:t>(4)</w:t>
      </w:r>
      <w:r w:rsidRPr="0081146C">
        <w:tab/>
        <w:t>The AML/CTF Rules may provide that a specified provision of this Part (other than sections</w:t>
      </w:r>
      <w:r w:rsidR="004F64A4" w:rsidRPr="0081146C">
        <w:t> </w:t>
      </w:r>
      <w:r w:rsidRPr="0081146C">
        <w:t>109, 110, 116 and 117) does not apply to a designated service that is provided in circumstances specified in the AML/CTF Rules.</w:t>
      </w:r>
    </w:p>
    <w:p w14:paraId="2E70A764" w14:textId="38501163" w:rsidR="00035544" w:rsidRPr="0081146C" w:rsidRDefault="00035544" w:rsidP="00035544">
      <w:pPr>
        <w:pStyle w:val="subsection"/>
      </w:pPr>
      <w:r w:rsidRPr="0081146C">
        <w:tab/>
        <w:t>(5)</w:t>
      </w:r>
      <w:r w:rsidRPr="0081146C">
        <w:tab/>
        <w:t>This Part (other than sections</w:t>
      </w:r>
      <w:r w:rsidR="004F64A4" w:rsidRPr="0081146C">
        <w:t> </w:t>
      </w:r>
      <w:r w:rsidRPr="0081146C">
        <w:t>109, 110, 116 and 117) does not apply to a designated service that is provided by a reporting entity at or through a permanent establishment of the reporting entity in a foreign country.</w:t>
      </w:r>
    </w:p>
    <w:p w14:paraId="32D282E4" w14:textId="77777777" w:rsidR="00035544" w:rsidRPr="0081146C" w:rsidRDefault="00035544" w:rsidP="00035544">
      <w:pPr>
        <w:pStyle w:val="ActHead5"/>
      </w:pPr>
      <w:bookmarkStart w:id="432" w:name="_Toc185415927"/>
      <w:r w:rsidRPr="0081146C">
        <w:rPr>
          <w:rStyle w:val="CharSectno"/>
        </w:rPr>
        <w:t>119</w:t>
      </w:r>
      <w:r w:rsidRPr="0081146C">
        <w:t xml:space="preserve">  This Part does not limit any other obligations</w:t>
      </w:r>
      <w:bookmarkEnd w:id="432"/>
    </w:p>
    <w:p w14:paraId="50F43D51" w14:textId="77777777" w:rsidR="00035544" w:rsidRPr="0081146C" w:rsidRDefault="00035544" w:rsidP="00035544">
      <w:pPr>
        <w:pStyle w:val="subsection"/>
      </w:pPr>
      <w:r w:rsidRPr="0081146C">
        <w:tab/>
      </w:r>
      <w:r w:rsidRPr="0081146C">
        <w:tab/>
        <w:t>This Part does not limit any other obligation of a person to make records or retain documents.</w:t>
      </w:r>
    </w:p>
    <w:p w14:paraId="44E13A1F" w14:textId="77777777" w:rsidR="00035544" w:rsidRPr="0081146C" w:rsidRDefault="00CA78AA" w:rsidP="00AE2DA2">
      <w:pPr>
        <w:pStyle w:val="ActHead2"/>
        <w:pageBreakBefore/>
      </w:pPr>
      <w:bookmarkStart w:id="433" w:name="_Toc185415928"/>
      <w:r w:rsidRPr="0081146C">
        <w:rPr>
          <w:rStyle w:val="CharPartNo"/>
        </w:rPr>
        <w:t>Part 1</w:t>
      </w:r>
      <w:r w:rsidR="00035544" w:rsidRPr="0081146C">
        <w:rPr>
          <w:rStyle w:val="CharPartNo"/>
        </w:rPr>
        <w:t>1</w:t>
      </w:r>
      <w:r w:rsidR="00035544" w:rsidRPr="0081146C">
        <w:t>—</w:t>
      </w:r>
      <w:r w:rsidR="00035544" w:rsidRPr="0081146C">
        <w:rPr>
          <w:rStyle w:val="CharPartText"/>
        </w:rPr>
        <w:t>Secrecy and access</w:t>
      </w:r>
      <w:bookmarkEnd w:id="433"/>
    </w:p>
    <w:p w14:paraId="0F7F8E1B" w14:textId="77777777" w:rsidR="00400673" w:rsidRPr="0081146C" w:rsidRDefault="00CA78AA" w:rsidP="00400673">
      <w:pPr>
        <w:pStyle w:val="ActHead3"/>
      </w:pPr>
      <w:bookmarkStart w:id="434" w:name="_Toc185415929"/>
      <w:bookmarkStart w:id="435" w:name="_Hlk75781614"/>
      <w:r w:rsidRPr="0081146C">
        <w:rPr>
          <w:rStyle w:val="CharDivNo"/>
        </w:rPr>
        <w:t>Division 1</w:t>
      </w:r>
      <w:r w:rsidR="00400673" w:rsidRPr="0081146C">
        <w:t>—</w:t>
      </w:r>
      <w:r w:rsidR="00400673" w:rsidRPr="0081146C">
        <w:rPr>
          <w:rStyle w:val="CharDivText"/>
        </w:rPr>
        <w:t>Introduction</w:t>
      </w:r>
      <w:bookmarkEnd w:id="434"/>
    </w:p>
    <w:p w14:paraId="2B7B694B" w14:textId="77777777" w:rsidR="00400673" w:rsidRPr="0081146C" w:rsidRDefault="00400673" w:rsidP="00400673">
      <w:pPr>
        <w:pStyle w:val="ActHead5"/>
      </w:pPr>
      <w:bookmarkStart w:id="436" w:name="_Toc185415930"/>
      <w:r w:rsidRPr="0081146C">
        <w:rPr>
          <w:rStyle w:val="CharSectno"/>
        </w:rPr>
        <w:t>120</w:t>
      </w:r>
      <w:r w:rsidRPr="0081146C">
        <w:t xml:space="preserve">  Simplified outline of this Part</w:t>
      </w:r>
      <w:bookmarkEnd w:id="436"/>
    </w:p>
    <w:p w14:paraId="388320AA" w14:textId="77777777" w:rsidR="00400673" w:rsidRPr="0081146C" w:rsidRDefault="00400673" w:rsidP="00400673">
      <w:pPr>
        <w:pStyle w:val="SOBullet"/>
      </w:pPr>
      <w:r w:rsidRPr="0081146C">
        <w:t>•</w:t>
      </w:r>
      <w:r w:rsidRPr="0081146C">
        <w:tab/>
        <w:t>Except as permitted by this Act, an AUSTRAC entrusted person must not access, make a record of, authorise access to, disclose or otherwise use AUSTRAC information.</w:t>
      </w:r>
    </w:p>
    <w:p w14:paraId="1988D900" w14:textId="77777777" w:rsidR="00400673" w:rsidRPr="0081146C" w:rsidRDefault="00400673" w:rsidP="00400673">
      <w:pPr>
        <w:pStyle w:val="SOBullet"/>
      </w:pPr>
      <w:r w:rsidRPr="0081146C">
        <w:t>•</w:t>
      </w:r>
      <w:r w:rsidRPr="0081146C">
        <w:tab/>
        <w:t>A reporting entity must not disclose:</w:t>
      </w:r>
    </w:p>
    <w:p w14:paraId="31F9942A" w14:textId="77777777" w:rsidR="00400673" w:rsidRPr="0081146C" w:rsidRDefault="00400673" w:rsidP="00400673">
      <w:pPr>
        <w:pStyle w:val="SOPara"/>
      </w:pPr>
      <w:r w:rsidRPr="0081146C">
        <w:tab/>
        <w:t>(a)</w:t>
      </w:r>
      <w:r w:rsidRPr="0081146C">
        <w:tab/>
        <w:t>that the reporting entity has given, or is required to give, a report under subsection 41(2); or</w:t>
      </w:r>
    </w:p>
    <w:p w14:paraId="4EB5EDD1" w14:textId="77777777" w:rsidR="00400673" w:rsidRPr="0081146C" w:rsidRDefault="00400673" w:rsidP="00400673">
      <w:pPr>
        <w:pStyle w:val="SOPara"/>
      </w:pPr>
      <w:r w:rsidRPr="0081146C">
        <w:tab/>
        <w:t>(b)</w:t>
      </w:r>
      <w:r w:rsidRPr="0081146C">
        <w:tab/>
        <w:t>any information from which it could reasonably be inferred that the reporting entity has given, or is required to give, that report.</w:t>
      </w:r>
    </w:p>
    <w:p w14:paraId="30FD728A" w14:textId="77777777" w:rsidR="00824795" w:rsidRPr="0081146C" w:rsidRDefault="00824795" w:rsidP="00824795">
      <w:pPr>
        <w:pStyle w:val="SOBullet"/>
      </w:pPr>
      <w:r w:rsidRPr="0081146C">
        <w:t>•</w:t>
      </w:r>
      <w:r w:rsidRPr="0081146C">
        <w:tab/>
        <w:t>Certain persons must not disclose information relating to the giving or production of certain reports, information or other documents.</w:t>
      </w:r>
    </w:p>
    <w:p w14:paraId="34714D9B" w14:textId="77777777" w:rsidR="00400673" w:rsidRPr="0081146C" w:rsidRDefault="00400673" w:rsidP="00400673">
      <w:pPr>
        <w:pStyle w:val="SOBullet"/>
      </w:pPr>
      <w:r w:rsidRPr="0081146C">
        <w:t>•</w:t>
      </w:r>
      <w:r w:rsidRPr="0081146C">
        <w:tab/>
        <w:t>The AUSTRAC CEO may authorise officials of Commonwealth, State or Territory agencies to access AUSTRAC information for the purposes of performing the agency’s functions and duties and exercising the agency’s powers.</w:t>
      </w:r>
    </w:p>
    <w:p w14:paraId="79BB159C" w14:textId="77777777" w:rsidR="00400673" w:rsidRPr="0081146C" w:rsidRDefault="00400673" w:rsidP="00400673">
      <w:pPr>
        <w:pStyle w:val="SOBullet"/>
      </w:pPr>
      <w:r w:rsidRPr="0081146C">
        <w:t>•</w:t>
      </w:r>
      <w:r w:rsidRPr="0081146C">
        <w:tab/>
        <w:t>In certain circumstances, AUSTRAC information may be disclosed to governments of foreign countries or to foreign agencies.</w:t>
      </w:r>
    </w:p>
    <w:p w14:paraId="19390DDE" w14:textId="77777777" w:rsidR="00400673" w:rsidRPr="0081146C" w:rsidRDefault="00400673" w:rsidP="00400673">
      <w:pPr>
        <w:pStyle w:val="SOBullet"/>
      </w:pPr>
      <w:r w:rsidRPr="0081146C">
        <w:t>•</w:t>
      </w:r>
      <w:r w:rsidRPr="0081146C">
        <w:tab/>
        <w:t>There are restrictions on persons using or disclosing AUSTRAC information where the information was disclosed to the persons in contravention of this Part.</w:t>
      </w:r>
    </w:p>
    <w:p w14:paraId="3CD5AB6E" w14:textId="77777777" w:rsidR="00400673" w:rsidRPr="0081146C" w:rsidRDefault="00CA78AA" w:rsidP="005A43B9">
      <w:pPr>
        <w:pStyle w:val="ActHead3"/>
        <w:pageBreakBefore/>
      </w:pPr>
      <w:bookmarkStart w:id="437" w:name="_Toc185415931"/>
      <w:r w:rsidRPr="0081146C">
        <w:rPr>
          <w:rStyle w:val="CharDivNo"/>
        </w:rPr>
        <w:t>Division 2</w:t>
      </w:r>
      <w:r w:rsidR="00400673" w:rsidRPr="0081146C">
        <w:t>—</w:t>
      </w:r>
      <w:r w:rsidR="00400673" w:rsidRPr="0081146C">
        <w:rPr>
          <w:rStyle w:val="CharDivText"/>
        </w:rPr>
        <w:t>AUSTRAC entrusted persons</w:t>
      </w:r>
      <w:bookmarkEnd w:id="437"/>
    </w:p>
    <w:p w14:paraId="6C1E7420" w14:textId="77777777" w:rsidR="00400673" w:rsidRPr="0081146C" w:rsidRDefault="00400673" w:rsidP="00400673">
      <w:pPr>
        <w:pStyle w:val="ActHead5"/>
      </w:pPr>
      <w:bookmarkStart w:id="438" w:name="_Toc185415932"/>
      <w:r w:rsidRPr="0081146C">
        <w:rPr>
          <w:rStyle w:val="CharSectno"/>
        </w:rPr>
        <w:t>121</w:t>
      </w:r>
      <w:r w:rsidRPr="0081146C">
        <w:t xml:space="preserve">  Offence—AUSTRAC entrusted persons</w:t>
      </w:r>
      <w:bookmarkEnd w:id="438"/>
    </w:p>
    <w:p w14:paraId="6759CF4E" w14:textId="77777777" w:rsidR="00400673" w:rsidRPr="0081146C" w:rsidRDefault="00400673" w:rsidP="00400673">
      <w:pPr>
        <w:pStyle w:val="subsection"/>
      </w:pPr>
      <w:r w:rsidRPr="0081146C">
        <w:tab/>
        <w:t>(1)</w:t>
      </w:r>
      <w:r w:rsidRPr="0081146C">
        <w:tab/>
        <w:t>A person commits an offence if:</w:t>
      </w:r>
    </w:p>
    <w:p w14:paraId="7B72E1E3" w14:textId="77777777" w:rsidR="00400673" w:rsidRPr="0081146C" w:rsidRDefault="00400673" w:rsidP="00400673">
      <w:pPr>
        <w:pStyle w:val="paragraph"/>
      </w:pPr>
      <w:r w:rsidRPr="0081146C">
        <w:tab/>
        <w:t>(a)</w:t>
      </w:r>
      <w:r w:rsidRPr="0081146C">
        <w:tab/>
        <w:t>the person is, or has been, an AUSTRAC entrusted person; and</w:t>
      </w:r>
    </w:p>
    <w:p w14:paraId="0150B9A7" w14:textId="77777777" w:rsidR="00400673" w:rsidRPr="0081146C" w:rsidRDefault="00400673" w:rsidP="00400673">
      <w:pPr>
        <w:pStyle w:val="paragraph"/>
      </w:pPr>
      <w:r w:rsidRPr="0081146C">
        <w:tab/>
        <w:t>(b)</w:t>
      </w:r>
      <w:r w:rsidRPr="0081146C">
        <w:tab/>
        <w:t>the person accesses, makes a record of, authorises access to, discloses or otherwise uses information; and</w:t>
      </w:r>
    </w:p>
    <w:p w14:paraId="10EEFCA2" w14:textId="77777777" w:rsidR="00400673" w:rsidRPr="0081146C" w:rsidRDefault="00400673" w:rsidP="00400673">
      <w:pPr>
        <w:pStyle w:val="paragraph"/>
      </w:pPr>
      <w:r w:rsidRPr="0081146C">
        <w:tab/>
        <w:t>(c)</w:t>
      </w:r>
      <w:r w:rsidRPr="0081146C">
        <w:tab/>
        <w:t>the information is AUSTRAC information.</w:t>
      </w:r>
    </w:p>
    <w:p w14:paraId="3B5E98D6" w14:textId="77777777" w:rsidR="00400673" w:rsidRPr="0081146C" w:rsidRDefault="00400673" w:rsidP="00400673">
      <w:pPr>
        <w:pStyle w:val="Penalty"/>
      </w:pPr>
      <w:r w:rsidRPr="0081146C">
        <w:t>Penalty:</w:t>
      </w:r>
      <w:r w:rsidRPr="0081146C">
        <w:tab/>
        <w:t>Imprisonment for 2 years or 120 penalty units, or both.</w:t>
      </w:r>
    </w:p>
    <w:p w14:paraId="371A21BF" w14:textId="77777777" w:rsidR="00400673" w:rsidRPr="0081146C" w:rsidRDefault="00400673" w:rsidP="00400673">
      <w:pPr>
        <w:pStyle w:val="SubsectionHead"/>
      </w:pPr>
      <w:r w:rsidRPr="0081146C">
        <w:t>Exceptions</w:t>
      </w:r>
    </w:p>
    <w:p w14:paraId="008D7003" w14:textId="77777777" w:rsidR="00400673" w:rsidRPr="0081146C" w:rsidRDefault="00400673" w:rsidP="00400673">
      <w:pPr>
        <w:pStyle w:val="subsection"/>
      </w:pPr>
      <w:r w:rsidRPr="0081146C">
        <w:tab/>
        <w:t>(2)</w:t>
      </w:r>
      <w:r w:rsidRPr="0081146C">
        <w:tab/>
        <w:t>Subsection (1) does not apply if the access, making of the record, authorisation of the access, disclosure or use:</w:t>
      </w:r>
    </w:p>
    <w:p w14:paraId="4D0ECB7A" w14:textId="62A1B8B9" w:rsidR="00400673" w:rsidRPr="0081146C" w:rsidRDefault="00400673" w:rsidP="00400673">
      <w:pPr>
        <w:pStyle w:val="paragraph"/>
      </w:pPr>
      <w:r w:rsidRPr="0081146C">
        <w:tab/>
        <w:t>(a)</w:t>
      </w:r>
      <w:r w:rsidRPr="0081146C">
        <w:tab/>
        <w:t xml:space="preserve">is for the purposes of this Act or the </w:t>
      </w:r>
      <w:r w:rsidR="007A2342" w:rsidRPr="0081146C">
        <w:t>repealed</w:t>
      </w:r>
      <w:r w:rsidR="007A2342" w:rsidRPr="0081146C">
        <w:rPr>
          <w:i/>
        </w:rPr>
        <w:t xml:space="preserve"> </w:t>
      </w:r>
      <w:r w:rsidRPr="0081146C">
        <w:rPr>
          <w:i/>
        </w:rPr>
        <w:t>Financial Transaction Reports Act 1988</w:t>
      </w:r>
      <w:r w:rsidRPr="0081146C">
        <w:t>; or</w:t>
      </w:r>
    </w:p>
    <w:p w14:paraId="4BA0DD7D" w14:textId="77777777" w:rsidR="00400673" w:rsidRPr="0081146C" w:rsidRDefault="00400673" w:rsidP="00400673">
      <w:pPr>
        <w:pStyle w:val="paragraph"/>
      </w:pPr>
      <w:r w:rsidRPr="0081146C">
        <w:tab/>
        <w:t>(b)</w:t>
      </w:r>
      <w:r w:rsidRPr="0081146C">
        <w:tab/>
        <w:t>is for the purposes of the performance of the functions of the AUSTRAC CEO; or</w:t>
      </w:r>
    </w:p>
    <w:p w14:paraId="755DE55D" w14:textId="77777777" w:rsidR="00400673" w:rsidRPr="0081146C" w:rsidRDefault="00400673" w:rsidP="00400673">
      <w:pPr>
        <w:pStyle w:val="paragraph"/>
      </w:pPr>
      <w:r w:rsidRPr="0081146C">
        <w:tab/>
        <w:t>(c)</w:t>
      </w:r>
      <w:r w:rsidRPr="0081146C">
        <w:tab/>
        <w:t>is for the purposes of, or in connection with, the performance or exercise of the person’s functions, duties or powers in relation to AUSTRAC; or</w:t>
      </w:r>
    </w:p>
    <w:p w14:paraId="2E3522A3" w14:textId="77777777" w:rsidR="00400673" w:rsidRPr="0081146C" w:rsidRDefault="00400673" w:rsidP="00400673">
      <w:pPr>
        <w:pStyle w:val="paragraph"/>
      </w:pPr>
      <w:r w:rsidRPr="0081146C">
        <w:tab/>
        <w:t>(d)</w:t>
      </w:r>
      <w:r w:rsidRPr="0081146C">
        <w:tab/>
        <w:t>is in accordance with a provision of this Part; or</w:t>
      </w:r>
    </w:p>
    <w:p w14:paraId="477E98D0" w14:textId="77777777" w:rsidR="00400673" w:rsidRPr="0081146C" w:rsidRDefault="00400673" w:rsidP="00400673">
      <w:pPr>
        <w:pStyle w:val="paragraph"/>
      </w:pPr>
      <w:r w:rsidRPr="0081146C">
        <w:tab/>
        <w:t>(e)</w:t>
      </w:r>
      <w:r w:rsidRPr="0081146C">
        <w:tab/>
        <w:t xml:space="preserve">is for the purposes of the </w:t>
      </w:r>
      <w:r w:rsidR="00EC3B77" w:rsidRPr="0081146C">
        <w:rPr>
          <w:i/>
        </w:rPr>
        <w:t>National Anti</w:t>
      </w:r>
      <w:r w:rsidR="003B7E15" w:rsidRPr="0081146C">
        <w:rPr>
          <w:i/>
        </w:rPr>
        <w:noBreakHyphen/>
      </w:r>
      <w:r w:rsidR="00EC3B77" w:rsidRPr="0081146C">
        <w:rPr>
          <w:i/>
        </w:rPr>
        <w:t>Corruption Commission Act 2022</w:t>
      </w:r>
      <w:r w:rsidRPr="0081146C">
        <w:t>.</w:t>
      </w:r>
    </w:p>
    <w:p w14:paraId="5EB935FB" w14:textId="77777777" w:rsidR="00400673" w:rsidRPr="0081146C" w:rsidRDefault="00400673" w:rsidP="00400673">
      <w:pPr>
        <w:pStyle w:val="notetext"/>
      </w:pPr>
      <w:r w:rsidRPr="0081146C">
        <w:t>Note:</w:t>
      </w:r>
      <w:r w:rsidRPr="0081146C">
        <w:tab/>
        <w:t>A defendant bears an evidential burden in relation to a matter in subsection (2) (see sub</w:t>
      </w:r>
      <w:r w:rsidR="003B7E15" w:rsidRPr="0081146C">
        <w:t>section 1</w:t>
      </w:r>
      <w:r w:rsidRPr="0081146C">
        <w:t xml:space="preserve">3.3(3) of the </w:t>
      </w:r>
      <w:r w:rsidRPr="0081146C">
        <w:rPr>
          <w:i/>
        </w:rPr>
        <w:t>Criminal Code</w:t>
      </w:r>
      <w:r w:rsidRPr="0081146C">
        <w:t>).</w:t>
      </w:r>
    </w:p>
    <w:p w14:paraId="0258D6E6" w14:textId="77777777" w:rsidR="00400673" w:rsidRPr="0081146C" w:rsidRDefault="00400673" w:rsidP="00400673">
      <w:pPr>
        <w:pStyle w:val="subsection"/>
      </w:pPr>
      <w:r w:rsidRPr="0081146C">
        <w:tab/>
        <w:t>(3)</w:t>
      </w:r>
      <w:r w:rsidRPr="0081146C">
        <w:tab/>
        <w:t>Subsection (1) does not apply if the disclosure is:</w:t>
      </w:r>
    </w:p>
    <w:p w14:paraId="2538DA92" w14:textId="77777777" w:rsidR="00400673" w:rsidRPr="0081146C" w:rsidRDefault="00400673" w:rsidP="00400673">
      <w:pPr>
        <w:pStyle w:val="paragraph"/>
      </w:pPr>
      <w:r w:rsidRPr="0081146C">
        <w:tab/>
        <w:t>(a)</w:t>
      </w:r>
      <w:r w:rsidRPr="0081146C">
        <w:tab/>
        <w:t>to an official of a Commonwealth, State or Territory agency for the purposes of, or in connection with, the performance or exercise of the official’s functions, duties or powers in relation to the agency; or</w:t>
      </w:r>
    </w:p>
    <w:p w14:paraId="1125E28B" w14:textId="77777777" w:rsidR="00400673" w:rsidRPr="0081146C" w:rsidRDefault="00400673" w:rsidP="00400673">
      <w:pPr>
        <w:pStyle w:val="paragraph"/>
      </w:pPr>
      <w:r w:rsidRPr="0081146C">
        <w:tab/>
        <w:t>(b)</w:t>
      </w:r>
      <w:r w:rsidRPr="0081146C">
        <w:tab/>
        <w:t>to a Minister of the Commonwealth or of a State or Territory for the purposes of, or in connection with, the performance of that Minister’s responsibilities.</w:t>
      </w:r>
    </w:p>
    <w:p w14:paraId="7570AE42" w14:textId="77777777" w:rsidR="00400673" w:rsidRPr="0081146C" w:rsidRDefault="00400673" w:rsidP="00400673">
      <w:pPr>
        <w:pStyle w:val="notetext"/>
      </w:pPr>
      <w:r w:rsidRPr="0081146C">
        <w:t>Note:</w:t>
      </w:r>
      <w:r w:rsidRPr="0081146C">
        <w:tab/>
        <w:t>A defendant bears an evidential burden in relation to a matter in subsection (3) (see sub</w:t>
      </w:r>
      <w:r w:rsidR="003B7E15" w:rsidRPr="0081146C">
        <w:t>section 1</w:t>
      </w:r>
      <w:r w:rsidRPr="0081146C">
        <w:t xml:space="preserve">3.3(3) of the </w:t>
      </w:r>
      <w:r w:rsidRPr="0081146C">
        <w:rPr>
          <w:i/>
        </w:rPr>
        <w:t>Criminal Code</w:t>
      </w:r>
      <w:r w:rsidRPr="0081146C">
        <w:t>).</w:t>
      </w:r>
    </w:p>
    <w:p w14:paraId="7EDA09EA" w14:textId="77777777" w:rsidR="00400673" w:rsidRPr="0081146C" w:rsidRDefault="00400673" w:rsidP="00400673">
      <w:pPr>
        <w:pStyle w:val="SubsectionHead"/>
      </w:pPr>
      <w:r w:rsidRPr="0081146C">
        <w:t>Conditions</w:t>
      </w:r>
    </w:p>
    <w:p w14:paraId="0DBB649A" w14:textId="77777777" w:rsidR="00400673" w:rsidRPr="0081146C" w:rsidRDefault="00400673" w:rsidP="00400673">
      <w:pPr>
        <w:pStyle w:val="subsection"/>
      </w:pPr>
      <w:r w:rsidRPr="0081146C">
        <w:tab/>
        <w:t>(4)</w:t>
      </w:r>
      <w:r w:rsidRPr="0081146C">
        <w:tab/>
        <w:t>If:</w:t>
      </w:r>
    </w:p>
    <w:p w14:paraId="690F0E88" w14:textId="77777777" w:rsidR="00400673" w:rsidRPr="0081146C" w:rsidRDefault="00400673" w:rsidP="00400673">
      <w:pPr>
        <w:pStyle w:val="paragraph"/>
      </w:pPr>
      <w:r w:rsidRPr="0081146C">
        <w:tab/>
        <w:t>(a)</w:t>
      </w:r>
      <w:r w:rsidRPr="0081146C">
        <w:tab/>
        <w:t>a person who is an AUSTRAC entrusted person discloses AUSTRAC information to another person under this section; and</w:t>
      </w:r>
    </w:p>
    <w:p w14:paraId="01AD6628" w14:textId="77777777" w:rsidR="00400673" w:rsidRPr="0081146C" w:rsidRDefault="00400673" w:rsidP="00400673">
      <w:pPr>
        <w:pStyle w:val="paragraph"/>
      </w:pPr>
      <w:r w:rsidRPr="0081146C">
        <w:tab/>
        <w:t>(b)</w:t>
      </w:r>
      <w:r w:rsidRPr="0081146C">
        <w:tab/>
        <w:t>the other person is none of the following:</w:t>
      </w:r>
    </w:p>
    <w:p w14:paraId="7434AB79" w14:textId="77777777" w:rsidR="00400673" w:rsidRPr="0081146C" w:rsidRDefault="00400673" w:rsidP="00400673">
      <w:pPr>
        <w:pStyle w:val="paragraphsub"/>
      </w:pPr>
      <w:r w:rsidRPr="0081146C">
        <w:tab/>
        <w:t>(i)</w:t>
      </w:r>
      <w:r w:rsidRPr="0081146C">
        <w:tab/>
        <w:t>an AUSTRAC entrusted person;</w:t>
      </w:r>
    </w:p>
    <w:p w14:paraId="23A341D7" w14:textId="77777777" w:rsidR="00400673" w:rsidRPr="0081146C" w:rsidRDefault="00400673" w:rsidP="00400673">
      <w:pPr>
        <w:pStyle w:val="paragraphsub"/>
      </w:pPr>
      <w:r w:rsidRPr="0081146C">
        <w:tab/>
        <w:t>(ii)</w:t>
      </w:r>
      <w:r w:rsidRPr="0081146C">
        <w:tab/>
        <w:t>an official of a Commonwealth, State or Territory agency;</w:t>
      </w:r>
    </w:p>
    <w:p w14:paraId="4921897B" w14:textId="77777777" w:rsidR="00400673" w:rsidRPr="0081146C" w:rsidRDefault="00400673" w:rsidP="00400673">
      <w:pPr>
        <w:pStyle w:val="paragraphsub"/>
      </w:pPr>
      <w:r w:rsidRPr="0081146C">
        <w:tab/>
        <w:t>(iii)</w:t>
      </w:r>
      <w:r w:rsidRPr="0081146C">
        <w:tab/>
        <w:t>a Minister of the Commonwealth or of a State or Territory;</w:t>
      </w:r>
    </w:p>
    <w:p w14:paraId="26A40C40" w14:textId="77777777" w:rsidR="00400673" w:rsidRPr="0081146C" w:rsidRDefault="00400673" w:rsidP="00400673">
      <w:pPr>
        <w:pStyle w:val="subsection2"/>
      </w:pPr>
      <w:r w:rsidRPr="0081146C">
        <w:t>the AUSTRAC CEO may, in writing and at the time of the disclosure, impose conditions to be complied with in relation to the making of a record, disclosure or use of the information by the other person.</w:t>
      </w:r>
    </w:p>
    <w:p w14:paraId="7E76C18C" w14:textId="77777777" w:rsidR="00400673" w:rsidRPr="0081146C" w:rsidRDefault="00400673" w:rsidP="00400673">
      <w:pPr>
        <w:pStyle w:val="SubsectionHead"/>
      </w:pPr>
      <w:r w:rsidRPr="0081146C">
        <w:t>Secondary dealings</w:t>
      </w:r>
    </w:p>
    <w:p w14:paraId="2CEC10F2" w14:textId="77777777" w:rsidR="00400673" w:rsidRPr="0081146C" w:rsidRDefault="00400673" w:rsidP="00400673">
      <w:pPr>
        <w:pStyle w:val="subsection"/>
      </w:pPr>
      <w:r w:rsidRPr="0081146C">
        <w:tab/>
        <w:t>(5)</w:t>
      </w:r>
      <w:r w:rsidRPr="0081146C">
        <w:tab/>
        <w:t>A person commits an offence if:</w:t>
      </w:r>
    </w:p>
    <w:p w14:paraId="7752DBC4" w14:textId="77777777" w:rsidR="00400673" w:rsidRPr="0081146C" w:rsidRDefault="00400673" w:rsidP="00400673">
      <w:pPr>
        <w:pStyle w:val="paragraph"/>
      </w:pPr>
      <w:r w:rsidRPr="0081146C">
        <w:tab/>
        <w:t>(a)</w:t>
      </w:r>
      <w:r w:rsidRPr="0081146C">
        <w:tab/>
        <w:t>the person is none of the following:</w:t>
      </w:r>
    </w:p>
    <w:p w14:paraId="40C5F5D3" w14:textId="77777777" w:rsidR="00400673" w:rsidRPr="0081146C" w:rsidRDefault="00400673" w:rsidP="00400673">
      <w:pPr>
        <w:pStyle w:val="paragraphsub"/>
      </w:pPr>
      <w:r w:rsidRPr="0081146C">
        <w:tab/>
        <w:t>(i)</w:t>
      </w:r>
      <w:r w:rsidRPr="0081146C">
        <w:tab/>
        <w:t>an AUSTRAC entrusted person;</w:t>
      </w:r>
    </w:p>
    <w:p w14:paraId="057470CE" w14:textId="77777777" w:rsidR="00400673" w:rsidRPr="0081146C" w:rsidRDefault="00400673" w:rsidP="00400673">
      <w:pPr>
        <w:pStyle w:val="paragraphsub"/>
      </w:pPr>
      <w:r w:rsidRPr="0081146C">
        <w:tab/>
        <w:t>(ii)</w:t>
      </w:r>
      <w:r w:rsidRPr="0081146C">
        <w:tab/>
        <w:t>an official of a Commonwealth, State or Territory agency;</w:t>
      </w:r>
    </w:p>
    <w:p w14:paraId="5F183772" w14:textId="77777777" w:rsidR="00400673" w:rsidRPr="0081146C" w:rsidRDefault="00400673" w:rsidP="00400673">
      <w:pPr>
        <w:pStyle w:val="paragraphsub"/>
      </w:pPr>
      <w:r w:rsidRPr="0081146C">
        <w:tab/>
        <w:t>(iii)</w:t>
      </w:r>
      <w:r w:rsidRPr="0081146C">
        <w:tab/>
        <w:t>a Minister of the Commonwealth or of a State or Territory; and</w:t>
      </w:r>
    </w:p>
    <w:p w14:paraId="3F13FB7D" w14:textId="77777777" w:rsidR="00400673" w:rsidRPr="0081146C" w:rsidRDefault="00400673" w:rsidP="00400673">
      <w:pPr>
        <w:pStyle w:val="paragraph"/>
      </w:pPr>
      <w:r w:rsidRPr="0081146C">
        <w:tab/>
        <w:t>(b)</w:t>
      </w:r>
      <w:r w:rsidRPr="0081146C">
        <w:tab/>
        <w:t>AUSTRAC information is disclosed to the person under subsection (2); and</w:t>
      </w:r>
    </w:p>
    <w:p w14:paraId="7CA3B389" w14:textId="77777777" w:rsidR="00400673" w:rsidRPr="0081146C" w:rsidRDefault="00400673" w:rsidP="00400673">
      <w:pPr>
        <w:pStyle w:val="paragraph"/>
      </w:pPr>
      <w:r w:rsidRPr="0081146C">
        <w:tab/>
        <w:t>(c)</w:t>
      </w:r>
      <w:r w:rsidRPr="0081146C">
        <w:tab/>
        <w:t>the person is not subject to conditions under subsection (4) in relation to the information; and</w:t>
      </w:r>
    </w:p>
    <w:p w14:paraId="2F2B99C3" w14:textId="77777777" w:rsidR="00400673" w:rsidRPr="0081146C" w:rsidRDefault="00400673" w:rsidP="00400673">
      <w:pPr>
        <w:pStyle w:val="paragraph"/>
      </w:pPr>
      <w:r w:rsidRPr="0081146C">
        <w:tab/>
        <w:t>(d)</w:t>
      </w:r>
      <w:r w:rsidRPr="0081146C">
        <w:tab/>
        <w:t>the person discloses the information to another person.</w:t>
      </w:r>
    </w:p>
    <w:p w14:paraId="36B6A595" w14:textId="77777777" w:rsidR="00400673" w:rsidRPr="0081146C" w:rsidRDefault="00400673" w:rsidP="00400673">
      <w:pPr>
        <w:pStyle w:val="Penalty"/>
      </w:pPr>
      <w:r w:rsidRPr="0081146C">
        <w:t>Penalty:</w:t>
      </w:r>
      <w:r w:rsidRPr="0081146C">
        <w:tab/>
        <w:t>Imprisonment for 2 years or 120 penalty units, or both.</w:t>
      </w:r>
    </w:p>
    <w:p w14:paraId="17FB1382" w14:textId="77777777" w:rsidR="00400673" w:rsidRPr="0081146C" w:rsidRDefault="00400673" w:rsidP="00400673">
      <w:pPr>
        <w:pStyle w:val="subsection"/>
      </w:pPr>
      <w:r w:rsidRPr="0081146C">
        <w:tab/>
        <w:t>(6)</w:t>
      </w:r>
      <w:r w:rsidRPr="0081146C">
        <w:tab/>
        <w:t>A person commits an offence if:</w:t>
      </w:r>
    </w:p>
    <w:p w14:paraId="1628158E" w14:textId="77777777" w:rsidR="00400673" w:rsidRPr="0081146C" w:rsidRDefault="00400673" w:rsidP="00400673">
      <w:pPr>
        <w:pStyle w:val="paragraph"/>
      </w:pPr>
      <w:r w:rsidRPr="0081146C">
        <w:tab/>
        <w:t>(a)</w:t>
      </w:r>
      <w:r w:rsidRPr="0081146C">
        <w:tab/>
        <w:t>the person is none of the following:</w:t>
      </w:r>
    </w:p>
    <w:p w14:paraId="1ACFAC53" w14:textId="77777777" w:rsidR="00400673" w:rsidRPr="0081146C" w:rsidRDefault="00400673" w:rsidP="00400673">
      <w:pPr>
        <w:pStyle w:val="paragraphsub"/>
      </w:pPr>
      <w:r w:rsidRPr="0081146C">
        <w:tab/>
        <w:t>(i)</w:t>
      </w:r>
      <w:r w:rsidRPr="0081146C">
        <w:tab/>
        <w:t>an AUSTRAC entrusted person;</w:t>
      </w:r>
    </w:p>
    <w:p w14:paraId="2C12A76C" w14:textId="77777777" w:rsidR="00400673" w:rsidRPr="0081146C" w:rsidRDefault="00400673" w:rsidP="00400673">
      <w:pPr>
        <w:pStyle w:val="paragraphsub"/>
      </w:pPr>
      <w:r w:rsidRPr="0081146C">
        <w:tab/>
        <w:t>(ii)</w:t>
      </w:r>
      <w:r w:rsidRPr="0081146C">
        <w:tab/>
        <w:t>an official of a Commonwealth, State or Territory agency;</w:t>
      </w:r>
    </w:p>
    <w:p w14:paraId="62ADA7B5" w14:textId="77777777" w:rsidR="00400673" w:rsidRPr="0081146C" w:rsidRDefault="00400673" w:rsidP="00400673">
      <w:pPr>
        <w:pStyle w:val="paragraphsub"/>
      </w:pPr>
      <w:r w:rsidRPr="0081146C">
        <w:tab/>
        <w:t>(iii)</w:t>
      </w:r>
      <w:r w:rsidRPr="0081146C">
        <w:tab/>
        <w:t>a Minister of the Commonwealth or of a State or Territory; and</w:t>
      </w:r>
    </w:p>
    <w:p w14:paraId="3B07C3EA" w14:textId="77777777" w:rsidR="00400673" w:rsidRPr="0081146C" w:rsidRDefault="00400673" w:rsidP="00400673">
      <w:pPr>
        <w:pStyle w:val="paragraph"/>
      </w:pPr>
      <w:r w:rsidRPr="0081146C">
        <w:tab/>
        <w:t>(b)</w:t>
      </w:r>
      <w:r w:rsidRPr="0081146C">
        <w:tab/>
        <w:t>AUSTRAC information is disclosed to the person under subsection (2); and</w:t>
      </w:r>
    </w:p>
    <w:p w14:paraId="33F3B6D5" w14:textId="77777777" w:rsidR="00400673" w:rsidRPr="0081146C" w:rsidRDefault="00400673" w:rsidP="00400673">
      <w:pPr>
        <w:pStyle w:val="paragraph"/>
      </w:pPr>
      <w:r w:rsidRPr="0081146C">
        <w:tab/>
        <w:t>(c)</w:t>
      </w:r>
      <w:r w:rsidRPr="0081146C">
        <w:tab/>
        <w:t>the person is subject to conditions under subsection (4) in relation to the information; and</w:t>
      </w:r>
    </w:p>
    <w:p w14:paraId="27B9E684" w14:textId="77777777" w:rsidR="00400673" w:rsidRPr="0081146C" w:rsidRDefault="00400673" w:rsidP="00400673">
      <w:pPr>
        <w:pStyle w:val="paragraph"/>
      </w:pPr>
      <w:r w:rsidRPr="0081146C">
        <w:tab/>
        <w:t>(d)</w:t>
      </w:r>
      <w:r w:rsidRPr="0081146C">
        <w:tab/>
        <w:t>the person makes a record of, discloses or otherwise uses the information; and</w:t>
      </w:r>
    </w:p>
    <w:p w14:paraId="21CD2754" w14:textId="77777777" w:rsidR="00400673" w:rsidRPr="0081146C" w:rsidRDefault="00400673" w:rsidP="00400673">
      <w:pPr>
        <w:pStyle w:val="paragraph"/>
      </w:pPr>
      <w:r w:rsidRPr="0081146C">
        <w:tab/>
        <w:t>(e)</w:t>
      </w:r>
      <w:r w:rsidRPr="0081146C">
        <w:tab/>
        <w:t>the making of the record, disclosure or use referred to in paragraph (d) breaches any of those conditions.</w:t>
      </w:r>
    </w:p>
    <w:p w14:paraId="566A7F08" w14:textId="77777777" w:rsidR="00400673" w:rsidRPr="0081146C" w:rsidRDefault="00400673" w:rsidP="00400673">
      <w:pPr>
        <w:pStyle w:val="Penalty"/>
      </w:pPr>
      <w:r w:rsidRPr="0081146C">
        <w:t>Penalty:</w:t>
      </w:r>
      <w:r w:rsidRPr="0081146C">
        <w:tab/>
        <w:t>Imprisonment for 2 years or 120 penalty units, or both.</w:t>
      </w:r>
    </w:p>
    <w:p w14:paraId="4E98349D" w14:textId="77777777" w:rsidR="00400673" w:rsidRPr="0081146C" w:rsidRDefault="00400673" w:rsidP="00400673">
      <w:pPr>
        <w:pStyle w:val="SubsectionHead"/>
      </w:pPr>
      <w:r w:rsidRPr="0081146C">
        <w:t>Instrument not a legislative instrument</w:t>
      </w:r>
    </w:p>
    <w:p w14:paraId="40275BA7" w14:textId="77777777" w:rsidR="00400673" w:rsidRPr="0081146C" w:rsidRDefault="00400673" w:rsidP="00400673">
      <w:pPr>
        <w:pStyle w:val="subsection"/>
      </w:pPr>
      <w:r w:rsidRPr="0081146C">
        <w:tab/>
        <w:t>(7)</w:t>
      </w:r>
      <w:r w:rsidRPr="0081146C">
        <w:tab/>
        <w:t>An instrument under subsection (4) is not a legislative instrument.</w:t>
      </w:r>
    </w:p>
    <w:p w14:paraId="40F3EFBB" w14:textId="77777777" w:rsidR="00400673" w:rsidRPr="0081146C" w:rsidRDefault="00CA78AA" w:rsidP="00F24FC7">
      <w:pPr>
        <w:pStyle w:val="ActHead3"/>
        <w:pageBreakBefore/>
      </w:pPr>
      <w:bookmarkStart w:id="439" w:name="_Toc185415933"/>
      <w:bookmarkEnd w:id="435"/>
      <w:r w:rsidRPr="0081146C">
        <w:rPr>
          <w:rStyle w:val="CharDivNo"/>
        </w:rPr>
        <w:t>Division 3</w:t>
      </w:r>
      <w:r w:rsidR="00400673" w:rsidRPr="0081146C">
        <w:t>—</w:t>
      </w:r>
      <w:r w:rsidR="00400673" w:rsidRPr="0081146C">
        <w:rPr>
          <w:rStyle w:val="CharDivText"/>
        </w:rPr>
        <w:t>Protection of information given under Part 3</w:t>
      </w:r>
      <w:bookmarkEnd w:id="439"/>
    </w:p>
    <w:p w14:paraId="0B174FAD" w14:textId="77777777" w:rsidR="00483036" w:rsidRPr="0081146C" w:rsidRDefault="00483036" w:rsidP="00483036">
      <w:pPr>
        <w:pStyle w:val="ActHead5"/>
      </w:pPr>
      <w:bookmarkStart w:id="440" w:name="_Toc176444418"/>
      <w:bookmarkStart w:id="441" w:name="_Toc184034039"/>
      <w:bookmarkStart w:id="442" w:name="_Toc185415934"/>
      <w:r w:rsidRPr="0081146C">
        <w:rPr>
          <w:rStyle w:val="CharSectno"/>
        </w:rPr>
        <w:t>123</w:t>
      </w:r>
      <w:r w:rsidRPr="0081146C">
        <w:t xml:space="preserve">  Offence of tipping off</w:t>
      </w:r>
      <w:bookmarkEnd w:id="440"/>
      <w:bookmarkEnd w:id="441"/>
      <w:bookmarkEnd w:id="442"/>
    </w:p>
    <w:p w14:paraId="18585739" w14:textId="77777777" w:rsidR="00483036" w:rsidRPr="0081146C" w:rsidRDefault="00483036" w:rsidP="00483036">
      <w:pPr>
        <w:pStyle w:val="SubsectionHead"/>
      </w:pPr>
      <w:r w:rsidRPr="0081146C">
        <w:t>Offence</w:t>
      </w:r>
    </w:p>
    <w:p w14:paraId="1016E21A" w14:textId="77777777" w:rsidR="00483036" w:rsidRPr="0081146C" w:rsidRDefault="00483036" w:rsidP="00483036">
      <w:pPr>
        <w:pStyle w:val="subsection"/>
      </w:pPr>
      <w:r w:rsidRPr="0081146C">
        <w:tab/>
        <w:t>(1)</w:t>
      </w:r>
      <w:r w:rsidRPr="0081146C">
        <w:tab/>
        <w:t>A person commits an offence if:</w:t>
      </w:r>
    </w:p>
    <w:p w14:paraId="58ECC25B" w14:textId="77777777" w:rsidR="00483036" w:rsidRPr="0081146C" w:rsidRDefault="00483036" w:rsidP="00483036">
      <w:pPr>
        <w:pStyle w:val="paragraph"/>
      </w:pPr>
      <w:r w:rsidRPr="0081146C">
        <w:tab/>
        <w:t>(a)</w:t>
      </w:r>
      <w:r w:rsidRPr="0081146C">
        <w:tab/>
        <w:t>the person is or has been:</w:t>
      </w:r>
    </w:p>
    <w:p w14:paraId="0DE8FEC5" w14:textId="77777777" w:rsidR="00483036" w:rsidRPr="0081146C" w:rsidRDefault="00483036" w:rsidP="00483036">
      <w:pPr>
        <w:pStyle w:val="paragraphsub"/>
      </w:pPr>
      <w:r w:rsidRPr="0081146C">
        <w:tab/>
        <w:t>(i)</w:t>
      </w:r>
      <w:r w:rsidRPr="0081146C">
        <w:tab/>
        <w:t>a reporting entity; or</w:t>
      </w:r>
    </w:p>
    <w:p w14:paraId="3E8279A6" w14:textId="77777777" w:rsidR="00483036" w:rsidRPr="0081146C" w:rsidRDefault="00483036" w:rsidP="00483036">
      <w:pPr>
        <w:pStyle w:val="paragraphsub"/>
      </w:pPr>
      <w:r w:rsidRPr="0081146C">
        <w:tab/>
        <w:t>(ii)</w:t>
      </w:r>
      <w:r w:rsidRPr="0081146C">
        <w:tab/>
        <w:t>an officer, employee or agent of a reporting entity; or</w:t>
      </w:r>
    </w:p>
    <w:p w14:paraId="2E81A3FB" w14:textId="77777777" w:rsidR="00483036" w:rsidRPr="0081146C" w:rsidRDefault="00483036" w:rsidP="00483036">
      <w:pPr>
        <w:pStyle w:val="paragraphsub"/>
      </w:pPr>
      <w:r w:rsidRPr="0081146C">
        <w:tab/>
        <w:t>(iii)</w:t>
      </w:r>
      <w:r w:rsidRPr="0081146C">
        <w:tab/>
        <w:t>required by a notice under subsection 49(1) to give information or produce documents; or</w:t>
      </w:r>
    </w:p>
    <w:p w14:paraId="3E7CA362" w14:textId="77777777" w:rsidR="00483036" w:rsidRPr="0081146C" w:rsidRDefault="00483036" w:rsidP="00483036">
      <w:pPr>
        <w:pStyle w:val="paragraphsub"/>
      </w:pPr>
      <w:r w:rsidRPr="0081146C">
        <w:tab/>
        <w:t>(iv)</w:t>
      </w:r>
      <w:r w:rsidRPr="0081146C">
        <w:tab/>
        <w:t>required by notice under subsection 49B(2) to give information or produce documents; and</w:t>
      </w:r>
    </w:p>
    <w:p w14:paraId="4E94C037" w14:textId="77777777" w:rsidR="00483036" w:rsidRPr="0081146C" w:rsidRDefault="00483036" w:rsidP="00483036">
      <w:pPr>
        <w:pStyle w:val="paragraph"/>
      </w:pPr>
      <w:r w:rsidRPr="0081146C">
        <w:tab/>
        <w:t>(b)</w:t>
      </w:r>
      <w:r w:rsidRPr="0081146C">
        <w:tab/>
        <w:t>the person discloses information to another person (other than an AUSTRAC entrusted person); and</w:t>
      </w:r>
    </w:p>
    <w:p w14:paraId="3B9EE11C" w14:textId="77777777" w:rsidR="00483036" w:rsidRPr="0081146C" w:rsidRDefault="00483036" w:rsidP="00483036">
      <w:pPr>
        <w:pStyle w:val="paragraph"/>
      </w:pPr>
      <w:r w:rsidRPr="0081146C">
        <w:tab/>
        <w:t>(c)</w:t>
      </w:r>
      <w:r w:rsidRPr="0081146C">
        <w:tab/>
        <w:t>the information is covered by subsection (2); and</w:t>
      </w:r>
    </w:p>
    <w:p w14:paraId="592ED4EC" w14:textId="77777777" w:rsidR="00483036" w:rsidRPr="0081146C" w:rsidRDefault="00483036" w:rsidP="00483036">
      <w:pPr>
        <w:pStyle w:val="paragraph"/>
      </w:pPr>
      <w:r w:rsidRPr="0081146C">
        <w:tab/>
        <w:t>(d)</w:t>
      </w:r>
      <w:r w:rsidRPr="0081146C">
        <w:tab/>
        <w:t>the disclosure of the information would or could reasonably be expected to prejudice an investigation:</w:t>
      </w:r>
    </w:p>
    <w:p w14:paraId="74AB5532" w14:textId="77777777" w:rsidR="00483036" w:rsidRPr="0081146C" w:rsidRDefault="00483036" w:rsidP="00483036">
      <w:pPr>
        <w:pStyle w:val="paragraphsub"/>
      </w:pPr>
      <w:r w:rsidRPr="0081146C">
        <w:tab/>
        <w:t>(i)</w:t>
      </w:r>
      <w:r w:rsidRPr="0081146C">
        <w:tab/>
        <w:t>of an offence against a law of the Commonwealth or of a State or Territory; or</w:t>
      </w:r>
    </w:p>
    <w:p w14:paraId="6BF05BD8" w14:textId="77777777" w:rsidR="00483036" w:rsidRPr="0081146C" w:rsidRDefault="00483036" w:rsidP="00483036">
      <w:pPr>
        <w:pStyle w:val="paragraphsub"/>
      </w:pPr>
      <w:r w:rsidRPr="0081146C">
        <w:tab/>
        <w:t>(ii)</w:t>
      </w:r>
      <w:r w:rsidRPr="0081146C">
        <w:tab/>
        <w:t xml:space="preserve">for the purposes of the </w:t>
      </w:r>
      <w:r w:rsidRPr="0081146C">
        <w:rPr>
          <w:i/>
        </w:rPr>
        <w:t>Proceeds of Crime Act 2002</w:t>
      </w:r>
      <w:r w:rsidRPr="0081146C">
        <w:t xml:space="preserve"> or regulations under that Act; or</w:t>
      </w:r>
    </w:p>
    <w:p w14:paraId="7F0050E5" w14:textId="77777777" w:rsidR="00483036" w:rsidRPr="0081146C" w:rsidRDefault="00483036" w:rsidP="00483036">
      <w:pPr>
        <w:pStyle w:val="paragraphsub"/>
      </w:pPr>
      <w:r w:rsidRPr="0081146C">
        <w:tab/>
        <w:t>(iii)</w:t>
      </w:r>
      <w:r w:rsidRPr="0081146C">
        <w:tab/>
        <w:t xml:space="preserve">for the purposes of a law of a State or Territory that corresponds to the </w:t>
      </w:r>
      <w:r w:rsidRPr="0081146C">
        <w:rPr>
          <w:i/>
        </w:rPr>
        <w:t>Proceeds of Crime Act 2002</w:t>
      </w:r>
      <w:r w:rsidRPr="0081146C">
        <w:t xml:space="preserve"> or regulations under that Act.</w:t>
      </w:r>
    </w:p>
    <w:p w14:paraId="4A2C62E4" w14:textId="77777777" w:rsidR="00483036" w:rsidRPr="0081146C" w:rsidRDefault="00483036" w:rsidP="00483036">
      <w:pPr>
        <w:pStyle w:val="Penalty"/>
      </w:pPr>
      <w:r w:rsidRPr="0081146C">
        <w:t>Penalty:</w:t>
      </w:r>
      <w:r w:rsidRPr="0081146C">
        <w:tab/>
        <w:t>Imprisonment for 2 years or 120 penalty units, or both.</w:t>
      </w:r>
    </w:p>
    <w:p w14:paraId="23DAAEDB" w14:textId="77777777" w:rsidR="00483036" w:rsidRPr="0081146C" w:rsidRDefault="00483036" w:rsidP="00483036">
      <w:pPr>
        <w:pStyle w:val="subsection"/>
      </w:pPr>
      <w:r w:rsidRPr="0081146C">
        <w:tab/>
        <w:t>(2)</w:t>
      </w:r>
      <w:r w:rsidRPr="0081146C">
        <w:tab/>
        <w:t>Information is covered by this subsection if it is any of the following:</w:t>
      </w:r>
    </w:p>
    <w:p w14:paraId="1772BBDD" w14:textId="77777777" w:rsidR="00483036" w:rsidRPr="0081146C" w:rsidRDefault="00483036" w:rsidP="00483036">
      <w:pPr>
        <w:pStyle w:val="paragraph"/>
      </w:pPr>
      <w:r w:rsidRPr="0081146C">
        <w:tab/>
        <w:t>(a)</w:t>
      </w:r>
      <w:r w:rsidRPr="0081146C">
        <w:tab/>
        <w:t>that a reporting entity has given, or is required to give, a report under subsection 41(2);</w:t>
      </w:r>
    </w:p>
    <w:p w14:paraId="279DB885" w14:textId="77777777" w:rsidR="00483036" w:rsidRPr="0081146C" w:rsidRDefault="00483036" w:rsidP="00483036">
      <w:pPr>
        <w:pStyle w:val="paragraph"/>
      </w:pPr>
      <w:r w:rsidRPr="0081146C">
        <w:tab/>
        <w:t>(b)</w:t>
      </w:r>
      <w:r w:rsidRPr="0081146C">
        <w:tab/>
        <w:t>a report given under, or prepared for the purposes of, subsection 41(2);</w:t>
      </w:r>
    </w:p>
    <w:p w14:paraId="68BC98BC" w14:textId="77777777" w:rsidR="00483036" w:rsidRPr="0081146C" w:rsidRDefault="00483036" w:rsidP="00483036">
      <w:pPr>
        <w:pStyle w:val="paragraph"/>
      </w:pPr>
      <w:r w:rsidRPr="0081146C">
        <w:tab/>
        <w:t>(c)</w:t>
      </w:r>
      <w:r w:rsidRPr="0081146C">
        <w:tab/>
        <w:t>a copy of such a report;</w:t>
      </w:r>
    </w:p>
    <w:p w14:paraId="263C5D02" w14:textId="77777777" w:rsidR="00483036" w:rsidRPr="0081146C" w:rsidRDefault="00483036" w:rsidP="00483036">
      <w:pPr>
        <w:pStyle w:val="paragraph"/>
      </w:pPr>
      <w:r w:rsidRPr="0081146C">
        <w:tab/>
        <w:t>(d)</w:t>
      </w:r>
      <w:r w:rsidRPr="0081146C">
        <w:tab/>
        <w:t>a document purporting to set out</w:t>
      </w:r>
      <w:r w:rsidRPr="0081146C">
        <w:rPr>
          <w:i/>
        </w:rPr>
        <w:t xml:space="preserve"> </w:t>
      </w:r>
      <w:r w:rsidRPr="0081146C">
        <w:t>information (including the formation or existence of a suspicion) contained in such a report;</w:t>
      </w:r>
    </w:p>
    <w:p w14:paraId="74C8E11A" w14:textId="77777777" w:rsidR="00483036" w:rsidRPr="0081146C" w:rsidRDefault="00483036" w:rsidP="00483036">
      <w:pPr>
        <w:pStyle w:val="paragraph"/>
      </w:pPr>
      <w:r w:rsidRPr="0081146C">
        <w:tab/>
        <w:t>(e)</w:t>
      </w:r>
      <w:r w:rsidRPr="0081146C">
        <w:tab/>
        <w:t>a person is or has been required by a notice under subsection 49(1) to give information or produce a document;</w:t>
      </w:r>
    </w:p>
    <w:p w14:paraId="5970984E" w14:textId="77777777" w:rsidR="00483036" w:rsidRPr="0081146C" w:rsidRDefault="00483036" w:rsidP="00483036">
      <w:pPr>
        <w:pStyle w:val="paragraph"/>
      </w:pPr>
      <w:r w:rsidRPr="0081146C">
        <w:tab/>
        <w:t>(f)</w:t>
      </w:r>
      <w:r w:rsidRPr="0081146C">
        <w:tab/>
        <w:t>a person has given information or produced a document in response to a notice under subsection 49(1);</w:t>
      </w:r>
    </w:p>
    <w:p w14:paraId="4F8FDDE6" w14:textId="77777777" w:rsidR="00483036" w:rsidRPr="0081146C" w:rsidRDefault="00483036" w:rsidP="00483036">
      <w:pPr>
        <w:pStyle w:val="paragraph"/>
      </w:pPr>
      <w:r w:rsidRPr="0081146C">
        <w:tab/>
        <w:t>(g)</w:t>
      </w:r>
      <w:r w:rsidRPr="0081146C">
        <w:tab/>
        <w:t>a person is or has been required by a notice under subsection 49B(2) to give information or produce a document;</w:t>
      </w:r>
    </w:p>
    <w:p w14:paraId="5D409A2B" w14:textId="77777777" w:rsidR="00483036" w:rsidRPr="0081146C" w:rsidRDefault="00483036" w:rsidP="00483036">
      <w:pPr>
        <w:pStyle w:val="paragraph"/>
      </w:pPr>
      <w:r w:rsidRPr="0081146C">
        <w:tab/>
        <w:t>(h)</w:t>
      </w:r>
      <w:r w:rsidRPr="0081146C">
        <w:tab/>
        <w:t>a person has given information or produced a document in response to a notice under subsection 49B(2);</w:t>
      </w:r>
    </w:p>
    <w:p w14:paraId="126746C1" w14:textId="77777777" w:rsidR="00483036" w:rsidRPr="0081146C" w:rsidRDefault="00483036" w:rsidP="00483036">
      <w:pPr>
        <w:pStyle w:val="paragraph"/>
      </w:pPr>
      <w:r w:rsidRPr="0081146C">
        <w:tab/>
        <w:t>(i)</w:t>
      </w:r>
      <w:r w:rsidRPr="0081146C">
        <w:tab/>
        <w:t xml:space="preserve">information referred to in paragraph 16(5A)(a), (b) or (c) or (5AA)(a) or (b) of the </w:t>
      </w:r>
      <w:r w:rsidRPr="0081146C">
        <w:rPr>
          <w:i/>
        </w:rPr>
        <w:t>Financial Transaction Reports Act 1988</w:t>
      </w:r>
      <w:r w:rsidRPr="0081146C">
        <w:t>, as in force immediately before its repeal.</w:t>
      </w:r>
    </w:p>
    <w:p w14:paraId="13A8A3D4" w14:textId="77777777" w:rsidR="00824795" w:rsidRPr="0081146C" w:rsidRDefault="00824795" w:rsidP="00824795">
      <w:pPr>
        <w:pStyle w:val="subsection"/>
      </w:pPr>
      <w:r w:rsidRPr="0081146C">
        <w:tab/>
        <w:t>(2A)</w:t>
      </w:r>
      <w:r w:rsidRPr="0081146C">
        <w:tab/>
        <w:t xml:space="preserve">If a person (the </w:t>
      </w:r>
      <w:r w:rsidRPr="0081146C">
        <w:rPr>
          <w:b/>
          <w:i/>
        </w:rPr>
        <w:t>first person</w:t>
      </w:r>
      <w:r w:rsidRPr="0081146C">
        <w:t>) is required by a notice under subsection 49B(2) to give information or produce a document, the first person must not disclose to another person (except an AUSTRAC entrusted person):</w:t>
      </w:r>
    </w:p>
    <w:p w14:paraId="47A1AA3F" w14:textId="77777777" w:rsidR="00824795" w:rsidRPr="0081146C" w:rsidRDefault="00824795" w:rsidP="00824795">
      <w:pPr>
        <w:pStyle w:val="paragraph"/>
      </w:pPr>
      <w:r w:rsidRPr="0081146C">
        <w:tab/>
        <w:t>(a)</w:t>
      </w:r>
      <w:r w:rsidRPr="0081146C">
        <w:tab/>
        <w:t>that the first person is or has been required by a notice under subsection 49B(2) to give information or produce a document; or</w:t>
      </w:r>
    </w:p>
    <w:p w14:paraId="200D1DDE" w14:textId="77777777" w:rsidR="00824795" w:rsidRPr="0081146C" w:rsidRDefault="00824795" w:rsidP="00824795">
      <w:pPr>
        <w:pStyle w:val="paragraph"/>
      </w:pPr>
      <w:r w:rsidRPr="0081146C">
        <w:tab/>
        <w:t>(b)</w:t>
      </w:r>
      <w:r w:rsidRPr="0081146C">
        <w:tab/>
        <w:t>that the information has been given or the document has been produced.</w:t>
      </w:r>
    </w:p>
    <w:p w14:paraId="1F121981" w14:textId="77777777" w:rsidR="00483036" w:rsidRPr="0081146C" w:rsidRDefault="00483036" w:rsidP="00483036">
      <w:pPr>
        <w:pStyle w:val="subsection"/>
      </w:pPr>
      <w:r w:rsidRPr="0081146C">
        <w:tab/>
        <w:t>(3)</w:t>
      </w:r>
      <w:r w:rsidRPr="0081146C">
        <w:tab/>
        <w:t>For the purposes of paragraph (1)(d), it is immaterial whether an investigation has commenced.</w:t>
      </w:r>
    </w:p>
    <w:p w14:paraId="146936F8" w14:textId="77777777" w:rsidR="00483036" w:rsidRPr="0081146C" w:rsidRDefault="00483036" w:rsidP="00483036">
      <w:pPr>
        <w:pStyle w:val="SubsectionHead"/>
      </w:pPr>
      <w:r w:rsidRPr="0081146C">
        <w:t>Exception—crime prevention</w:t>
      </w:r>
    </w:p>
    <w:p w14:paraId="236E780D" w14:textId="77777777" w:rsidR="00483036" w:rsidRPr="0081146C" w:rsidRDefault="00483036" w:rsidP="00483036">
      <w:pPr>
        <w:pStyle w:val="subsection"/>
      </w:pPr>
      <w:r w:rsidRPr="0081146C">
        <w:tab/>
        <w:t>(4)</w:t>
      </w:r>
      <w:r w:rsidRPr="0081146C">
        <w:tab/>
        <w:t>Subsection (1) does not apply to the disclosure of information covered by paragraphs (2)(a), (b), (c) or (d) by a person if:</w:t>
      </w:r>
    </w:p>
    <w:p w14:paraId="600047CA" w14:textId="77777777" w:rsidR="00483036" w:rsidRPr="0081146C" w:rsidRDefault="00483036" w:rsidP="00483036">
      <w:pPr>
        <w:pStyle w:val="paragraph"/>
      </w:pPr>
      <w:r w:rsidRPr="0081146C">
        <w:tab/>
        <w:t>(a)</w:t>
      </w:r>
      <w:r w:rsidRPr="0081146C">
        <w:tab/>
        <w:t>the person is a reporting entity, or an officer, employee or agent of a reporting entity, that is:</w:t>
      </w:r>
    </w:p>
    <w:p w14:paraId="05CEEBA6" w14:textId="77777777" w:rsidR="00483036" w:rsidRPr="0081146C" w:rsidRDefault="00483036" w:rsidP="00483036">
      <w:pPr>
        <w:pStyle w:val="paragraphsub"/>
      </w:pPr>
      <w:r w:rsidRPr="0081146C">
        <w:tab/>
        <w:t>(i)</w:t>
      </w:r>
      <w:r w:rsidRPr="0081146C">
        <w:tab/>
        <w:t>a legal practitioner (however described); or</w:t>
      </w:r>
    </w:p>
    <w:p w14:paraId="6E32FBEB" w14:textId="77777777" w:rsidR="00483036" w:rsidRPr="0081146C" w:rsidRDefault="00483036" w:rsidP="00483036">
      <w:pPr>
        <w:pStyle w:val="paragraphsub"/>
      </w:pPr>
      <w:r w:rsidRPr="0081146C">
        <w:tab/>
        <w:t>(ii)</w:t>
      </w:r>
      <w:r w:rsidRPr="0081146C">
        <w:tab/>
        <w:t>a partnership or company that carries on a business of using legal practitioners (however described) to supply professional legal services; or</w:t>
      </w:r>
    </w:p>
    <w:p w14:paraId="34F7648D" w14:textId="77777777" w:rsidR="00483036" w:rsidRPr="0081146C" w:rsidRDefault="00483036" w:rsidP="00483036">
      <w:pPr>
        <w:pStyle w:val="paragraphsub"/>
      </w:pPr>
      <w:r w:rsidRPr="0081146C">
        <w:tab/>
        <w:t>(iii)</w:t>
      </w:r>
      <w:r w:rsidRPr="0081146C">
        <w:tab/>
        <w:t>a qualified accountant; or</w:t>
      </w:r>
    </w:p>
    <w:p w14:paraId="11D94A92" w14:textId="77777777" w:rsidR="00483036" w:rsidRPr="0081146C" w:rsidRDefault="00483036" w:rsidP="00483036">
      <w:pPr>
        <w:pStyle w:val="paragraphsub"/>
      </w:pPr>
      <w:r w:rsidRPr="0081146C">
        <w:tab/>
        <w:t>(iv)</w:t>
      </w:r>
      <w:r w:rsidRPr="0081146C">
        <w:tab/>
        <w:t>a partnership or company that carries on a business of using qualified accountants to supply professional accountancy services; or</w:t>
      </w:r>
    </w:p>
    <w:p w14:paraId="580E723E" w14:textId="77777777" w:rsidR="00483036" w:rsidRPr="0081146C" w:rsidRDefault="00483036" w:rsidP="00483036">
      <w:pPr>
        <w:pStyle w:val="paragraphsub"/>
      </w:pPr>
      <w:r w:rsidRPr="0081146C">
        <w:tab/>
        <w:t>(v)</w:t>
      </w:r>
      <w:r w:rsidRPr="0081146C">
        <w:tab/>
        <w:t>a person specified in the AML/CTF Rules; and</w:t>
      </w:r>
    </w:p>
    <w:p w14:paraId="3D419EFF" w14:textId="77777777" w:rsidR="00483036" w:rsidRPr="0081146C" w:rsidRDefault="00483036" w:rsidP="00483036">
      <w:pPr>
        <w:pStyle w:val="paragraph"/>
      </w:pPr>
      <w:r w:rsidRPr="0081146C">
        <w:tab/>
        <w:t>(b)</w:t>
      </w:r>
      <w:r w:rsidRPr="0081146C">
        <w:tab/>
        <w:t>the information relates to the affairs of a customer of the reporting entity; and</w:t>
      </w:r>
    </w:p>
    <w:p w14:paraId="197D7AC0" w14:textId="77777777" w:rsidR="00483036" w:rsidRPr="0081146C" w:rsidRDefault="00483036" w:rsidP="00483036">
      <w:pPr>
        <w:pStyle w:val="paragraph"/>
      </w:pPr>
      <w:r w:rsidRPr="0081146C">
        <w:tab/>
        <w:t>(c)</w:t>
      </w:r>
      <w:r w:rsidRPr="0081146C">
        <w:tab/>
        <w:t>the person makes the disclosure, in good faith, for the purposes of dissuading the customer from engaging in conduct that constitutes, or could constitute, an offence against a law of the Commonwealth or of a State or Territory.</w:t>
      </w:r>
    </w:p>
    <w:p w14:paraId="7DDAD09E" w14:textId="77777777" w:rsidR="00483036" w:rsidRPr="0081146C" w:rsidRDefault="00483036" w:rsidP="00483036">
      <w:pPr>
        <w:pStyle w:val="notetext"/>
      </w:pPr>
      <w:r w:rsidRPr="0081146C">
        <w:t>Note:</w:t>
      </w:r>
      <w:r w:rsidRPr="0081146C">
        <w:tab/>
        <w:t xml:space="preserve">A defendant bears an evidential burden in relation to the matter in subsection (4) (see subsection 13.3(3) of the </w:t>
      </w:r>
      <w:r w:rsidRPr="0081146C">
        <w:rPr>
          <w:i/>
        </w:rPr>
        <w:t>Criminal Code</w:t>
      </w:r>
      <w:r w:rsidRPr="0081146C">
        <w:t>).</w:t>
      </w:r>
    </w:p>
    <w:p w14:paraId="4E82386E" w14:textId="77777777" w:rsidR="00483036" w:rsidRPr="0081146C" w:rsidRDefault="00483036" w:rsidP="00483036">
      <w:pPr>
        <w:pStyle w:val="SubsectionHead"/>
      </w:pPr>
      <w:r w:rsidRPr="0081146C">
        <w:t>Exception—information sharing to detect, deter or disrupt money laundering, the financing of terrorism, proliferation financing, or other serious crimes</w:t>
      </w:r>
    </w:p>
    <w:p w14:paraId="74BBB7B0" w14:textId="77777777" w:rsidR="00483036" w:rsidRPr="0081146C" w:rsidRDefault="00483036" w:rsidP="00483036">
      <w:pPr>
        <w:pStyle w:val="subsection"/>
      </w:pPr>
      <w:r w:rsidRPr="0081146C">
        <w:tab/>
        <w:t>(5)</w:t>
      </w:r>
      <w:r w:rsidRPr="0081146C">
        <w:tab/>
        <w:t>Subsection (1) does not apply if:</w:t>
      </w:r>
    </w:p>
    <w:p w14:paraId="6082D212" w14:textId="77777777" w:rsidR="00483036" w:rsidRPr="0081146C" w:rsidRDefault="00483036" w:rsidP="00483036">
      <w:pPr>
        <w:pStyle w:val="paragraph"/>
      </w:pPr>
      <w:r w:rsidRPr="0081146C">
        <w:tab/>
        <w:t>(a)</w:t>
      </w:r>
      <w:r w:rsidRPr="0081146C">
        <w:tab/>
        <w:t>the disclosure is made to another reporting entity; and</w:t>
      </w:r>
    </w:p>
    <w:p w14:paraId="15C1F58D" w14:textId="77777777" w:rsidR="00483036" w:rsidRPr="0081146C" w:rsidRDefault="00483036" w:rsidP="00483036">
      <w:pPr>
        <w:pStyle w:val="paragraph"/>
      </w:pPr>
      <w:r w:rsidRPr="0081146C">
        <w:tab/>
        <w:t>(b)</w:t>
      </w:r>
      <w:r w:rsidRPr="0081146C">
        <w:tab/>
        <w:t>the disclosure is made for the purpose of detecting, deterring, or disrupting money laundering, the financing of terrorism, proliferation financing, or other serious crimes; and</w:t>
      </w:r>
    </w:p>
    <w:p w14:paraId="4CF5E31C" w14:textId="77777777" w:rsidR="00483036" w:rsidRPr="0081146C" w:rsidRDefault="00483036" w:rsidP="00483036">
      <w:pPr>
        <w:pStyle w:val="paragraph"/>
      </w:pPr>
      <w:r w:rsidRPr="0081146C">
        <w:tab/>
        <w:t>(c)</w:t>
      </w:r>
      <w:r w:rsidRPr="0081146C">
        <w:tab/>
        <w:t>the conditions prescribed by the regulations are met.</w:t>
      </w:r>
    </w:p>
    <w:p w14:paraId="10168E8E" w14:textId="77777777" w:rsidR="00483036" w:rsidRPr="0081146C" w:rsidRDefault="00483036" w:rsidP="00483036">
      <w:pPr>
        <w:pStyle w:val="notetext"/>
      </w:pPr>
      <w:r w:rsidRPr="0081146C">
        <w:t>Note:</w:t>
      </w:r>
      <w:r w:rsidRPr="0081146C">
        <w:tab/>
        <w:t xml:space="preserve">A defendant bears an evidential burden in relation to the matter in subsection (5) (see subsection 13.3(3) of the </w:t>
      </w:r>
      <w:r w:rsidRPr="0081146C">
        <w:rPr>
          <w:i/>
        </w:rPr>
        <w:t>Criminal Code</w:t>
      </w:r>
      <w:r w:rsidRPr="0081146C">
        <w:t>).</w:t>
      </w:r>
    </w:p>
    <w:p w14:paraId="4C6787D8" w14:textId="77777777" w:rsidR="00483036" w:rsidRPr="0081146C" w:rsidRDefault="00483036" w:rsidP="00483036">
      <w:pPr>
        <w:pStyle w:val="SubsectionHead"/>
      </w:pPr>
      <w:r w:rsidRPr="0081146C">
        <w:t>Courts and Tribunals</w:t>
      </w:r>
    </w:p>
    <w:p w14:paraId="3AD35464" w14:textId="77777777" w:rsidR="00483036" w:rsidRPr="0081146C" w:rsidRDefault="00483036" w:rsidP="00483036">
      <w:pPr>
        <w:pStyle w:val="subsection"/>
      </w:pPr>
      <w:r w:rsidRPr="0081146C">
        <w:tab/>
        <w:t>(6)</w:t>
      </w:r>
      <w:r w:rsidRPr="0081146C">
        <w:tab/>
        <w:t>Except where it is necessary to do so for the purposes of giving effect to this Act, a person is not to be required to disclose to a court or tribunal information mentioned in subsection (2).</w:t>
      </w:r>
    </w:p>
    <w:p w14:paraId="327DE730" w14:textId="77777777" w:rsidR="00035544" w:rsidRPr="0081146C" w:rsidRDefault="00035544" w:rsidP="0031020A">
      <w:pPr>
        <w:pStyle w:val="ActHead5"/>
      </w:pPr>
      <w:bookmarkStart w:id="443" w:name="_Toc185415935"/>
      <w:r w:rsidRPr="0081146C">
        <w:rPr>
          <w:rStyle w:val="CharSectno"/>
        </w:rPr>
        <w:t>124</w:t>
      </w:r>
      <w:r w:rsidRPr="0081146C">
        <w:t xml:space="preserve">  Report and information not admissible</w:t>
      </w:r>
      <w:bookmarkEnd w:id="443"/>
    </w:p>
    <w:p w14:paraId="231AE7D1" w14:textId="77777777" w:rsidR="00035544" w:rsidRPr="0081146C" w:rsidRDefault="00035544" w:rsidP="0031020A">
      <w:pPr>
        <w:pStyle w:val="subsection"/>
        <w:keepNext/>
        <w:keepLines/>
      </w:pPr>
      <w:r w:rsidRPr="0081146C">
        <w:tab/>
        <w:t>(1)</w:t>
      </w:r>
      <w:r w:rsidRPr="0081146C">
        <w:tab/>
        <w:t>In any court or tribunal proceedings:</w:t>
      </w:r>
    </w:p>
    <w:p w14:paraId="5A3C0C6C" w14:textId="77777777" w:rsidR="00035544" w:rsidRPr="0081146C" w:rsidRDefault="00035544" w:rsidP="00035544">
      <w:pPr>
        <w:pStyle w:val="paragraph"/>
      </w:pPr>
      <w:r w:rsidRPr="0081146C">
        <w:tab/>
        <w:t>(a)</w:t>
      </w:r>
      <w:r w:rsidRPr="0081146C">
        <w:tab/>
        <w:t>none of the following is admissible in evidence:</w:t>
      </w:r>
    </w:p>
    <w:p w14:paraId="4CB580B9" w14:textId="515227AF" w:rsidR="00035544" w:rsidRPr="0081146C" w:rsidRDefault="00035544" w:rsidP="00035544">
      <w:pPr>
        <w:pStyle w:val="paragraphsub"/>
      </w:pPr>
      <w:r w:rsidRPr="0081146C">
        <w:tab/>
        <w:t>(i)</w:t>
      </w:r>
      <w:r w:rsidRPr="0081146C">
        <w:tab/>
        <w:t>a report given under, or prepared for the purposes of, subsection</w:t>
      </w:r>
      <w:r w:rsidR="004F64A4" w:rsidRPr="0081146C">
        <w:t> </w:t>
      </w:r>
      <w:r w:rsidRPr="0081146C">
        <w:t>41(2)</w:t>
      </w:r>
      <w:r w:rsidR="007A2342" w:rsidRPr="0081146C">
        <w:t xml:space="preserve"> of this Act or subsection 16(1) or (1A) of the repealed </w:t>
      </w:r>
      <w:r w:rsidR="007A2342" w:rsidRPr="0081146C">
        <w:rPr>
          <w:i/>
        </w:rPr>
        <w:t>Financial Transaction Reports Act 1988</w:t>
      </w:r>
      <w:r w:rsidRPr="0081146C">
        <w:t>;</w:t>
      </w:r>
    </w:p>
    <w:p w14:paraId="6A180BDA" w14:textId="77777777" w:rsidR="00035544" w:rsidRPr="0081146C" w:rsidRDefault="00035544" w:rsidP="00035544">
      <w:pPr>
        <w:pStyle w:val="paragraphsub"/>
      </w:pPr>
      <w:r w:rsidRPr="0081146C">
        <w:tab/>
        <w:t>(ii)</w:t>
      </w:r>
      <w:r w:rsidRPr="0081146C">
        <w:tab/>
        <w:t>a copy of such a report;</w:t>
      </w:r>
    </w:p>
    <w:p w14:paraId="378B9173" w14:textId="77777777" w:rsidR="00035544" w:rsidRPr="0081146C" w:rsidRDefault="00035544" w:rsidP="00035544">
      <w:pPr>
        <w:pStyle w:val="paragraphsub"/>
      </w:pPr>
      <w:r w:rsidRPr="0081146C">
        <w:tab/>
        <w:t>(iii)</w:t>
      </w:r>
      <w:r w:rsidRPr="0081146C">
        <w:tab/>
        <w:t>a document purporting to set out information (including the formation or existence of a suspicion) contained in such a report;</w:t>
      </w:r>
    </w:p>
    <w:p w14:paraId="0057A7CC" w14:textId="15EB9321" w:rsidR="00035544" w:rsidRPr="0081146C" w:rsidRDefault="00035544" w:rsidP="00035544">
      <w:pPr>
        <w:pStyle w:val="paragraphsub"/>
      </w:pPr>
      <w:r w:rsidRPr="0081146C">
        <w:tab/>
        <w:t>(iv)</w:t>
      </w:r>
      <w:r w:rsidRPr="0081146C">
        <w:tab/>
        <w:t>a document given or produced under subsection</w:t>
      </w:r>
      <w:r w:rsidR="004F64A4" w:rsidRPr="0081146C">
        <w:t> </w:t>
      </w:r>
      <w:r w:rsidRPr="0081146C">
        <w:t>49(1)</w:t>
      </w:r>
      <w:r w:rsidR="00C20EB8" w:rsidRPr="0081146C">
        <w:t xml:space="preserve">, in so far as that subsection relates to a communication under </w:t>
      </w:r>
      <w:r w:rsidR="007A2342" w:rsidRPr="0081146C">
        <w:t xml:space="preserve">section 41 of this Act or subsection 16(1) or (1A) of the repealed </w:t>
      </w:r>
      <w:r w:rsidR="007A2342" w:rsidRPr="0081146C">
        <w:rPr>
          <w:i/>
        </w:rPr>
        <w:t>Financial Transaction Reports Act 1988</w:t>
      </w:r>
      <w:r w:rsidR="007A2342" w:rsidRPr="0081146C">
        <w:t>;</w:t>
      </w:r>
    </w:p>
    <w:p w14:paraId="25D6AFEF" w14:textId="77777777" w:rsidR="007A2342" w:rsidRPr="0081146C" w:rsidRDefault="007A2342" w:rsidP="007A2342">
      <w:pPr>
        <w:pStyle w:val="paragraphsub"/>
      </w:pPr>
      <w:r w:rsidRPr="0081146C">
        <w:tab/>
        <w:t>(v)</w:t>
      </w:r>
      <w:r w:rsidRPr="0081146C">
        <w:tab/>
        <w:t xml:space="preserve">information given under subsection 16(4) of the repealed </w:t>
      </w:r>
      <w:r w:rsidRPr="0081146C">
        <w:rPr>
          <w:i/>
        </w:rPr>
        <w:t>Financial Transaction Reports Act 1988</w:t>
      </w:r>
      <w:r w:rsidRPr="0081146C">
        <w:t>; and</w:t>
      </w:r>
    </w:p>
    <w:p w14:paraId="3DCCE75F" w14:textId="77777777" w:rsidR="00035544" w:rsidRPr="0081146C" w:rsidRDefault="00035544" w:rsidP="00035544">
      <w:pPr>
        <w:pStyle w:val="paragraph"/>
      </w:pPr>
      <w:r w:rsidRPr="0081146C">
        <w:tab/>
        <w:t>(b)</w:t>
      </w:r>
      <w:r w:rsidRPr="0081146C">
        <w:tab/>
        <w:t>evidence is not admissible as to:</w:t>
      </w:r>
    </w:p>
    <w:p w14:paraId="78D4EC12" w14:textId="32D75AFB" w:rsidR="00035544" w:rsidRPr="0081146C" w:rsidRDefault="00035544" w:rsidP="00035544">
      <w:pPr>
        <w:pStyle w:val="paragraphsub"/>
      </w:pPr>
      <w:r w:rsidRPr="0081146C">
        <w:tab/>
        <w:t>(i)</w:t>
      </w:r>
      <w:r w:rsidRPr="0081146C">
        <w:tab/>
        <w:t>whether or not a report was prepared for the purposes of subsection</w:t>
      </w:r>
      <w:r w:rsidR="004F64A4" w:rsidRPr="0081146C">
        <w:t> </w:t>
      </w:r>
      <w:r w:rsidRPr="0081146C">
        <w:t>41(2)</w:t>
      </w:r>
      <w:r w:rsidR="007A2342" w:rsidRPr="0081146C">
        <w:t xml:space="preserve"> of this Act or subsection 16(1) or (1A) of the repealed </w:t>
      </w:r>
      <w:r w:rsidR="007A2342" w:rsidRPr="0081146C">
        <w:rPr>
          <w:i/>
        </w:rPr>
        <w:t>Financial Transaction Reports Act 1988</w:t>
      </w:r>
      <w:r w:rsidRPr="0081146C">
        <w:t>; or</w:t>
      </w:r>
    </w:p>
    <w:p w14:paraId="1B715E7C" w14:textId="0820497A" w:rsidR="00035544" w:rsidRPr="0081146C" w:rsidRDefault="00035544" w:rsidP="00035544">
      <w:pPr>
        <w:pStyle w:val="paragraphsub"/>
      </w:pPr>
      <w:r w:rsidRPr="0081146C">
        <w:tab/>
        <w:t>(ii)</w:t>
      </w:r>
      <w:r w:rsidRPr="0081146C">
        <w:tab/>
        <w:t>whether or not a report prepared for the purposes of subsection</w:t>
      </w:r>
      <w:r w:rsidR="004F64A4" w:rsidRPr="0081146C">
        <w:t> </w:t>
      </w:r>
      <w:r w:rsidRPr="0081146C">
        <w:t>41(2)</w:t>
      </w:r>
      <w:r w:rsidR="007A2342" w:rsidRPr="0081146C">
        <w:t xml:space="preserve"> of this Act or subsection 16(1) or (1A) of the repealed </w:t>
      </w:r>
      <w:r w:rsidR="007A2342" w:rsidRPr="0081146C">
        <w:rPr>
          <w:i/>
        </w:rPr>
        <w:t>Financial Transaction Reports Act 1988</w:t>
      </w:r>
      <w:r w:rsidRPr="0081146C">
        <w:t>, or a document purporting to set out information (including the formation or existence of a suspicion) contained in such a report, was given to, or received by, the AUSTRAC CEO; or</w:t>
      </w:r>
    </w:p>
    <w:p w14:paraId="67427CE8" w14:textId="3526DEEA" w:rsidR="00035544" w:rsidRPr="0081146C" w:rsidRDefault="00035544" w:rsidP="00035544">
      <w:pPr>
        <w:pStyle w:val="paragraphsub"/>
      </w:pPr>
      <w:r w:rsidRPr="0081146C">
        <w:tab/>
        <w:t>(iii)</w:t>
      </w:r>
      <w:r w:rsidRPr="0081146C">
        <w:tab/>
        <w:t>whether or not particular information (including the formation or existence of a suspicion) was contained in a report prepared for the purposes of subsection</w:t>
      </w:r>
      <w:r w:rsidR="004F64A4" w:rsidRPr="0081146C">
        <w:t> </w:t>
      </w:r>
      <w:r w:rsidRPr="0081146C">
        <w:t>41(2)</w:t>
      </w:r>
      <w:r w:rsidR="007A2342" w:rsidRPr="0081146C">
        <w:t xml:space="preserve"> of this Act or subsection 16(1) or (1A) of the repealed </w:t>
      </w:r>
      <w:r w:rsidR="007A2342" w:rsidRPr="0081146C">
        <w:rPr>
          <w:i/>
        </w:rPr>
        <w:t>Financial Transaction Reports Act 1988</w:t>
      </w:r>
      <w:r w:rsidRPr="0081146C">
        <w:t>; or</w:t>
      </w:r>
    </w:p>
    <w:p w14:paraId="7CBEC385" w14:textId="6976180E" w:rsidR="00035544" w:rsidRPr="0081146C" w:rsidRDefault="00035544" w:rsidP="00035544">
      <w:pPr>
        <w:pStyle w:val="paragraphsub"/>
      </w:pPr>
      <w:r w:rsidRPr="0081146C">
        <w:tab/>
        <w:t>(iv)</w:t>
      </w:r>
      <w:r w:rsidRPr="0081146C">
        <w:tab/>
        <w:t>whether or not particular information (including the formation or existence of a suspicion) was given under subsection</w:t>
      </w:r>
      <w:r w:rsidR="004F64A4" w:rsidRPr="0081146C">
        <w:t> </w:t>
      </w:r>
      <w:r w:rsidRPr="0081146C">
        <w:t>49(1)</w:t>
      </w:r>
      <w:r w:rsidR="00C20EB8" w:rsidRPr="0081146C">
        <w:t>, in so far as that subsection relates to a communication under section</w:t>
      </w:r>
      <w:r w:rsidR="004F64A4" w:rsidRPr="0081146C">
        <w:t> </w:t>
      </w:r>
      <w:r w:rsidR="00C20EB8" w:rsidRPr="0081146C">
        <w:t>41</w:t>
      </w:r>
      <w:r w:rsidR="007A2342" w:rsidRPr="0081146C">
        <w:t xml:space="preserve"> of this Act or subsection 16(1) or (1A) of the repealed </w:t>
      </w:r>
      <w:r w:rsidR="007A2342" w:rsidRPr="0081146C">
        <w:rPr>
          <w:i/>
        </w:rPr>
        <w:t>Financial Transaction Reports Act 1988</w:t>
      </w:r>
      <w:r w:rsidRPr="0081146C">
        <w:t>; or</w:t>
      </w:r>
    </w:p>
    <w:p w14:paraId="3D5FAD18" w14:textId="4A8A7556" w:rsidR="00035544" w:rsidRPr="0081146C" w:rsidRDefault="00035544" w:rsidP="00035544">
      <w:pPr>
        <w:pStyle w:val="paragraphsub"/>
      </w:pPr>
      <w:r w:rsidRPr="0081146C">
        <w:tab/>
        <w:t>(v)</w:t>
      </w:r>
      <w:r w:rsidRPr="0081146C">
        <w:tab/>
        <w:t>whether or not a particular document was produced under subsection</w:t>
      </w:r>
      <w:r w:rsidR="004F64A4" w:rsidRPr="0081146C">
        <w:t> </w:t>
      </w:r>
      <w:r w:rsidRPr="0081146C">
        <w:t>49(1)</w:t>
      </w:r>
      <w:r w:rsidR="00C20EB8" w:rsidRPr="0081146C">
        <w:t>, in so far as that subsection relates to a communication under section</w:t>
      </w:r>
      <w:r w:rsidR="004F64A4" w:rsidRPr="0081146C">
        <w:t> </w:t>
      </w:r>
      <w:r w:rsidR="00C20EB8" w:rsidRPr="0081146C">
        <w:t>41</w:t>
      </w:r>
      <w:r w:rsidR="007A2342" w:rsidRPr="0081146C">
        <w:t xml:space="preserve"> of this Act or subsection 16(1) or (1A) of the repealed </w:t>
      </w:r>
      <w:r w:rsidR="007A2342" w:rsidRPr="0081146C">
        <w:rPr>
          <w:i/>
        </w:rPr>
        <w:t>Financial Transaction Reports Act 1988</w:t>
      </w:r>
      <w:r w:rsidRPr="0081146C">
        <w:t>.</w:t>
      </w:r>
    </w:p>
    <w:p w14:paraId="1A803B3A" w14:textId="77777777" w:rsidR="00035544" w:rsidRPr="0081146C" w:rsidRDefault="00035544" w:rsidP="00035544">
      <w:pPr>
        <w:pStyle w:val="subsection"/>
      </w:pPr>
      <w:r w:rsidRPr="0081146C">
        <w:tab/>
        <w:t>(2)</w:t>
      </w:r>
      <w:r w:rsidRPr="0081146C">
        <w:tab/>
      </w:r>
      <w:r w:rsidR="004F64A4" w:rsidRPr="0081146C">
        <w:t>Subsection (</w:t>
      </w:r>
      <w:r w:rsidRPr="0081146C">
        <w:t>1) does not apply to the following proceedings:</w:t>
      </w:r>
    </w:p>
    <w:p w14:paraId="446CDAD0" w14:textId="3A5A2BBB" w:rsidR="00035544" w:rsidRPr="0081146C" w:rsidRDefault="00035544" w:rsidP="00035544">
      <w:pPr>
        <w:pStyle w:val="paragraph"/>
      </w:pPr>
      <w:r w:rsidRPr="0081146C">
        <w:tab/>
        <w:t>(a)</w:t>
      </w:r>
      <w:r w:rsidRPr="0081146C">
        <w:tab/>
        <w:t xml:space="preserve">criminal proceedings for an offence against </w:t>
      </w:r>
      <w:r w:rsidR="003B7E15" w:rsidRPr="0081146C">
        <w:t>section</w:t>
      </w:r>
      <w:r w:rsidR="001C5A6B" w:rsidRPr="0081146C">
        <w:t> 26R,</w:t>
      </w:r>
      <w:r w:rsidR="003B7E15" w:rsidRPr="0081146C">
        <w:t> 1</w:t>
      </w:r>
      <w:r w:rsidR="00400673" w:rsidRPr="0081146C">
        <w:t xml:space="preserve">21, 123, 126, 128, 129, 136, 137, 161 </w:t>
      </w:r>
      <w:r w:rsidR="001C5A6B" w:rsidRPr="0081146C">
        <w:t>or 162</w:t>
      </w:r>
      <w:r w:rsidR="00400673" w:rsidRPr="0081146C">
        <w:t xml:space="preserve"> of this Act</w:t>
      </w:r>
      <w:r w:rsidRPr="0081146C">
        <w:t>;</w:t>
      </w:r>
    </w:p>
    <w:p w14:paraId="1F1346FD" w14:textId="195EE45D" w:rsidR="00400673" w:rsidRPr="0081146C" w:rsidRDefault="00400673" w:rsidP="00400673">
      <w:pPr>
        <w:pStyle w:val="paragraph"/>
      </w:pPr>
      <w:r w:rsidRPr="0081146C">
        <w:tab/>
        <w:t>(b)</w:t>
      </w:r>
      <w:r w:rsidRPr="0081146C">
        <w:tab/>
        <w:t>criminal proceedings for an offence against section 29 or 30 of the</w:t>
      </w:r>
      <w:r w:rsidR="007A2342" w:rsidRPr="0081146C">
        <w:t xml:space="preserve"> repealed</w:t>
      </w:r>
      <w:r w:rsidRPr="0081146C">
        <w:t xml:space="preserve"> </w:t>
      </w:r>
      <w:r w:rsidRPr="0081146C">
        <w:rPr>
          <w:i/>
        </w:rPr>
        <w:t>Financial Transaction Reports Act 1988</w:t>
      </w:r>
      <w:r w:rsidRPr="0081146C">
        <w:t>;</w:t>
      </w:r>
    </w:p>
    <w:p w14:paraId="41972131" w14:textId="77777777" w:rsidR="00400673" w:rsidRPr="0081146C" w:rsidRDefault="00400673" w:rsidP="00400673">
      <w:pPr>
        <w:pStyle w:val="paragraph"/>
      </w:pPr>
      <w:r w:rsidRPr="0081146C">
        <w:tab/>
        <w:t>(c)</w:t>
      </w:r>
      <w:r w:rsidRPr="0081146C">
        <w:tab/>
        <w:t xml:space="preserve">proceedings under </w:t>
      </w:r>
      <w:r w:rsidR="003B7E15" w:rsidRPr="0081146C">
        <w:t>section 1</w:t>
      </w:r>
      <w:r w:rsidRPr="0081146C">
        <w:t>75 of this Act.</w:t>
      </w:r>
    </w:p>
    <w:p w14:paraId="5DE12100" w14:textId="77777777" w:rsidR="001E7DEE" w:rsidRPr="0081146C" w:rsidRDefault="00CA78AA" w:rsidP="00F24FC7">
      <w:pPr>
        <w:pStyle w:val="ActHead3"/>
        <w:pageBreakBefore/>
      </w:pPr>
      <w:bookmarkStart w:id="444" w:name="_Toc185415936"/>
      <w:bookmarkStart w:id="445" w:name="_Hlk75781908"/>
      <w:r w:rsidRPr="0081146C">
        <w:rPr>
          <w:rStyle w:val="CharDivNo"/>
        </w:rPr>
        <w:t>Division 4</w:t>
      </w:r>
      <w:r w:rsidR="001E7DEE" w:rsidRPr="0081146C">
        <w:t>—</w:t>
      </w:r>
      <w:r w:rsidR="001E7DEE" w:rsidRPr="0081146C">
        <w:rPr>
          <w:rStyle w:val="CharDivText"/>
        </w:rPr>
        <w:t>Access to AUSTRAC information by Commonwealth, State or Territory agencies</w:t>
      </w:r>
      <w:bookmarkEnd w:id="444"/>
    </w:p>
    <w:p w14:paraId="20BBF2CA" w14:textId="77777777" w:rsidR="001E7DEE" w:rsidRPr="0081146C" w:rsidRDefault="001E7DEE" w:rsidP="001E7DEE">
      <w:pPr>
        <w:pStyle w:val="ActHead5"/>
      </w:pPr>
      <w:bookmarkStart w:id="446" w:name="_Toc185415937"/>
      <w:r w:rsidRPr="0081146C">
        <w:rPr>
          <w:rStyle w:val="CharSectno"/>
        </w:rPr>
        <w:t>125</w:t>
      </w:r>
      <w:r w:rsidRPr="0081146C">
        <w:t xml:space="preserve">  Access to AUSTRAC information</w:t>
      </w:r>
      <w:bookmarkEnd w:id="446"/>
    </w:p>
    <w:p w14:paraId="655DF789" w14:textId="77777777" w:rsidR="001E7DEE" w:rsidRPr="0081146C" w:rsidRDefault="001E7DEE" w:rsidP="001E7DEE">
      <w:pPr>
        <w:pStyle w:val="subsection"/>
      </w:pPr>
      <w:r w:rsidRPr="0081146C">
        <w:tab/>
        <w:t>(1)</w:t>
      </w:r>
      <w:r w:rsidRPr="0081146C">
        <w:tab/>
        <w:t>The AUSTRAC CEO may, in writing, authorise specified officials of a specified Commonwealth, State or Territory agency to access specified AUSTRAC information for the purposes of performing the agency’s functions and duties and exercising the agency’s powers.</w:t>
      </w:r>
    </w:p>
    <w:p w14:paraId="60EE3FE6" w14:textId="77777777" w:rsidR="001E7DEE" w:rsidRPr="0081146C" w:rsidRDefault="001E7DEE" w:rsidP="001E7DEE">
      <w:pPr>
        <w:pStyle w:val="notetext"/>
      </w:pPr>
      <w:r w:rsidRPr="0081146C">
        <w:t>Note 1:</w:t>
      </w:r>
      <w:r w:rsidRPr="0081146C">
        <w:tab/>
        <w:t xml:space="preserve">For specification by class, see subsection 33(3AB) of the </w:t>
      </w:r>
      <w:r w:rsidRPr="0081146C">
        <w:rPr>
          <w:i/>
        </w:rPr>
        <w:t>Acts Interpretation Act 1901</w:t>
      </w:r>
      <w:r w:rsidRPr="0081146C">
        <w:t>.</w:t>
      </w:r>
    </w:p>
    <w:p w14:paraId="2F16416F" w14:textId="77777777" w:rsidR="001E7DEE" w:rsidRPr="0081146C" w:rsidRDefault="001E7DEE" w:rsidP="001E7DEE">
      <w:pPr>
        <w:pStyle w:val="notetext"/>
      </w:pPr>
      <w:r w:rsidRPr="0081146C">
        <w:t>Note 2:</w:t>
      </w:r>
      <w:r w:rsidRPr="0081146C">
        <w:tab/>
        <w:t xml:space="preserve">For variation and revocation, see subsection 33(3) of the </w:t>
      </w:r>
      <w:r w:rsidRPr="0081146C">
        <w:rPr>
          <w:i/>
        </w:rPr>
        <w:t>Acts Interpretation Act 1901</w:t>
      </w:r>
      <w:r w:rsidRPr="0081146C">
        <w:t>.</w:t>
      </w:r>
    </w:p>
    <w:p w14:paraId="03D901DD" w14:textId="77777777" w:rsidR="001E7DEE" w:rsidRPr="0081146C" w:rsidRDefault="001E7DEE" w:rsidP="001E7DEE">
      <w:pPr>
        <w:pStyle w:val="subsection"/>
      </w:pPr>
      <w:r w:rsidRPr="0081146C">
        <w:tab/>
        <w:t>(2)</w:t>
      </w:r>
      <w:r w:rsidRPr="0081146C">
        <w:tab/>
        <w:t>However, the AUSTRAC CEO may give an authorisation under subsection (1) in relation to an agency, authority, body or organisation of a State or Territory only if its head (however described) has given a written undertaking to the AUSTRAC CEO that it and its officials will comply with the Australian Privacy Principles in respect of AUSTRAC information obtained under sub</w:t>
      </w:r>
      <w:r w:rsidR="003B7E15" w:rsidRPr="0081146C">
        <w:t>section 1</w:t>
      </w:r>
      <w:r w:rsidRPr="0081146C">
        <w:t>21(2) or (3), this section or sub</w:t>
      </w:r>
      <w:r w:rsidR="003B7E15" w:rsidRPr="0081146C">
        <w:t>section 1</w:t>
      </w:r>
      <w:r w:rsidRPr="0081146C">
        <w:t>26(2).</w:t>
      </w:r>
    </w:p>
    <w:p w14:paraId="37293A27" w14:textId="77777777" w:rsidR="001E7DEE" w:rsidRPr="0081146C" w:rsidRDefault="001E7DEE" w:rsidP="001E7DEE">
      <w:pPr>
        <w:pStyle w:val="SubsectionHead"/>
      </w:pPr>
      <w:r w:rsidRPr="0081146C">
        <w:t>Authorisation not a legislative instrument</w:t>
      </w:r>
    </w:p>
    <w:p w14:paraId="43A8ACDB" w14:textId="77777777" w:rsidR="001E7DEE" w:rsidRPr="0081146C" w:rsidRDefault="001E7DEE" w:rsidP="001E7DEE">
      <w:pPr>
        <w:pStyle w:val="subsection"/>
      </w:pPr>
      <w:r w:rsidRPr="0081146C">
        <w:tab/>
        <w:t>(3)</w:t>
      </w:r>
      <w:r w:rsidRPr="0081146C">
        <w:tab/>
        <w:t>An authorisation under subsection (1) is not a legislative instrument.</w:t>
      </w:r>
    </w:p>
    <w:p w14:paraId="38FC1A5C" w14:textId="77777777" w:rsidR="001E7DEE" w:rsidRPr="0081146C" w:rsidRDefault="001E7DEE" w:rsidP="001E7DEE">
      <w:pPr>
        <w:pStyle w:val="ActHead5"/>
      </w:pPr>
      <w:bookmarkStart w:id="447" w:name="_Toc185415938"/>
      <w:r w:rsidRPr="0081146C">
        <w:rPr>
          <w:rStyle w:val="CharSectno"/>
        </w:rPr>
        <w:t>126</w:t>
      </w:r>
      <w:r w:rsidRPr="0081146C">
        <w:t xml:space="preserve">  Dealings with AUSTRAC information</w:t>
      </w:r>
      <w:bookmarkEnd w:id="447"/>
    </w:p>
    <w:p w14:paraId="3A8C1C3B" w14:textId="77777777" w:rsidR="001E7DEE" w:rsidRPr="0081146C" w:rsidRDefault="001E7DEE" w:rsidP="001E7DEE">
      <w:pPr>
        <w:pStyle w:val="subsection"/>
      </w:pPr>
      <w:r w:rsidRPr="0081146C">
        <w:tab/>
        <w:t>(1)</w:t>
      </w:r>
      <w:r w:rsidRPr="0081146C">
        <w:tab/>
        <w:t>A person commits an offence if:</w:t>
      </w:r>
    </w:p>
    <w:p w14:paraId="2C23D0FC" w14:textId="77777777" w:rsidR="001E7DEE" w:rsidRPr="0081146C" w:rsidRDefault="001E7DEE" w:rsidP="001E7DEE">
      <w:pPr>
        <w:pStyle w:val="paragraph"/>
      </w:pPr>
      <w:r w:rsidRPr="0081146C">
        <w:tab/>
        <w:t>(a)</w:t>
      </w:r>
      <w:r w:rsidRPr="0081146C">
        <w:tab/>
        <w:t>the person is, or has been, an official of a Commonwealth, State or Territory agency; and</w:t>
      </w:r>
    </w:p>
    <w:p w14:paraId="75152D4F" w14:textId="77777777" w:rsidR="001E7DEE" w:rsidRPr="0081146C" w:rsidRDefault="001E7DEE" w:rsidP="001E7DEE">
      <w:pPr>
        <w:pStyle w:val="paragraph"/>
      </w:pPr>
      <w:r w:rsidRPr="0081146C">
        <w:tab/>
        <w:t>(b)</w:t>
      </w:r>
      <w:r w:rsidRPr="0081146C">
        <w:tab/>
        <w:t>the person has obtained AUSTRAC information under sub</w:t>
      </w:r>
      <w:r w:rsidR="003B7E15" w:rsidRPr="0081146C">
        <w:t>section 1</w:t>
      </w:r>
      <w:r w:rsidRPr="0081146C">
        <w:t xml:space="preserve">21(2) or (3), </w:t>
      </w:r>
      <w:r w:rsidR="003B7E15" w:rsidRPr="0081146C">
        <w:t>section 1</w:t>
      </w:r>
      <w:r w:rsidRPr="0081146C">
        <w:t>25 or subsection (2) of this section; and</w:t>
      </w:r>
    </w:p>
    <w:p w14:paraId="487820C4" w14:textId="77777777" w:rsidR="001E7DEE" w:rsidRPr="0081146C" w:rsidRDefault="001E7DEE" w:rsidP="001E7DEE">
      <w:pPr>
        <w:pStyle w:val="paragraph"/>
      </w:pPr>
      <w:r w:rsidRPr="0081146C">
        <w:tab/>
        <w:t>(c)</w:t>
      </w:r>
      <w:r w:rsidRPr="0081146C">
        <w:tab/>
        <w:t>the person makes a record of, discloses or otherwise uses the information.</w:t>
      </w:r>
    </w:p>
    <w:p w14:paraId="438DDCCA" w14:textId="77777777" w:rsidR="001E7DEE" w:rsidRPr="0081146C" w:rsidRDefault="001E7DEE" w:rsidP="001E7DEE">
      <w:pPr>
        <w:pStyle w:val="Penalty"/>
      </w:pPr>
      <w:r w:rsidRPr="0081146C">
        <w:t>Penalty:</w:t>
      </w:r>
      <w:r w:rsidRPr="0081146C">
        <w:tab/>
        <w:t>Imprisonment for 2 years or 120 penalty units, or both.</w:t>
      </w:r>
    </w:p>
    <w:p w14:paraId="345C0634" w14:textId="77777777" w:rsidR="001E7DEE" w:rsidRPr="0081146C" w:rsidRDefault="001E7DEE" w:rsidP="001E7DEE">
      <w:pPr>
        <w:pStyle w:val="SubsectionHead"/>
      </w:pPr>
      <w:r w:rsidRPr="0081146C">
        <w:t>Exception—functions, duties or powers of officials etc.</w:t>
      </w:r>
    </w:p>
    <w:p w14:paraId="4966C40B" w14:textId="77777777" w:rsidR="001E7DEE" w:rsidRPr="0081146C" w:rsidRDefault="001E7DEE" w:rsidP="001E7DEE">
      <w:pPr>
        <w:pStyle w:val="subsection"/>
      </w:pPr>
      <w:r w:rsidRPr="0081146C">
        <w:tab/>
        <w:t>(2)</w:t>
      </w:r>
      <w:r w:rsidRPr="0081146C">
        <w:tab/>
        <w:t>Subsection (1) does not apply if:</w:t>
      </w:r>
    </w:p>
    <w:p w14:paraId="5132BF9E" w14:textId="77777777" w:rsidR="00483036" w:rsidRPr="0081146C" w:rsidRDefault="00483036" w:rsidP="00483036">
      <w:pPr>
        <w:pStyle w:val="paragraph"/>
      </w:pPr>
      <w:r w:rsidRPr="0081146C">
        <w:tab/>
        <w:t>(a)</w:t>
      </w:r>
      <w:r w:rsidRPr="0081146C">
        <w:tab/>
        <w:t>both of the following apply:</w:t>
      </w:r>
    </w:p>
    <w:p w14:paraId="22EDEEBC" w14:textId="77777777" w:rsidR="00483036" w:rsidRPr="0081146C" w:rsidRDefault="00483036" w:rsidP="00483036">
      <w:pPr>
        <w:pStyle w:val="paragraphsub"/>
      </w:pPr>
      <w:r w:rsidRPr="0081146C">
        <w:tab/>
        <w:t>(i)</w:t>
      </w:r>
      <w:r w:rsidRPr="0081146C">
        <w:tab/>
        <w:t>the making of the record, disclosure or use is for the purposes of, or in connection with, the performance or exercise of the person’s functions, duties or powers as an official of a Commonwealth, State or Territory agency;</w:t>
      </w:r>
    </w:p>
    <w:p w14:paraId="1CEC7013" w14:textId="77777777" w:rsidR="00483036" w:rsidRPr="0081146C" w:rsidRDefault="00483036" w:rsidP="00483036">
      <w:pPr>
        <w:pStyle w:val="paragraphsub"/>
      </w:pPr>
      <w:r w:rsidRPr="0081146C">
        <w:tab/>
        <w:t>(ii)</w:t>
      </w:r>
      <w:r w:rsidRPr="0081146C">
        <w:tab/>
        <w:t>the disclosure is not to the government of a foreign country or to a foreign agency; or</w:t>
      </w:r>
    </w:p>
    <w:p w14:paraId="53BFFE21" w14:textId="77777777" w:rsidR="001E7DEE" w:rsidRPr="0081146C" w:rsidRDefault="001E7DEE" w:rsidP="001E7DEE">
      <w:pPr>
        <w:pStyle w:val="paragraph"/>
      </w:pPr>
      <w:r w:rsidRPr="0081146C">
        <w:tab/>
        <w:t>(b)</w:t>
      </w:r>
      <w:r w:rsidRPr="0081146C">
        <w:tab/>
        <w:t>the disclosure is to another official of a Commonwealth, State or Territory agency for the purposes of, or in connection with, the performance or exercise of the other official’s functions, duties or powers in relation to the agency; or</w:t>
      </w:r>
    </w:p>
    <w:p w14:paraId="07850984" w14:textId="77777777" w:rsidR="001E7DEE" w:rsidRPr="0081146C" w:rsidRDefault="001E7DEE" w:rsidP="001E7DEE">
      <w:pPr>
        <w:pStyle w:val="paragraph"/>
      </w:pPr>
      <w:r w:rsidRPr="0081146C">
        <w:tab/>
        <w:t>(c)</w:t>
      </w:r>
      <w:r w:rsidRPr="0081146C">
        <w:tab/>
        <w:t>the disclosure is to a Minister of the Commonwealth or of a State or Territory for the purposes of, or in connection with, the performance of that Minister’s responsibilities; or</w:t>
      </w:r>
    </w:p>
    <w:p w14:paraId="15CAB20C" w14:textId="77777777" w:rsidR="001E7DEE" w:rsidRPr="0081146C" w:rsidRDefault="001E7DEE" w:rsidP="001E7DEE">
      <w:pPr>
        <w:pStyle w:val="paragraph"/>
      </w:pPr>
      <w:r w:rsidRPr="0081146C">
        <w:tab/>
        <w:t>(d)</w:t>
      </w:r>
      <w:r w:rsidRPr="0081146C">
        <w:tab/>
        <w:t xml:space="preserve">the disclosure is in accordance with </w:t>
      </w:r>
      <w:r w:rsidR="003B7E15" w:rsidRPr="0081146C">
        <w:t>section 1</w:t>
      </w:r>
      <w:r w:rsidRPr="0081146C">
        <w:t>27.</w:t>
      </w:r>
    </w:p>
    <w:p w14:paraId="1C1D2677" w14:textId="77777777" w:rsidR="001E7DEE" w:rsidRPr="0081146C" w:rsidRDefault="001E7DEE" w:rsidP="001E7DEE">
      <w:pPr>
        <w:pStyle w:val="notetext"/>
      </w:pPr>
      <w:r w:rsidRPr="0081146C">
        <w:t>Note:</w:t>
      </w:r>
      <w:r w:rsidRPr="0081146C">
        <w:tab/>
        <w:t>A defendant bears an evidential burden in relation to a matter in subsection (2) (see sub</w:t>
      </w:r>
      <w:r w:rsidR="003B7E15" w:rsidRPr="0081146C">
        <w:t>section 1</w:t>
      </w:r>
      <w:r w:rsidRPr="0081146C">
        <w:t xml:space="preserve">3.3(3) of the </w:t>
      </w:r>
      <w:r w:rsidRPr="0081146C">
        <w:rPr>
          <w:i/>
        </w:rPr>
        <w:t>Criminal Code</w:t>
      </w:r>
      <w:r w:rsidRPr="0081146C">
        <w:t>).</w:t>
      </w:r>
    </w:p>
    <w:p w14:paraId="25596E3C" w14:textId="77777777" w:rsidR="001E7DEE" w:rsidRPr="0081146C" w:rsidRDefault="001E7DEE" w:rsidP="001E7DEE">
      <w:pPr>
        <w:pStyle w:val="SubsectionHead"/>
      </w:pPr>
      <w:r w:rsidRPr="0081146C">
        <w:t>Exception—court or tribunal proceedings etc.</w:t>
      </w:r>
    </w:p>
    <w:p w14:paraId="72E6C6D1" w14:textId="77777777" w:rsidR="001E7DEE" w:rsidRPr="0081146C" w:rsidRDefault="001E7DEE" w:rsidP="001E7DEE">
      <w:pPr>
        <w:pStyle w:val="subsection"/>
      </w:pPr>
      <w:r w:rsidRPr="0081146C">
        <w:tab/>
        <w:t>(3)</w:t>
      </w:r>
      <w:r w:rsidRPr="0081146C">
        <w:tab/>
      </w:r>
      <w:r w:rsidR="00941034" w:rsidRPr="0081146C">
        <w:t>Subject to subsection (3A), subsection (1)</w:t>
      </w:r>
      <w:r w:rsidRPr="0081146C">
        <w:t xml:space="preserve"> does not apply if the disclosure is to a person for the purposes of or in connection with:</w:t>
      </w:r>
    </w:p>
    <w:p w14:paraId="1A6623A8" w14:textId="77777777" w:rsidR="001E7DEE" w:rsidRPr="0081146C" w:rsidRDefault="001E7DEE" w:rsidP="001E7DEE">
      <w:pPr>
        <w:pStyle w:val="paragraph"/>
      </w:pPr>
      <w:r w:rsidRPr="0081146C">
        <w:tab/>
        <w:t>(a)</w:t>
      </w:r>
      <w:r w:rsidRPr="0081146C">
        <w:tab/>
        <w:t>court or tribunal proceedings; or</w:t>
      </w:r>
    </w:p>
    <w:p w14:paraId="5B72B4E1" w14:textId="77777777" w:rsidR="001E7DEE" w:rsidRPr="0081146C" w:rsidRDefault="001E7DEE" w:rsidP="001E7DEE">
      <w:pPr>
        <w:pStyle w:val="paragraph"/>
      </w:pPr>
      <w:r w:rsidRPr="0081146C">
        <w:tab/>
        <w:t>(b)</w:t>
      </w:r>
      <w:r w:rsidRPr="0081146C">
        <w:tab/>
        <w:t>proposed or possible court or tribunal proceedings; or</w:t>
      </w:r>
    </w:p>
    <w:p w14:paraId="5A91F534" w14:textId="77777777" w:rsidR="001E7DEE" w:rsidRPr="0081146C" w:rsidRDefault="001E7DEE" w:rsidP="001E7DEE">
      <w:pPr>
        <w:pStyle w:val="paragraph"/>
      </w:pPr>
      <w:r w:rsidRPr="0081146C">
        <w:tab/>
        <w:t>(c)</w:t>
      </w:r>
      <w:r w:rsidRPr="0081146C">
        <w:tab/>
        <w:t>obtaining legal advice.</w:t>
      </w:r>
    </w:p>
    <w:p w14:paraId="2C78A116" w14:textId="77777777" w:rsidR="001E7DEE" w:rsidRPr="0081146C" w:rsidRDefault="001E7DEE" w:rsidP="001E7DEE">
      <w:pPr>
        <w:pStyle w:val="notetext"/>
      </w:pPr>
      <w:r w:rsidRPr="0081146C">
        <w:t>Note:</w:t>
      </w:r>
      <w:r w:rsidRPr="0081146C">
        <w:tab/>
        <w:t>A defendant bears an evidential burden in relation to the matter in subsection (3) (see sub</w:t>
      </w:r>
      <w:r w:rsidR="003B7E15" w:rsidRPr="0081146C">
        <w:t>section 1</w:t>
      </w:r>
      <w:r w:rsidRPr="0081146C">
        <w:t xml:space="preserve">3.3(3) of the </w:t>
      </w:r>
      <w:r w:rsidRPr="0081146C">
        <w:rPr>
          <w:i/>
        </w:rPr>
        <w:t>Criminal Code</w:t>
      </w:r>
      <w:r w:rsidRPr="0081146C">
        <w:t>).</w:t>
      </w:r>
    </w:p>
    <w:p w14:paraId="2AC890A0" w14:textId="77777777" w:rsidR="005D71C3" w:rsidRPr="0081146C" w:rsidRDefault="005D71C3" w:rsidP="005D71C3">
      <w:pPr>
        <w:pStyle w:val="subsection"/>
      </w:pPr>
      <w:r w:rsidRPr="0081146C">
        <w:tab/>
        <w:t>(3A)</w:t>
      </w:r>
      <w:r w:rsidRPr="0081146C">
        <w:tab/>
        <w:t>Subsection (3) does not apply if the AUSTRAC information:</w:t>
      </w:r>
    </w:p>
    <w:p w14:paraId="6B611679" w14:textId="77777777" w:rsidR="005D71C3" w:rsidRPr="0081146C" w:rsidRDefault="005D71C3" w:rsidP="005D71C3">
      <w:pPr>
        <w:pStyle w:val="paragraph"/>
      </w:pPr>
      <w:r w:rsidRPr="0081146C">
        <w:tab/>
        <w:t>(a)</w:t>
      </w:r>
      <w:r w:rsidRPr="0081146C">
        <w:tab/>
        <w:t>was obtained under section 41 (reports of suspicious matters); or</w:t>
      </w:r>
    </w:p>
    <w:p w14:paraId="06A823AF" w14:textId="77777777" w:rsidR="005D71C3" w:rsidRPr="0081146C" w:rsidRDefault="005D71C3" w:rsidP="005D71C3">
      <w:pPr>
        <w:pStyle w:val="paragraph"/>
      </w:pPr>
      <w:r w:rsidRPr="0081146C">
        <w:tab/>
        <w:t>(b)</w:t>
      </w:r>
      <w:r w:rsidRPr="0081146C">
        <w:tab/>
        <w:t>was obtained under section 49 (further information to be given to the AUSTRAC CEO etc.), in so far as that section relates to a communication under section 41; or</w:t>
      </w:r>
    </w:p>
    <w:p w14:paraId="7B6DB0A2" w14:textId="6359A310" w:rsidR="005D71C3" w:rsidRPr="0081146C" w:rsidRDefault="005D71C3" w:rsidP="005D71C3">
      <w:pPr>
        <w:pStyle w:val="paragraph"/>
      </w:pPr>
      <w:r w:rsidRPr="0081146C">
        <w:tab/>
        <w:t>(c)</w:t>
      </w:r>
      <w:r w:rsidRPr="0081146C">
        <w:tab/>
        <w:t xml:space="preserve">was obtained under </w:t>
      </w:r>
      <w:r w:rsidR="003B7E15" w:rsidRPr="0081146C">
        <w:t>section 1</w:t>
      </w:r>
      <w:r w:rsidRPr="0081146C">
        <w:t>6 of the</w:t>
      </w:r>
      <w:r w:rsidR="007A2342" w:rsidRPr="0081146C">
        <w:t xml:space="preserve"> repealed</w:t>
      </w:r>
      <w:r w:rsidRPr="0081146C">
        <w:t> </w:t>
      </w:r>
      <w:r w:rsidRPr="0081146C">
        <w:rPr>
          <w:i/>
        </w:rPr>
        <w:t>Financial Transaction Reports Act 1988</w:t>
      </w:r>
      <w:r w:rsidRPr="0081146C">
        <w:t xml:space="preserve"> (reports of suspect transactions).</w:t>
      </w:r>
    </w:p>
    <w:p w14:paraId="3A1E42AB" w14:textId="77777777" w:rsidR="001E7DEE" w:rsidRPr="0081146C" w:rsidRDefault="001E7DEE" w:rsidP="001E7DEE">
      <w:pPr>
        <w:pStyle w:val="SubsectionHead"/>
      </w:pPr>
      <w:r w:rsidRPr="0081146C">
        <w:t>Secondary disclosure</w:t>
      </w:r>
    </w:p>
    <w:p w14:paraId="35F071DD" w14:textId="77777777" w:rsidR="001E7DEE" w:rsidRPr="0081146C" w:rsidRDefault="001E7DEE" w:rsidP="001E7DEE">
      <w:pPr>
        <w:pStyle w:val="subsection"/>
      </w:pPr>
      <w:r w:rsidRPr="0081146C">
        <w:tab/>
        <w:t>(4)</w:t>
      </w:r>
      <w:r w:rsidRPr="0081146C">
        <w:tab/>
        <w:t>A person commits an offence if:</w:t>
      </w:r>
    </w:p>
    <w:p w14:paraId="644CF9A9" w14:textId="77777777" w:rsidR="001E7DEE" w:rsidRPr="0081146C" w:rsidRDefault="001E7DEE" w:rsidP="001E7DEE">
      <w:pPr>
        <w:pStyle w:val="paragraph"/>
      </w:pPr>
      <w:r w:rsidRPr="0081146C">
        <w:tab/>
        <w:t>(a)</w:t>
      </w:r>
      <w:r w:rsidRPr="0081146C">
        <w:tab/>
        <w:t>AUSTRAC information is disclosed to the person under subsection (3); and</w:t>
      </w:r>
    </w:p>
    <w:p w14:paraId="7812A215" w14:textId="77777777" w:rsidR="001E7DEE" w:rsidRPr="0081146C" w:rsidRDefault="001E7DEE" w:rsidP="001E7DEE">
      <w:pPr>
        <w:pStyle w:val="paragraph"/>
      </w:pPr>
      <w:r w:rsidRPr="0081146C">
        <w:tab/>
        <w:t>(b)</w:t>
      </w:r>
      <w:r w:rsidRPr="0081146C">
        <w:tab/>
        <w:t>the person discloses the information to another person.</w:t>
      </w:r>
    </w:p>
    <w:p w14:paraId="7DE0E9B9" w14:textId="77777777" w:rsidR="001E7DEE" w:rsidRPr="0081146C" w:rsidRDefault="001E7DEE" w:rsidP="001E7DEE">
      <w:pPr>
        <w:pStyle w:val="Penalty"/>
      </w:pPr>
      <w:r w:rsidRPr="0081146C">
        <w:t>Penalty:</w:t>
      </w:r>
      <w:r w:rsidRPr="0081146C">
        <w:tab/>
        <w:t>Imprisonment for 2 years or 120 penalty units, or both.</w:t>
      </w:r>
    </w:p>
    <w:p w14:paraId="38736634" w14:textId="77777777" w:rsidR="001E7DEE" w:rsidRPr="0081146C" w:rsidRDefault="001E7DEE" w:rsidP="001E7DEE">
      <w:pPr>
        <w:pStyle w:val="subsection"/>
      </w:pPr>
      <w:r w:rsidRPr="0081146C">
        <w:tab/>
        <w:t>(5)</w:t>
      </w:r>
      <w:r w:rsidRPr="0081146C">
        <w:tab/>
        <w:t>Subsection (4) does not apply if:</w:t>
      </w:r>
    </w:p>
    <w:p w14:paraId="3E24A671" w14:textId="77777777" w:rsidR="001E7DEE" w:rsidRPr="0081146C" w:rsidRDefault="001E7DEE" w:rsidP="001E7DEE">
      <w:pPr>
        <w:pStyle w:val="paragraph"/>
      </w:pPr>
      <w:r w:rsidRPr="0081146C">
        <w:tab/>
        <w:t>(a)</w:t>
      </w:r>
      <w:r w:rsidRPr="0081146C">
        <w:tab/>
        <w:t>the disclosure is for the purposes of or in connection with:</w:t>
      </w:r>
    </w:p>
    <w:p w14:paraId="1F1216D1" w14:textId="77777777" w:rsidR="001E7DEE" w:rsidRPr="0081146C" w:rsidRDefault="001E7DEE" w:rsidP="001E7DEE">
      <w:pPr>
        <w:pStyle w:val="paragraphsub"/>
      </w:pPr>
      <w:r w:rsidRPr="0081146C">
        <w:tab/>
        <w:t>(i)</w:t>
      </w:r>
      <w:r w:rsidRPr="0081146C">
        <w:tab/>
        <w:t>the court or tribunal proceedings; or</w:t>
      </w:r>
    </w:p>
    <w:p w14:paraId="14021AA2" w14:textId="77777777" w:rsidR="001E7DEE" w:rsidRPr="0081146C" w:rsidRDefault="001E7DEE" w:rsidP="001E7DEE">
      <w:pPr>
        <w:pStyle w:val="paragraphsub"/>
      </w:pPr>
      <w:r w:rsidRPr="0081146C">
        <w:tab/>
        <w:t>(ii)</w:t>
      </w:r>
      <w:r w:rsidRPr="0081146C">
        <w:tab/>
        <w:t>the proposed or possible court or tribunal proceedings; or</w:t>
      </w:r>
    </w:p>
    <w:p w14:paraId="2FC47000" w14:textId="77777777" w:rsidR="001E7DEE" w:rsidRPr="0081146C" w:rsidRDefault="001E7DEE" w:rsidP="001E7DEE">
      <w:pPr>
        <w:pStyle w:val="paragraphsub"/>
      </w:pPr>
      <w:r w:rsidRPr="0081146C">
        <w:tab/>
        <w:t>(iii)</w:t>
      </w:r>
      <w:r w:rsidRPr="0081146C">
        <w:tab/>
        <w:t>obtaining or giving the legal advice; or</w:t>
      </w:r>
    </w:p>
    <w:p w14:paraId="1E097DDA" w14:textId="77777777" w:rsidR="001E7DEE" w:rsidRPr="0081146C" w:rsidRDefault="001E7DEE" w:rsidP="001E7DEE">
      <w:pPr>
        <w:pStyle w:val="paragraph"/>
      </w:pPr>
      <w:r w:rsidRPr="0081146C">
        <w:tab/>
        <w:t>(b)</w:t>
      </w:r>
      <w:r w:rsidRPr="0081146C">
        <w:tab/>
        <w:t>the disclosure is permitted by this Division.</w:t>
      </w:r>
    </w:p>
    <w:p w14:paraId="6D2DE378" w14:textId="77777777" w:rsidR="001E7DEE" w:rsidRPr="0081146C" w:rsidRDefault="001E7DEE" w:rsidP="001E7DEE">
      <w:pPr>
        <w:pStyle w:val="notetext"/>
      </w:pPr>
      <w:r w:rsidRPr="0081146C">
        <w:t>Note:</w:t>
      </w:r>
      <w:r w:rsidRPr="0081146C">
        <w:tab/>
        <w:t>A defendant bears an evidential burden in relation to the matter in subsection (5) (see sub</w:t>
      </w:r>
      <w:r w:rsidR="003B7E15" w:rsidRPr="0081146C">
        <w:t>section 1</w:t>
      </w:r>
      <w:r w:rsidRPr="0081146C">
        <w:t xml:space="preserve">3.3(3) of the </w:t>
      </w:r>
      <w:r w:rsidRPr="0081146C">
        <w:rPr>
          <w:i/>
        </w:rPr>
        <w:t>Criminal Code</w:t>
      </w:r>
      <w:r w:rsidRPr="0081146C">
        <w:t>).</w:t>
      </w:r>
    </w:p>
    <w:p w14:paraId="147C532E" w14:textId="77777777" w:rsidR="001E7DEE" w:rsidRPr="0081146C" w:rsidRDefault="00CA78AA" w:rsidP="005A43B9">
      <w:pPr>
        <w:pStyle w:val="ActHead3"/>
        <w:pageBreakBefore/>
      </w:pPr>
      <w:bookmarkStart w:id="448" w:name="_Toc185415939"/>
      <w:r w:rsidRPr="0081146C">
        <w:rPr>
          <w:rStyle w:val="CharDivNo"/>
        </w:rPr>
        <w:t>Division 5</w:t>
      </w:r>
      <w:r w:rsidR="001E7DEE" w:rsidRPr="0081146C">
        <w:t>—</w:t>
      </w:r>
      <w:r w:rsidR="001E7DEE" w:rsidRPr="0081146C">
        <w:rPr>
          <w:rStyle w:val="CharDivText"/>
        </w:rPr>
        <w:t>Disclosure of AUSTRAC information to foreign countries or agencies</w:t>
      </w:r>
      <w:bookmarkEnd w:id="448"/>
    </w:p>
    <w:p w14:paraId="008FC470" w14:textId="77777777" w:rsidR="001E7DEE" w:rsidRPr="0081146C" w:rsidRDefault="001E7DEE" w:rsidP="001E7DEE">
      <w:pPr>
        <w:pStyle w:val="ActHead5"/>
      </w:pPr>
      <w:bookmarkStart w:id="449" w:name="_Toc185415940"/>
      <w:r w:rsidRPr="0081146C">
        <w:rPr>
          <w:rStyle w:val="CharSectno"/>
        </w:rPr>
        <w:t>127</w:t>
      </w:r>
      <w:r w:rsidRPr="0081146C">
        <w:t xml:space="preserve">  Disclosure of AUSTRAC information to foreign countries or agencies</w:t>
      </w:r>
      <w:bookmarkEnd w:id="449"/>
    </w:p>
    <w:p w14:paraId="266F9D0F" w14:textId="77777777" w:rsidR="001E7DEE" w:rsidRPr="0081146C" w:rsidRDefault="001E7DEE" w:rsidP="001E7DEE">
      <w:pPr>
        <w:pStyle w:val="SubsectionHead"/>
      </w:pPr>
      <w:r w:rsidRPr="0081146C">
        <w:t>AUSTRAC CEO</w:t>
      </w:r>
    </w:p>
    <w:p w14:paraId="22E90DE9" w14:textId="77777777" w:rsidR="001E7DEE" w:rsidRPr="0081146C" w:rsidRDefault="001E7DEE" w:rsidP="001E7DEE">
      <w:pPr>
        <w:pStyle w:val="subsection"/>
      </w:pPr>
      <w:r w:rsidRPr="0081146C">
        <w:tab/>
        <w:t>(1)</w:t>
      </w:r>
      <w:r w:rsidRPr="0081146C">
        <w:tab/>
        <w:t>The AUSTRAC CEO may disclose AUSTRAC information to the government of a foreign country, or to a foreign agency, if the AUSTRAC CEO is satisfied that:</w:t>
      </w:r>
    </w:p>
    <w:p w14:paraId="61C7713B" w14:textId="77777777" w:rsidR="001E7DEE" w:rsidRPr="0081146C" w:rsidRDefault="001E7DEE" w:rsidP="001E7DEE">
      <w:pPr>
        <w:pStyle w:val="paragraph"/>
      </w:pPr>
      <w:r w:rsidRPr="0081146C">
        <w:tab/>
        <w:t>(a)</w:t>
      </w:r>
      <w:r w:rsidRPr="0081146C">
        <w:tab/>
        <w:t>where the AUSTRAC CEO considers it appropriate, the government of the foreign country, or the foreign agency, has given an undertaking for:</w:t>
      </w:r>
    </w:p>
    <w:p w14:paraId="3B4FD4DD" w14:textId="77777777" w:rsidR="001E7DEE" w:rsidRPr="0081146C" w:rsidRDefault="001E7DEE" w:rsidP="001E7DEE">
      <w:pPr>
        <w:pStyle w:val="paragraphsub"/>
      </w:pPr>
      <w:r w:rsidRPr="0081146C">
        <w:tab/>
        <w:t>(i)</w:t>
      </w:r>
      <w:r w:rsidRPr="0081146C">
        <w:tab/>
        <w:t>protecting the confidentiality of the information; and</w:t>
      </w:r>
    </w:p>
    <w:p w14:paraId="00A5FE27" w14:textId="77777777" w:rsidR="001E7DEE" w:rsidRPr="0081146C" w:rsidRDefault="001E7DEE" w:rsidP="001E7DEE">
      <w:pPr>
        <w:pStyle w:val="paragraphsub"/>
      </w:pPr>
      <w:r w:rsidRPr="0081146C">
        <w:tab/>
        <w:t>(ii)</w:t>
      </w:r>
      <w:r w:rsidRPr="0081146C">
        <w:tab/>
        <w:t>controlling the use that will be made of the information; and</w:t>
      </w:r>
    </w:p>
    <w:p w14:paraId="7B13C5CD" w14:textId="77777777" w:rsidR="001E7DEE" w:rsidRPr="0081146C" w:rsidRDefault="001E7DEE" w:rsidP="001E7DEE">
      <w:pPr>
        <w:pStyle w:val="paragraphsub"/>
        <w:rPr>
          <w:snapToGrid w:val="0"/>
          <w:lang w:eastAsia="en-US"/>
        </w:rPr>
      </w:pPr>
      <w:r w:rsidRPr="0081146C">
        <w:rPr>
          <w:snapToGrid w:val="0"/>
          <w:lang w:eastAsia="en-US"/>
        </w:rPr>
        <w:tab/>
        <w:t>(iii)</w:t>
      </w:r>
      <w:r w:rsidRPr="0081146C">
        <w:rPr>
          <w:snapToGrid w:val="0"/>
          <w:lang w:eastAsia="en-US"/>
        </w:rPr>
        <w:tab/>
        <w:t xml:space="preserve">ensuring that the information will be used only for the purpose for which it is disclosed to the </w:t>
      </w:r>
      <w:r w:rsidRPr="0081146C">
        <w:t xml:space="preserve">government of the </w:t>
      </w:r>
      <w:r w:rsidRPr="0081146C">
        <w:rPr>
          <w:snapToGrid w:val="0"/>
          <w:lang w:eastAsia="en-US"/>
        </w:rPr>
        <w:t>foreign country or to the foreign agency; and</w:t>
      </w:r>
    </w:p>
    <w:p w14:paraId="40984D0C" w14:textId="77777777" w:rsidR="001E7DEE" w:rsidRPr="0081146C" w:rsidRDefault="001E7DEE" w:rsidP="001E7DEE">
      <w:pPr>
        <w:pStyle w:val="paragraph"/>
      </w:pPr>
      <w:r w:rsidRPr="0081146C">
        <w:tab/>
        <w:t>(b)</w:t>
      </w:r>
      <w:r w:rsidRPr="0081146C">
        <w:tab/>
        <w:t>it is appropriate, in all the circumstances of the case, to do so.</w:t>
      </w:r>
    </w:p>
    <w:p w14:paraId="2DD0A93D" w14:textId="77777777" w:rsidR="001E7DEE" w:rsidRPr="0081146C" w:rsidRDefault="001E7DEE" w:rsidP="001E7DEE">
      <w:pPr>
        <w:pStyle w:val="SubsectionHead"/>
      </w:pPr>
      <w:r w:rsidRPr="0081146C">
        <w:t>Commonwealth, State or Territory agencies</w:t>
      </w:r>
    </w:p>
    <w:p w14:paraId="38F967DF" w14:textId="77777777" w:rsidR="001E7DEE" w:rsidRPr="0081146C" w:rsidRDefault="001E7DEE" w:rsidP="001E7DEE">
      <w:pPr>
        <w:pStyle w:val="subsection"/>
      </w:pPr>
      <w:r w:rsidRPr="0081146C">
        <w:tab/>
        <w:t>(2)</w:t>
      </w:r>
      <w:r w:rsidRPr="0081146C">
        <w:tab/>
        <w:t>A person who is:</w:t>
      </w:r>
    </w:p>
    <w:p w14:paraId="5312A044" w14:textId="38F9277A" w:rsidR="001E7DEE" w:rsidRPr="0081146C" w:rsidRDefault="001E7DEE" w:rsidP="001E7DEE">
      <w:pPr>
        <w:pStyle w:val="paragraph"/>
      </w:pPr>
      <w:r w:rsidRPr="0081146C">
        <w:tab/>
        <w:t>(a)</w:t>
      </w:r>
      <w:r w:rsidRPr="0081146C">
        <w:tab/>
        <w:t xml:space="preserve">the head (however described) of a Commonwealth, State or Territory agency </w:t>
      </w:r>
      <w:r w:rsidR="00483036" w:rsidRPr="0081146C">
        <w:t>prescribed by the AML/CTF Rules</w:t>
      </w:r>
      <w:r w:rsidRPr="0081146C">
        <w:t>; or</w:t>
      </w:r>
    </w:p>
    <w:p w14:paraId="0C9B2AC5" w14:textId="77777777" w:rsidR="001E7DEE" w:rsidRPr="0081146C" w:rsidRDefault="001E7DEE" w:rsidP="001E7DEE">
      <w:pPr>
        <w:pStyle w:val="paragraph"/>
      </w:pPr>
      <w:r w:rsidRPr="0081146C">
        <w:tab/>
        <w:t>(b)</w:t>
      </w:r>
      <w:r w:rsidRPr="0081146C">
        <w:tab/>
        <w:t>covered by an authorisation under subsection (4);</w:t>
      </w:r>
    </w:p>
    <w:p w14:paraId="37C487C8" w14:textId="77777777" w:rsidR="001E7DEE" w:rsidRPr="0081146C" w:rsidRDefault="001E7DEE" w:rsidP="001E7DEE">
      <w:pPr>
        <w:pStyle w:val="subsection2"/>
      </w:pPr>
      <w:r w:rsidRPr="0081146C">
        <w:t>may disclose AUSTRAC information to the government of a foreign country, or to a foreign agency, if the person is satisfied that:</w:t>
      </w:r>
    </w:p>
    <w:p w14:paraId="0999D0B0" w14:textId="77777777" w:rsidR="001E7DEE" w:rsidRPr="0081146C" w:rsidRDefault="001E7DEE" w:rsidP="001E7DEE">
      <w:pPr>
        <w:pStyle w:val="paragraph"/>
      </w:pPr>
      <w:r w:rsidRPr="0081146C">
        <w:tab/>
        <w:t>(c)</w:t>
      </w:r>
      <w:r w:rsidRPr="0081146C">
        <w:tab/>
        <w:t>the government of the foreign country, or the foreign agency, has given an undertaking for:</w:t>
      </w:r>
    </w:p>
    <w:p w14:paraId="6CE798EC" w14:textId="77777777" w:rsidR="001E7DEE" w:rsidRPr="0081146C" w:rsidRDefault="001E7DEE" w:rsidP="001E7DEE">
      <w:pPr>
        <w:pStyle w:val="paragraphsub"/>
      </w:pPr>
      <w:r w:rsidRPr="0081146C">
        <w:tab/>
        <w:t>(i)</w:t>
      </w:r>
      <w:r w:rsidRPr="0081146C">
        <w:tab/>
        <w:t>protecting the confidentiality of the information; and</w:t>
      </w:r>
    </w:p>
    <w:p w14:paraId="0BE27D4A" w14:textId="77777777" w:rsidR="001E7DEE" w:rsidRPr="0081146C" w:rsidRDefault="001E7DEE" w:rsidP="001E7DEE">
      <w:pPr>
        <w:pStyle w:val="paragraphsub"/>
      </w:pPr>
      <w:r w:rsidRPr="0081146C">
        <w:tab/>
        <w:t>(ii)</w:t>
      </w:r>
      <w:r w:rsidRPr="0081146C">
        <w:tab/>
        <w:t>controlling the use that will be made of the information; and</w:t>
      </w:r>
    </w:p>
    <w:p w14:paraId="0AED3490" w14:textId="77777777" w:rsidR="001E7DEE" w:rsidRPr="0081146C" w:rsidRDefault="001E7DEE" w:rsidP="001E7DEE">
      <w:pPr>
        <w:pStyle w:val="paragraphsub"/>
        <w:rPr>
          <w:snapToGrid w:val="0"/>
          <w:lang w:eastAsia="en-US"/>
        </w:rPr>
      </w:pPr>
      <w:r w:rsidRPr="0081146C">
        <w:rPr>
          <w:snapToGrid w:val="0"/>
          <w:lang w:eastAsia="en-US"/>
        </w:rPr>
        <w:tab/>
        <w:t>(iii)</w:t>
      </w:r>
      <w:r w:rsidRPr="0081146C">
        <w:rPr>
          <w:snapToGrid w:val="0"/>
          <w:lang w:eastAsia="en-US"/>
        </w:rPr>
        <w:tab/>
        <w:t xml:space="preserve">ensuring that the information will be used only for the purpose for which it is disclosed to the </w:t>
      </w:r>
      <w:r w:rsidRPr="0081146C">
        <w:t xml:space="preserve">government of the </w:t>
      </w:r>
      <w:r w:rsidRPr="0081146C">
        <w:rPr>
          <w:snapToGrid w:val="0"/>
          <w:lang w:eastAsia="en-US"/>
        </w:rPr>
        <w:t>foreign country or to the foreign agency; and</w:t>
      </w:r>
    </w:p>
    <w:p w14:paraId="49062006" w14:textId="77777777" w:rsidR="001E7DEE" w:rsidRPr="0081146C" w:rsidRDefault="001E7DEE" w:rsidP="001E7DEE">
      <w:pPr>
        <w:pStyle w:val="paragraph"/>
      </w:pPr>
      <w:r w:rsidRPr="0081146C">
        <w:tab/>
        <w:t>(d)</w:t>
      </w:r>
      <w:r w:rsidRPr="0081146C">
        <w:tab/>
        <w:t>it is appropriate, in all the circumstances of the case, to do so.</w:t>
      </w:r>
    </w:p>
    <w:p w14:paraId="215F8255" w14:textId="77777777" w:rsidR="001E7DEE" w:rsidRPr="0081146C" w:rsidRDefault="001E7DEE" w:rsidP="001E7DEE">
      <w:pPr>
        <w:pStyle w:val="SubsectionHead"/>
      </w:pPr>
      <w:r w:rsidRPr="0081146C">
        <w:t>Authorisations</w:t>
      </w:r>
    </w:p>
    <w:p w14:paraId="6817B165" w14:textId="5115EADF" w:rsidR="001E7DEE" w:rsidRPr="0081146C" w:rsidRDefault="001E7DEE" w:rsidP="001E7DEE">
      <w:pPr>
        <w:pStyle w:val="subsection"/>
      </w:pPr>
      <w:r w:rsidRPr="0081146C">
        <w:tab/>
        <w:t>(4)</w:t>
      </w:r>
      <w:r w:rsidRPr="0081146C">
        <w:tab/>
        <w:t xml:space="preserve">For the purposes of paragraph (2)(b), the head (however described) of a Commonwealth, State or Territory agency </w:t>
      </w:r>
      <w:r w:rsidR="00483036" w:rsidRPr="0081146C">
        <w:t>prescribed by the AML/CTF Rules for the purposes of paragraph 127(2)(a)</w:t>
      </w:r>
      <w:r w:rsidRPr="0081146C">
        <w:t xml:space="preserve"> may, in writing, authorise an official of the Commonwealth, State or Territory agency.</w:t>
      </w:r>
    </w:p>
    <w:p w14:paraId="6FFD6A92" w14:textId="77777777" w:rsidR="001E7DEE" w:rsidRPr="0081146C" w:rsidRDefault="001E7DEE" w:rsidP="001E7DEE">
      <w:pPr>
        <w:pStyle w:val="notetext"/>
      </w:pPr>
      <w:r w:rsidRPr="0081146C">
        <w:t>Note:</w:t>
      </w:r>
      <w:r w:rsidRPr="0081146C">
        <w:tab/>
        <w:t xml:space="preserve">For variation and revocation, see subsection 33(3) of the </w:t>
      </w:r>
      <w:r w:rsidRPr="0081146C">
        <w:rPr>
          <w:i/>
        </w:rPr>
        <w:t>Acts Interpretation Act 1901</w:t>
      </w:r>
      <w:r w:rsidRPr="0081146C">
        <w:t>.</w:t>
      </w:r>
    </w:p>
    <w:p w14:paraId="67EE5F0B" w14:textId="77777777" w:rsidR="001E7DEE" w:rsidRPr="0081146C" w:rsidRDefault="001E7DEE" w:rsidP="001E7DEE">
      <w:pPr>
        <w:pStyle w:val="subsection"/>
      </w:pPr>
      <w:r w:rsidRPr="0081146C">
        <w:tab/>
        <w:t>(5)</w:t>
      </w:r>
      <w:r w:rsidRPr="0081146C">
        <w:tab/>
        <w:t>An authorisation under subsection (4) is not a legislative instrument.</w:t>
      </w:r>
    </w:p>
    <w:p w14:paraId="3EC11A83" w14:textId="77777777" w:rsidR="001E7DEE" w:rsidRPr="0081146C" w:rsidRDefault="003A364D" w:rsidP="005A43B9">
      <w:pPr>
        <w:pStyle w:val="ActHead3"/>
        <w:pageBreakBefore/>
      </w:pPr>
      <w:bookmarkStart w:id="450" w:name="_Toc185415941"/>
      <w:r w:rsidRPr="0081146C">
        <w:rPr>
          <w:rStyle w:val="CharDivNo"/>
        </w:rPr>
        <w:t>Division 6</w:t>
      </w:r>
      <w:r w:rsidR="001E7DEE" w:rsidRPr="0081146C">
        <w:t>—</w:t>
      </w:r>
      <w:r w:rsidR="001E7DEE" w:rsidRPr="0081146C">
        <w:rPr>
          <w:rStyle w:val="CharDivText"/>
        </w:rPr>
        <w:t>Unauthorised accessing of or use or disclosure of AUSTRAC information</w:t>
      </w:r>
      <w:bookmarkEnd w:id="450"/>
    </w:p>
    <w:p w14:paraId="1122F48D" w14:textId="77777777" w:rsidR="001E7DEE" w:rsidRPr="0081146C" w:rsidRDefault="001E7DEE" w:rsidP="001E7DEE">
      <w:pPr>
        <w:pStyle w:val="ActHead5"/>
      </w:pPr>
      <w:bookmarkStart w:id="451" w:name="_Toc185415942"/>
      <w:r w:rsidRPr="0081146C">
        <w:rPr>
          <w:rStyle w:val="CharSectno"/>
        </w:rPr>
        <w:t>128</w:t>
      </w:r>
      <w:r w:rsidRPr="0081146C">
        <w:t xml:space="preserve">  Unauthorised accessing of AUSTRAC information</w:t>
      </w:r>
      <w:bookmarkEnd w:id="451"/>
    </w:p>
    <w:p w14:paraId="050C7A5A" w14:textId="77777777" w:rsidR="001E7DEE" w:rsidRPr="0081146C" w:rsidRDefault="001E7DEE" w:rsidP="001E7DEE">
      <w:pPr>
        <w:pStyle w:val="subsection"/>
      </w:pPr>
      <w:r w:rsidRPr="0081146C">
        <w:tab/>
      </w:r>
      <w:r w:rsidRPr="0081146C">
        <w:tab/>
        <w:t>A person commits an offence if:</w:t>
      </w:r>
    </w:p>
    <w:p w14:paraId="4ABE79DB" w14:textId="77777777" w:rsidR="001E7DEE" w:rsidRPr="0081146C" w:rsidRDefault="001E7DEE" w:rsidP="001E7DEE">
      <w:pPr>
        <w:pStyle w:val="paragraph"/>
      </w:pPr>
      <w:r w:rsidRPr="0081146C">
        <w:tab/>
        <w:t>(a)</w:t>
      </w:r>
      <w:r w:rsidRPr="0081146C">
        <w:tab/>
        <w:t>the person accesses information; and</w:t>
      </w:r>
    </w:p>
    <w:p w14:paraId="08559204" w14:textId="77777777" w:rsidR="001E7DEE" w:rsidRPr="0081146C" w:rsidRDefault="001E7DEE" w:rsidP="001E7DEE">
      <w:pPr>
        <w:pStyle w:val="paragraph"/>
      </w:pPr>
      <w:r w:rsidRPr="0081146C">
        <w:tab/>
        <w:t>(b)</w:t>
      </w:r>
      <w:r w:rsidRPr="0081146C">
        <w:tab/>
        <w:t>the information is AUSTRAC information; and</w:t>
      </w:r>
    </w:p>
    <w:p w14:paraId="55CF538E" w14:textId="77777777" w:rsidR="001E7DEE" w:rsidRPr="0081146C" w:rsidRDefault="001E7DEE" w:rsidP="001E7DEE">
      <w:pPr>
        <w:pStyle w:val="paragraph"/>
      </w:pPr>
      <w:r w:rsidRPr="0081146C">
        <w:tab/>
        <w:t>(c)</w:t>
      </w:r>
      <w:r w:rsidRPr="0081146C">
        <w:tab/>
        <w:t>the access is not permitted by this Part.</w:t>
      </w:r>
    </w:p>
    <w:p w14:paraId="0DC55FF5" w14:textId="77777777" w:rsidR="001E7DEE" w:rsidRPr="0081146C" w:rsidRDefault="001E7DEE" w:rsidP="001E7DEE">
      <w:pPr>
        <w:pStyle w:val="Penalty"/>
      </w:pPr>
      <w:r w:rsidRPr="0081146C">
        <w:t>Penalty:</w:t>
      </w:r>
      <w:r w:rsidRPr="0081146C">
        <w:tab/>
        <w:t>Imprisonment for 2 years or 120 penalty units, or both.</w:t>
      </w:r>
    </w:p>
    <w:p w14:paraId="67FEE6A9" w14:textId="77777777" w:rsidR="001E7DEE" w:rsidRPr="0081146C" w:rsidRDefault="001E7DEE" w:rsidP="001E7DEE">
      <w:pPr>
        <w:pStyle w:val="ActHead5"/>
        <w:rPr>
          <w:b w:val="0"/>
        </w:rPr>
      </w:pPr>
      <w:bookmarkStart w:id="452" w:name="_Toc185415943"/>
      <w:r w:rsidRPr="0081146C">
        <w:rPr>
          <w:rStyle w:val="CharSectno"/>
        </w:rPr>
        <w:t>129</w:t>
      </w:r>
      <w:r w:rsidRPr="0081146C">
        <w:t xml:space="preserve">  Use or disclosure of AUSTRAC information disclosed in contravention of this Part</w:t>
      </w:r>
      <w:bookmarkEnd w:id="452"/>
    </w:p>
    <w:p w14:paraId="38E3C520" w14:textId="77777777" w:rsidR="001E7DEE" w:rsidRPr="0081146C" w:rsidRDefault="001E7DEE" w:rsidP="001E7DEE">
      <w:pPr>
        <w:pStyle w:val="subsection"/>
      </w:pPr>
      <w:r w:rsidRPr="0081146C">
        <w:tab/>
        <w:t>(1)</w:t>
      </w:r>
      <w:r w:rsidRPr="0081146C">
        <w:tab/>
        <w:t>A person commits an offence if:</w:t>
      </w:r>
    </w:p>
    <w:p w14:paraId="150E2D67" w14:textId="77777777" w:rsidR="001E7DEE" w:rsidRPr="0081146C" w:rsidRDefault="001E7DEE" w:rsidP="001E7DEE">
      <w:pPr>
        <w:pStyle w:val="paragraph"/>
      </w:pPr>
      <w:r w:rsidRPr="0081146C">
        <w:tab/>
        <w:t>(a)</w:t>
      </w:r>
      <w:r w:rsidRPr="0081146C">
        <w:tab/>
        <w:t>information is disclosed to the person; and</w:t>
      </w:r>
    </w:p>
    <w:p w14:paraId="5BF0748D" w14:textId="77777777" w:rsidR="001E7DEE" w:rsidRPr="0081146C" w:rsidRDefault="001E7DEE" w:rsidP="001E7DEE">
      <w:pPr>
        <w:pStyle w:val="paragraph"/>
      </w:pPr>
      <w:r w:rsidRPr="0081146C">
        <w:tab/>
        <w:t>(b)</w:t>
      </w:r>
      <w:r w:rsidRPr="0081146C">
        <w:tab/>
        <w:t>the information is AUSTRAC information; and</w:t>
      </w:r>
    </w:p>
    <w:p w14:paraId="32B41E8A" w14:textId="77777777" w:rsidR="001E7DEE" w:rsidRPr="0081146C" w:rsidRDefault="001E7DEE" w:rsidP="001E7DEE">
      <w:pPr>
        <w:pStyle w:val="paragraph"/>
      </w:pPr>
      <w:r w:rsidRPr="0081146C">
        <w:tab/>
        <w:t>(c)</w:t>
      </w:r>
      <w:r w:rsidRPr="0081146C">
        <w:tab/>
        <w:t>the disclosure to the person is in contravention of this Part; and</w:t>
      </w:r>
    </w:p>
    <w:p w14:paraId="43045B64" w14:textId="77777777" w:rsidR="001E7DEE" w:rsidRPr="0081146C" w:rsidRDefault="001E7DEE" w:rsidP="001E7DEE">
      <w:pPr>
        <w:pStyle w:val="paragraph"/>
      </w:pPr>
      <w:r w:rsidRPr="0081146C">
        <w:tab/>
        <w:t>(d)</w:t>
      </w:r>
      <w:r w:rsidRPr="0081146C">
        <w:tab/>
        <w:t>the person makes a record of, discloses or otherwise uses the information.</w:t>
      </w:r>
    </w:p>
    <w:p w14:paraId="1932DB34" w14:textId="77777777" w:rsidR="001E7DEE" w:rsidRPr="0081146C" w:rsidRDefault="001E7DEE" w:rsidP="001E7DEE">
      <w:pPr>
        <w:pStyle w:val="Penalty"/>
      </w:pPr>
      <w:r w:rsidRPr="0081146C">
        <w:t>Penalty:</w:t>
      </w:r>
      <w:r w:rsidRPr="0081146C">
        <w:tab/>
        <w:t>Imprisonment for 2 years or 120 penalty units, or both.</w:t>
      </w:r>
    </w:p>
    <w:p w14:paraId="4F10257E" w14:textId="77777777" w:rsidR="001E7DEE" w:rsidRPr="0081146C" w:rsidRDefault="001E7DEE" w:rsidP="001E7DEE">
      <w:pPr>
        <w:pStyle w:val="SubsectionHead"/>
      </w:pPr>
      <w:r w:rsidRPr="0081146C">
        <w:t>Exception</w:t>
      </w:r>
    </w:p>
    <w:p w14:paraId="397B372E" w14:textId="77777777" w:rsidR="001E7DEE" w:rsidRPr="0081146C" w:rsidRDefault="001E7DEE" w:rsidP="001E7DEE">
      <w:pPr>
        <w:pStyle w:val="subsection"/>
      </w:pPr>
      <w:r w:rsidRPr="0081146C">
        <w:tab/>
        <w:t>(2)</w:t>
      </w:r>
      <w:r w:rsidRPr="0081146C">
        <w:tab/>
        <w:t>Subsection (1) does not apply if the person discloses the information for the purposes of an appropriate authority investigating the disclosure mentioned in paragraph (1)(c).</w:t>
      </w:r>
    </w:p>
    <w:p w14:paraId="4700A279" w14:textId="77777777" w:rsidR="001E7DEE" w:rsidRPr="0081146C" w:rsidRDefault="001E7DEE" w:rsidP="001E7DEE">
      <w:pPr>
        <w:pStyle w:val="notetext"/>
      </w:pPr>
      <w:r w:rsidRPr="0081146C">
        <w:t>Note:</w:t>
      </w:r>
      <w:r w:rsidRPr="0081146C">
        <w:tab/>
        <w:t>A defendant bears an evidential burden in relation to a matter in subsection (2) (see sub</w:t>
      </w:r>
      <w:r w:rsidR="003B7E15" w:rsidRPr="0081146C">
        <w:t>section 1</w:t>
      </w:r>
      <w:r w:rsidRPr="0081146C">
        <w:t xml:space="preserve">3.3(3) of the </w:t>
      </w:r>
      <w:r w:rsidRPr="0081146C">
        <w:rPr>
          <w:i/>
        </w:rPr>
        <w:t>Criminal Code</w:t>
      </w:r>
      <w:r w:rsidRPr="0081146C">
        <w:t>).</w:t>
      </w:r>
    </w:p>
    <w:p w14:paraId="7E65CFB9" w14:textId="77777777" w:rsidR="00BA74EA" w:rsidRPr="0081146C" w:rsidRDefault="00CA78AA" w:rsidP="00F24FC7">
      <w:pPr>
        <w:pStyle w:val="ActHead3"/>
        <w:pageBreakBefore/>
      </w:pPr>
      <w:bookmarkStart w:id="453" w:name="_Toc185415944"/>
      <w:bookmarkEnd w:id="445"/>
      <w:r w:rsidRPr="0081146C">
        <w:rPr>
          <w:rStyle w:val="CharDivNo"/>
        </w:rPr>
        <w:t>Division 7</w:t>
      </w:r>
      <w:r w:rsidR="00BA74EA" w:rsidRPr="0081146C">
        <w:t>—</w:t>
      </w:r>
      <w:r w:rsidR="00BA74EA" w:rsidRPr="0081146C">
        <w:rPr>
          <w:rStyle w:val="CharDivText"/>
        </w:rPr>
        <w:t>Use of AUSTRAC information in court or tribunal proceedings</w:t>
      </w:r>
      <w:bookmarkEnd w:id="453"/>
    </w:p>
    <w:p w14:paraId="22DEEF42" w14:textId="77777777" w:rsidR="00BA74EA" w:rsidRPr="0081146C" w:rsidRDefault="00BA74EA" w:rsidP="00BA74EA">
      <w:pPr>
        <w:pStyle w:val="ActHead5"/>
      </w:pPr>
      <w:bookmarkStart w:id="454" w:name="_Toc185415945"/>
      <w:bookmarkStart w:id="455" w:name="_Hlk75781991"/>
      <w:r w:rsidRPr="0081146C">
        <w:rPr>
          <w:rStyle w:val="CharSectno"/>
        </w:rPr>
        <w:t>134</w:t>
      </w:r>
      <w:r w:rsidRPr="0081146C">
        <w:t xml:space="preserve">  Use of AUSTRAC information in court or tribunal proceedings</w:t>
      </w:r>
      <w:bookmarkEnd w:id="454"/>
    </w:p>
    <w:p w14:paraId="5D8D84FA" w14:textId="4F40380A" w:rsidR="00BA74EA" w:rsidRPr="0081146C" w:rsidRDefault="00BA74EA" w:rsidP="00BA74EA">
      <w:pPr>
        <w:pStyle w:val="subsection"/>
      </w:pPr>
      <w:r w:rsidRPr="0081146C">
        <w:tab/>
      </w:r>
      <w:r w:rsidRPr="0081146C">
        <w:tab/>
        <w:t xml:space="preserve">Except where it is necessary to do so for the purposes of giving effect to this Act or the </w:t>
      </w:r>
      <w:r w:rsidR="007A2342" w:rsidRPr="0081146C">
        <w:t>repealed</w:t>
      </w:r>
      <w:r w:rsidR="007A2342" w:rsidRPr="0081146C">
        <w:rPr>
          <w:i/>
        </w:rPr>
        <w:t xml:space="preserve"> </w:t>
      </w:r>
      <w:r w:rsidRPr="0081146C">
        <w:rPr>
          <w:i/>
        </w:rPr>
        <w:t>Financial Transaction Reports Act 1988</w:t>
      </w:r>
      <w:r w:rsidRPr="0081146C">
        <w:t>, a person is not to be required:</w:t>
      </w:r>
    </w:p>
    <w:p w14:paraId="19334809" w14:textId="77777777" w:rsidR="00BA74EA" w:rsidRPr="0081146C" w:rsidRDefault="00BA74EA" w:rsidP="00BA74EA">
      <w:pPr>
        <w:pStyle w:val="paragraph"/>
      </w:pPr>
      <w:r w:rsidRPr="0081146C">
        <w:tab/>
        <w:t>(a)</w:t>
      </w:r>
      <w:r w:rsidRPr="0081146C">
        <w:tab/>
        <w:t>to produce a document containing AUSTRAC information to a court or tribunal; or</w:t>
      </w:r>
    </w:p>
    <w:p w14:paraId="5F5F333F" w14:textId="77777777" w:rsidR="00BA74EA" w:rsidRPr="0081146C" w:rsidRDefault="00BA74EA" w:rsidP="00BA74EA">
      <w:pPr>
        <w:pStyle w:val="paragraph"/>
      </w:pPr>
      <w:r w:rsidRPr="0081146C">
        <w:tab/>
        <w:t>(b)</w:t>
      </w:r>
      <w:r w:rsidRPr="0081146C">
        <w:tab/>
        <w:t>to disclose AUSTRAC information to a court or tribunal.</w:t>
      </w:r>
    </w:p>
    <w:p w14:paraId="623DD7A5" w14:textId="77777777" w:rsidR="00035544" w:rsidRPr="0081146C" w:rsidRDefault="00CA78AA" w:rsidP="00AE2DA2">
      <w:pPr>
        <w:pStyle w:val="ActHead2"/>
        <w:pageBreakBefore/>
      </w:pPr>
      <w:bookmarkStart w:id="456" w:name="_Toc185415946"/>
      <w:bookmarkEnd w:id="455"/>
      <w:r w:rsidRPr="0081146C">
        <w:rPr>
          <w:rStyle w:val="CharPartNo"/>
        </w:rPr>
        <w:t>Part 1</w:t>
      </w:r>
      <w:r w:rsidR="00035544" w:rsidRPr="0081146C">
        <w:rPr>
          <w:rStyle w:val="CharPartNo"/>
        </w:rPr>
        <w:t>2</w:t>
      </w:r>
      <w:r w:rsidR="00035544" w:rsidRPr="0081146C">
        <w:t>—</w:t>
      </w:r>
      <w:r w:rsidR="00035544" w:rsidRPr="0081146C">
        <w:rPr>
          <w:rStyle w:val="CharPartText"/>
        </w:rPr>
        <w:t>Offences</w:t>
      </w:r>
      <w:bookmarkEnd w:id="456"/>
    </w:p>
    <w:p w14:paraId="7986B406" w14:textId="77777777" w:rsidR="00035544" w:rsidRPr="0081146C" w:rsidRDefault="00C72BA2" w:rsidP="00035544">
      <w:pPr>
        <w:pStyle w:val="Header"/>
      </w:pPr>
      <w:r w:rsidRPr="0081146C">
        <w:rPr>
          <w:rStyle w:val="CharDivNo"/>
        </w:rPr>
        <w:t xml:space="preserve"> </w:t>
      </w:r>
      <w:r w:rsidRPr="0081146C">
        <w:rPr>
          <w:rStyle w:val="CharDivText"/>
        </w:rPr>
        <w:t xml:space="preserve"> </w:t>
      </w:r>
    </w:p>
    <w:p w14:paraId="3FB53747" w14:textId="77777777" w:rsidR="00035544" w:rsidRPr="0081146C" w:rsidRDefault="00035544" w:rsidP="00035544">
      <w:pPr>
        <w:pStyle w:val="ActHead5"/>
      </w:pPr>
      <w:bookmarkStart w:id="457" w:name="_Toc185415947"/>
      <w:r w:rsidRPr="0081146C">
        <w:rPr>
          <w:rStyle w:val="CharSectno"/>
        </w:rPr>
        <w:t>135</w:t>
      </w:r>
      <w:r w:rsidRPr="0081146C">
        <w:t xml:space="preserve">  Simplified outline</w:t>
      </w:r>
      <w:bookmarkEnd w:id="457"/>
    </w:p>
    <w:p w14:paraId="26166441" w14:textId="77777777" w:rsidR="00035544" w:rsidRPr="0081146C" w:rsidRDefault="00035544" w:rsidP="00035544">
      <w:pPr>
        <w:pStyle w:val="subsection"/>
      </w:pPr>
      <w:r w:rsidRPr="0081146C">
        <w:tab/>
      </w:r>
      <w:r w:rsidRPr="0081146C">
        <w:tab/>
        <w:t>The following is a simplified outline of this Part:</w:t>
      </w:r>
    </w:p>
    <w:p w14:paraId="4410D3B3" w14:textId="77777777" w:rsidR="00035544" w:rsidRPr="0081146C" w:rsidRDefault="00035544" w:rsidP="00035544">
      <w:pPr>
        <w:pStyle w:val="BoxList"/>
      </w:pPr>
      <w:r w:rsidRPr="0081146C">
        <w:t>•</w:t>
      </w:r>
      <w:r w:rsidRPr="0081146C">
        <w:tab/>
        <w:t>It is an offence to:</w:t>
      </w:r>
    </w:p>
    <w:p w14:paraId="54965BCF" w14:textId="77777777" w:rsidR="00035544" w:rsidRPr="0081146C" w:rsidRDefault="00035544" w:rsidP="00035544">
      <w:pPr>
        <w:pStyle w:val="BoxPara"/>
      </w:pPr>
      <w:r w:rsidRPr="0081146C">
        <w:tab/>
        <w:t>(a)</w:t>
      </w:r>
      <w:r w:rsidRPr="0081146C">
        <w:tab/>
        <w:t>produce false or misleading information; or</w:t>
      </w:r>
    </w:p>
    <w:p w14:paraId="274CEF9D" w14:textId="77777777" w:rsidR="00035544" w:rsidRPr="0081146C" w:rsidRDefault="00035544" w:rsidP="00035544">
      <w:pPr>
        <w:pStyle w:val="BoxPara"/>
      </w:pPr>
      <w:r w:rsidRPr="0081146C">
        <w:tab/>
        <w:t>(b)</w:t>
      </w:r>
      <w:r w:rsidRPr="0081146C">
        <w:tab/>
        <w:t>produce a false or misleading document; or</w:t>
      </w:r>
    </w:p>
    <w:p w14:paraId="4D912497" w14:textId="4CB4BCBE" w:rsidR="00035544" w:rsidRPr="0081146C" w:rsidRDefault="00035544" w:rsidP="00035544">
      <w:pPr>
        <w:pStyle w:val="BoxPara"/>
      </w:pPr>
      <w:r w:rsidRPr="0081146C">
        <w:tab/>
        <w:t>(c)</w:t>
      </w:r>
      <w:r w:rsidRPr="0081146C">
        <w:tab/>
        <w:t xml:space="preserve">forge a document for use in </w:t>
      </w:r>
      <w:r w:rsidR="00B03636" w:rsidRPr="0081146C">
        <w:t>customer due diligence under Part 2</w:t>
      </w:r>
      <w:r w:rsidRPr="0081146C">
        <w:t>; or</w:t>
      </w:r>
    </w:p>
    <w:p w14:paraId="5435846E" w14:textId="77777777" w:rsidR="00035544" w:rsidRPr="0081146C" w:rsidRDefault="00035544" w:rsidP="00035544">
      <w:pPr>
        <w:pStyle w:val="BoxPara"/>
      </w:pPr>
      <w:r w:rsidRPr="0081146C">
        <w:tab/>
        <w:t>(d)</w:t>
      </w:r>
      <w:r w:rsidRPr="0081146C">
        <w:tab/>
        <w:t>provide or receive a designated service using a false customer name or customer anonymity; or</w:t>
      </w:r>
    </w:p>
    <w:p w14:paraId="2426460E" w14:textId="77777777" w:rsidR="00035544" w:rsidRPr="0081146C" w:rsidRDefault="00035544" w:rsidP="00035544">
      <w:pPr>
        <w:pStyle w:val="BoxPara"/>
      </w:pPr>
      <w:r w:rsidRPr="0081146C">
        <w:tab/>
        <w:t>(e)</w:t>
      </w:r>
      <w:r w:rsidRPr="0081146C">
        <w:tab/>
        <w:t>structure a transaction to avoid a reporting obligation under this Act.</w:t>
      </w:r>
    </w:p>
    <w:p w14:paraId="6B5A559C" w14:textId="77777777" w:rsidR="00035544" w:rsidRPr="0081146C" w:rsidRDefault="00035544" w:rsidP="00035544">
      <w:pPr>
        <w:pStyle w:val="ActHead5"/>
      </w:pPr>
      <w:bookmarkStart w:id="458" w:name="_Toc185415948"/>
      <w:r w:rsidRPr="0081146C">
        <w:rPr>
          <w:rStyle w:val="CharSectno"/>
        </w:rPr>
        <w:t>136</w:t>
      </w:r>
      <w:r w:rsidRPr="0081146C">
        <w:t xml:space="preserve">  False or misleading information</w:t>
      </w:r>
      <w:bookmarkEnd w:id="458"/>
    </w:p>
    <w:p w14:paraId="0393294D" w14:textId="77777777" w:rsidR="00035544" w:rsidRPr="0081146C" w:rsidRDefault="00035544" w:rsidP="00035544">
      <w:pPr>
        <w:pStyle w:val="subsection"/>
      </w:pPr>
      <w:r w:rsidRPr="0081146C">
        <w:tab/>
        <w:t>(1)</w:t>
      </w:r>
      <w:r w:rsidRPr="0081146C">
        <w:tab/>
        <w:t>A person commits an offence if:</w:t>
      </w:r>
    </w:p>
    <w:p w14:paraId="3FA42A8A" w14:textId="77777777" w:rsidR="00035544" w:rsidRPr="0081146C" w:rsidRDefault="00035544" w:rsidP="00035544">
      <w:pPr>
        <w:pStyle w:val="paragraph"/>
      </w:pPr>
      <w:r w:rsidRPr="0081146C">
        <w:tab/>
        <w:t>(a)</w:t>
      </w:r>
      <w:r w:rsidRPr="0081146C">
        <w:tab/>
        <w:t>the person gives information to:</w:t>
      </w:r>
    </w:p>
    <w:p w14:paraId="1800D97C" w14:textId="77777777" w:rsidR="00035544" w:rsidRPr="0081146C" w:rsidRDefault="00035544" w:rsidP="00035544">
      <w:pPr>
        <w:pStyle w:val="paragraphsub"/>
      </w:pPr>
      <w:r w:rsidRPr="0081146C">
        <w:tab/>
        <w:t>(i)</w:t>
      </w:r>
      <w:r w:rsidRPr="0081146C">
        <w:tab/>
        <w:t>the AUSTRAC CEO; or</w:t>
      </w:r>
    </w:p>
    <w:p w14:paraId="73A42C5B" w14:textId="77777777" w:rsidR="00035544" w:rsidRPr="0081146C" w:rsidRDefault="00035544" w:rsidP="00035544">
      <w:pPr>
        <w:pStyle w:val="paragraphsub"/>
      </w:pPr>
      <w:r w:rsidRPr="0081146C">
        <w:tab/>
        <w:t>(ii)</w:t>
      </w:r>
      <w:r w:rsidRPr="0081146C">
        <w:tab/>
        <w:t>an authorised officer; or</w:t>
      </w:r>
    </w:p>
    <w:p w14:paraId="7C4695BE" w14:textId="77777777" w:rsidR="00035544" w:rsidRPr="0081146C" w:rsidRDefault="00035544" w:rsidP="00035544">
      <w:pPr>
        <w:pStyle w:val="paragraphsub"/>
      </w:pPr>
      <w:r w:rsidRPr="0081146C">
        <w:tab/>
        <w:t>(iii)</w:t>
      </w:r>
      <w:r w:rsidRPr="0081146C">
        <w:tab/>
        <w:t>a customs officer; or</w:t>
      </w:r>
    </w:p>
    <w:p w14:paraId="3AEB8F70" w14:textId="77777777" w:rsidR="00035544" w:rsidRPr="0081146C" w:rsidRDefault="00035544" w:rsidP="00035544">
      <w:pPr>
        <w:pStyle w:val="paragraphsub"/>
      </w:pPr>
      <w:r w:rsidRPr="0081146C">
        <w:tab/>
        <w:t>(iv)</w:t>
      </w:r>
      <w:r w:rsidRPr="0081146C">
        <w:tab/>
        <w:t>a police officer; or</w:t>
      </w:r>
    </w:p>
    <w:p w14:paraId="79EA8770" w14:textId="77777777" w:rsidR="00035544" w:rsidRPr="0081146C" w:rsidRDefault="00035544" w:rsidP="00035544">
      <w:pPr>
        <w:pStyle w:val="paragraphsub"/>
      </w:pPr>
      <w:r w:rsidRPr="0081146C">
        <w:tab/>
        <w:t>(v)</w:t>
      </w:r>
      <w:r w:rsidRPr="0081146C">
        <w:tab/>
        <w:t>a reporting entity; or</w:t>
      </w:r>
    </w:p>
    <w:p w14:paraId="355AC607" w14:textId="77777777" w:rsidR="00035544" w:rsidRPr="0081146C" w:rsidRDefault="00035544" w:rsidP="00035544">
      <w:pPr>
        <w:pStyle w:val="paragraphsub"/>
      </w:pPr>
      <w:r w:rsidRPr="0081146C">
        <w:tab/>
        <w:t>(vi)</w:t>
      </w:r>
      <w:r w:rsidRPr="0081146C">
        <w:tab/>
        <w:t>a person acting on a reporting entity’s behalf; and</w:t>
      </w:r>
    </w:p>
    <w:p w14:paraId="766BDB92" w14:textId="77777777" w:rsidR="00035544" w:rsidRPr="0081146C" w:rsidRDefault="00035544" w:rsidP="00035544">
      <w:pPr>
        <w:pStyle w:val="paragraph"/>
      </w:pPr>
      <w:r w:rsidRPr="0081146C">
        <w:tab/>
        <w:t>(b)</w:t>
      </w:r>
      <w:r w:rsidRPr="0081146C">
        <w:tab/>
        <w:t>the person does so knowing that the information:</w:t>
      </w:r>
    </w:p>
    <w:p w14:paraId="22D378DC" w14:textId="77777777" w:rsidR="00035544" w:rsidRPr="0081146C" w:rsidRDefault="00035544" w:rsidP="00035544">
      <w:pPr>
        <w:pStyle w:val="paragraphsub"/>
      </w:pPr>
      <w:r w:rsidRPr="0081146C">
        <w:tab/>
        <w:t>(i)</w:t>
      </w:r>
      <w:r w:rsidRPr="0081146C">
        <w:tab/>
        <w:t>is false or misleading; or</w:t>
      </w:r>
    </w:p>
    <w:p w14:paraId="25D05D79" w14:textId="77777777" w:rsidR="00035544" w:rsidRPr="0081146C" w:rsidRDefault="00035544" w:rsidP="00035544">
      <w:pPr>
        <w:pStyle w:val="paragraphsub"/>
      </w:pPr>
      <w:r w:rsidRPr="0081146C">
        <w:tab/>
        <w:t>(ii)</w:t>
      </w:r>
      <w:r w:rsidRPr="0081146C">
        <w:tab/>
        <w:t>omits any matter or thing without which the information is misleading; and</w:t>
      </w:r>
    </w:p>
    <w:p w14:paraId="459EC4B9" w14:textId="77777777" w:rsidR="00FD797E" w:rsidRPr="0081146C" w:rsidRDefault="00FD797E" w:rsidP="00FD797E">
      <w:pPr>
        <w:pStyle w:val="paragraph"/>
      </w:pPr>
      <w:r w:rsidRPr="0081146C">
        <w:tab/>
        <w:t>(c)</w:t>
      </w:r>
      <w:r w:rsidRPr="0081146C">
        <w:tab/>
        <w:t>the information is given, or purportedly given, under:</w:t>
      </w:r>
    </w:p>
    <w:p w14:paraId="76EDB7E8" w14:textId="77777777" w:rsidR="00FD797E" w:rsidRPr="0081146C" w:rsidRDefault="00FD797E" w:rsidP="00FD797E">
      <w:pPr>
        <w:pStyle w:val="paragraphsub"/>
      </w:pPr>
      <w:r w:rsidRPr="0081146C">
        <w:tab/>
        <w:t>(i)</w:t>
      </w:r>
      <w:r w:rsidRPr="0081146C">
        <w:tab/>
        <w:t>this Act; or</w:t>
      </w:r>
    </w:p>
    <w:p w14:paraId="18B54328" w14:textId="77777777" w:rsidR="00FD797E" w:rsidRPr="0081146C" w:rsidRDefault="00FD797E" w:rsidP="00FD797E">
      <w:pPr>
        <w:pStyle w:val="paragraphsub"/>
      </w:pPr>
      <w:r w:rsidRPr="0081146C">
        <w:tab/>
        <w:t>(ii)</w:t>
      </w:r>
      <w:r w:rsidRPr="0081146C">
        <w:tab/>
        <w:t>a provision of the regulations or of the AML/CTF Rules, if the regulations or Rules (as applicable) state that this section applies to that provision.</w:t>
      </w:r>
    </w:p>
    <w:p w14:paraId="7CDE2361" w14:textId="77777777" w:rsidR="00035544" w:rsidRPr="0081146C" w:rsidRDefault="00035544" w:rsidP="00035544">
      <w:pPr>
        <w:pStyle w:val="Penalty"/>
      </w:pPr>
      <w:r w:rsidRPr="0081146C">
        <w:t>Penalty:</w:t>
      </w:r>
      <w:r w:rsidRPr="0081146C">
        <w:tab/>
        <w:t>Imprisonment for 10 years or 10,000 penalty units, or both.</w:t>
      </w:r>
    </w:p>
    <w:p w14:paraId="710035DF" w14:textId="77777777" w:rsidR="00035544" w:rsidRPr="0081146C" w:rsidRDefault="00035544" w:rsidP="00035544">
      <w:pPr>
        <w:pStyle w:val="subsection"/>
      </w:pPr>
      <w:r w:rsidRPr="0081146C">
        <w:tab/>
        <w:t>(2)</w:t>
      </w:r>
      <w:r w:rsidRPr="0081146C">
        <w:tab/>
      </w:r>
      <w:r w:rsidR="004F64A4" w:rsidRPr="0081146C">
        <w:t>Subsection (</w:t>
      </w:r>
      <w:r w:rsidRPr="0081146C">
        <w:t xml:space="preserve">1) does not apply as a result of </w:t>
      </w:r>
      <w:r w:rsidR="004F64A4" w:rsidRPr="0081146C">
        <w:t>subparagraph (</w:t>
      </w:r>
      <w:r w:rsidRPr="0081146C">
        <w:t>1)(b)(i) if the information is not false or misleading in a material particular.</w:t>
      </w:r>
    </w:p>
    <w:p w14:paraId="301FB31C"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2) (see sub</w:t>
      </w:r>
      <w:r w:rsidR="003B7E15" w:rsidRPr="0081146C">
        <w:t>section 1</w:t>
      </w:r>
      <w:r w:rsidRPr="0081146C">
        <w:t xml:space="preserve">3.3(3) of the </w:t>
      </w:r>
      <w:r w:rsidRPr="0081146C">
        <w:rPr>
          <w:i/>
        </w:rPr>
        <w:t>Criminal Code</w:t>
      </w:r>
      <w:r w:rsidRPr="0081146C">
        <w:t>).</w:t>
      </w:r>
    </w:p>
    <w:p w14:paraId="4B26FFD4" w14:textId="77777777" w:rsidR="00035544" w:rsidRPr="0081146C" w:rsidRDefault="00035544" w:rsidP="00035544">
      <w:pPr>
        <w:pStyle w:val="subsection"/>
      </w:pPr>
      <w:r w:rsidRPr="0081146C">
        <w:tab/>
        <w:t>(3)</w:t>
      </w:r>
      <w:r w:rsidRPr="0081146C">
        <w:tab/>
      </w:r>
      <w:r w:rsidR="004F64A4" w:rsidRPr="0081146C">
        <w:t>Subsection (</w:t>
      </w:r>
      <w:r w:rsidRPr="0081146C">
        <w:t xml:space="preserve">1) does not apply as a result of </w:t>
      </w:r>
      <w:r w:rsidR="004F64A4" w:rsidRPr="0081146C">
        <w:t>subparagraph (</w:t>
      </w:r>
      <w:r w:rsidRPr="0081146C">
        <w:t>1)(b)(ii) if the information did not omit any matter or thing without which the information is misleading in a material particular.</w:t>
      </w:r>
    </w:p>
    <w:p w14:paraId="32314CDF"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3) (see sub</w:t>
      </w:r>
      <w:r w:rsidR="003B7E15" w:rsidRPr="0081146C">
        <w:t>section 1</w:t>
      </w:r>
      <w:r w:rsidRPr="0081146C">
        <w:t xml:space="preserve">3.3(3) of the </w:t>
      </w:r>
      <w:r w:rsidRPr="0081146C">
        <w:rPr>
          <w:i/>
        </w:rPr>
        <w:t>Criminal Code</w:t>
      </w:r>
      <w:r w:rsidRPr="0081146C">
        <w:t>).</w:t>
      </w:r>
    </w:p>
    <w:p w14:paraId="285ECD39" w14:textId="77777777" w:rsidR="003930D9" w:rsidRPr="0081146C" w:rsidRDefault="003930D9" w:rsidP="003930D9">
      <w:pPr>
        <w:pStyle w:val="subsection"/>
      </w:pPr>
      <w:r w:rsidRPr="0081146C">
        <w:tab/>
        <w:t>(4)</w:t>
      </w:r>
      <w:r w:rsidRPr="0081146C">
        <w:tab/>
        <w:t xml:space="preserve">Strict liability applies to the </w:t>
      </w:r>
      <w:r w:rsidR="004F64A4" w:rsidRPr="0081146C">
        <w:t>paragraph (</w:t>
      </w:r>
      <w:r w:rsidRPr="0081146C">
        <w:t>1)(c) element of the offence.</w:t>
      </w:r>
    </w:p>
    <w:p w14:paraId="57F3BEC0" w14:textId="77777777" w:rsidR="003930D9" w:rsidRPr="0081146C" w:rsidRDefault="003930D9" w:rsidP="003930D9">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3CE9AAAF" w14:textId="77777777" w:rsidR="00035544" w:rsidRPr="0081146C" w:rsidRDefault="00035544" w:rsidP="00035544">
      <w:pPr>
        <w:pStyle w:val="ActHead5"/>
      </w:pPr>
      <w:bookmarkStart w:id="459" w:name="_Toc185415949"/>
      <w:r w:rsidRPr="0081146C">
        <w:rPr>
          <w:rStyle w:val="CharSectno"/>
        </w:rPr>
        <w:t>137</w:t>
      </w:r>
      <w:r w:rsidRPr="0081146C">
        <w:t xml:space="preserve">  Producing false or misleading documents</w:t>
      </w:r>
      <w:bookmarkEnd w:id="459"/>
    </w:p>
    <w:p w14:paraId="6B45DABB" w14:textId="77777777" w:rsidR="00035544" w:rsidRPr="0081146C" w:rsidRDefault="00035544" w:rsidP="00035544">
      <w:pPr>
        <w:pStyle w:val="subsection"/>
      </w:pPr>
      <w:r w:rsidRPr="0081146C">
        <w:tab/>
        <w:t>(1)</w:t>
      </w:r>
      <w:r w:rsidRPr="0081146C">
        <w:tab/>
        <w:t>A person commits an offence if:</w:t>
      </w:r>
    </w:p>
    <w:p w14:paraId="71E52BFF" w14:textId="77777777" w:rsidR="00035544" w:rsidRPr="0081146C" w:rsidRDefault="00035544" w:rsidP="00035544">
      <w:pPr>
        <w:pStyle w:val="paragraph"/>
      </w:pPr>
      <w:r w:rsidRPr="0081146C">
        <w:tab/>
        <w:t>(a)</w:t>
      </w:r>
      <w:r w:rsidRPr="0081146C">
        <w:tab/>
        <w:t>the person produces a document to:</w:t>
      </w:r>
    </w:p>
    <w:p w14:paraId="7FD5BD69" w14:textId="77777777" w:rsidR="00035544" w:rsidRPr="0081146C" w:rsidRDefault="00035544" w:rsidP="00035544">
      <w:pPr>
        <w:pStyle w:val="paragraphsub"/>
      </w:pPr>
      <w:r w:rsidRPr="0081146C">
        <w:tab/>
        <w:t>(i)</w:t>
      </w:r>
      <w:r w:rsidRPr="0081146C">
        <w:tab/>
        <w:t>the AUSTRAC CEO; or</w:t>
      </w:r>
    </w:p>
    <w:p w14:paraId="45D05503" w14:textId="77777777" w:rsidR="00035544" w:rsidRPr="0081146C" w:rsidRDefault="00035544" w:rsidP="00035544">
      <w:pPr>
        <w:pStyle w:val="paragraphsub"/>
      </w:pPr>
      <w:r w:rsidRPr="0081146C">
        <w:tab/>
        <w:t>(ii)</w:t>
      </w:r>
      <w:r w:rsidRPr="0081146C">
        <w:tab/>
        <w:t>an authorised officer; or</w:t>
      </w:r>
    </w:p>
    <w:p w14:paraId="645A3545" w14:textId="77777777" w:rsidR="00035544" w:rsidRPr="0081146C" w:rsidRDefault="00035544" w:rsidP="00035544">
      <w:pPr>
        <w:pStyle w:val="paragraphsub"/>
      </w:pPr>
      <w:r w:rsidRPr="0081146C">
        <w:tab/>
        <w:t>(iii)</w:t>
      </w:r>
      <w:r w:rsidRPr="0081146C">
        <w:tab/>
        <w:t>a customs officer; or</w:t>
      </w:r>
    </w:p>
    <w:p w14:paraId="73BA8875" w14:textId="77777777" w:rsidR="00035544" w:rsidRPr="0081146C" w:rsidRDefault="00035544" w:rsidP="00035544">
      <w:pPr>
        <w:pStyle w:val="paragraphsub"/>
      </w:pPr>
      <w:r w:rsidRPr="0081146C">
        <w:tab/>
        <w:t>(iv)</w:t>
      </w:r>
      <w:r w:rsidRPr="0081146C">
        <w:tab/>
        <w:t>a police officer; or</w:t>
      </w:r>
    </w:p>
    <w:p w14:paraId="5611DC06" w14:textId="77777777" w:rsidR="00035544" w:rsidRPr="0081146C" w:rsidRDefault="00035544" w:rsidP="00035544">
      <w:pPr>
        <w:pStyle w:val="paragraphsub"/>
      </w:pPr>
      <w:r w:rsidRPr="0081146C">
        <w:tab/>
        <w:t>(v)</w:t>
      </w:r>
      <w:r w:rsidRPr="0081146C">
        <w:tab/>
        <w:t>a reporting entity; or</w:t>
      </w:r>
    </w:p>
    <w:p w14:paraId="0632C533" w14:textId="77777777" w:rsidR="00035544" w:rsidRPr="0081146C" w:rsidRDefault="00035544" w:rsidP="00035544">
      <w:pPr>
        <w:pStyle w:val="paragraphsub"/>
      </w:pPr>
      <w:r w:rsidRPr="0081146C">
        <w:tab/>
        <w:t>(vi)</w:t>
      </w:r>
      <w:r w:rsidRPr="0081146C">
        <w:tab/>
        <w:t>a person acting on a reporting entity’s behalf; and</w:t>
      </w:r>
    </w:p>
    <w:p w14:paraId="64C3E208" w14:textId="77777777" w:rsidR="00035544" w:rsidRPr="0081146C" w:rsidRDefault="00035544" w:rsidP="00035544">
      <w:pPr>
        <w:pStyle w:val="paragraph"/>
      </w:pPr>
      <w:r w:rsidRPr="0081146C">
        <w:tab/>
        <w:t>(b)</w:t>
      </w:r>
      <w:r w:rsidRPr="0081146C">
        <w:tab/>
        <w:t>the person does so knowing that the document is false or misleading; and</w:t>
      </w:r>
    </w:p>
    <w:p w14:paraId="49C34910" w14:textId="77777777" w:rsidR="00FD797E" w:rsidRPr="0081146C" w:rsidRDefault="00FD797E" w:rsidP="00FD797E">
      <w:pPr>
        <w:pStyle w:val="paragraph"/>
      </w:pPr>
      <w:r w:rsidRPr="0081146C">
        <w:tab/>
        <w:t>(c)</w:t>
      </w:r>
      <w:r w:rsidRPr="0081146C">
        <w:tab/>
        <w:t>the document is produced, or purportedly produced, under:</w:t>
      </w:r>
    </w:p>
    <w:p w14:paraId="63D6C3D3" w14:textId="77777777" w:rsidR="00FD797E" w:rsidRPr="0081146C" w:rsidRDefault="00FD797E" w:rsidP="00FD797E">
      <w:pPr>
        <w:pStyle w:val="paragraphsub"/>
      </w:pPr>
      <w:r w:rsidRPr="0081146C">
        <w:tab/>
        <w:t>(i)</w:t>
      </w:r>
      <w:r w:rsidRPr="0081146C">
        <w:tab/>
        <w:t>this Act; or</w:t>
      </w:r>
    </w:p>
    <w:p w14:paraId="41236DC3" w14:textId="77777777" w:rsidR="00FD797E" w:rsidRPr="0081146C" w:rsidRDefault="00FD797E" w:rsidP="00FD797E">
      <w:pPr>
        <w:pStyle w:val="paragraphsub"/>
      </w:pPr>
      <w:r w:rsidRPr="0081146C">
        <w:tab/>
        <w:t>(ii)</w:t>
      </w:r>
      <w:r w:rsidRPr="0081146C">
        <w:tab/>
        <w:t>a provision of the regulations or of the AML/CTF Rules, if the regulations or Rules (as applicable) state that this section applies to that provision.</w:t>
      </w:r>
    </w:p>
    <w:p w14:paraId="0736B234" w14:textId="77777777" w:rsidR="00035544" w:rsidRPr="0081146C" w:rsidRDefault="00035544" w:rsidP="00035544">
      <w:pPr>
        <w:pStyle w:val="Penalty"/>
      </w:pPr>
      <w:r w:rsidRPr="0081146C">
        <w:t>Penalty:</w:t>
      </w:r>
      <w:r w:rsidRPr="0081146C">
        <w:tab/>
        <w:t>Imprisonment for 10 years or 10,000 penalty units, or both.</w:t>
      </w:r>
    </w:p>
    <w:p w14:paraId="585F18A1" w14:textId="77777777" w:rsidR="00035544" w:rsidRPr="0081146C" w:rsidRDefault="00035544" w:rsidP="00035544">
      <w:pPr>
        <w:pStyle w:val="subsection"/>
      </w:pPr>
      <w:r w:rsidRPr="0081146C">
        <w:tab/>
        <w:t>(2)</w:t>
      </w:r>
      <w:r w:rsidRPr="0081146C">
        <w:tab/>
      </w:r>
      <w:r w:rsidR="004F64A4" w:rsidRPr="0081146C">
        <w:t>Subsection (</w:t>
      </w:r>
      <w:r w:rsidRPr="0081146C">
        <w:t>1) does not apply if the document is not false or misleading in a material particular.</w:t>
      </w:r>
    </w:p>
    <w:p w14:paraId="5340CAFA"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2) (see sub</w:t>
      </w:r>
      <w:r w:rsidR="003B7E15" w:rsidRPr="0081146C">
        <w:t>section 1</w:t>
      </w:r>
      <w:r w:rsidRPr="0081146C">
        <w:t xml:space="preserve">3.3(3) of the </w:t>
      </w:r>
      <w:r w:rsidRPr="0081146C">
        <w:rPr>
          <w:i/>
        </w:rPr>
        <w:t>Criminal Code</w:t>
      </w:r>
      <w:r w:rsidRPr="0081146C">
        <w:t>).</w:t>
      </w:r>
    </w:p>
    <w:p w14:paraId="77B7C7A3" w14:textId="77777777" w:rsidR="003930D9" w:rsidRPr="0081146C" w:rsidRDefault="003930D9" w:rsidP="003930D9">
      <w:pPr>
        <w:pStyle w:val="subsection"/>
      </w:pPr>
      <w:r w:rsidRPr="0081146C">
        <w:tab/>
        <w:t>(3)</w:t>
      </w:r>
      <w:r w:rsidRPr="0081146C">
        <w:tab/>
        <w:t xml:space="preserve">Strict liability applies to the </w:t>
      </w:r>
      <w:r w:rsidR="004F64A4" w:rsidRPr="0081146C">
        <w:t>paragraph (</w:t>
      </w:r>
      <w:r w:rsidRPr="0081146C">
        <w:t>1)(c) element of the offence.</w:t>
      </w:r>
    </w:p>
    <w:p w14:paraId="6072AADA" w14:textId="77777777" w:rsidR="003930D9" w:rsidRPr="0081146C" w:rsidRDefault="003930D9" w:rsidP="003930D9">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2A116A1A" w14:textId="77777777" w:rsidR="00035544" w:rsidRPr="0081146C" w:rsidRDefault="00035544" w:rsidP="00035544">
      <w:pPr>
        <w:pStyle w:val="ActHead5"/>
      </w:pPr>
      <w:bookmarkStart w:id="460" w:name="_Toc185415950"/>
      <w:r w:rsidRPr="0081146C">
        <w:rPr>
          <w:rStyle w:val="CharSectno"/>
        </w:rPr>
        <w:t>138</w:t>
      </w:r>
      <w:r w:rsidRPr="0081146C">
        <w:t xml:space="preserve">  False documents</w:t>
      </w:r>
      <w:bookmarkEnd w:id="460"/>
    </w:p>
    <w:p w14:paraId="7920396A" w14:textId="77777777" w:rsidR="00035544" w:rsidRPr="0081146C" w:rsidRDefault="00035544" w:rsidP="00035544">
      <w:pPr>
        <w:pStyle w:val="SubsectionHead"/>
      </w:pPr>
      <w:r w:rsidRPr="0081146C">
        <w:t>Making a false document</w:t>
      </w:r>
    </w:p>
    <w:p w14:paraId="64478CC5" w14:textId="77777777" w:rsidR="00035544" w:rsidRPr="0081146C" w:rsidRDefault="00035544" w:rsidP="00035544">
      <w:pPr>
        <w:pStyle w:val="subsection"/>
      </w:pPr>
      <w:r w:rsidRPr="0081146C">
        <w:tab/>
        <w:t>(1)</w:t>
      </w:r>
      <w:r w:rsidRPr="0081146C">
        <w:tab/>
        <w:t>A person commits an offence if:</w:t>
      </w:r>
    </w:p>
    <w:p w14:paraId="27F045BF" w14:textId="51A30C87" w:rsidR="00035544" w:rsidRPr="0081146C" w:rsidRDefault="00035544" w:rsidP="00035544">
      <w:pPr>
        <w:pStyle w:val="paragraph"/>
      </w:pPr>
      <w:r w:rsidRPr="0081146C">
        <w:tab/>
        <w:t>(a)</w:t>
      </w:r>
      <w:r w:rsidRPr="0081146C">
        <w:tab/>
        <w:t xml:space="preserve">the person makes a false document with the intention that the person or another will produce the false document in the course of </w:t>
      </w:r>
      <w:r w:rsidR="00B03636" w:rsidRPr="0081146C">
        <w:t>customer due diligence</w:t>
      </w:r>
      <w:r w:rsidRPr="0081146C">
        <w:t>; and</w:t>
      </w:r>
    </w:p>
    <w:p w14:paraId="31F0D838" w14:textId="77777777" w:rsidR="00B03636" w:rsidRPr="0081146C" w:rsidRDefault="00B03636" w:rsidP="00B03636">
      <w:pPr>
        <w:pStyle w:val="paragraph"/>
      </w:pPr>
      <w:r w:rsidRPr="0081146C">
        <w:tab/>
        <w:t>(b)</w:t>
      </w:r>
      <w:r w:rsidRPr="0081146C">
        <w:tab/>
        <w:t>the customer due diligence is under section 28 (undertaking initial customer due diligence) or 30 (undertaking ongoing customer due diligence).</w:t>
      </w:r>
    </w:p>
    <w:p w14:paraId="59DC0E71" w14:textId="77777777" w:rsidR="00035544" w:rsidRPr="0081146C" w:rsidRDefault="00035544" w:rsidP="00035544">
      <w:pPr>
        <w:pStyle w:val="Penalty"/>
      </w:pPr>
      <w:r w:rsidRPr="0081146C">
        <w:t>Penalty:</w:t>
      </w:r>
      <w:r w:rsidRPr="0081146C">
        <w:tab/>
        <w:t>Imprisonment for 10 years or 10,000 penalty units, or both.</w:t>
      </w:r>
    </w:p>
    <w:p w14:paraId="6A22E09C" w14:textId="575FEB3F" w:rsidR="00035544" w:rsidRPr="0081146C" w:rsidRDefault="00035544" w:rsidP="00035544">
      <w:pPr>
        <w:pStyle w:val="subsection"/>
      </w:pPr>
      <w:r w:rsidRPr="0081146C">
        <w:tab/>
        <w:t>(2)</w:t>
      </w:r>
      <w:r w:rsidRPr="0081146C">
        <w:tab/>
        <w:t xml:space="preserve">In a prosecution for an offence against </w:t>
      </w:r>
      <w:r w:rsidR="004F64A4" w:rsidRPr="0081146C">
        <w:t>subsection (</w:t>
      </w:r>
      <w:r w:rsidRPr="0081146C">
        <w:t xml:space="preserve">1), it is not necessary to prove that the defendant knew that the </w:t>
      </w:r>
      <w:r w:rsidR="00B03636" w:rsidRPr="0081146C">
        <w:t>customer due diligence is under section 28 or 30</w:t>
      </w:r>
      <w:r w:rsidRPr="0081146C">
        <w:t>.</w:t>
      </w:r>
    </w:p>
    <w:p w14:paraId="570FBF86" w14:textId="77777777" w:rsidR="00035544" w:rsidRPr="0081146C" w:rsidRDefault="00035544" w:rsidP="00035544">
      <w:pPr>
        <w:pStyle w:val="SubsectionHead"/>
      </w:pPr>
      <w:r w:rsidRPr="0081146C">
        <w:t>Possessing a false document</w:t>
      </w:r>
    </w:p>
    <w:p w14:paraId="12336561" w14:textId="77777777" w:rsidR="00035544" w:rsidRPr="0081146C" w:rsidRDefault="00035544" w:rsidP="00035544">
      <w:pPr>
        <w:pStyle w:val="subsection"/>
      </w:pPr>
      <w:r w:rsidRPr="0081146C">
        <w:tab/>
        <w:t>(3)</w:t>
      </w:r>
      <w:r w:rsidRPr="0081146C">
        <w:tab/>
        <w:t>A person commits an offence if:</w:t>
      </w:r>
    </w:p>
    <w:p w14:paraId="58C4EAB7" w14:textId="77777777" w:rsidR="00035544" w:rsidRPr="0081146C" w:rsidRDefault="00035544" w:rsidP="00035544">
      <w:pPr>
        <w:pStyle w:val="paragraph"/>
      </w:pPr>
      <w:r w:rsidRPr="0081146C">
        <w:tab/>
        <w:t>(a)</w:t>
      </w:r>
      <w:r w:rsidRPr="0081146C">
        <w:tab/>
        <w:t>the person knows that a document is a false document; and</w:t>
      </w:r>
    </w:p>
    <w:p w14:paraId="156D5C54" w14:textId="6A03DA91" w:rsidR="00035544" w:rsidRPr="0081146C" w:rsidRDefault="00035544" w:rsidP="00035544">
      <w:pPr>
        <w:pStyle w:val="paragraph"/>
      </w:pPr>
      <w:r w:rsidRPr="0081146C">
        <w:tab/>
        <w:t>(b)</w:t>
      </w:r>
      <w:r w:rsidRPr="0081146C">
        <w:tab/>
        <w:t xml:space="preserve">the person has it in his or her possession with the intention that the person or another will produce it in the course of </w:t>
      </w:r>
      <w:r w:rsidR="00B03636" w:rsidRPr="0081146C">
        <w:t>customer due diligence</w:t>
      </w:r>
      <w:r w:rsidRPr="0081146C">
        <w:t>; and</w:t>
      </w:r>
    </w:p>
    <w:p w14:paraId="2967AB2A" w14:textId="77777777" w:rsidR="00393E03" w:rsidRPr="0081146C" w:rsidRDefault="00393E03" w:rsidP="00393E03">
      <w:pPr>
        <w:pStyle w:val="paragraph"/>
      </w:pPr>
      <w:r w:rsidRPr="0081146C">
        <w:tab/>
        <w:t>(c)</w:t>
      </w:r>
      <w:r w:rsidRPr="0081146C">
        <w:tab/>
        <w:t>the customer due diligence is under section 28 or 30.</w:t>
      </w:r>
    </w:p>
    <w:p w14:paraId="69A55010" w14:textId="77777777" w:rsidR="00035544" w:rsidRPr="0081146C" w:rsidRDefault="00035544" w:rsidP="00035544">
      <w:pPr>
        <w:pStyle w:val="Penalty"/>
      </w:pPr>
      <w:r w:rsidRPr="0081146C">
        <w:t>Penalty:</w:t>
      </w:r>
      <w:r w:rsidRPr="0081146C">
        <w:tab/>
        <w:t>Imprisonment for 10 years or 10,000 penalty units, or both.</w:t>
      </w:r>
    </w:p>
    <w:p w14:paraId="05FD5B58" w14:textId="12130414" w:rsidR="00035544" w:rsidRPr="0081146C" w:rsidRDefault="00035544" w:rsidP="00035544">
      <w:pPr>
        <w:pStyle w:val="subsection"/>
      </w:pPr>
      <w:r w:rsidRPr="0081146C">
        <w:tab/>
        <w:t>(4)</w:t>
      </w:r>
      <w:r w:rsidRPr="0081146C">
        <w:tab/>
        <w:t xml:space="preserve">In a prosecution for an offence against </w:t>
      </w:r>
      <w:r w:rsidR="004F64A4" w:rsidRPr="0081146C">
        <w:t>subsection (</w:t>
      </w:r>
      <w:r w:rsidRPr="0081146C">
        <w:t xml:space="preserve">3), it is not necessary to prove that the defendant knew that the </w:t>
      </w:r>
      <w:r w:rsidR="00393E03" w:rsidRPr="0081146C">
        <w:t>customer due diligence is under section 28 or 30</w:t>
      </w:r>
      <w:r w:rsidRPr="0081146C">
        <w:t>.</w:t>
      </w:r>
    </w:p>
    <w:p w14:paraId="63A5F72A" w14:textId="77777777" w:rsidR="00035544" w:rsidRPr="0081146C" w:rsidRDefault="00035544" w:rsidP="0030348B">
      <w:pPr>
        <w:pStyle w:val="SubsectionHead"/>
      </w:pPr>
      <w:r w:rsidRPr="0081146C">
        <w:t>Possessing equipment for making a false document</w:t>
      </w:r>
    </w:p>
    <w:p w14:paraId="7107E8F0" w14:textId="77777777" w:rsidR="00035544" w:rsidRPr="0081146C" w:rsidRDefault="00035544" w:rsidP="0030348B">
      <w:pPr>
        <w:pStyle w:val="subsection"/>
        <w:keepNext/>
      </w:pPr>
      <w:r w:rsidRPr="0081146C">
        <w:tab/>
        <w:t>(5)</w:t>
      </w:r>
      <w:r w:rsidRPr="0081146C">
        <w:tab/>
        <w:t>A person commits an offence if the person:</w:t>
      </w:r>
    </w:p>
    <w:p w14:paraId="5780217E" w14:textId="77777777" w:rsidR="00035544" w:rsidRPr="0081146C" w:rsidRDefault="00035544" w:rsidP="00035544">
      <w:pPr>
        <w:pStyle w:val="paragraph"/>
      </w:pPr>
      <w:r w:rsidRPr="0081146C">
        <w:tab/>
        <w:t>(a)</w:t>
      </w:r>
      <w:r w:rsidRPr="0081146C">
        <w:tab/>
        <w:t>knows that a device, material or other thing is designed or adapted for the making of a false document (whether or not the device, material or thing is designed or adapted for another purpose); and</w:t>
      </w:r>
    </w:p>
    <w:p w14:paraId="6991C499" w14:textId="77777777" w:rsidR="00035544" w:rsidRPr="0081146C" w:rsidRDefault="00035544" w:rsidP="00035544">
      <w:pPr>
        <w:pStyle w:val="paragraph"/>
      </w:pPr>
      <w:r w:rsidRPr="0081146C">
        <w:tab/>
        <w:t>(b)</w:t>
      </w:r>
      <w:r w:rsidRPr="0081146C">
        <w:tab/>
        <w:t xml:space="preserve">has the device, material or thing in his or her possession with the intention that the person or another person will use it to commit an offence against </w:t>
      </w:r>
      <w:r w:rsidR="004F64A4" w:rsidRPr="0081146C">
        <w:t>subsection (</w:t>
      </w:r>
      <w:r w:rsidRPr="0081146C">
        <w:t>1).</w:t>
      </w:r>
    </w:p>
    <w:p w14:paraId="18301C05" w14:textId="77777777" w:rsidR="00035544" w:rsidRPr="0081146C" w:rsidRDefault="00035544" w:rsidP="00035544">
      <w:pPr>
        <w:pStyle w:val="Penalty"/>
      </w:pPr>
      <w:r w:rsidRPr="0081146C">
        <w:t>Penalty:</w:t>
      </w:r>
      <w:r w:rsidRPr="0081146C">
        <w:tab/>
        <w:t>Imprisonment for 10 years or 10,000 penalty units, or both.</w:t>
      </w:r>
    </w:p>
    <w:p w14:paraId="08AF97A7" w14:textId="77777777" w:rsidR="00035544" w:rsidRPr="0081146C" w:rsidRDefault="00035544" w:rsidP="00035544">
      <w:pPr>
        <w:pStyle w:val="SubsectionHead"/>
      </w:pPr>
      <w:r w:rsidRPr="0081146C">
        <w:t>Making equipment for making a false document</w:t>
      </w:r>
    </w:p>
    <w:p w14:paraId="53599F1C" w14:textId="77777777" w:rsidR="00035544" w:rsidRPr="0081146C" w:rsidRDefault="00035544" w:rsidP="00035544">
      <w:pPr>
        <w:pStyle w:val="subsection"/>
      </w:pPr>
      <w:r w:rsidRPr="0081146C">
        <w:tab/>
        <w:t>(6)</w:t>
      </w:r>
      <w:r w:rsidRPr="0081146C">
        <w:tab/>
        <w:t>A person commits an offence if the person:</w:t>
      </w:r>
    </w:p>
    <w:p w14:paraId="3039CCEA" w14:textId="77777777" w:rsidR="00035544" w:rsidRPr="0081146C" w:rsidRDefault="00035544" w:rsidP="00035544">
      <w:pPr>
        <w:pStyle w:val="paragraph"/>
      </w:pPr>
      <w:r w:rsidRPr="0081146C">
        <w:tab/>
        <w:t>(a)</w:t>
      </w:r>
      <w:r w:rsidRPr="0081146C">
        <w:tab/>
        <w:t>makes or adapts a device, material or other thing; and</w:t>
      </w:r>
    </w:p>
    <w:p w14:paraId="3476FB62" w14:textId="77777777" w:rsidR="00035544" w:rsidRPr="0081146C" w:rsidRDefault="00035544" w:rsidP="00035544">
      <w:pPr>
        <w:pStyle w:val="paragraph"/>
      </w:pPr>
      <w:r w:rsidRPr="0081146C">
        <w:tab/>
        <w:t>(b)</w:t>
      </w:r>
      <w:r w:rsidRPr="0081146C">
        <w:tab/>
        <w:t>knows that the device, material or other thing is designed or adapted for the making of a false document (whether or not the device, material or thing is designed or adapted for another purpose); and</w:t>
      </w:r>
    </w:p>
    <w:p w14:paraId="5396B84A" w14:textId="77777777" w:rsidR="00035544" w:rsidRPr="0081146C" w:rsidRDefault="00035544" w:rsidP="00035544">
      <w:pPr>
        <w:pStyle w:val="paragraph"/>
      </w:pPr>
      <w:r w:rsidRPr="0081146C">
        <w:tab/>
        <w:t>(c)</w:t>
      </w:r>
      <w:r w:rsidRPr="0081146C">
        <w:tab/>
        <w:t xml:space="preserve">makes or adapts the device, material or thing with the intention that the person or another person will use it to commit an offence against </w:t>
      </w:r>
      <w:r w:rsidR="004F64A4" w:rsidRPr="0081146C">
        <w:t>subsection (</w:t>
      </w:r>
      <w:r w:rsidRPr="0081146C">
        <w:t>1).</w:t>
      </w:r>
    </w:p>
    <w:p w14:paraId="5828D8FB" w14:textId="77777777" w:rsidR="00035544" w:rsidRPr="0081146C" w:rsidRDefault="00035544" w:rsidP="00035544">
      <w:pPr>
        <w:pStyle w:val="Penalty"/>
      </w:pPr>
      <w:r w:rsidRPr="0081146C">
        <w:t>Penalty:</w:t>
      </w:r>
      <w:r w:rsidRPr="0081146C">
        <w:tab/>
        <w:t>Imprisonment for 10 years or 10,000 penalty units, or both.</w:t>
      </w:r>
    </w:p>
    <w:p w14:paraId="3218F6D1" w14:textId="77777777" w:rsidR="00035544" w:rsidRPr="0081146C" w:rsidRDefault="00035544" w:rsidP="00035544">
      <w:pPr>
        <w:pStyle w:val="SubsectionHead"/>
      </w:pPr>
      <w:r w:rsidRPr="0081146C">
        <w:t>Interpretation</w:t>
      </w:r>
    </w:p>
    <w:p w14:paraId="02C17D68" w14:textId="77777777" w:rsidR="00035544" w:rsidRPr="0081146C" w:rsidRDefault="00035544" w:rsidP="00035544">
      <w:pPr>
        <w:pStyle w:val="subsection"/>
      </w:pPr>
      <w:r w:rsidRPr="0081146C">
        <w:tab/>
        <w:t>(7)</w:t>
      </w:r>
      <w:r w:rsidRPr="0081146C">
        <w:tab/>
        <w:t>An expression used in this section that is also used in Part</w:t>
      </w:r>
      <w:r w:rsidR="004F64A4" w:rsidRPr="0081146C">
        <w:t> </w:t>
      </w:r>
      <w:r w:rsidRPr="0081146C">
        <w:t xml:space="preserve">7.7 of the </w:t>
      </w:r>
      <w:r w:rsidRPr="0081146C">
        <w:rPr>
          <w:i/>
        </w:rPr>
        <w:t>Criminal Code</w:t>
      </w:r>
      <w:r w:rsidRPr="0081146C">
        <w:t xml:space="preserve"> has the same meaning as in that Part.</w:t>
      </w:r>
    </w:p>
    <w:p w14:paraId="53F4AB36" w14:textId="77777777" w:rsidR="00035544" w:rsidRPr="0081146C" w:rsidRDefault="00035544" w:rsidP="00035544">
      <w:pPr>
        <w:pStyle w:val="notetext"/>
      </w:pPr>
      <w:r w:rsidRPr="0081146C">
        <w:t>Note:</w:t>
      </w:r>
      <w:r w:rsidRPr="0081146C">
        <w:tab/>
        <w:t xml:space="preserve">See also </w:t>
      </w:r>
      <w:r w:rsidR="003B7E15" w:rsidRPr="0081146C">
        <w:t>section 1</w:t>
      </w:r>
      <w:r w:rsidRPr="0081146C">
        <w:t xml:space="preserve">0.5 of the </w:t>
      </w:r>
      <w:r w:rsidRPr="0081146C">
        <w:rPr>
          <w:i/>
        </w:rPr>
        <w:t xml:space="preserve">Criminal Code </w:t>
      </w:r>
      <w:r w:rsidRPr="0081146C">
        <w:t>(lawful authority).</w:t>
      </w:r>
    </w:p>
    <w:p w14:paraId="6C592BCE" w14:textId="77777777" w:rsidR="00035544" w:rsidRPr="0081146C" w:rsidRDefault="00035544" w:rsidP="00035544">
      <w:pPr>
        <w:pStyle w:val="ActHead5"/>
      </w:pPr>
      <w:bookmarkStart w:id="461" w:name="_Toc185415951"/>
      <w:r w:rsidRPr="0081146C">
        <w:rPr>
          <w:rStyle w:val="CharSectno"/>
        </w:rPr>
        <w:t>139</w:t>
      </w:r>
      <w:r w:rsidRPr="0081146C">
        <w:t xml:space="preserve">  Providing a designated service using a false customer name or customer anonymity</w:t>
      </w:r>
      <w:bookmarkEnd w:id="461"/>
    </w:p>
    <w:p w14:paraId="33F271FA" w14:textId="77777777" w:rsidR="00035544" w:rsidRPr="0081146C" w:rsidRDefault="00035544" w:rsidP="00035544">
      <w:pPr>
        <w:pStyle w:val="subsection"/>
      </w:pPr>
      <w:r w:rsidRPr="0081146C">
        <w:tab/>
        <w:t>(1)</w:t>
      </w:r>
      <w:r w:rsidRPr="0081146C">
        <w:tab/>
        <w:t>A person commits an offence if:</w:t>
      </w:r>
    </w:p>
    <w:p w14:paraId="770B4C46" w14:textId="77777777" w:rsidR="00035544" w:rsidRPr="0081146C" w:rsidRDefault="00035544" w:rsidP="00035544">
      <w:pPr>
        <w:pStyle w:val="paragraph"/>
      </w:pPr>
      <w:r w:rsidRPr="0081146C">
        <w:tab/>
        <w:t>(a)</w:t>
      </w:r>
      <w:r w:rsidRPr="0081146C">
        <w:tab/>
        <w:t>the person is a reporting entity; and</w:t>
      </w:r>
    </w:p>
    <w:p w14:paraId="077A0C13" w14:textId="77777777" w:rsidR="00035544" w:rsidRPr="0081146C" w:rsidRDefault="00035544" w:rsidP="00035544">
      <w:pPr>
        <w:pStyle w:val="paragraph"/>
      </w:pPr>
      <w:r w:rsidRPr="0081146C">
        <w:tab/>
        <w:t>(b)</w:t>
      </w:r>
      <w:r w:rsidRPr="0081146C">
        <w:tab/>
        <w:t>the person commences to provide a designated service; and</w:t>
      </w:r>
    </w:p>
    <w:p w14:paraId="702DE514" w14:textId="77777777" w:rsidR="00035544" w:rsidRPr="0081146C" w:rsidRDefault="00035544" w:rsidP="00035544">
      <w:pPr>
        <w:pStyle w:val="paragraph"/>
      </w:pPr>
      <w:r w:rsidRPr="0081146C">
        <w:tab/>
        <w:t>(c)</w:t>
      </w:r>
      <w:r w:rsidRPr="0081146C">
        <w:tab/>
        <w:t>the person does so using a false customer name; and</w:t>
      </w:r>
    </w:p>
    <w:p w14:paraId="2BBA289A" w14:textId="77777777" w:rsidR="00035544" w:rsidRPr="0081146C" w:rsidRDefault="00035544" w:rsidP="00035544">
      <w:pPr>
        <w:pStyle w:val="paragraph"/>
      </w:pPr>
      <w:r w:rsidRPr="0081146C">
        <w:tab/>
        <w:t>(d)</w:t>
      </w:r>
      <w:r w:rsidRPr="0081146C">
        <w:tab/>
        <w:t xml:space="preserve">at least one provision of </w:t>
      </w:r>
      <w:r w:rsidR="00CA78AA" w:rsidRPr="0081146C">
        <w:t>Division 2</w:t>
      </w:r>
      <w:r w:rsidRPr="0081146C">
        <w:t>, 3 or 4 of Part</w:t>
      </w:r>
      <w:r w:rsidR="004F64A4" w:rsidRPr="0081146C">
        <w:t> </w:t>
      </w:r>
      <w:r w:rsidRPr="0081146C">
        <w:t>2 applies to the provision of the designated service.</w:t>
      </w:r>
    </w:p>
    <w:p w14:paraId="1FB46AFF" w14:textId="77777777" w:rsidR="00035544" w:rsidRPr="0081146C" w:rsidRDefault="00035544" w:rsidP="00035544">
      <w:pPr>
        <w:pStyle w:val="Penalty"/>
      </w:pPr>
      <w:r w:rsidRPr="0081146C">
        <w:t>Penalty:</w:t>
      </w:r>
      <w:r w:rsidRPr="0081146C">
        <w:tab/>
        <w:t>Imprisonment for 2 years or 120 penalty units, or both.</w:t>
      </w:r>
    </w:p>
    <w:p w14:paraId="67798450" w14:textId="77777777" w:rsidR="003930D9" w:rsidRPr="0081146C" w:rsidRDefault="003930D9" w:rsidP="003930D9">
      <w:pPr>
        <w:pStyle w:val="subsection"/>
      </w:pPr>
      <w:r w:rsidRPr="0081146C">
        <w:tab/>
        <w:t>(2)</w:t>
      </w:r>
      <w:r w:rsidRPr="0081146C">
        <w:tab/>
        <w:t xml:space="preserve">Strict liability applies to the </w:t>
      </w:r>
      <w:r w:rsidR="004F64A4" w:rsidRPr="0081146C">
        <w:t>paragraph (</w:t>
      </w:r>
      <w:r w:rsidRPr="0081146C">
        <w:t>1)(d) element of the offence.</w:t>
      </w:r>
    </w:p>
    <w:p w14:paraId="3BD5DC6F" w14:textId="77777777" w:rsidR="003930D9" w:rsidRPr="0081146C" w:rsidRDefault="003930D9" w:rsidP="003930D9">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16767355" w14:textId="77777777" w:rsidR="00C05AE6" w:rsidRPr="0081146C" w:rsidRDefault="00C05AE6" w:rsidP="00C05AE6">
      <w:pPr>
        <w:pStyle w:val="subsection"/>
      </w:pPr>
      <w:r w:rsidRPr="0081146C">
        <w:tab/>
        <w:t>(2A)</w:t>
      </w:r>
      <w:r w:rsidRPr="0081146C">
        <w:tab/>
      </w:r>
      <w:r w:rsidR="004F64A4" w:rsidRPr="0081146C">
        <w:t>Paragraph (</w:t>
      </w:r>
      <w:r w:rsidRPr="0081146C">
        <w:t>1)(c) does not apply to a false customer name if the customer’s use of that name is justified, or excused, by or under a law.</w:t>
      </w:r>
    </w:p>
    <w:p w14:paraId="593331A9" w14:textId="77777777" w:rsidR="00C05AE6" w:rsidRPr="0081146C" w:rsidRDefault="00C05AE6" w:rsidP="00C05AE6">
      <w:pPr>
        <w:pStyle w:val="notetext"/>
      </w:pPr>
      <w:r w:rsidRPr="0081146C">
        <w:t>Note:</w:t>
      </w:r>
      <w:r w:rsidRPr="0081146C">
        <w:tab/>
        <w:t xml:space="preserve">A defendant bears an evidential burden in relation to the matters in this </w:t>
      </w:r>
      <w:r w:rsidR="004F64A4" w:rsidRPr="0081146C">
        <w:t>subsection (</w:t>
      </w:r>
      <w:r w:rsidRPr="0081146C">
        <w:t>see sub</w:t>
      </w:r>
      <w:r w:rsidR="003B7E15" w:rsidRPr="0081146C">
        <w:t>section 1</w:t>
      </w:r>
      <w:r w:rsidRPr="0081146C">
        <w:t xml:space="preserve">3.3(3) of the </w:t>
      </w:r>
      <w:r w:rsidRPr="0081146C">
        <w:rPr>
          <w:i/>
        </w:rPr>
        <w:t>Criminal Code</w:t>
      </w:r>
      <w:r w:rsidRPr="0081146C">
        <w:t>).</w:t>
      </w:r>
    </w:p>
    <w:p w14:paraId="1C04F990" w14:textId="77777777" w:rsidR="00035544" w:rsidRPr="0081146C" w:rsidRDefault="00035544" w:rsidP="00035544">
      <w:pPr>
        <w:pStyle w:val="subsection"/>
      </w:pPr>
      <w:r w:rsidRPr="0081146C">
        <w:tab/>
        <w:t>(3)</w:t>
      </w:r>
      <w:r w:rsidRPr="0081146C">
        <w:tab/>
        <w:t>A person commits an offence if:</w:t>
      </w:r>
    </w:p>
    <w:p w14:paraId="05E6C2A3" w14:textId="77777777" w:rsidR="00035544" w:rsidRPr="0081146C" w:rsidRDefault="00035544" w:rsidP="00035544">
      <w:pPr>
        <w:pStyle w:val="paragraph"/>
      </w:pPr>
      <w:r w:rsidRPr="0081146C">
        <w:tab/>
        <w:t>(a)</w:t>
      </w:r>
      <w:r w:rsidRPr="0081146C">
        <w:tab/>
        <w:t>the person is a reporting entity; and</w:t>
      </w:r>
    </w:p>
    <w:p w14:paraId="00C598F9" w14:textId="77777777" w:rsidR="00035544" w:rsidRPr="0081146C" w:rsidRDefault="00035544" w:rsidP="00035544">
      <w:pPr>
        <w:pStyle w:val="paragraph"/>
      </w:pPr>
      <w:r w:rsidRPr="0081146C">
        <w:tab/>
        <w:t>(b)</w:t>
      </w:r>
      <w:r w:rsidRPr="0081146C">
        <w:tab/>
        <w:t>the person commences to provide a designated service; and</w:t>
      </w:r>
    </w:p>
    <w:p w14:paraId="378A2CF3" w14:textId="77777777" w:rsidR="00035544" w:rsidRPr="0081146C" w:rsidRDefault="00035544" w:rsidP="00035544">
      <w:pPr>
        <w:pStyle w:val="paragraph"/>
      </w:pPr>
      <w:r w:rsidRPr="0081146C">
        <w:tab/>
        <w:t>(c)</w:t>
      </w:r>
      <w:r w:rsidRPr="0081146C">
        <w:tab/>
        <w:t>the person does so on the basis of customer anonymity; and</w:t>
      </w:r>
    </w:p>
    <w:p w14:paraId="4AEB2B5D" w14:textId="77777777" w:rsidR="00035544" w:rsidRPr="0081146C" w:rsidRDefault="00035544" w:rsidP="00035544">
      <w:pPr>
        <w:pStyle w:val="paragraph"/>
      </w:pPr>
      <w:r w:rsidRPr="0081146C">
        <w:tab/>
        <w:t>(d)</w:t>
      </w:r>
      <w:r w:rsidRPr="0081146C">
        <w:tab/>
        <w:t xml:space="preserve">at least one provision of </w:t>
      </w:r>
      <w:r w:rsidR="00CA78AA" w:rsidRPr="0081146C">
        <w:t>Division 2</w:t>
      </w:r>
      <w:r w:rsidRPr="0081146C">
        <w:t>, 3 or 4 of Part</w:t>
      </w:r>
      <w:r w:rsidR="004F64A4" w:rsidRPr="0081146C">
        <w:t> </w:t>
      </w:r>
      <w:r w:rsidRPr="0081146C">
        <w:t>2 applies to the provision of the designated service.</w:t>
      </w:r>
    </w:p>
    <w:p w14:paraId="3AEB5FDC" w14:textId="77777777" w:rsidR="00035544" w:rsidRPr="0081146C" w:rsidRDefault="00035544" w:rsidP="00035544">
      <w:pPr>
        <w:pStyle w:val="Penalty"/>
      </w:pPr>
      <w:r w:rsidRPr="0081146C">
        <w:t>Penalty:</w:t>
      </w:r>
      <w:r w:rsidRPr="0081146C">
        <w:tab/>
        <w:t>Imprisonment for 2 years or 120 penalty units, or both.</w:t>
      </w:r>
    </w:p>
    <w:p w14:paraId="72C942ED" w14:textId="77777777" w:rsidR="003930D9" w:rsidRPr="0081146C" w:rsidRDefault="003930D9" w:rsidP="003930D9">
      <w:pPr>
        <w:pStyle w:val="subsection"/>
      </w:pPr>
      <w:r w:rsidRPr="0081146C">
        <w:tab/>
        <w:t>(4)</w:t>
      </w:r>
      <w:r w:rsidRPr="0081146C">
        <w:tab/>
        <w:t xml:space="preserve">Strict liability applies to the </w:t>
      </w:r>
      <w:r w:rsidR="004F64A4" w:rsidRPr="0081146C">
        <w:t>paragraph (</w:t>
      </w:r>
      <w:r w:rsidRPr="0081146C">
        <w:t>3)(d) element of the offence.</w:t>
      </w:r>
    </w:p>
    <w:p w14:paraId="2E196D4B" w14:textId="77777777" w:rsidR="003930D9" w:rsidRPr="0081146C" w:rsidRDefault="003930D9" w:rsidP="003930D9">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20829F01" w14:textId="77777777" w:rsidR="00035544" w:rsidRPr="0081146C" w:rsidRDefault="00035544" w:rsidP="00035544">
      <w:pPr>
        <w:pStyle w:val="ActHead5"/>
      </w:pPr>
      <w:bookmarkStart w:id="462" w:name="_Toc185415952"/>
      <w:r w:rsidRPr="0081146C">
        <w:rPr>
          <w:rStyle w:val="CharSectno"/>
        </w:rPr>
        <w:t>140</w:t>
      </w:r>
      <w:r w:rsidRPr="0081146C">
        <w:t xml:space="preserve">  Receiving a designated service using a false customer name or customer anonymity</w:t>
      </w:r>
      <w:bookmarkEnd w:id="462"/>
    </w:p>
    <w:p w14:paraId="4E1AAB26" w14:textId="77777777" w:rsidR="00035544" w:rsidRPr="0081146C" w:rsidRDefault="00035544" w:rsidP="00035544">
      <w:pPr>
        <w:pStyle w:val="subsection"/>
      </w:pPr>
      <w:r w:rsidRPr="0081146C">
        <w:tab/>
        <w:t>(1)</w:t>
      </w:r>
      <w:r w:rsidRPr="0081146C">
        <w:tab/>
        <w:t>A person commits an offence if:</w:t>
      </w:r>
    </w:p>
    <w:p w14:paraId="7024BD13" w14:textId="77777777" w:rsidR="00035544" w:rsidRPr="0081146C" w:rsidRDefault="00035544" w:rsidP="00035544">
      <w:pPr>
        <w:pStyle w:val="paragraph"/>
      </w:pPr>
      <w:r w:rsidRPr="0081146C">
        <w:tab/>
        <w:t>(a)</w:t>
      </w:r>
      <w:r w:rsidRPr="0081146C">
        <w:tab/>
        <w:t>the person commences to receive a designated service; and</w:t>
      </w:r>
    </w:p>
    <w:p w14:paraId="4C766DCC" w14:textId="77777777" w:rsidR="00035544" w:rsidRPr="0081146C" w:rsidRDefault="00035544" w:rsidP="00035544">
      <w:pPr>
        <w:pStyle w:val="paragraph"/>
      </w:pPr>
      <w:r w:rsidRPr="0081146C">
        <w:tab/>
        <w:t>(b)</w:t>
      </w:r>
      <w:r w:rsidRPr="0081146C">
        <w:tab/>
        <w:t>the person does so using a false customer name; and</w:t>
      </w:r>
    </w:p>
    <w:p w14:paraId="765F1A86" w14:textId="77777777" w:rsidR="00035544" w:rsidRPr="0081146C" w:rsidRDefault="00035544" w:rsidP="00035544">
      <w:pPr>
        <w:pStyle w:val="paragraph"/>
      </w:pPr>
      <w:r w:rsidRPr="0081146C">
        <w:tab/>
        <w:t>(c)</w:t>
      </w:r>
      <w:r w:rsidRPr="0081146C">
        <w:tab/>
        <w:t xml:space="preserve">at least one provision of </w:t>
      </w:r>
      <w:r w:rsidR="00CA78AA" w:rsidRPr="0081146C">
        <w:t>Division 2</w:t>
      </w:r>
      <w:r w:rsidRPr="0081146C">
        <w:t>, 3 or 4 of Part</w:t>
      </w:r>
      <w:r w:rsidR="004F64A4" w:rsidRPr="0081146C">
        <w:t> </w:t>
      </w:r>
      <w:r w:rsidRPr="0081146C">
        <w:t>2 applies to the provision of the designated service.</w:t>
      </w:r>
    </w:p>
    <w:p w14:paraId="39898AB4" w14:textId="77777777" w:rsidR="00035544" w:rsidRPr="0081146C" w:rsidRDefault="00035544" w:rsidP="00035544">
      <w:pPr>
        <w:pStyle w:val="Penalty"/>
      </w:pPr>
      <w:r w:rsidRPr="0081146C">
        <w:t>Penalty:</w:t>
      </w:r>
      <w:r w:rsidRPr="0081146C">
        <w:tab/>
        <w:t>Imprisonment for 2 years or 120 penalty units, or both.</w:t>
      </w:r>
    </w:p>
    <w:p w14:paraId="6C9AF753" w14:textId="77777777" w:rsidR="003930D9" w:rsidRPr="0081146C" w:rsidRDefault="003930D9" w:rsidP="003930D9">
      <w:pPr>
        <w:pStyle w:val="subsection"/>
      </w:pPr>
      <w:r w:rsidRPr="0081146C">
        <w:tab/>
        <w:t>(2)</w:t>
      </w:r>
      <w:r w:rsidRPr="0081146C">
        <w:tab/>
        <w:t xml:space="preserve">Strict liability applies to the </w:t>
      </w:r>
      <w:r w:rsidR="004F64A4" w:rsidRPr="0081146C">
        <w:t>paragraph (</w:t>
      </w:r>
      <w:r w:rsidRPr="0081146C">
        <w:t>1)(c) element of the offence.</w:t>
      </w:r>
    </w:p>
    <w:p w14:paraId="100F267D" w14:textId="77777777" w:rsidR="003930D9" w:rsidRPr="0081146C" w:rsidRDefault="003930D9" w:rsidP="003930D9">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30443C4A" w14:textId="77777777" w:rsidR="00035544" w:rsidRPr="0081146C" w:rsidRDefault="00035544" w:rsidP="00035544">
      <w:pPr>
        <w:pStyle w:val="subsection"/>
      </w:pPr>
      <w:r w:rsidRPr="0081146C">
        <w:tab/>
        <w:t>(3)</w:t>
      </w:r>
      <w:r w:rsidRPr="0081146C">
        <w:tab/>
        <w:t>A person commits an offence if:</w:t>
      </w:r>
    </w:p>
    <w:p w14:paraId="44C9A32C" w14:textId="77777777" w:rsidR="00035544" w:rsidRPr="0081146C" w:rsidRDefault="00035544" w:rsidP="00035544">
      <w:pPr>
        <w:pStyle w:val="paragraph"/>
      </w:pPr>
      <w:r w:rsidRPr="0081146C">
        <w:tab/>
        <w:t>(a)</w:t>
      </w:r>
      <w:r w:rsidRPr="0081146C">
        <w:tab/>
        <w:t>the person commences to receive a designated service; and</w:t>
      </w:r>
    </w:p>
    <w:p w14:paraId="0685A2FC" w14:textId="77777777" w:rsidR="00035544" w:rsidRPr="0081146C" w:rsidRDefault="00035544" w:rsidP="00035544">
      <w:pPr>
        <w:pStyle w:val="paragraph"/>
      </w:pPr>
      <w:r w:rsidRPr="0081146C">
        <w:tab/>
        <w:t>(b)</w:t>
      </w:r>
      <w:r w:rsidRPr="0081146C">
        <w:tab/>
        <w:t>the person does so on the basis of customer anonymity; and</w:t>
      </w:r>
    </w:p>
    <w:p w14:paraId="4FCA4269" w14:textId="77777777" w:rsidR="00035544" w:rsidRPr="0081146C" w:rsidRDefault="00035544" w:rsidP="00035544">
      <w:pPr>
        <w:pStyle w:val="paragraph"/>
      </w:pPr>
      <w:r w:rsidRPr="0081146C">
        <w:tab/>
        <w:t>(c)</w:t>
      </w:r>
      <w:r w:rsidRPr="0081146C">
        <w:tab/>
        <w:t xml:space="preserve">at least one provision of </w:t>
      </w:r>
      <w:r w:rsidR="00CA78AA" w:rsidRPr="0081146C">
        <w:t>Division 2</w:t>
      </w:r>
      <w:r w:rsidRPr="0081146C">
        <w:t>, 3 or 4 of Part</w:t>
      </w:r>
      <w:r w:rsidR="004F64A4" w:rsidRPr="0081146C">
        <w:t> </w:t>
      </w:r>
      <w:r w:rsidRPr="0081146C">
        <w:t>2 applies to the provision of the designated service.</w:t>
      </w:r>
    </w:p>
    <w:p w14:paraId="1D629E13" w14:textId="77777777" w:rsidR="00035544" w:rsidRPr="0081146C" w:rsidRDefault="00035544" w:rsidP="00035544">
      <w:pPr>
        <w:pStyle w:val="Penalty"/>
      </w:pPr>
      <w:r w:rsidRPr="0081146C">
        <w:t>Penalty:</w:t>
      </w:r>
      <w:r w:rsidRPr="0081146C">
        <w:tab/>
        <w:t>Imprisonment for 2 years or 120 penalty units, or both.</w:t>
      </w:r>
    </w:p>
    <w:p w14:paraId="6B56EFE7" w14:textId="77777777" w:rsidR="003930D9" w:rsidRPr="0081146C" w:rsidRDefault="003930D9" w:rsidP="003930D9">
      <w:pPr>
        <w:pStyle w:val="subsection"/>
      </w:pPr>
      <w:r w:rsidRPr="0081146C">
        <w:tab/>
        <w:t>(4)</w:t>
      </w:r>
      <w:r w:rsidRPr="0081146C">
        <w:tab/>
        <w:t xml:space="preserve">Strict liability applies to the </w:t>
      </w:r>
      <w:r w:rsidR="004F64A4" w:rsidRPr="0081146C">
        <w:t>paragraph (</w:t>
      </w:r>
      <w:r w:rsidRPr="0081146C">
        <w:t>3)(c) element of the offence.</w:t>
      </w:r>
    </w:p>
    <w:p w14:paraId="013E692F" w14:textId="77777777" w:rsidR="003930D9" w:rsidRPr="0081146C" w:rsidRDefault="003930D9" w:rsidP="003930D9">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5255D1B7" w14:textId="77777777" w:rsidR="00035544" w:rsidRPr="0081146C" w:rsidRDefault="00035544" w:rsidP="00035544">
      <w:pPr>
        <w:pStyle w:val="ActHead5"/>
      </w:pPr>
      <w:bookmarkStart w:id="463" w:name="_Toc185415953"/>
      <w:r w:rsidRPr="0081146C">
        <w:rPr>
          <w:rStyle w:val="CharSectno"/>
        </w:rPr>
        <w:t>141</w:t>
      </w:r>
      <w:r w:rsidRPr="0081146C">
        <w:t xml:space="preserve">  Customer commonly known by 2 or more different names—disclosure to reporting entity</w:t>
      </w:r>
      <w:bookmarkEnd w:id="463"/>
    </w:p>
    <w:p w14:paraId="415B48AD" w14:textId="77777777" w:rsidR="00035544" w:rsidRPr="0081146C" w:rsidRDefault="00035544" w:rsidP="00035544">
      <w:pPr>
        <w:pStyle w:val="subsection"/>
      </w:pPr>
      <w:r w:rsidRPr="0081146C">
        <w:tab/>
        <w:t>(1)</w:t>
      </w:r>
      <w:r w:rsidRPr="0081146C">
        <w:tab/>
        <w:t>A person commits an offence if:</w:t>
      </w:r>
    </w:p>
    <w:p w14:paraId="65FFE911" w14:textId="77777777" w:rsidR="00035544" w:rsidRPr="0081146C" w:rsidRDefault="00035544" w:rsidP="00035544">
      <w:pPr>
        <w:pStyle w:val="paragraph"/>
      </w:pPr>
      <w:r w:rsidRPr="0081146C">
        <w:tab/>
        <w:t>(a)</w:t>
      </w:r>
      <w:r w:rsidRPr="0081146C">
        <w:tab/>
        <w:t>the person commences to receive a designated service provided by a reporting entity; and</w:t>
      </w:r>
    </w:p>
    <w:p w14:paraId="259D1150" w14:textId="77777777" w:rsidR="00035544" w:rsidRPr="0081146C" w:rsidRDefault="00035544" w:rsidP="00035544">
      <w:pPr>
        <w:pStyle w:val="paragraph"/>
      </w:pPr>
      <w:r w:rsidRPr="0081146C">
        <w:tab/>
        <w:t>(b)</w:t>
      </w:r>
      <w:r w:rsidRPr="0081146C">
        <w:tab/>
        <w:t>the person is commonly known by 2 or more different names; and</w:t>
      </w:r>
    </w:p>
    <w:p w14:paraId="15ADDF44" w14:textId="77777777" w:rsidR="00035544" w:rsidRPr="0081146C" w:rsidRDefault="00035544" w:rsidP="00035544">
      <w:pPr>
        <w:pStyle w:val="paragraph"/>
      </w:pPr>
      <w:r w:rsidRPr="0081146C">
        <w:tab/>
        <w:t>(c)</w:t>
      </w:r>
      <w:r w:rsidRPr="0081146C">
        <w:tab/>
        <w:t>the person commences to receive the designated service using one of those names; and</w:t>
      </w:r>
    </w:p>
    <w:p w14:paraId="4A5AE5D4" w14:textId="77777777" w:rsidR="00035544" w:rsidRPr="0081146C" w:rsidRDefault="00035544" w:rsidP="00035544">
      <w:pPr>
        <w:pStyle w:val="paragraph"/>
      </w:pPr>
      <w:r w:rsidRPr="0081146C">
        <w:tab/>
        <w:t>(d)</w:t>
      </w:r>
      <w:r w:rsidRPr="0081146C">
        <w:tab/>
        <w:t>the person has not previously disclosed the other name or names to the reporting entity; and</w:t>
      </w:r>
    </w:p>
    <w:p w14:paraId="1C2FE3B7" w14:textId="77777777" w:rsidR="00035544" w:rsidRPr="0081146C" w:rsidRDefault="00035544" w:rsidP="00035544">
      <w:pPr>
        <w:pStyle w:val="paragraph"/>
      </w:pPr>
      <w:r w:rsidRPr="0081146C">
        <w:tab/>
        <w:t>(e)</w:t>
      </w:r>
      <w:r w:rsidRPr="0081146C">
        <w:tab/>
        <w:t xml:space="preserve">at least one provision of </w:t>
      </w:r>
      <w:r w:rsidR="00CA78AA" w:rsidRPr="0081146C">
        <w:t>Division 2</w:t>
      </w:r>
      <w:r w:rsidRPr="0081146C">
        <w:t>, 3 or 4 of Part</w:t>
      </w:r>
      <w:r w:rsidR="004F64A4" w:rsidRPr="0081146C">
        <w:t> </w:t>
      </w:r>
      <w:r w:rsidRPr="0081146C">
        <w:t>2 applies to the provision of the designated service.</w:t>
      </w:r>
    </w:p>
    <w:p w14:paraId="743F93F5" w14:textId="77777777" w:rsidR="00035544" w:rsidRPr="0081146C" w:rsidRDefault="00035544" w:rsidP="00035544">
      <w:pPr>
        <w:pStyle w:val="Penalty"/>
      </w:pPr>
      <w:r w:rsidRPr="0081146C">
        <w:t>Penalty:</w:t>
      </w:r>
      <w:r w:rsidRPr="0081146C">
        <w:tab/>
        <w:t>Imprisonment for 2 years or 120 penalty units, or both.</w:t>
      </w:r>
    </w:p>
    <w:p w14:paraId="461C0BD9" w14:textId="77777777" w:rsidR="003930D9" w:rsidRPr="0081146C" w:rsidRDefault="003930D9" w:rsidP="003930D9">
      <w:pPr>
        <w:pStyle w:val="subsection"/>
      </w:pPr>
      <w:r w:rsidRPr="0081146C">
        <w:tab/>
        <w:t>(2)</w:t>
      </w:r>
      <w:r w:rsidRPr="0081146C">
        <w:tab/>
        <w:t xml:space="preserve">Strict liability applies to the </w:t>
      </w:r>
      <w:r w:rsidR="004F64A4" w:rsidRPr="0081146C">
        <w:t>paragraph (</w:t>
      </w:r>
      <w:r w:rsidRPr="0081146C">
        <w:t>1)(e) element of the offence.</w:t>
      </w:r>
    </w:p>
    <w:p w14:paraId="3CFF68C3" w14:textId="77777777" w:rsidR="003930D9" w:rsidRPr="0081146C" w:rsidRDefault="003930D9" w:rsidP="003930D9">
      <w:pPr>
        <w:pStyle w:val="notetext"/>
      </w:pPr>
      <w:r w:rsidRPr="0081146C">
        <w:t>Note:</w:t>
      </w:r>
      <w:r w:rsidRPr="0081146C">
        <w:tab/>
        <w:t xml:space="preserve">For </w:t>
      </w:r>
      <w:r w:rsidRPr="0081146C">
        <w:rPr>
          <w:b/>
          <w:i/>
        </w:rPr>
        <w:t>strict liability</w:t>
      </w:r>
      <w:r w:rsidRPr="0081146C">
        <w:t>, see section</w:t>
      </w:r>
      <w:r w:rsidR="004F64A4" w:rsidRPr="0081146C">
        <w:t> </w:t>
      </w:r>
      <w:r w:rsidRPr="0081146C">
        <w:t xml:space="preserve">6.1 of the </w:t>
      </w:r>
      <w:r w:rsidRPr="0081146C">
        <w:rPr>
          <w:i/>
        </w:rPr>
        <w:t>Criminal Code</w:t>
      </w:r>
      <w:r w:rsidRPr="0081146C">
        <w:t>.</w:t>
      </w:r>
    </w:p>
    <w:p w14:paraId="2D62CE04" w14:textId="77777777" w:rsidR="00035544" w:rsidRPr="0081146C" w:rsidRDefault="00035544" w:rsidP="00035544">
      <w:pPr>
        <w:pStyle w:val="ActHead5"/>
      </w:pPr>
      <w:bookmarkStart w:id="464" w:name="_Toc185415954"/>
      <w:r w:rsidRPr="0081146C">
        <w:rPr>
          <w:rStyle w:val="CharSectno"/>
        </w:rPr>
        <w:t>142</w:t>
      </w:r>
      <w:r w:rsidRPr="0081146C">
        <w:t xml:space="preserve">  Conducting transactions so as to avoid reporting requirements relating to threshold transactions</w:t>
      </w:r>
      <w:bookmarkEnd w:id="464"/>
    </w:p>
    <w:p w14:paraId="42864CBD" w14:textId="77777777" w:rsidR="00035544" w:rsidRPr="0081146C" w:rsidRDefault="00035544" w:rsidP="00035544">
      <w:pPr>
        <w:pStyle w:val="subsection"/>
      </w:pPr>
      <w:r w:rsidRPr="0081146C">
        <w:tab/>
        <w:t>(1)</w:t>
      </w:r>
      <w:r w:rsidRPr="0081146C">
        <w:tab/>
        <w:t xml:space="preserve">A person (the </w:t>
      </w:r>
      <w:r w:rsidRPr="0081146C">
        <w:rPr>
          <w:b/>
          <w:i/>
        </w:rPr>
        <w:t>first person</w:t>
      </w:r>
      <w:r w:rsidRPr="0081146C">
        <w:t>) commits an offence if:</w:t>
      </w:r>
    </w:p>
    <w:p w14:paraId="353ACDF8" w14:textId="77777777" w:rsidR="00035544" w:rsidRPr="0081146C" w:rsidRDefault="00035544" w:rsidP="00035544">
      <w:pPr>
        <w:pStyle w:val="paragraph"/>
      </w:pPr>
      <w:r w:rsidRPr="0081146C">
        <w:tab/>
        <w:t>(a)</w:t>
      </w:r>
      <w:r w:rsidRPr="0081146C">
        <w:tab/>
        <w:t>the first person is, or causes another person to become, a party to 2 or more non</w:t>
      </w:r>
      <w:r w:rsidR="003B7E15" w:rsidRPr="0081146C">
        <w:noBreakHyphen/>
      </w:r>
      <w:r w:rsidRPr="0081146C">
        <w:t>reportable transactions; and</w:t>
      </w:r>
    </w:p>
    <w:p w14:paraId="2BFC7EBC" w14:textId="77777777" w:rsidR="00035544" w:rsidRPr="0081146C" w:rsidRDefault="00035544" w:rsidP="00035544">
      <w:pPr>
        <w:pStyle w:val="paragraph"/>
      </w:pPr>
      <w:r w:rsidRPr="0081146C">
        <w:tab/>
        <w:t>(b)</w:t>
      </w:r>
      <w:r w:rsidRPr="0081146C">
        <w:tab/>
        <w:t>having regard to:</w:t>
      </w:r>
    </w:p>
    <w:p w14:paraId="1096AB65" w14:textId="77777777" w:rsidR="00035544" w:rsidRPr="0081146C" w:rsidRDefault="00035544" w:rsidP="00035544">
      <w:pPr>
        <w:pStyle w:val="paragraphsub"/>
      </w:pPr>
      <w:r w:rsidRPr="0081146C">
        <w:tab/>
        <w:t>(i)</w:t>
      </w:r>
      <w:r w:rsidRPr="0081146C">
        <w:tab/>
        <w:t xml:space="preserve">the manner and form in which the transactions were conducted, including the matters to which </w:t>
      </w:r>
      <w:r w:rsidR="004F64A4" w:rsidRPr="0081146C">
        <w:t>subsection (</w:t>
      </w:r>
      <w:r w:rsidRPr="0081146C">
        <w:t>3) applies; and</w:t>
      </w:r>
    </w:p>
    <w:p w14:paraId="7F3A04E6" w14:textId="77777777" w:rsidR="00035544" w:rsidRPr="0081146C" w:rsidRDefault="00035544" w:rsidP="00035544">
      <w:pPr>
        <w:pStyle w:val="paragraphsub"/>
      </w:pPr>
      <w:r w:rsidRPr="0081146C">
        <w:tab/>
        <w:t>(ii)</w:t>
      </w:r>
      <w:r w:rsidRPr="0081146C">
        <w:tab/>
        <w:t>any explanation made by the first person as to the manner or form in which the transactions were conducted;</w:t>
      </w:r>
    </w:p>
    <w:p w14:paraId="6FDAE922" w14:textId="4173E3BB" w:rsidR="00035544" w:rsidRPr="0081146C" w:rsidRDefault="00035544" w:rsidP="00035544">
      <w:pPr>
        <w:pStyle w:val="paragraph"/>
      </w:pPr>
      <w:r w:rsidRPr="0081146C">
        <w:tab/>
      </w:r>
      <w:r w:rsidRPr="0081146C">
        <w:tab/>
        <w:t>it would be reasonable to conclude that the first person conducted, or caused the transactions to be conducted, in that manner or form for the sole or dominant purpose of ensuring, or attempting to ensure, that the money</w:t>
      </w:r>
      <w:r w:rsidR="0049002F" w:rsidRPr="0081146C">
        <w:t xml:space="preserve">, </w:t>
      </w:r>
      <w:bookmarkStart w:id="465" w:name="_Hlk172194354"/>
      <w:r w:rsidR="00B04A45" w:rsidRPr="0081146C">
        <w:t>virtual asset</w:t>
      </w:r>
      <w:bookmarkEnd w:id="465"/>
      <w:r w:rsidRPr="0081146C">
        <w:t xml:space="preserve"> or property involved in the transactions was transferred in a manner and form that would not give rise to a threshold transaction that would have been required to have been reported under section</w:t>
      </w:r>
      <w:r w:rsidR="004F64A4" w:rsidRPr="0081146C">
        <w:t> </w:t>
      </w:r>
      <w:r w:rsidRPr="0081146C">
        <w:t>43.</w:t>
      </w:r>
    </w:p>
    <w:p w14:paraId="3C2EA7AD" w14:textId="77777777" w:rsidR="00035544" w:rsidRPr="0081146C" w:rsidRDefault="00035544" w:rsidP="00035544">
      <w:pPr>
        <w:pStyle w:val="Penalty"/>
      </w:pPr>
      <w:r w:rsidRPr="0081146C">
        <w:t>Penalty:</w:t>
      </w:r>
      <w:r w:rsidRPr="0081146C">
        <w:tab/>
        <w:t>Imprisonment for 5 years or 300 penalty units, or both.</w:t>
      </w:r>
    </w:p>
    <w:p w14:paraId="64E36818" w14:textId="2D38C0B7" w:rsidR="00035544" w:rsidRPr="0081146C" w:rsidRDefault="00035544" w:rsidP="00035544">
      <w:pPr>
        <w:pStyle w:val="subsection"/>
      </w:pPr>
      <w:r w:rsidRPr="0081146C">
        <w:tab/>
        <w:t>(2)</w:t>
      </w:r>
      <w:r w:rsidRPr="0081146C">
        <w:tab/>
      </w:r>
      <w:r w:rsidR="004F64A4" w:rsidRPr="0081146C">
        <w:t>Subsection (</w:t>
      </w:r>
      <w:r w:rsidRPr="0081146C">
        <w:t>1) does not apply if the defendant proves that the first person did not conduct the transactions, or cause the transactions to be conducted, as the case may be, for the sole or dominant purpose of ensuring, or attempting to ensure, that the money</w:t>
      </w:r>
      <w:r w:rsidR="0049002F" w:rsidRPr="0081146C">
        <w:t xml:space="preserve">, </w:t>
      </w:r>
      <w:r w:rsidR="00B04A45" w:rsidRPr="0081146C">
        <w:t>virtual asset</w:t>
      </w:r>
      <w:r w:rsidRPr="0081146C">
        <w:t xml:space="preserve"> or property involved in the transactions was transferred in a manner and form that would not give rise to a threshold transaction that would have been required to have been reported under section</w:t>
      </w:r>
      <w:r w:rsidR="004F64A4" w:rsidRPr="0081146C">
        <w:t> </w:t>
      </w:r>
      <w:r w:rsidRPr="0081146C">
        <w:t>43.</w:t>
      </w:r>
    </w:p>
    <w:p w14:paraId="031D4F2B" w14:textId="77777777" w:rsidR="00035544" w:rsidRPr="0081146C" w:rsidRDefault="00035544" w:rsidP="00035544">
      <w:pPr>
        <w:pStyle w:val="notetext"/>
      </w:pPr>
      <w:r w:rsidRPr="0081146C">
        <w:t>Note:</w:t>
      </w:r>
      <w:r w:rsidRPr="0081146C">
        <w:tab/>
        <w:t xml:space="preserve">A defendant bears a legal burden in relation to the matters in </w:t>
      </w:r>
      <w:r w:rsidR="004F64A4" w:rsidRPr="0081146C">
        <w:t>subsection (</w:t>
      </w:r>
      <w:r w:rsidRPr="0081146C">
        <w:t xml:space="preserve">2)—see </w:t>
      </w:r>
      <w:r w:rsidR="003B7E15" w:rsidRPr="0081146C">
        <w:t>section 1</w:t>
      </w:r>
      <w:r w:rsidRPr="0081146C">
        <w:t xml:space="preserve">3.4 of the </w:t>
      </w:r>
      <w:r w:rsidRPr="0081146C">
        <w:rPr>
          <w:i/>
        </w:rPr>
        <w:t>Criminal Code</w:t>
      </w:r>
      <w:r w:rsidRPr="0081146C">
        <w:t>.</w:t>
      </w:r>
    </w:p>
    <w:p w14:paraId="1672CE0F" w14:textId="77777777" w:rsidR="00035544" w:rsidRPr="0081146C" w:rsidRDefault="00035544" w:rsidP="00035544">
      <w:pPr>
        <w:pStyle w:val="subsection"/>
      </w:pPr>
      <w:r w:rsidRPr="0081146C">
        <w:tab/>
        <w:t>(3)</w:t>
      </w:r>
      <w:r w:rsidRPr="0081146C">
        <w:tab/>
        <w:t>This subsection applies to the following matters:</w:t>
      </w:r>
    </w:p>
    <w:p w14:paraId="4D57DA16" w14:textId="1D51DF81" w:rsidR="00035544" w:rsidRPr="0081146C" w:rsidRDefault="00035544" w:rsidP="00035544">
      <w:pPr>
        <w:pStyle w:val="paragraph"/>
      </w:pPr>
      <w:r w:rsidRPr="0081146C">
        <w:tab/>
        <w:t>(a)</w:t>
      </w:r>
      <w:r w:rsidRPr="0081146C">
        <w:tab/>
        <w:t>the value of the money</w:t>
      </w:r>
      <w:r w:rsidR="0049002F" w:rsidRPr="0081146C">
        <w:t xml:space="preserve">, </w:t>
      </w:r>
      <w:bookmarkStart w:id="466" w:name="_Hlk172194355"/>
      <w:r w:rsidR="00B04A45" w:rsidRPr="0081146C">
        <w:t>virtual asset</w:t>
      </w:r>
      <w:bookmarkEnd w:id="466"/>
      <w:r w:rsidRPr="0081146C">
        <w:t xml:space="preserve"> or property involved in each transaction;</w:t>
      </w:r>
    </w:p>
    <w:p w14:paraId="3E565728" w14:textId="77777777" w:rsidR="00035544" w:rsidRPr="0081146C" w:rsidRDefault="00035544" w:rsidP="00035544">
      <w:pPr>
        <w:pStyle w:val="paragraph"/>
      </w:pPr>
      <w:r w:rsidRPr="0081146C">
        <w:tab/>
        <w:t>(b)</w:t>
      </w:r>
      <w:r w:rsidRPr="0081146C">
        <w:tab/>
        <w:t>the total value of the transactions;</w:t>
      </w:r>
    </w:p>
    <w:p w14:paraId="115A7938" w14:textId="77777777" w:rsidR="00035544" w:rsidRPr="0081146C" w:rsidRDefault="00035544" w:rsidP="00035544">
      <w:pPr>
        <w:pStyle w:val="paragraph"/>
      </w:pPr>
      <w:r w:rsidRPr="0081146C">
        <w:tab/>
        <w:t>(c)</w:t>
      </w:r>
      <w:r w:rsidRPr="0081146C">
        <w:tab/>
        <w:t>the period of time over which the transactions took place;</w:t>
      </w:r>
    </w:p>
    <w:p w14:paraId="56E90B18" w14:textId="77777777" w:rsidR="00035544" w:rsidRPr="0081146C" w:rsidRDefault="00035544" w:rsidP="00035544">
      <w:pPr>
        <w:pStyle w:val="paragraph"/>
      </w:pPr>
      <w:r w:rsidRPr="0081146C">
        <w:tab/>
        <w:t>(d)</w:t>
      </w:r>
      <w:r w:rsidRPr="0081146C">
        <w:tab/>
        <w:t>the interval of time between any of the transactions;</w:t>
      </w:r>
    </w:p>
    <w:p w14:paraId="455B88EF" w14:textId="77777777" w:rsidR="00035544" w:rsidRPr="0081146C" w:rsidRDefault="00035544" w:rsidP="00035544">
      <w:pPr>
        <w:pStyle w:val="paragraph"/>
      </w:pPr>
      <w:r w:rsidRPr="0081146C">
        <w:tab/>
        <w:t>(e)</w:t>
      </w:r>
      <w:r w:rsidRPr="0081146C">
        <w:tab/>
        <w:t>the locations at which the transactions took place.</w:t>
      </w:r>
    </w:p>
    <w:p w14:paraId="63A12445" w14:textId="77777777" w:rsidR="000639B5" w:rsidRPr="0081146C" w:rsidRDefault="000639B5" w:rsidP="000639B5">
      <w:pPr>
        <w:pStyle w:val="ActHead5"/>
      </w:pPr>
      <w:bookmarkStart w:id="467" w:name="_Toc185415955"/>
      <w:r w:rsidRPr="0081146C">
        <w:rPr>
          <w:rStyle w:val="CharSectno"/>
        </w:rPr>
        <w:t>143</w:t>
      </w:r>
      <w:r w:rsidRPr="0081146C">
        <w:t xml:space="preserve">  Conducting transfers to avoid reporting requirements relating to cross</w:t>
      </w:r>
      <w:r w:rsidR="003B7E15" w:rsidRPr="0081146C">
        <w:noBreakHyphen/>
      </w:r>
      <w:r w:rsidRPr="0081146C">
        <w:t>border movements of monetary instruments</w:t>
      </w:r>
      <w:bookmarkEnd w:id="467"/>
    </w:p>
    <w:p w14:paraId="37F9570A" w14:textId="77777777" w:rsidR="00035544" w:rsidRPr="0081146C" w:rsidRDefault="00035544" w:rsidP="00035544">
      <w:pPr>
        <w:pStyle w:val="subsection"/>
      </w:pPr>
      <w:r w:rsidRPr="0081146C">
        <w:tab/>
        <w:t>(1)</w:t>
      </w:r>
      <w:r w:rsidRPr="0081146C">
        <w:tab/>
        <w:t xml:space="preserve">A person (the </w:t>
      </w:r>
      <w:r w:rsidRPr="0081146C">
        <w:rPr>
          <w:b/>
          <w:i/>
        </w:rPr>
        <w:t>first person</w:t>
      </w:r>
      <w:r w:rsidRPr="0081146C">
        <w:t>) commits an offence if:</w:t>
      </w:r>
    </w:p>
    <w:p w14:paraId="738CEAA7" w14:textId="77777777" w:rsidR="000639B5" w:rsidRPr="0081146C" w:rsidRDefault="000639B5" w:rsidP="000639B5">
      <w:pPr>
        <w:pStyle w:val="paragraph"/>
      </w:pPr>
      <w:r w:rsidRPr="0081146C">
        <w:tab/>
        <w:t>(a)</w:t>
      </w:r>
      <w:r w:rsidRPr="0081146C">
        <w:tab/>
        <w:t>2 or more non</w:t>
      </w:r>
      <w:r w:rsidR="003B7E15" w:rsidRPr="0081146C">
        <w:noBreakHyphen/>
      </w:r>
      <w:r w:rsidRPr="0081146C">
        <w:t>reportable cross</w:t>
      </w:r>
      <w:r w:rsidR="003B7E15" w:rsidRPr="0081146C">
        <w:noBreakHyphen/>
      </w:r>
      <w:r w:rsidRPr="0081146C">
        <w:t>border movements of monetary instruments are conducted, where each movement was either conducted, or was caused to be conducted, by the first person; and</w:t>
      </w:r>
    </w:p>
    <w:p w14:paraId="00130893" w14:textId="77777777" w:rsidR="00035544" w:rsidRPr="0081146C" w:rsidRDefault="00035544" w:rsidP="00035544">
      <w:pPr>
        <w:pStyle w:val="paragraph"/>
      </w:pPr>
      <w:r w:rsidRPr="0081146C">
        <w:tab/>
        <w:t>(b)</w:t>
      </w:r>
      <w:r w:rsidRPr="0081146C">
        <w:tab/>
        <w:t>having regard to:</w:t>
      </w:r>
    </w:p>
    <w:p w14:paraId="753CA546" w14:textId="77777777" w:rsidR="00035544" w:rsidRPr="0081146C" w:rsidRDefault="00035544" w:rsidP="00035544">
      <w:pPr>
        <w:pStyle w:val="paragraphsub"/>
      </w:pPr>
      <w:r w:rsidRPr="0081146C">
        <w:tab/>
        <w:t>(i)</w:t>
      </w:r>
      <w:r w:rsidRPr="0081146C">
        <w:tab/>
        <w:t xml:space="preserve">the manner and form in which the movements were conducted, including the matters to which </w:t>
      </w:r>
      <w:r w:rsidR="004F64A4" w:rsidRPr="0081146C">
        <w:t>subsection (</w:t>
      </w:r>
      <w:r w:rsidRPr="0081146C">
        <w:t>3) applies; and</w:t>
      </w:r>
    </w:p>
    <w:p w14:paraId="329D5F46" w14:textId="77777777" w:rsidR="00035544" w:rsidRPr="0081146C" w:rsidRDefault="00035544" w:rsidP="00035544">
      <w:pPr>
        <w:pStyle w:val="paragraphsub"/>
      </w:pPr>
      <w:r w:rsidRPr="0081146C">
        <w:tab/>
        <w:t>(ii)</w:t>
      </w:r>
      <w:r w:rsidRPr="0081146C">
        <w:tab/>
        <w:t>any explanation made by the first person as to the manner or form in which the movements were conducted;</w:t>
      </w:r>
    </w:p>
    <w:p w14:paraId="5A5CD6D2" w14:textId="77777777" w:rsidR="00035544" w:rsidRPr="0081146C" w:rsidRDefault="00035544" w:rsidP="00035544">
      <w:pPr>
        <w:pStyle w:val="paragraph"/>
      </w:pPr>
      <w:r w:rsidRPr="0081146C">
        <w:tab/>
      </w:r>
      <w:r w:rsidRPr="0081146C">
        <w:tab/>
        <w:t xml:space="preserve">it would be reasonable to conclude that the first person conducted the movements, or caused the movements to be conducted, as the case may be, in that manner or form for the sole or dominant purpose of ensuring, or attempting to ensure, that no report in relation to the </w:t>
      </w:r>
      <w:r w:rsidR="000639B5" w:rsidRPr="0081146C">
        <w:t>monetary instruments</w:t>
      </w:r>
      <w:r w:rsidRPr="0081146C">
        <w:t xml:space="preserve"> involved in the movements would be made under section</w:t>
      </w:r>
      <w:r w:rsidR="004F64A4" w:rsidRPr="0081146C">
        <w:t> </w:t>
      </w:r>
      <w:r w:rsidRPr="0081146C">
        <w:t>53.</w:t>
      </w:r>
    </w:p>
    <w:p w14:paraId="36AA20B0" w14:textId="77777777" w:rsidR="00035544" w:rsidRPr="0081146C" w:rsidRDefault="00035544" w:rsidP="00035544">
      <w:pPr>
        <w:pStyle w:val="Penalty"/>
      </w:pPr>
      <w:r w:rsidRPr="0081146C">
        <w:t>Penalty:</w:t>
      </w:r>
      <w:r w:rsidRPr="0081146C">
        <w:tab/>
        <w:t>Imprisonment for 5 years or 300 penalty units, or both.</w:t>
      </w:r>
    </w:p>
    <w:p w14:paraId="37B4D714" w14:textId="77777777" w:rsidR="00035544" w:rsidRPr="0081146C" w:rsidRDefault="00035544" w:rsidP="00035544">
      <w:pPr>
        <w:pStyle w:val="subsection"/>
      </w:pPr>
      <w:r w:rsidRPr="0081146C">
        <w:tab/>
        <w:t>(2)</w:t>
      </w:r>
      <w:r w:rsidRPr="0081146C">
        <w:tab/>
      </w:r>
      <w:r w:rsidR="004F64A4" w:rsidRPr="0081146C">
        <w:t>Subsection (</w:t>
      </w:r>
      <w:r w:rsidRPr="0081146C">
        <w:t xml:space="preserve">1) does not apply if the </w:t>
      </w:r>
      <w:r w:rsidR="000639B5" w:rsidRPr="0081146C">
        <w:t>first person</w:t>
      </w:r>
      <w:r w:rsidRPr="0081146C">
        <w:t xml:space="preserve"> proves that the first person did not conduct the movements, or cause the movements to be conducted, as the case may be, for the sole or dominant purpose of ensuring, or attempting to ensure, that no report in relation to the </w:t>
      </w:r>
      <w:r w:rsidR="000639B5" w:rsidRPr="0081146C">
        <w:t>monetary instruments</w:t>
      </w:r>
      <w:r w:rsidRPr="0081146C">
        <w:t xml:space="preserve"> involved in the movements would be made under section</w:t>
      </w:r>
      <w:r w:rsidR="004F64A4" w:rsidRPr="0081146C">
        <w:t> </w:t>
      </w:r>
      <w:r w:rsidRPr="0081146C">
        <w:t>53.</w:t>
      </w:r>
    </w:p>
    <w:p w14:paraId="2FABFD9F" w14:textId="77777777" w:rsidR="00035544" w:rsidRPr="0081146C" w:rsidRDefault="00035544" w:rsidP="00035544">
      <w:pPr>
        <w:pStyle w:val="notetext"/>
      </w:pPr>
      <w:r w:rsidRPr="0081146C">
        <w:t>Note:</w:t>
      </w:r>
      <w:r w:rsidRPr="0081146C">
        <w:tab/>
        <w:t xml:space="preserve">A defendant bears a legal burden in relation to the matters in </w:t>
      </w:r>
      <w:r w:rsidR="004F64A4" w:rsidRPr="0081146C">
        <w:t>subsection (</w:t>
      </w:r>
      <w:r w:rsidRPr="0081146C">
        <w:t xml:space="preserve">2)—see </w:t>
      </w:r>
      <w:r w:rsidR="003B7E15" w:rsidRPr="0081146C">
        <w:t>section 1</w:t>
      </w:r>
      <w:r w:rsidRPr="0081146C">
        <w:t xml:space="preserve">3.4 of the </w:t>
      </w:r>
      <w:r w:rsidRPr="0081146C">
        <w:rPr>
          <w:i/>
        </w:rPr>
        <w:t>Criminal Code</w:t>
      </w:r>
      <w:r w:rsidRPr="0081146C">
        <w:t>.</w:t>
      </w:r>
    </w:p>
    <w:p w14:paraId="742D910E" w14:textId="77777777" w:rsidR="00035544" w:rsidRPr="0081146C" w:rsidRDefault="00035544" w:rsidP="00035544">
      <w:pPr>
        <w:pStyle w:val="subsection"/>
      </w:pPr>
      <w:r w:rsidRPr="0081146C">
        <w:tab/>
        <w:t>(3)</w:t>
      </w:r>
      <w:r w:rsidRPr="0081146C">
        <w:tab/>
        <w:t>This subsection applies to the following matters:</w:t>
      </w:r>
    </w:p>
    <w:p w14:paraId="1322AD31" w14:textId="77777777" w:rsidR="000639B5" w:rsidRPr="0081146C" w:rsidRDefault="000639B5" w:rsidP="000639B5">
      <w:pPr>
        <w:pStyle w:val="paragraph"/>
      </w:pPr>
      <w:r w:rsidRPr="0081146C">
        <w:tab/>
        <w:t>(a)</w:t>
      </w:r>
      <w:r w:rsidRPr="0081146C">
        <w:tab/>
        <w:t>for each movement of the one or more monetary instruments—the sum of the monetary instrument amounts;</w:t>
      </w:r>
    </w:p>
    <w:p w14:paraId="345AE1E1" w14:textId="77777777" w:rsidR="000639B5" w:rsidRPr="0081146C" w:rsidRDefault="000639B5" w:rsidP="000639B5">
      <w:pPr>
        <w:pStyle w:val="paragraph"/>
      </w:pPr>
      <w:r w:rsidRPr="0081146C">
        <w:tab/>
        <w:t>(b)</w:t>
      </w:r>
      <w:r w:rsidRPr="0081146C">
        <w:tab/>
        <w:t>the total of the amounts applicable under paragraph (a) for the movements;</w:t>
      </w:r>
    </w:p>
    <w:p w14:paraId="1D984D9B" w14:textId="77777777" w:rsidR="00035544" w:rsidRPr="0081146C" w:rsidRDefault="00035544" w:rsidP="00035544">
      <w:pPr>
        <w:pStyle w:val="paragraph"/>
      </w:pPr>
      <w:r w:rsidRPr="0081146C">
        <w:tab/>
        <w:t>(c)</w:t>
      </w:r>
      <w:r w:rsidRPr="0081146C">
        <w:tab/>
        <w:t>the period of time over which the movements occurred;</w:t>
      </w:r>
    </w:p>
    <w:p w14:paraId="76E5F71E" w14:textId="77777777" w:rsidR="00035544" w:rsidRPr="0081146C" w:rsidRDefault="00035544" w:rsidP="00035544">
      <w:pPr>
        <w:pStyle w:val="paragraph"/>
      </w:pPr>
      <w:r w:rsidRPr="0081146C">
        <w:tab/>
        <w:t>(d)</w:t>
      </w:r>
      <w:r w:rsidRPr="0081146C">
        <w:tab/>
        <w:t>the interval of time between any of the movements;</w:t>
      </w:r>
    </w:p>
    <w:p w14:paraId="6F46227F" w14:textId="77777777" w:rsidR="00035544" w:rsidRPr="0081146C" w:rsidRDefault="00035544" w:rsidP="00035544">
      <w:pPr>
        <w:pStyle w:val="paragraph"/>
      </w:pPr>
      <w:r w:rsidRPr="0081146C">
        <w:tab/>
        <w:t>(e)</w:t>
      </w:r>
      <w:r w:rsidRPr="0081146C">
        <w:tab/>
        <w:t>the locations at which the movements were initiated or conducted.</w:t>
      </w:r>
    </w:p>
    <w:p w14:paraId="70A651DA" w14:textId="77777777" w:rsidR="00035544" w:rsidRPr="0081146C" w:rsidRDefault="00CA78AA" w:rsidP="00AE2DA2">
      <w:pPr>
        <w:pStyle w:val="ActHead2"/>
        <w:pageBreakBefore/>
      </w:pPr>
      <w:bookmarkStart w:id="468" w:name="_Toc185415956"/>
      <w:r w:rsidRPr="0081146C">
        <w:rPr>
          <w:rStyle w:val="CharPartNo"/>
        </w:rPr>
        <w:t>Part 1</w:t>
      </w:r>
      <w:r w:rsidR="00035544" w:rsidRPr="0081146C">
        <w:rPr>
          <w:rStyle w:val="CharPartNo"/>
        </w:rPr>
        <w:t>3</w:t>
      </w:r>
      <w:r w:rsidR="00035544" w:rsidRPr="0081146C">
        <w:t>—</w:t>
      </w:r>
      <w:r w:rsidR="00035544" w:rsidRPr="0081146C">
        <w:rPr>
          <w:rStyle w:val="CharPartText"/>
        </w:rPr>
        <w:t>Audit</w:t>
      </w:r>
      <w:bookmarkEnd w:id="468"/>
    </w:p>
    <w:p w14:paraId="379F11CE" w14:textId="77777777" w:rsidR="00035544" w:rsidRPr="0081146C" w:rsidRDefault="00CA78AA" w:rsidP="00035544">
      <w:pPr>
        <w:pStyle w:val="ActHead3"/>
      </w:pPr>
      <w:bookmarkStart w:id="469" w:name="_Toc185415957"/>
      <w:r w:rsidRPr="0081146C">
        <w:rPr>
          <w:rStyle w:val="CharDivNo"/>
        </w:rPr>
        <w:t>Division 1</w:t>
      </w:r>
      <w:r w:rsidR="00035544" w:rsidRPr="0081146C">
        <w:t>—</w:t>
      </w:r>
      <w:r w:rsidR="00035544" w:rsidRPr="0081146C">
        <w:rPr>
          <w:rStyle w:val="CharDivText"/>
        </w:rPr>
        <w:t>Introduction</w:t>
      </w:r>
      <w:bookmarkEnd w:id="469"/>
    </w:p>
    <w:p w14:paraId="6C7ADE2E" w14:textId="77777777" w:rsidR="00035544" w:rsidRPr="0081146C" w:rsidRDefault="00035544" w:rsidP="00035544">
      <w:pPr>
        <w:pStyle w:val="ActHead5"/>
      </w:pPr>
      <w:bookmarkStart w:id="470" w:name="_Toc185415958"/>
      <w:r w:rsidRPr="0081146C">
        <w:rPr>
          <w:rStyle w:val="CharSectno"/>
        </w:rPr>
        <w:t>144</w:t>
      </w:r>
      <w:r w:rsidRPr="0081146C">
        <w:t xml:space="preserve">  Simplified outline</w:t>
      </w:r>
      <w:bookmarkEnd w:id="470"/>
    </w:p>
    <w:p w14:paraId="40AA7C74" w14:textId="77777777" w:rsidR="00035544" w:rsidRPr="0081146C" w:rsidRDefault="00035544" w:rsidP="00035544">
      <w:pPr>
        <w:pStyle w:val="subsection"/>
      </w:pPr>
      <w:r w:rsidRPr="0081146C">
        <w:tab/>
      </w:r>
      <w:r w:rsidRPr="0081146C">
        <w:tab/>
        <w:t>The following is a simplified outline of this Part:</w:t>
      </w:r>
    </w:p>
    <w:p w14:paraId="67753DCA" w14:textId="77777777" w:rsidR="00035544" w:rsidRPr="0081146C" w:rsidRDefault="00035544" w:rsidP="00035544">
      <w:pPr>
        <w:pStyle w:val="BoxList"/>
      </w:pPr>
      <w:r w:rsidRPr="0081146C">
        <w:t>•</w:t>
      </w:r>
      <w:r w:rsidRPr="0081146C">
        <w:tab/>
        <w:t>An authorised officer may enter any reporting entity business premises:</w:t>
      </w:r>
    </w:p>
    <w:p w14:paraId="17D04B72" w14:textId="77777777" w:rsidR="00035544" w:rsidRPr="0081146C" w:rsidRDefault="00035544" w:rsidP="00035544">
      <w:pPr>
        <w:pStyle w:val="BoxPara"/>
      </w:pPr>
      <w:r w:rsidRPr="0081146C">
        <w:tab/>
        <w:t>(a)</w:t>
      </w:r>
      <w:r w:rsidRPr="0081146C">
        <w:tab/>
        <w:t>with the occupier’s consent; or</w:t>
      </w:r>
    </w:p>
    <w:p w14:paraId="2CEB1ED2" w14:textId="77777777" w:rsidR="00035544" w:rsidRPr="0081146C" w:rsidRDefault="00035544" w:rsidP="00035544">
      <w:pPr>
        <w:pStyle w:val="BoxPara"/>
      </w:pPr>
      <w:r w:rsidRPr="0081146C">
        <w:tab/>
        <w:t>(b)</w:t>
      </w:r>
      <w:r w:rsidRPr="0081146C">
        <w:tab/>
        <w:t>under a monitoring warrant.</w:t>
      </w:r>
    </w:p>
    <w:p w14:paraId="530A1FED" w14:textId="77777777" w:rsidR="00035544" w:rsidRPr="0081146C" w:rsidRDefault="00035544" w:rsidP="00035544">
      <w:pPr>
        <w:pStyle w:val="BoxList"/>
      </w:pPr>
      <w:r w:rsidRPr="0081146C">
        <w:t>•</w:t>
      </w:r>
      <w:r w:rsidRPr="0081146C">
        <w:tab/>
        <w:t>An authorised officer who enters any reporting entity business premises may exercise monitoring powers.</w:t>
      </w:r>
    </w:p>
    <w:p w14:paraId="4677A56F" w14:textId="77777777" w:rsidR="00035544" w:rsidRPr="0081146C" w:rsidRDefault="00035544" w:rsidP="00035544">
      <w:pPr>
        <w:pStyle w:val="BoxList"/>
      </w:pPr>
      <w:r w:rsidRPr="0081146C">
        <w:t>•</w:t>
      </w:r>
      <w:r w:rsidRPr="0081146C">
        <w:tab/>
        <w:t>The AUSTRAC CEO may require a reporting entity to carry out an external audit or a money laundering and terrorism financing risk assessment.</w:t>
      </w:r>
    </w:p>
    <w:p w14:paraId="77126119" w14:textId="77777777" w:rsidR="00035544" w:rsidRPr="0081146C" w:rsidRDefault="00CA78AA" w:rsidP="00AE2DA2">
      <w:pPr>
        <w:pStyle w:val="ActHead3"/>
        <w:pageBreakBefore/>
      </w:pPr>
      <w:bookmarkStart w:id="471" w:name="_Toc185415959"/>
      <w:r w:rsidRPr="0081146C">
        <w:rPr>
          <w:rStyle w:val="CharDivNo"/>
        </w:rPr>
        <w:t>Division 2</w:t>
      </w:r>
      <w:r w:rsidR="00035544" w:rsidRPr="0081146C">
        <w:t>—</w:t>
      </w:r>
      <w:r w:rsidR="00035544" w:rsidRPr="0081146C">
        <w:rPr>
          <w:rStyle w:val="CharDivText"/>
        </w:rPr>
        <w:t>Appointment of authorised officers and issue of identity cards</w:t>
      </w:r>
      <w:bookmarkEnd w:id="471"/>
    </w:p>
    <w:p w14:paraId="1723EAC1" w14:textId="77777777" w:rsidR="00035544" w:rsidRPr="0081146C" w:rsidRDefault="00035544" w:rsidP="00035544">
      <w:pPr>
        <w:pStyle w:val="ActHead5"/>
      </w:pPr>
      <w:bookmarkStart w:id="472" w:name="_Toc185415960"/>
      <w:r w:rsidRPr="0081146C">
        <w:rPr>
          <w:rStyle w:val="CharSectno"/>
        </w:rPr>
        <w:t>145</w:t>
      </w:r>
      <w:r w:rsidRPr="0081146C">
        <w:t xml:space="preserve">  Appointment of authorised officers</w:t>
      </w:r>
      <w:bookmarkEnd w:id="472"/>
    </w:p>
    <w:p w14:paraId="57F1AC87" w14:textId="77777777" w:rsidR="000B110C" w:rsidRPr="0081146C" w:rsidRDefault="000B110C" w:rsidP="000B110C">
      <w:pPr>
        <w:pStyle w:val="subsection"/>
      </w:pPr>
      <w:r w:rsidRPr="0081146C">
        <w:tab/>
        <w:t>(1)</w:t>
      </w:r>
      <w:r w:rsidRPr="0081146C">
        <w:tab/>
        <w:t>The AUSTRAC CEO may, in writing, appoint as an authorised officer for the purposes of this Act:</w:t>
      </w:r>
    </w:p>
    <w:p w14:paraId="6D749CA5" w14:textId="77777777" w:rsidR="000B110C" w:rsidRPr="0081146C" w:rsidRDefault="000B110C" w:rsidP="000B110C">
      <w:pPr>
        <w:pStyle w:val="paragraph"/>
      </w:pPr>
      <w:r w:rsidRPr="0081146C">
        <w:tab/>
        <w:t>(a)</w:t>
      </w:r>
      <w:r w:rsidRPr="0081146C">
        <w:tab/>
        <w:t>a member of the staff of AUSTRAC; or</w:t>
      </w:r>
    </w:p>
    <w:p w14:paraId="2DAA4B78" w14:textId="77777777" w:rsidR="000B110C" w:rsidRPr="0081146C" w:rsidRDefault="000B110C" w:rsidP="000B110C">
      <w:pPr>
        <w:pStyle w:val="paragraph"/>
      </w:pPr>
      <w:r w:rsidRPr="0081146C">
        <w:tab/>
        <w:t>(b)</w:t>
      </w:r>
      <w:r w:rsidRPr="0081146C">
        <w:tab/>
        <w:t>a person whose services are made available to the AUSTRAC CEO under subsection</w:t>
      </w:r>
      <w:r w:rsidR="004F64A4" w:rsidRPr="0081146C">
        <w:t> </w:t>
      </w:r>
      <w:r w:rsidRPr="0081146C">
        <w:t>225(3), other than a person covered by paragraph</w:t>
      </w:r>
      <w:r w:rsidR="004F64A4" w:rsidRPr="0081146C">
        <w:t> </w:t>
      </w:r>
      <w:r w:rsidRPr="0081146C">
        <w:t>225(3)(g).</w:t>
      </w:r>
    </w:p>
    <w:p w14:paraId="791E193A" w14:textId="77777777" w:rsidR="000B110C" w:rsidRPr="0081146C" w:rsidRDefault="000B110C" w:rsidP="000B110C">
      <w:pPr>
        <w:pStyle w:val="notetext"/>
      </w:pPr>
      <w:r w:rsidRPr="0081146C">
        <w:t>Note:</w:t>
      </w:r>
      <w:r w:rsidRPr="0081146C">
        <w:tab/>
        <w:t>For revocation, see subsection</w:t>
      </w:r>
      <w:r w:rsidR="004F64A4" w:rsidRPr="0081146C">
        <w:t> </w:t>
      </w:r>
      <w:r w:rsidRPr="0081146C">
        <w:t xml:space="preserve">33(3) of the </w:t>
      </w:r>
      <w:r w:rsidRPr="0081146C">
        <w:rPr>
          <w:i/>
        </w:rPr>
        <w:t>Acts Interpretation Act 1901</w:t>
      </w:r>
      <w:r w:rsidRPr="0081146C">
        <w:t>.</w:t>
      </w:r>
    </w:p>
    <w:p w14:paraId="12BAAFB9" w14:textId="77777777" w:rsidR="00035544" w:rsidRPr="0081146C" w:rsidRDefault="00035544" w:rsidP="00035544">
      <w:pPr>
        <w:pStyle w:val="subsection"/>
      </w:pPr>
      <w:r w:rsidRPr="0081146C">
        <w:tab/>
        <w:t>(2)</w:t>
      </w:r>
      <w:r w:rsidRPr="0081146C">
        <w:tab/>
        <w:t>The AUSTRAC CEO must not appoint a person to be an authorised officer unless the person satisfies the conditions (if any) specified in the regulations.</w:t>
      </w:r>
    </w:p>
    <w:p w14:paraId="1EF4042E" w14:textId="77777777" w:rsidR="00035544" w:rsidRPr="0081146C" w:rsidRDefault="00035544" w:rsidP="00035544">
      <w:pPr>
        <w:pStyle w:val="subsection"/>
      </w:pPr>
      <w:r w:rsidRPr="0081146C">
        <w:tab/>
        <w:t>(3)</w:t>
      </w:r>
      <w:r w:rsidRPr="0081146C">
        <w:tab/>
        <w:t>In exercising powers or performing functions as an authorised officer, an authorised officer must comply with any directions of the AUSTRAC CEO.</w:t>
      </w:r>
    </w:p>
    <w:p w14:paraId="1251267D" w14:textId="77777777" w:rsidR="00035544" w:rsidRPr="0081146C" w:rsidRDefault="00035544" w:rsidP="00035544">
      <w:pPr>
        <w:pStyle w:val="ActHead5"/>
      </w:pPr>
      <w:bookmarkStart w:id="473" w:name="_Toc185415961"/>
      <w:r w:rsidRPr="0081146C">
        <w:rPr>
          <w:rStyle w:val="CharSectno"/>
        </w:rPr>
        <w:t>146</w:t>
      </w:r>
      <w:r w:rsidRPr="0081146C">
        <w:t xml:space="preserve">  Identity cards</w:t>
      </w:r>
      <w:bookmarkEnd w:id="473"/>
    </w:p>
    <w:p w14:paraId="4E3E51B7" w14:textId="77777777" w:rsidR="00035544" w:rsidRPr="0081146C" w:rsidRDefault="00035544" w:rsidP="00035544">
      <w:pPr>
        <w:pStyle w:val="subsection"/>
      </w:pPr>
      <w:r w:rsidRPr="0081146C">
        <w:tab/>
        <w:t>(1)</w:t>
      </w:r>
      <w:r w:rsidRPr="0081146C">
        <w:tab/>
        <w:t>The AUSTRAC CEO must issue an identity card to an authorised officer.</w:t>
      </w:r>
    </w:p>
    <w:p w14:paraId="47D1BE2F" w14:textId="77777777" w:rsidR="00035544" w:rsidRPr="0081146C" w:rsidRDefault="00035544" w:rsidP="00035544">
      <w:pPr>
        <w:pStyle w:val="subsection"/>
      </w:pPr>
      <w:r w:rsidRPr="0081146C">
        <w:tab/>
        <w:t>(2)</w:t>
      </w:r>
      <w:r w:rsidRPr="0081146C">
        <w:tab/>
        <w:t>The identity card must</w:t>
      </w:r>
    </w:p>
    <w:p w14:paraId="5479EFB5" w14:textId="77777777" w:rsidR="00035544" w:rsidRPr="0081146C" w:rsidRDefault="00035544" w:rsidP="00035544">
      <w:pPr>
        <w:pStyle w:val="paragraph"/>
      </w:pPr>
      <w:r w:rsidRPr="0081146C">
        <w:tab/>
        <w:t>(a)</w:t>
      </w:r>
      <w:r w:rsidRPr="0081146C">
        <w:tab/>
        <w:t>be in a form approved in writing by the AUSTRAC CEO; and</w:t>
      </w:r>
    </w:p>
    <w:p w14:paraId="64EDDC67" w14:textId="77777777" w:rsidR="00035544" w:rsidRPr="0081146C" w:rsidRDefault="00035544" w:rsidP="00035544">
      <w:pPr>
        <w:pStyle w:val="paragraph"/>
      </w:pPr>
      <w:r w:rsidRPr="0081146C">
        <w:tab/>
        <w:t>(b)</w:t>
      </w:r>
      <w:r w:rsidRPr="0081146C">
        <w:tab/>
        <w:t>contain a recent photograph of the authorised officer.</w:t>
      </w:r>
    </w:p>
    <w:p w14:paraId="142D399B" w14:textId="77777777" w:rsidR="00035544" w:rsidRPr="0081146C" w:rsidRDefault="00035544" w:rsidP="00035544">
      <w:pPr>
        <w:pStyle w:val="subsection"/>
      </w:pPr>
      <w:r w:rsidRPr="0081146C">
        <w:tab/>
        <w:t>(3)</w:t>
      </w:r>
      <w:r w:rsidRPr="0081146C">
        <w:tab/>
        <w:t>A person commits an offence if:</w:t>
      </w:r>
    </w:p>
    <w:p w14:paraId="2607AF26" w14:textId="77777777" w:rsidR="00035544" w:rsidRPr="0081146C" w:rsidRDefault="00035544" w:rsidP="00035544">
      <w:pPr>
        <w:pStyle w:val="paragraph"/>
      </w:pPr>
      <w:r w:rsidRPr="0081146C">
        <w:tab/>
        <w:t>(a)</w:t>
      </w:r>
      <w:r w:rsidRPr="0081146C">
        <w:tab/>
        <w:t>the person has been issued with an identity card; and</w:t>
      </w:r>
    </w:p>
    <w:p w14:paraId="0FD7155B" w14:textId="77777777" w:rsidR="00035544" w:rsidRPr="0081146C" w:rsidRDefault="00035544" w:rsidP="00035544">
      <w:pPr>
        <w:pStyle w:val="paragraph"/>
      </w:pPr>
      <w:r w:rsidRPr="0081146C">
        <w:tab/>
        <w:t>(b)</w:t>
      </w:r>
      <w:r w:rsidRPr="0081146C">
        <w:tab/>
        <w:t>the person ceases to be an authorised officer; and</w:t>
      </w:r>
    </w:p>
    <w:p w14:paraId="495B01A6" w14:textId="77777777" w:rsidR="00035544" w:rsidRPr="0081146C" w:rsidRDefault="00035544" w:rsidP="00035544">
      <w:pPr>
        <w:pStyle w:val="paragraph"/>
      </w:pPr>
      <w:r w:rsidRPr="0081146C">
        <w:tab/>
        <w:t>(c)</w:t>
      </w:r>
      <w:r w:rsidRPr="0081146C">
        <w:tab/>
        <w:t>the person does not, within 3 business days after so ceasing, return the identity card to the AUSTRAC CEO.</w:t>
      </w:r>
    </w:p>
    <w:p w14:paraId="435B22FC" w14:textId="77777777" w:rsidR="00035544" w:rsidRPr="0081146C" w:rsidRDefault="00035544" w:rsidP="00035544">
      <w:pPr>
        <w:pStyle w:val="Penalty"/>
      </w:pPr>
      <w:r w:rsidRPr="0081146C">
        <w:t>Penalty:</w:t>
      </w:r>
      <w:r w:rsidRPr="0081146C">
        <w:tab/>
        <w:t>1 penalty unit.</w:t>
      </w:r>
    </w:p>
    <w:p w14:paraId="1A59E3AF" w14:textId="77777777" w:rsidR="00035544" w:rsidRPr="0081146C" w:rsidRDefault="00035544" w:rsidP="00067AB9">
      <w:pPr>
        <w:pStyle w:val="subsection"/>
        <w:keepNext/>
        <w:keepLines/>
      </w:pPr>
      <w:r w:rsidRPr="0081146C">
        <w:tab/>
        <w:t>(4)</w:t>
      </w:r>
      <w:r w:rsidRPr="0081146C">
        <w:tab/>
      </w:r>
      <w:r w:rsidR="004F64A4" w:rsidRPr="0081146C">
        <w:t>Subsection (</w:t>
      </w:r>
      <w:r w:rsidRPr="0081146C">
        <w:t>3) does not apply if the person has a reasonable excuse.</w:t>
      </w:r>
    </w:p>
    <w:p w14:paraId="058064A7"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4) (see sub</w:t>
      </w:r>
      <w:r w:rsidR="003B7E15" w:rsidRPr="0081146C">
        <w:t>section 1</w:t>
      </w:r>
      <w:r w:rsidRPr="0081146C">
        <w:t xml:space="preserve">3.3(3) of the </w:t>
      </w:r>
      <w:r w:rsidRPr="0081146C">
        <w:rPr>
          <w:i/>
        </w:rPr>
        <w:t>Criminal Code</w:t>
      </w:r>
      <w:r w:rsidRPr="0081146C">
        <w:t>).</w:t>
      </w:r>
    </w:p>
    <w:p w14:paraId="29A2175D" w14:textId="77777777" w:rsidR="00035544" w:rsidRPr="0081146C" w:rsidRDefault="00035544" w:rsidP="00035544">
      <w:pPr>
        <w:pStyle w:val="subsection"/>
      </w:pPr>
      <w:r w:rsidRPr="0081146C">
        <w:tab/>
        <w:t>(5)</w:t>
      </w:r>
      <w:r w:rsidRPr="0081146C">
        <w:tab/>
        <w:t>An authorised officer must carry the identity card at all times when exercising powers or performing functions as an authorised officer under this Part.</w:t>
      </w:r>
    </w:p>
    <w:p w14:paraId="4A670335" w14:textId="77777777" w:rsidR="00035544" w:rsidRPr="0081146C" w:rsidRDefault="00CA78AA" w:rsidP="00AE2DA2">
      <w:pPr>
        <w:pStyle w:val="ActHead3"/>
        <w:pageBreakBefore/>
      </w:pPr>
      <w:bookmarkStart w:id="474" w:name="_Toc185415962"/>
      <w:r w:rsidRPr="0081146C">
        <w:rPr>
          <w:rStyle w:val="CharDivNo"/>
        </w:rPr>
        <w:t>Division 3</w:t>
      </w:r>
      <w:r w:rsidR="00035544" w:rsidRPr="0081146C">
        <w:t>—</w:t>
      </w:r>
      <w:r w:rsidR="00035544" w:rsidRPr="0081146C">
        <w:rPr>
          <w:rStyle w:val="CharDivText"/>
        </w:rPr>
        <w:t>Powers of authorised officers</w:t>
      </w:r>
      <w:bookmarkEnd w:id="474"/>
    </w:p>
    <w:p w14:paraId="6CF2D979" w14:textId="77777777" w:rsidR="00035544" w:rsidRPr="0081146C" w:rsidRDefault="00035544" w:rsidP="00035544">
      <w:pPr>
        <w:pStyle w:val="ActHead4"/>
      </w:pPr>
      <w:bookmarkStart w:id="475" w:name="_Toc185415963"/>
      <w:r w:rsidRPr="0081146C">
        <w:rPr>
          <w:rStyle w:val="CharSubdNo"/>
        </w:rPr>
        <w:t>Subdivision A</w:t>
      </w:r>
      <w:r w:rsidRPr="0081146C">
        <w:t>—</w:t>
      </w:r>
      <w:r w:rsidRPr="0081146C">
        <w:rPr>
          <w:rStyle w:val="CharSubdText"/>
        </w:rPr>
        <w:t>Monitoring powers</w:t>
      </w:r>
      <w:bookmarkEnd w:id="475"/>
    </w:p>
    <w:p w14:paraId="3B8DF343" w14:textId="77777777" w:rsidR="00035544" w:rsidRPr="0081146C" w:rsidRDefault="00035544" w:rsidP="00035544">
      <w:pPr>
        <w:pStyle w:val="ActHead5"/>
      </w:pPr>
      <w:bookmarkStart w:id="476" w:name="_Toc185415964"/>
      <w:r w:rsidRPr="0081146C">
        <w:rPr>
          <w:rStyle w:val="CharSectno"/>
        </w:rPr>
        <w:t>147</w:t>
      </w:r>
      <w:r w:rsidRPr="0081146C">
        <w:t xml:space="preserve">  Authorised officer may enter premises by consent or under a monitoring warrant</w:t>
      </w:r>
      <w:bookmarkEnd w:id="476"/>
    </w:p>
    <w:p w14:paraId="4FBA385E" w14:textId="77777777" w:rsidR="00035544" w:rsidRPr="0081146C" w:rsidRDefault="00035544" w:rsidP="00035544">
      <w:pPr>
        <w:pStyle w:val="subsection"/>
      </w:pPr>
      <w:r w:rsidRPr="0081146C">
        <w:tab/>
        <w:t>(1)</w:t>
      </w:r>
      <w:r w:rsidRPr="0081146C">
        <w:tab/>
        <w:t>For the purposes of determining whether the provisions of this Act, the regulations or the AML/CTF Rules have been complied with, an authorised officer may:</w:t>
      </w:r>
    </w:p>
    <w:p w14:paraId="36113E9F" w14:textId="77777777" w:rsidR="00035544" w:rsidRPr="0081146C" w:rsidRDefault="00035544" w:rsidP="00035544">
      <w:pPr>
        <w:pStyle w:val="paragraph"/>
      </w:pPr>
      <w:r w:rsidRPr="0081146C">
        <w:tab/>
        <w:t>(a)</w:t>
      </w:r>
      <w:r w:rsidRPr="0081146C">
        <w:tab/>
        <w:t>enter any reporting entity business premises at any reasonable time of the day; and</w:t>
      </w:r>
    </w:p>
    <w:p w14:paraId="4E9C36BF" w14:textId="77777777" w:rsidR="00035544" w:rsidRPr="0081146C" w:rsidRDefault="00035544" w:rsidP="00035544">
      <w:pPr>
        <w:pStyle w:val="paragraph"/>
      </w:pPr>
      <w:r w:rsidRPr="0081146C">
        <w:tab/>
        <w:t>(b)</w:t>
      </w:r>
      <w:r w:rsidRPr="0081146C">
        <w:tab/>
        <w:t xml:space="preserve">exercise the monitoring powers set out in </w:t>
      </w:r>
      <w:r w:rsidR="003B7E15" w:rsidRPr="0081146C">
        <w:t>section 1</w:t>
      </w:r>
      <w:r w:rsidRPr="0081146C">
        <w:t>48.</w:t>
      </w:r>
    </w:p>
    <w:p w14:paraId="59ED272F" w14:textId="77777777" w:rsidR="00035544" w:rsidRPr="0081146C" w:rsidRDefault="00035544" w:rsidP="00035544">
      <w:pPr>
        <w:pStyle w:val="subsection"/>
      </w:pPr>
      <w:r w:rsidRPr="0081146C">
        <w:tab/>
        <w:t>(2)</w:t>
      </w:r>
      <w:r w:rsidRPr="0081146C">
        <w:tab/>
        <w:t xml:space="preserve">An authorised officer is not authorised to enter premises under </w:t>
      </w:r>
      <w:r w:rsidR="004F64A4" w:rsidRPr="0081146C">
        <w:t>subsection (</w:t>
      </w:r>
      <w:r w:rsidRPr="0081146C">
        <w:t>1) unless:</w:t>
      </w:r>
    </w:p>
    <w:p w14:paraId="7A052231" w14:textId="77777777" w:rsidR="00035544" w:rsidRPr="0081146C" w:rsidRDefault="00035544" w:rsidP="00035544">
      <w:pPr>
        <w:pStyle w:val="paragraph"/>
      </w:pPr>
      <w:r w:rsidRPr="0081146C">
        <w:tab/>
        <w:t>(a)</w:t>
      </w:r>
      <w:r w:rsidRPr="0081146C">
        <w:tab/>
        <w:t>the occupier of the premises has consented to the entry and the officer has shown his or her identity card if required by the occupier; or</w:t>
      </w:r>
    </w:p>
    <w:p w14:paraId="31FDB620" w14:textId="77777777" w:rsidR="00035544" w:rsidRPr="0081146C" w:rsidRDefault="00035544" w:rsidP="00035544">
      <w:pPr>
        <w:pStyle w:val="paragraph"/>
      </w:pPr>
      <w:r w:rsidRPr="0081146C">
        <w:tab/>
        <w:t>(b)</w:t>
      </w:r>
      <w:r w:rsidRPr="0081146C">
        <w:tab/>
        <w:t>the entry is made under a monitoring warrant.</w:t>
      </w:r>
    </w:p>
    <w:p w14:paraId="6D40BB12" w14:textId="77777777" w:rsidR="00035544" w:rsidRPr="0081146C" w:rsidRDefault="00035544" w:rsidP="00035544">
      <w:pPr>
        <w:pStyle w:val="notetext"/>
        <w:rPr>
          <w:kern w:val="28"/>
        </w:rPr>
      </w:pPr>
      <w:r w:rsidRPr="0081146C">
        <w:rPr>
          <w:kern w:val="28"/>
        </w:rPr>
        <w:t>Note:</w:t>
      </w:r>
      <w:r w:rsidRPr="0081146C">
        <w:rPr>
          <w:kern w:val="28"/>
        </w:rPr>
        <w:tab/>
      </w:r>
      <w:r w:rsidRPr="0081146C">
        <w:t xml:space="preserve">Monitoring </w:t>
      </w:r>
      <w:r w:rsidRPr="0081146C">
        <w:rPr>
          <w:kern w:val="28"/>
        </w:rPr>
        <w:t xml:space="preserve">warrants are issued under </w:t>
      </w:r>
      <w:r w:rsidR="003B7E15" w:rsidRPr="0081146C">
        <w:rPr>
          <w:kern w:val="28"/>
        </w:rPr>
        <w:t>section 1</w:t>
      </w:r>
      <w:r w:rsidRPr="0081146C">
        <w:rPr>
          <w:kern w:val="28"/>
        </w:rPr>
        <w:t>59.</w:t>
      </w:r>
    </w:p>
    <w:p w14:paraId="67558C62" w14:textId="77777777" w:rsidR="00035544" w:rsidRPr="0081146C" w:rsidRDefault="00035544" w:rsidP="00035544">
      <w:pPr>
        <w:pStyle w:val="subsection"/>
      </w:pPr>
      <w:r w:rsidRPr="0081146C">
        <w:tab/>
        <w:t>(3)</w:t>
      </w:r>
      <w:r w:rsidRPr="0081146C">
        <w:tab/>
        <w:t>If an authorised officer is on the premises with the consent of the occupier, the authorised officer must leave the premises if the occupier asks the authorised officer to do so.</w:t>
      </w:r>
    </w:p>
    <w:p w14:paraId="57F78CB4" w14:textId="77777777" w:rsidR="00035544" w:rsidRPr="0081146C" w:rsidRDefault="00035544" w:rsidP="00035544">
      <w:pPr>
        <w:pStyle w:val="ActHead5"/>
      </w:pPr>
      <w:bookmarkStart w:id="477" w:name="_Toc185415965"/>
      <w:r w:rsidRPr="0081146C">
        <w:rPr>
          <w:rStyle w:val="CharSectno"/>
        </w:rPr>
        <w:t>148</w:t>
      </w:r>
      <w:r w:rsidRPr="0081146C">
        <w:t xml:space="preserve">  Monitoring powers of authorised officers</w:t>
      </w:r>
      <w:bookmarkEnd w:id="477"/>
    </w:p>
    <w:p w14:paraId="4EDDADF5" w14:textId="77777777" w:rsidR="00035544" w:rsidRPr="0081146C" w:rsidRDefault="00035544" w:rsidP="00035544">
      <w:pPr>
        <w:pStyle w:val="subsection"/>
      </w:pPr>
      <w:r w:rsidRPr="0081146C">
        <w:tab/>
        <w:t>(1)</w:t>
      </w:r>
      <w:r w:rsidRPr="0081146C">
        <w:tab/>
        <w:t xml:space="preserve">For the purposes of this Act, the following are the </w:t>
      </w:r>
      <w:r w:rsidRPr="0081146C">
        <w:rPr>
          <w:b/>
          <w:i/>
        </w:rPr>
        <w:t>monitoring powers</w:t>
      </w:r>
      <w:r w:rsidRPr="0081146C">
        <w:t xml:space="preserve"> that an authorised officer may exercise, in relation to premises, under </w:t>
      </w:r>
      <w:r w:rsidR="003B7E15" w:rsidRPr="0081146C">
        <w:t>section 1</w:t>
      </w:r>
      <w:r w:rsidRPr="0081146C">
        <w:t>47:</w:t>
      </w:r>
    </w:p>
    <w:p w14:paraId="29675E4E" w14:textId="77777777" w:rsidR="00035544" w:rsidRPr="0081146C" w:rsidRDefault="00035544" w:rsidP="00035544">
      <w:pPr>
        <w:pStyle w:val="paragraph"/>
      </w:pPr>
      <w:r w:rsidRPr="0081146C">
        <w:tab/>
        <w:t>(a)</w:t>
      </w:r>
      <w:r w:rsidRPr="0081146C">
        <w:tab/>
        <w:t>the power to search the premises for any compliance records that:</w:t>
      </w:r>
    </w:p>
    <w:p w14:paraId="7D99A90E" w14:textId="77777777" w:rsidR="00035544" w:rsidRPr="0081146C" w:rsidRDefault="00035544" w:rsidP="00035544">
      <w:pPr>
        <w:pStyle w:val="paragraphsub"/>
      </w:pPr>
      <w:r w:rsidRPr="0081146C">
        <w:tab/>
        <w:t>(i)</w:t>
      </w:r>
      <w:r w:rsidRPr="0081146C">
        <w:tab/>
        <w:t>are kept at, or accessible from, the premises; and</w:t>
      </w:r>
    </w:p>
    <w:p w14:paraId="0AF76C4F" w14:textId="77777777" w:rsidR="00035544" w:rsidRPr="0081146C" w:rsidRDefault="00035544" w:rsidP="00035544">
      <w:pPr>
        <w:pStyle w:val="paragraphsub"/>
      </w:pPr>
      <w:r w:rsidRPr="0081146C">
        <w:tab/>
        <w:t>(ii)</w:t>
      </w:r>
      <w:r w:rsidRPr="0081146C">
        <w:tab/>
        <w:t>relate to a reporting entity;</w:t>
      </w:r>
    </w:p>
    <w:p w14:paraId="5102CDAB" w14:textId="77777777" w:rsidR="00035544" w:rsidRPr="0081146C" w:rsidRDefault="00035544" w:rsidP="00035544">
      <w:pPr>
        <w:pStyle w:val="paragraph"/>
      </w:pPr>
      <w:r w:rsidRPr="0081146C">
        <w:tab/>
        <w:t>(b)</w:t>
      </w:r>
      <w:r w:rsidRPr="0081146C">
        <w:tab/>
        <w:t>the power to search the premises for any system used by a reporting entity at the premises for keeping those records;</w:t>
      </w:r>
    </w:p>
    <w:p w14:paraId="7398F116" w14:textId="77777777" w:rsidR="00035544" w:rsidRPr="0081146C" w:rsidRDefault="00035544" w:rsidP="00035544">
      <w:pPr>
        <w:pStyle w:val="paragraph"/>
      </w:pPr>
      <w:r w:rsidRPr="0081146C">
        <w:tab/>
        <w:t>(c)</w:t>
      </w:r>
      <w:r w:rsidRPr="0081146C">
        <w:tab/>
        <w:t>the power to search the premises for any reports under this Act that are retained at, or accessible from, the premises;</w:t>
      </w:r>
    </w:p>
    <w:p w14:paraId="4D65BC46" w14:textId="77777777" w:rsidR="00035544" w:rsidRPr="0081146C" w:rsidRDefault="00035544" w:rsidP="00035544">
      <w:pPr>
        <w:pStyle w:val="paragraph"/>
      </w:pPr>
      <w:r w:rsidRPr="0081146C">
        <w:tab/>
        <w:t>(d)</w:t>
      </w:r>
      <w:r w:rsidRPr="0081146C">
        <w:tab/>
        <w:t>the power to search the premises for any system used by a reporting entity in connection with:</w:t>
      </w:r>
    </w:p>
    <w:p w14:paraId="52F496D4" w14:textId="77777777" w:rsidR="00035544" w:rsidRPr="0081146C" w:rsidRDefault="00035544" w:rsidP="00035544">
      <w:pPr>
        <w:pStyle w:val="paragraphsub"/>
      </w:pPr>
      <w:r w:rsidRPr="0081146C">
        <w:tab/>
        <w:t>(i)</w:t>
      </w:r>
      <w:r w:rsidRPr="0081146C">
        <w:tab/>
        <w:t>preparing reports under this Act; or</w:t>
      </w:r>
    </w:p>
    <w:p w14:paraId="0C4B3536" w14:textId="77777777" w:rsidR="00035544" w:rsidRPr="0081146C" w:rsidRDefault="00035544" w:rsidP="00035544">
      <w:pPr>
        <w:pStyle w:val="paragraphsub"/>
      </w:pPr>
      <w:r w:rsidRPr="0081146C">
        <w:tab/>
        <w:t>(ii)</w:t>
      </w:r>
      <w:r w:rsidRPr="0081146C">
        <w:tab/>
        <w:t>sending such reports to the AUSTRAC CEO; or</w:t>
      </w:r>
    </w:p>
    <w:p w14:paraId="3C450533" w14:textId="77777777" w:rsidR="00035544" w:rsidRPr="0081146C" w:rsidRDefault="00035544" w:rsidP="00035544">
      <w:pPr>
        <w:pStyle w:val="paragraphsub"/>
      </w:pPr>
      <w:r w:rsidRPr="0081146C">
        <w:tab/>
        <w:t>(iii)</w:t>
      </w:r>
      <w:r w:rsidRPr="0081146C">
        <w:tab/>
        <w:t>retaining such reports;</w:t>
      </w:r>
    </w:p>
    <w:p w14:paraId="3EE5524A" w14:textId="77777777" w:rsidR="00035544" w:rsidRPr="0081146C" w:rsidRDefault="00035544" w:rsidP="00035544">
      <w:pPr>
        <w:pStyle w:val="paragraph"/>
      </w:pPr>
      <w:r w:rsidRPr="0081146C">
        <w:tab/>
        <w:t>(e)</w:t>
      </w:r>
      <w:r w:rsidRPr="0081146C">
        <w:tab/>
        <w:t>the power to search the premises for any other thing on the premises that may be relevant to the obligations of a reporting entity under this Act, the regulations or the AML/CTF Rules;</w:t>
      </w:r>
    </w:p>
    <w:p w14:paraId="7E92B5C6" w14:textId="77777777" w:rsidR="00035544" w:rsidRPr="0081146C" w:rsidRDefault="00035544" w:rsidP="00035544">
      <w:pPr>
        <w:pStyle w:val="paragraph"/>
      </w:pPr>
      <w:r w:rsidRPr="0081146C">
        <w:tab/>
        <w:t>(f)</w:t>
      </w:r>
      <w:r w:rsidRPr="0081146C">
        <w:tab/>
        <w:t>the power to examine any activity conducted on the premises that may relate to information provided under this Act, the regulations or the AML/CTF Rules;</w:t>
      </w:r>
    </w:p>
    <w:p w14:paraId="5D54656A" w14:textId="77777777" w:rsidR="00035544" w:rsidRPr="0081146C" w:rsidRDefault="00035544" w:rsidP="00035544">
      <w:pPr>
        <w:pStyle w:val="paragraph"/>
      </w:pPr>
      <w:r w:rsidRPr="0081146C">
        <w:tab/>
        <w:t>(g)</w:t>
      </w:r>
      <w:r w:rsidRPr="0081146C">
        <w:tab/>
        <w:t>the power to examine any thing on the premises that may relate to information provided under this Act, the regulations or the AML/CTF Rules;</w:t>
      </w:r>
    </w:p>
    <w:p w14:paraId="09C37059" w14:textId="77777777" w:rsidR="00035544" w:rsidRPr="0081146C" w:rsidRDefault="00035544" w:rsidP="00035544">
      <w:pPr>
        <w:pStyle w:val="paragraph"/>
      </w:pPr>
      <w:r w:rsidRPr="0081146C">
        <w:tab/>
        <w:t>(h)</w:t>
      </w:r>
      <w:r w:rsidRPr="0081146C">
        <w:tab/>
        <w:t>the power to take photographs or make video or audio recordings or sketches on the premises of any such activity or thing;</w:t>
      </w:r>
    </w:p>
    <w:p w14:paraId="29B9BBD5" w14:textId="77777777" w:rsidR="00035544" w:rsidRPr="0081146C" w:rsidRDefault="00035544" w:rsidP="00035544">
      <w:pPr>
        <w:pStyle w:val="paragraph"/>
      </w:pPr>
      <w:r w:rsidRPr="0081146C">
        <w:tab/>
        <w:t>(i)</w:t>
      </w:r>
      <w:r w:rsidRPr="0081146C">
        <w:tab/>
        <w:t>the power to inspect any document on the premises that may relate to information provided under this Act, the regulations or the AML/CTF Rules;</w:t>
      </w:r>
    </w:p>
    <w:p w14:paraId="5567A861" w14:textId="77777777" w:rsidR="00035544" w:rsidRPr="0081146C" w:rsidRDefault="00035544" w:rsidP="00035544">
      <w:pPr>
        <w:pStyle w:val="paragraph"/>
      </w:pPr>
      <w:r w:rsidRPr="0081146C">
        <w:tab/>
        <w:t>(j)</w:t>
      </w:r>
      <w:r w:rsidRPr="0081146C">
        <w:tab/>
        <w:t>the power to take extracts from, or make copies of, any such document;</w:t>
      </w:r>
    </w:p>
    <w:p w14:paraId="04B36E74" w14:textId="77777777" w:rsidR="00035544" w:rsidRPr="0081146C" w:rsidRDefault="00035544" w:rsidP="00035544">
      <w:pPr>
        <w:pStyle w:val="paragraph"/>
      </w:pPr>
      <w:r w:rsidRPr="0081146C">
        <w:tab/>
        <w:t>(k)</w:t>
      </w:r>
      <w:r w:rsidRPr="0081146C">
        <w:tab/>
        <w:t>the power to take onto the premises such equipment and materials as the authorised officer requires for the purpose of exercising powers in relation to the premises;</w:t>
      </w:r>
    </w:p>
    <w:p w14:paraId="72A10A1D" w14:textId="77777777" w:rsidR="00035544" w:rsidRPr="0081146C" w:rsidRDefault="00035544" w:rsidP="00035544">
      <w:pPr>
        <w:pStyle w:val="paragraph"/>
      </w:pPr>
      <w:r w:rsidRPr="0081146C">
        <w:tab/>
        <w:t>(l)</w:t>
      </w:r>
      <w:r w:rsidRPr="0081146C">
        <w:tab/>
        <w:t xml:space="preserve">the powers set out in </w:t>
      </w:r>
      <w:r w:rsidR="004F64A4" w:rsidRPr="0081146C">
        <w:t>subsections (</w:t>
      </w:r>
      <w:r w:rsidRPr="0081146C">
        <w:t>2), (3) and (4).</w:t>
      </w:r>
    </w:p>
    <w:p w14:paraId="270E00A9" w14:textId="77777777" w:rsidR="00035544" w:rsidRPr="0081146C" w:rsidRDefault="00035544" w:rsidP="00035544">
      <w:pPr>
        <w:pStyle w:val="subsection"/>
      </w:pPr>
      <w:r w:rsidRPr="0081146C">
        <w:tab/>
        <w:t>(2)</w:t>
      </w:r>
      <w:r w:rsidRPr="0081146C">
        <w:tab/>
        <w:t xml:space="preserve">For the purposes of this Act, </w:t>
      </w:r>
      <w:r w:rsidRPr="0081146C">
        <w:rPr>
          <w:b/>
          <w:i/>
        </w:rPr>
        <w:t>monitoring powers</w:t>
      </w:r>
      <w:r w:rsidRPr="0081146C">
        <w:t xml:space="preserve"> include the power to secure a thing for no more than 24 hours if:</w:t>
      </w:r>
    </w:p>
    <w:p w14:paraId="5F3C0C43" w14:textId="77777777" w:rsidR="00035544" w:rsidRPr="0081146C" w:rsidRDefault="00035544" w:rsidP="00035544">
      <w:pPr>
        <w:pStyle w:val="paragraph"/>
      </w:pPr>
      <w:r w:rsidRPr="0081146C">
        <w:tab/>
        <w:t>(a)</w:t>
      </w:r>
      <w:r w:rsidRPr="0081146C">
        <w:tab/>
        <w:t>the thing is found during the exercise of monitoring powers on the premises; and</w:t>
      </w:r>
    </w:p>
    <w:p w14:paraId="1DAF6160" w14:textId="77777777" w:rsidR="00035544" w:rsidRPr="0081146C" w:rsidRDefault="00035544" w:rsidP="00035544">
      <w:pPr>
        <w:pStyle w:val="paragraph"/>
      </w:pPr>
      <w:r w:rsidRPr="0081146C">
        <w:tab/>
        <w:t>(b)</w:t>
      </w:r>
      <w:r w:rsidRPr="0081146C">
        <w:tab/>
        <w:t>an authorised officer believes on reasonable grounds that:</w:t>
      </w:r>
    </w:p>
    <w:p w14:paraId="6C375D17" w14:textId="77777777" w:rsidR="00035544" w:rsidRPr="0081146C" w:rsidRDefault="00035544" w:rsidP="00035544">
      <w:pPr>
        <w:pStyle w:val="paragraphsub"/>
      </w:pPr>
      <w:r w:rsidRPr="0081146C">
        <w:tab/>
        <w:t>(i)</w:t>
      </w:r>
      <w:r w:rsidRPr="0081146C">
        <w:tab/>
        <w:t xml:space="preserve">the thing affords evidence of the commission of an offence against this Act or the regulations, or evidence of the commission of an offence against the </w:t>
      </w:r>
      <w:r w:rsidRPr="0081146C">
        <w:rPr>
          <w:i/>
        </w:rPr>
        <w:t>Crimes Act 1914</w:t>
      </w:r>
      <w:r w:rsidRPr="0081146C">
        <w:t xml:space="preserve"> or the </w:t>
      </w:r>
      <w:r w:rsidRPr="0081146C">
        <w:rPr>
          <w:i/>
        </w:rPr>
        <w:t>Criminal Code</w:t>
      </w:r>
      <w:r w:rsidRPr="0081146C">
        <w:t xml:space="preserve"> that relates to this Act or the regulations; and</w:t>
      </w:r>
    </w:p>
    <w:p w14:paraId="22FB248F" w14:textId="77777777" w:rsidR="00035544" w:rsidRPr="0081146C" w:rsidRDefault="00035544" w:rsidP="00035544">
      <w:pPr>
        <w:pStyle w:val="paragraphsub"/>
      </w:pPr>
      <w:r w:rsidRPr="0081146C">
        <w:tab/>
        <w:t>(ii)</w:t>
      </w:r>
      <w:r w:rsidRPr="0081146C">
        <w:tab/>
        <w:t>it is necessary to secure the thing in order to prevent it from being concealed, lost or destroyed before a warrant to seize the thing is obtained; and</w:t>
      </w:r>
    </w:p>
    <w:p w14:paraId="17B63654" w14:textId="77777777" w:rsidR="00035544" w:rsidRPr="0081146C" w:rsidRDefault="00035544" w:rsidP="00035544">
      <w:pPr>
        <w:pStyle w:val="paragraphsub"/>
      </w:pPr>
      <w:r w:rsidRPr="0081146C">
        <w:tab/>
        <w:t>(iii)</w:t>
      </w:r>
      <w:r w:rsidRPr="0081146C">
        <w:tab/>
        <w:t>the circumstances are serious and urgent.</w:t>
      </w:r>
    </w:p>
    <w:p w14:paraId="444EE6B8" w14:textId="77777777" w:rsidR="00035544" w:rsidRPr="0081146C" w:rsidRDefault="00035544" w:rsidP="00035544">
      <w:pPr>
        <w:pStyle w:val="subsection"/>
      </w:pPr>
      <w:r w:rsidRPr="0081146C">
        <w:tab/>
        <w:t>(3)</w:t>
      </w:r>
      <w:r w:rsidRPr="0081146C">
        <w:tab/>
        <w:t xml:space="preserve">For the purposes of this Act, </w:t>
      </w:r>
      <w:r w:rsidRPr="0081146C">
        <w:rPr>
          <w:b/>
          <w:i/>
        </w:rPr>
        <w:t>monitoring powers</w:t>
      </w:r>
      <w:r w:rsidRPr="0081146C">
        <w:t xml:space="preserve"> include the power to operate equipment at the premises to see whether:</w:t>
      </w:r>
    </w:p>
    <w:p w14:paraId="21F5EF25" w14:textId="77777777" w:rsidR="00035544" w:rsidRPr="0081146C" w:rsidRDefault="00035544" w:rsidP="00035544">
      <w:pPr>
        <w:pStyle w:val="paragraph"/>
      </w:pPr>
      <w:r w:rsidRPr="0081146C">
        <w:tab/>
        <w:t>(a)</w:t>
      </w:r>
      <w:r w:rsidRPr="0081146C">
        <w:tab/>
        <w:t>the equipment; or</w:t>
      </w:r>
    </w:p>
    <w:p w14:paraId="72E43129" w14:textId="77777777" w:rsidR="00035544" w:rsidRPr="0081146C" w:rsidRDefault="00035544" w:rsidP="00035544">
      <w:pPr>
        <w:pStyle w:val="paragraph"/>
      </w:pPr>
      <w:r w:rsidRPr="0081146C">
        <w:tab/>
        <w:t>(b)</w:t>
      </w:r>
      <w:r w:rsidRPr="0081146C">
        <w:tab/>
        <w:t>a data storage device that:</w:t>
      </w:r>
    </w:p>
    <w:p w14:paraId="373EE01D" w14:textId="77777777" w:rsidR="00035544" w:rsidRPr="0081146C" w:rsidRDefault="00035544" w:rsidP="00035544">
      <w:pPr>
        <w:pStyle w:val="paragraphsub"/>
      </w:pPr>
      <w:r w:rsidRPr="0081146C">
        <w:tab/>
        <w:t>(i)</w:t>
      </w:r>
      <w:r w:rsidRPr="0081146C">
        <w:tab/>
        <w:t>is at the premises; and</w:t>
      </w:r>
    </w:p>
    <w:p w14:paraId="022899DF" w14:textId="77777777" w:rsidR="00035544" w:rsidRPr="0081146C" w:rsidRDefault="00035544" w:rsidP="00035544">
      <w:pPr>
        <w:pStyle w:val="paragraphsub"/>
      </w:pPr>
      <w:r w:rsidRPr="0081146C">
        <w:tab/>
        <w:t>(ii)</w:t>
      </w:r>
      <w:r w:rsidRPr="0081146C">
        <w:tab/>
        <w:t>can be used with the equipment or is associated with it;</w:t>
      </w:r>
    </w:p>
    <w:p w14:paraId="6AA3B19D" w14:textId="77777777" w:rsidR="00035544" w:rsidRPr="0081146C" w:rsidRDefault="00035544" w:rsidP="00035544">
      <w:pPr>
        <w:pStyle w:val="subsection2"/>
      </w:pPr>
      <w:r w:rsidRPr="0081146C">
        <w:t>contains information that is relevant to assessing the correctness of information provided under this Act.</w:t>
      </w:r>
    </w:p>
    <w:p w14:paraId="24E1B752" w14:textId="77777777" w:rsidR="00035544" w:rsidRPr="0081146C" w:rsidRDefault="00035544" w:rsidP="00035544">
      <w:pPr>
        <w:pStyle w:val="subsection"/>
      </w:pPr>
      <w:r w:rsidRPr="0081146C">
        <w:tab/>
        <w:t>(4)</w:t>
      </w:r>
      <w:r w:rsidRPr="0081146C">
        <w:tab/>
        <w:t xml:space="preserve">For the purposes of this Act, </w:t>
      </w:r>
      <w:r w:rsidRPr="0081146C">
        <w:rPr>
          <w:b/>
          <w:i/>
        </w:rPr>
        <w:t>monitoring powers</w:t>
      </w:r>
      <w:r w:rsidRPr="0081146C">
        <w:t xml:space="preserve"> include the following powers in relation to information described in </w:t>
      </w:r>
      <w:r w:rsidR="004F64A4" w:rsidRPr="0081146C">
        <w:t>subsection (</w:t>
      </w:r>
      <w:r w:rsidRPr="0081146C">
        <w:t>3) found in the exercise of the power under that subsection:</w:t>
      </w:r>
    </w:p>
    <w:p w14:paraId="024282C2" w14:textId="77777777" w:rsidR="00035544" w:rsidRPr="0081146C" w:rsidRDefault="00035544" w:rsidP="00035544">
      <w:pPr>
        <w:pStyle w:val="paragraph"/>
      </w:pPr>
      <w:r w:rsidRPr="0081146C">
        <w:tab/>
        <w:t>(a)</w:t>
      </w:r>
      <w:r w:rsidRPr="0081146C">
        <w:tab/>
        <w:t>the power to operate facilities at the premises to put the information in documentary form and copy the documents so produced;</w:t>
      </w:r>
    </w:p>
    <w:p w14:paraId="4C9F0845" w14:textId="77777777" w:rsidR="00035544" w:rsidRPr="0081146C" w:rsidRDefault="00035544" w:rsidP="00035544">
      <w:pPr>
        <w:pStyle w:val="paragraph"/>
      </w:pPr>
      <w:r w:rsidRPr="0081146C">
        <w:tab/>
        <w:t>(b)</w:t>
      </w:r>
      <w:r w:rsidRPr="0081146C">
        <w:tab/>
        <w:t>the power to operate facilities at the premises to transfer the information to a disk, tape or other storage device that:</w:t>
      </w:r>
    </w:p>
    <w:p w14:paraId="0C0D16F7" w14:textId="77777777" w:rsidR="00035544" w:rsidRPr="0081146C" w:rsidRDefault="00035544" w:rsidP="00035544">
      <w:pPr>
        <w:pStyle w:val="paragraphsub"/>
      </w:pPr>
      <w:r w:rsidRPr="0081146C">
        <w:tab/>
        <w:t>(i)</w:t>
      </w:r>
      <w:r w:rsidRPr="0081146C">
        <w:tab/>
        <w:t>is brought to the premises for the exercise of the power; or</w:t>
      </w:r>
    </w:p>
    <w:p w14:paraId="6D36A851" w14:textId="77777777" w:rsidR="00035544" w:rsidRPr="0081146C" w:rsidRDefault="00035544" w:rsidP="00035544">
      <w:pPr>
        <w:pStyle w:val="paragraphsub"/>
      </w:pPr>
      <w:r w:rsidRPr="0081146C">
        <w:tab/>
        <w:t>(ii)</w:t>
      </w:r>
      <w:r w:rsidRPr="0081146C">
        <w:tab/>
        <w:t>is at the premises and the use of which for the purpose has been agreed in writing by the occupier of the premises;</w:t>
      </w:r>
    </w:p>
    <w:p w14:paraId="64E41A2B" w14:textId="77777777" w:rsidR="00035544" w:rsidRPr="0081146C" w:rsidRDefault="00035544" w:rsidP="00035544">
      <w:pPr>
        <w:pStyle w:val="paragraph"/>
      </w:pPr>
      <w:r w:rsidRPr="0081146C">
        <w:tab/>
        <w:t>(c)</w:t>
      </w:r>
      <w:r w:rsidRPr="0081146C">
        <w:tab/>
        <w:t xml:space="preserve">the power to remove from the premises a disk, tape or other storage device to which the information has been transferred in exercise of the power under </w:t>
      </w:r>
      <w:r w:rsidR="004F64A4" w:rsidRPr="0081146C">
        <w:t>paragraph (</w:t>
      </w:r>
      <w:r w:rsidRPr="0081146C">
        <w:t>b).</w:t>
      </w:r>
    </w:p>
    <w:p w14:paraId="1DCCCF72" w14:textId="77777777" w:rsidR="00035544" w:rsidRPr="0081146C" w:rsidRDefault="00035544" w:rsidP="00035544">
      <w:pPr>
        <w:pStyle w:val="ActHead5"/>
      </w:pPr>
      <w:bookmarkStart w:id="478" w:name="_Toc185415966"/>
      <w:r w:rsidRPr="0081146C">
        <w:rPr>
          <w:rStyle w:val="CharSectno"/>
        </w:rPr>
        <w:t>149</w:t>
      </w:r>
      <w:r w:rsidRPr="0081146C">
        <w:t xml:space="preserve">  Tampering or interfering with things secured in the exercise of monitoring powers</w:t>
      </w:r>
      <w:bookmarkEnd w:id="478"/>
    </w:p>
    <w:p w14:paraId="553F0A80" w14:textId="77777777" w:rsidR="00035544" w:rsidRPr="0081146C" w:rsidRDefault="00035544" w:rsidP="00035544">
      <w:pPr>
        <w:pStyle w:val="subsection"/>
      </w:pPr>
      <w:r w:rsidRPr="0081146C">
        <w:tab/>
      </w:r>
      <w:r w:rsidRPr="0081146C">
        <w:tab/>
        <w:t>A person commits an offence if:</w:t>
      </w:r>
    </w:p>
    <w:p w14:paraId="6E82B247" w14:textId="77777777" w:rsidR="00035544" w:rsidRPr="0081146C" w:rsidRDefault="00035544" w:rsidP="00035544">
      <w:pPr>
        <w:pStyle w:val="paragraph"/>
      </w:pPr>
      <w:r w:rsidRPr="0081146C">
        <w:tab/>
        <w:t>(a)</w:t>
      </w:r>
      <w:r w:rsidRPr="0081146C">
        <w:tab/>
        <w:t xml:space="preserve">a thing has been secured by an </w:t>
      </w:r>
      <w:r w:rsidRPr="0081146C">
        <w:rPr>
          <w:kern w:val="28"/>
        </w:rPr>
        <w:t>authorised officer</w:t>
      </w:r>
      <w:r w:rsidRPr="0081146C">
        <w:t xml:space="preserve"> in the exercise of the monitoring powers set out in </w:t>
      </w:r>
      <w:r w:rsidR="003B7E15" w:rsidRPr="0081146C">
        <w:t>section 1</w:t>
      </w:r>
      <w:r w:rsidRPr="0081146C">
        <w:t>48; and</w:t>
      </w:r>
    </w:p>
    <w:p w14:paraId="26FE4F92" w14:textId="77777777" w:rsidR="00035544" w:rsidRPr="0081146C" w:rsidRDefault="00035544" w:rsidP="00035544">
      <w:pPr>
        <w:pStyle w:val="paragraph"/>
      </w:pPr>
      <w:r w:rsidRPr="0081146C">
        <w:tab/>
        <w:t>(b)</w:t>
      </w:r>
      <w:r w:rsidRPr="0081146C">
        <w:tab/>
        <w:t>the person tampers or interferes with the thing.</w:t>
      </w:r>
    </w:p>
    <w:p w14:paraId="053F5E99" w14:textId="77777777" w:rsidR="00035544" w:rsidRPr="0081146C" w:rsidRDefault="00035544" w:rsidP="00035544">
      <w:pPr>
        <w:pStyle w:val="Penalty"/>
      </w:pPr>
      <w:r w:rsidRPr="0081146C">
        <w:t>Penalty:</w:t>
      </w:r>
      <w:r w:rsidRPr="0081146C">
        <w:tab/>
        <w:t>Imprisonment for 6 months or 30 penalty units, or both.</w:t>
      </w:r>
    </w:p>
    <w:p w14:paraId="6B1CBCCA" w14:textId="77777777" w:rsidR="00035544" w:rsidRPr="0081146C" w:rsidRDefault="00035544" w:rsidP="00035544">
      <w:pPr>
        <w:pStyle w:val="ActHead4"/>
      </w:pPr>
      <w:bookmarkStart w:id="479" w:name="_Toc185415967"/>
      <w:r w:rsidRPr="0081146C">
        <w:rPr>
          <w:rStyle w:val="CharSubdNo"/>
        </w:rPr>
        <w:t>Subdivision B</w:t>
      </w:r>
      <w:r w:rsidRPr="0081146C">
        <w:t>—</w:t>
      </w:r>
      <w:r w:rsidRPr="0081146C">
        <w:rPr>
          <w:rStyle w:val="CharSubdText"/>
        </w:rPr>
        <w:t>Powers of authorised officers to ask questions and seek production of documents</w:t>
      </w:r>
      <w:bookmarkEnd w:id="479"/>
    </w:p>
    <w:p w14:paraId="48838DD7" w14:textId="77777777" w:rsidR="00035544" w:rsidRPr="0081146C" w:rsidRDefault="00035544" w:rsidP="00035544">
      <w:pPr>
        <w:pStyle w:val="ActHead5"/>
      </w:pPr>
      <w:bookmarkStart w:id="480" w:name="_Toc185415968"/>
      <w:r w:rsidRPr="0081146C">
        <w:rPr>
          <w:rStyle w:val="CharSectno"/>
        </w:rPr>
        <w:t>150</w:t>
      </w:r>
      <w:r w:rsidRPr="0081146C">
        <w:t xml:space="preserve">  Authorised officer may ask questions and seek production of documents</w:t>
      </w:r>
      <w:bookmarkEnd w:id="480"/>
    </w:p>
    <w:p w14:paraId="79E53FB4" w14:textId="77777777" w:rsidR="00035544" w:rsidRPr="0081146C" w:rsidRDefault="00035544" w:rsidP="00035544">
      <w:pPr>
        <w:pStyle w:val="subsection"/>
        <w:rPr>
          <w:kern w:val="28"/>
        </w:rPr>
      </w:pPr>
      <w:r w:rsidRPr="0081146C">
        <w:tab/>
        <w:t>(1)</w:t>
      </w:r>
      <w:r w:rsidRPr="0081146C">
        <w:tab/>
      </w:r>
      <w:r w:rsidRPr="0081146C">
        <w:rPr>
          <w:kern w:val="28"/>
        </w:rPr>
        <w:t>If the authorised officer was authorised to enter premises because the occupier of the premises consented to the entry, the authorised officer may ask the occupier to:</w:t>
      </w:r>
    </w:p>
    <w:p w14:paraId="6AC9CAFC" w14:textId="77777777" w:rsidR="00035544" w:rsidRPr="0081146C" w:rsidRDefault="00035544" w:rsidP="00035544">
      <w:pPr>
        <w:pStyle w:val="paragraph"/>
        <w:rPr>
          <w:kern w:val="28"/>
        </w:rPr>
      </w:pPr>
      <w:r w:rsidRPr="0081146C">
        <w:rPr>
          <w:kern w:val="28"/>
        </w:rPr>
        <w:tab/>
        <w:t>(a)</w:t>
      </w:r>
      <w:r w:rsidRPr="0081146C">
        <w:rPr>
          <w:kern w:val="28"/>
        </w:rPr>
        <w:tab/>
        <w:t>answer any questions relating to the operation of this Act,</w:t>
      </w:r>
      <w:r w:rsidRPr="0081146C">
        <w:t xml:space="preserve"> the regulations or the AML/CTF Rules </w:t>
      </w:r>
      <w:r w:rsidRPr="0081146C">
        <w:rPr>
          <w:kern w:val="28"/>
        </w:rPr>
        <w:t>that are put by the authorised officer; and</w:t>
      </w:r>
    </w:p>
    <w:p w14:paraId="5A7D0348" w14:textId="77777777" w:rsidR="00035544" w:rsidRPr="0081146C" w:rsidRDefault="00035544" w:rsidP="00035544">
      <w:pPr>
        <w:pStyle w:val="paragraph"/>
        <w:rPr>
          <w:kern w:val="28"/>
        </w:rPr>
      </w:pPr>
      <w:r w:rsidRPr="0081146C">
        <w:rPr>
          <w:kern w:val="28"/>
        </w:rPr>
        <w:tab/>
        <w:t>(b)</w:t>
      </w:r>
      <w:r w:rsidRPr="0081146C">
        <w:rPr>
          <w:kern w:val="28"/>
        </w:rPr>
        <w:tab/>
        <w:t>produce any document relating to the operation of this Act,</w:t>
      </w:r>
      <w:r w:rsidRPr="0081146C">
        <w:t xml:space="preserve"> the regulations or the AML/CTF Rules </w:t>
      </w:r>
      <w:r w:rsidRPr="0081146C">
        <w:rPr>
          <w:kern w:val="28"/>
        </w:rPr>
        <w:t>that is requested by the authorised officer.</w:t>
      </w:r>
    </w:p>
    <w:p w14:paraId="08F3C3FE" w14:textId="77777777" w:rsidR="00035544" w:rsidRPr="0081146C" w:rsidRDefault="00035544" w:rsidP="00035544">
      <w:pPr>
        <w:pStyle w:val="subsection"/>
        <w:rPr>
          <w:kern w:val="28"/>
        </w:rPr>
      </w:pPr>
      <w:r w:rsidRPr="0081146C">
        <w:tab/>
        <w:t>(2)</w:t>
      </w:r>
      <w:r w:rsidRPr="0081146C">
        <w:tab/>
      </w:r>
      <w:r w:rsidRPr="0081146C">
        <w:rPr>
          <w:kern w:val="28"/>
        </w:rPr>
        <w:t>If the authorised officer was authorised to enter the premises by a monitoring warrant, the authorised officer may require any person in or on the premises to:</w:t>
      </w:r>
    </w:p>
    <w:p w14:paraId="0AB28ACB" w14:textId="77777777" w:rsidR="00035544" w:rsidRPr="0081146C" w:rsidRDefault="00035544" w:rsidP="00035544">
      <w:pPr>
        <w:pStyle w:val="paragraph"/>
        <w:rPr>
          <w:kern w:val="28"/>
        </w:rPr>
      </w:pPr>
      <w:r w:rsidRPr="0081146C">
        <w:rPr>
          <w:kern w:val="28"/>
        </w:rPr>
        <w:tab/>
        <w:t>(a)</w:t>
      </w:r>
      <w:r w:rsidRPr="0081146C">
        <w:rPr>
          <w:kern w:val="28"/>
        </w:rPr>
        <w:tab/>
        <w:t>answer any questions relating to the operation of this Act,</w:t>
      </w:r>
      <w:r w:rsidRPr="0081146C">
        <w:t xml:space="preserve"> the regulations or the AML/CTF Rules </w:t>
      </w:r>
      <w:r w:rsidRPr="0081146C">
        <w:rPr>
          <w:kern w:val="28"/>
        </w:rPr>
        <w:t>that are put by the authorised officer; and</w:t>
      </w:r>
    </w:p>
    <w:p w14:paraId="7E8344F7" w14:textId="77777777" w:rsidR="00035544" w:rsidRPr="0081146C" w:rsidRDefault="00035544" w:rsidP="00035544">
      <w:pPr>
        <w:pStyle w:val="paragraph"/>
        <w:rPr>
          <w:kern w:val="28"/>
        </w:rPr>
      </w:pPr>
      <w:r w:rsidRPr="0081146C">
        <w:rPr>
          <w:kern w:val="28"/>
        </w:rPr>
        <w:tab/>
        <w:t>(b)</w:t>
      </w:r>
      <w:r w:rsidRPr="0081146C">
        <w:rPr>
          <w:kern w:val="28"/>
        </w:rPr>
        <w:tab/>
        <w:t>produce any document relating to the operation of this Act,</w:t>
      </w:r>
      <w:r w:rsidRPr="0081146C">
        <w:t xml:space="preserve"> the regulations or the AML/CTF Rules </w:t>
      </w:r>
      <w:r w:rsidRPr="0081146C">
        <w:rPr>
          <w:kern w:val="28"/>
        </w:rPr>
        <w:t>that is requested by the authorised officer.</w:t>
      </w:r>
    </w:p>
    <w:p w14:paraId="0CF9B2EB" w14:textId="77777777" w:rsidR="00035544" w:rsidRPr="0081146C" w:rsidRDefault="00035544" w:rsidP="00035544">
      <w:pPr>
        <w:pStyle w:val="notetext"/>
        <w:rPr>
          <w:kern w:val="28"/>
        </w:rPr>
      </w:pPr>
      <w:r w:rsidRPr="0081146C">
        <w:rPr>
          <w:kern w:val="28"/>
        </w:rPr>
        <w:t>Note:</w:t>
      </w:r>
      <w:r w:rsidRPr="0081146C">
        <w:rPr>
          <w:kern w:val="28"/>
        </w:rPr>
        <w:tab/>
      </w:r>
      <w:r w:rsidRPr="0081146C">
        <w:t xml:space="preserve">Monitoring </w:t>
      </w:r>
      <w:r w:rsidRPr="0081146C">
        <w:rPr>
          <w:kern w:val="28"/>
        </w:rPr>
        <w:t xml:space="preserve">warrants are issued under </w:t>
      </w:r>
      <w:r w:rsidR="003B7E15" w:rsidRPr="0081146C">
        <w:rPr>
          <w:kern w:val="28"/>
        </w:rPr>
        <w:t>section 1</w:t>
      </w:r>
      <w:r w:rsidRPr="0081146C">
        <w:rPr>
          <w:kern w:val="28"/>
        </w:rPr>
        <w:t>59.</w:t>
      </w:r>
    </w:p>
    <w:p w14:paraId="62518629" w14:textId="77777777" w:rsidR="00035544" w:rsidRPr="0081146C" w:rsidRDefault="00035544" w:rsidP="00035544">
      <w:pPr>
        <w:pStyle w:val="subsection"/>
      </w:pPr>
      <w:r w:rsidRPr="0081146C">
        <w:tab/>
        <w:t>(3)</w:t>
      </w:r>
      <w:r w:rsidRPr="0081146C">
        <w:tab/>
        <w:t>A person commits an offence if:</w:t>
      </w:r>
    </w:p>
    <w:p w14:paraId="6C94B3D9"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2); and</w:t>
      </w:r>
    </w:p>
    <w:p w14:paraId="1FC48DAF" w14:textId="77777777" w:rsidR="00035544" w:rsidRPr="0081146C" w:rsidRDefault="00035544" w:rsidP="00035544">
      <w:pPr>
        <w:pStyle w:val="paragraph"/>
      </w:pPr>
      <w:r w:rsidRPr="0081146C">
        <w:tab/>
        <w:t>(b)</w:t>
      </w:r>
      <w:r w:rsidRPr="0081146C">
        <w:tab/>
        <w:t>the person engages in conduct; and</w:t>
      </w:r>
    </w:p>
    <w:p w14:paraId="527C442C" w14:textId="77777777" w:rsidR="00035544" w:rsidRPr="0081146C" w:rsidRDefault="00035544" w:rsidP="00035544">
      <w:pPr>
        <w:pStyle w:val="paragraph"/>
      </w:pPr>
      <w:r w:rsidRPr="0081146C">
        <w:tab/>
        <w:t>(c)</w:t>
      </w:r>
      <w:r w:rsidRPr="0081146C">
        <w:tab/>
        <w:t>the person’s conduct breaches the requirement.</w:t>
      </w:r>
    </w:p>
    <w:p w14:paraId="04501E69" w14:textId="77777777" w:rsidR="00035544" w:rsidRPr="0081146C" w:rsidRDefault="00035544" w:rsidP="00035544">
      <w:pPr>
        <w:pStyle w:val="Penalty"/>
      </w:pPr>
      <w:r w:rsidRPr="0081146C">
        <w:t>Penalty:</w:t>
      </w:r>
      <w:r w:rsidRPr="0081146C">
        <w:tab/>
        <w:t>Imprisonment for 6 months or 30 penalty units, or both.</w:t>
      </w:r>
    </w:p>
    <w:p w14:paraId="10AB4E21" w14:textId="77777777" w:rsidR="00035544" w:rsidRPr="0081146C" w:rsidRDefault="00035544" w:rsidP="00035544">
      <w:pPr>
        <w:pStyle w:val="SubsectionHead"/>
      </w:pPr>
      <w:r w:rsidRPr="0081146C">
        <w:t>Self</w:t>
      </w:r>
      <w:r w:rsidR="003B7E15" w:rsidRPr="0081146C">
        <w:noBreakHyphen/>
      </w:r>
      <w:r w:rsidRPr="0081146C">
        <w:t>incrimination</w:t>
      </w:r>
    </w:p>
    <w:p w14:paraId="16E1135E" w14:textId="77777777" w:rsidR="00035544" w:rsidRPr="0081146C" w:rsidRDefault="00035544" w:rsidP="00035544">
      <w:pPr>
        <w:pStyle w:val="subsection"/>
      </w:pPr>
      <w:r w:rsidRPr="0081146C">
        <w:tab/>
        <w:t>(4)</w:t>
      </w:r>
      <w:r w:rsidRPr="0081146C">
        <w:tab/>
        <w:t xml:space="preserve">A person is not excused from answering a question or producing a document under </w:t>
      </w:r>
      <w:r w:rsidR="004F64A4" w:rsidRPr="0081146C">
        <w:t>subsection (</w:t>
      </w:r>
      <w:r w:rsidRPr="0081146C">
        <w:t>2) on the ground that the answering of the question or the production of the document might tend to incriminate the person or expose the person to a penalty.</w:t>
      </w:r>
    </w:p>
    <w:p w14:paraId="53B0CCA5" w14:textId="77777777" w:rsidR="00035544" w:rsidRPr="0081146C" w:rsidRDefault="00035544" w:rsidP="00035544">
      <w:pPr>
        <w:pStyle w:val="subsection"/>
      </w:pPr>
      <w:r w:rsidRPr="0081146C">
        <w:tab/>
        <w:t>(5)</w:t>
      </w:r>
      <w:r w:rsidRPr="0081146C">
        <w:tab/>
        <w:t>However:</w:t>
      </w:r>
    </w:p>
    <w:p w14:paraId="40A7CB6E" w14:textId="77777777" w:rsidR="00035544" w:rsidRPr="0081146C" w:rsidRDefault="00035544" w:rsidP="00035544">
      <w:pPr>
        <w:pStyle w:val="paragraph"/>
      </w:pPr>
      <w:r w:rsidRPr="0081146C">
        <w:tab/>
        <w:t>(a)</w:t>
      </w:r>
      <w:r w:rsidRPr="0081146C">
        <w:tab/>
        <w:t>the answer given or the document produced; or</w:t>
      </w:r>
    </w:p>
    <w:p w14:paraId="00340D9C" w14:textId="77777777" w:rsidR="00035544" w:rsidRPr="0081146C" w:rsidRDefault="00035544" w:rsidP="00035544">
      <w:pPr>
        <w:pStyle w:val="paragraph"/>
      </w:pPr>
      <w:r w:rsidRPr="0081146C">
        <w:tab/>
        <w:t>(b)</w:t>
      </w:r>
      <w:r w:rsidRPr="0081146C">
        <w:tab/>
        <w:t>answering the question or producing the document;</w:t>
      </w:r>
    </w:p>
    <w:p w14:paraId="67FADA8F" w14:textId="77777777" w:rsidR="00035544" w:rsidRPr="0081146C" w:rsidRDefault="00035544" w:rsidP="00035544">
      <w:pPr>
        <w:pStyle w:val="subsection2"/>
      </w:pPr>
      <w:r w:rsidRPr="0081146C">
        <w:t>is not admissible in evidence against the person:</w:t>
      </w:r>
    </w:p>
    <w:p w14:paraId="1D9F8555" w14:textId="77777777" w:rsidR="00035544" w:rsidRPr="0081146C" w:rsidRDefault="00035544" w:rsidP="00035544">
      <w:pPr>
        <w:pStyle w:val="paragraph"/>
      </w:pPr>
      <w:r w:rsidRPr="0081146C">
        <w:tab/>
        <w:t>(c)</w:t>
      </w:r>
      <w:r w:rsidRPr="0081146C">
        <w:tab/>
        <w:t xml:space="preserve">in civil proceedings other than proceedings under the </w:t>
      </w:r>
      <w:r w:rsidRPr="0081146C">
        <w:rPr>
          <w:i/>
        </w:rPr>
        <w:t>Proceeds of Crime Act 2002</w:t>
      </w:r>
      <w:r w:rsidRPr="0081146C">
        <w:t xml:space="preserve"> that relate to this Act; or</w:t>
      </w:r>
    </w:p>
    <w:p w14:paraId="0BCAC687" w14:textId="77777777" w:rsidR="00035544" w:rsidRPr="0081146C" w:rsidRDefault="00035544" w:rsidP="00035544">
      <w:pPr>
        <w:pStyle w:val="paragraph"/>
      </w:pPr>
      <w:r w:rsidRPr="0081146C">
        <w:tab/>
        <w:t>(d)</w:t>
      </w:r>
      <w:r w:rsidRPr="0081146C">
        <w:tab/>
        <w:t>in criminal proceedings other than:</w:t>
      </w:r>
    </w:p>
    <w:p w14:paraId="7D2EE8CE" w14:textId="77777777" w:rsidR="00035544" w:rsidRPr="0081146C" w:rsidRDefault="00035544" w:rsidP="00035544">
      <w:pPr>
        <w:pStyle w:val="paragraphsub"/>
      </w:pPr>
      <w:r w:rsidRPr="0081146C">
        <w:tab/>
        <w:t>(i)</w:t>
      </w:r>
      <w:r w:rsidRPr="0081146C">
        <w:tab/>
        <w:t xml:space="preserve">proceedings for an offence against </w:t>
      </w:r>
      <w:r w:rsidR="004F64A4" w:rsidRPr="0081146C">
        <w:t>subsection (</w:t>
      </w:r>
      <w:r w:rsidRPr="0081146C">
        <w:t>3); or</w:t>
      </w:r>
    </w:p>
    <w:p w14:paraId="0BA616C8" w14:textId="77777777" w:rsidR="00035544" w:rsidRPr="0081146C" w:rsidRDefault="00035544" w:rsidP="00035544">
      <w:pPr>
        <w:pStyle w:val="paragraphsub"/>
      </w:pPr>
      <w:r w:rsidRPr="0081146C">
        <w:tab/>
        <w:t>(ii)</w:t>
      </w:r>
      <w:r w:rsidRPr="0081146C">
        <w:tab/>
        <w:t xml:space="preserve">proceedings for an offence against </w:t>
      </w:r>
      <w:r w:rsidR="003B7E15" w:rsidRPr="0081146C">
        <w:t>section 1</w:t>
      </w:r>
      <w:r w:rsidRPr="0081146C">
        <w:t>36 or 137 that relates to this section; or</w:t>
      </w:r>
    </w:p>
    <w:p w14:paraId="7DC4B884" w14:textId="77777777" w:rsidR="00035544" w:rsidRPr="0081146C" w:rsidRDefault="00035544" w:rsidP="00035544">
      <w:pPr>
        <w:pStyle w:val="paragraphsub"/>
      </w:pPr>
      <w:r w:rsidRPr="0081146C">
        <w:tab/>
        <w:t>(iii)</w:t>
      </w:r>
      <w:r w:rsidRPr="0081146C">
        <w:tab/>
        <w:t xml:space="preserve">proceedings for an offence against </w:t>
      </w:r>
      <w:r w:rsidR="003B7E15" w:rsidRPr="0081146C">
        <w:t>section 1</w:t>
      </w:r>
      <w:r w:rsidRPr="0081146C">
        <w:t xml:space="preserve">37.1 or 137.2 of the </w:t>
      </w:r>
      <w:r w:rsidRPr="0081146C">
        <w:rPr>
          <w:i/>
        </w:rPr>
        <w:t>Criminal Code</w:t>
      </w:r>
      <w:r w:rsidRPr="0081146C">
        <w:t xml:space="preserve"> that relates to this section.</w:t>
      </w:r>
    </w:p>
    <w:p w14:paraId="7EE79330" w14:textId="77777777" w:rsidR="00035544" w:rsidRPr="0081146C" w:rsidRDefault="00CA78AA" w:rsidP="00AE2DA2">
      <w:pPr>
        <w:pStyle w:val="ActHead3"/>
        <w:pageBreakBefore/>
      </w:pPr>
      <w:bookmarkStart w:id="481" w:name="_Toc185415969"/>
      <w:r w:rsidRPr="0081146C">
        <w:rPr>
          <w:rStyle w:val="CharDivNo"/>
        </w:rPr>
        <w:t>Division 4</w:t>
      </w:r>
      <w:r w:rsidR="00035544" w:rsidRPr="0081146C">
        <w:t>—</w:t>
      </w:r>
      <w:r w:rsidR="00035544" w:rsidRPr="0081146C">
        <w:rPr>
          <w:rStyle w:val="CharDivText"/>
        </w:rPr>
        <w:t>Obligations and incidental powers of authorised officers</w:t>
      </w:r>
      <w:bookmarkEnd w:id="481"/>
    </w:p>
    <w:p w14:paraId="1506A6BB" w14:textId="77777777" w:rsidR="00035544" w:rsidRPr="0081146C" w:rsidRDefault="00035544" w:rsidP="00035544">
      <w:pPr>
        <w:pStyle w:val="ActHead5"/>
      </w:pPr>
      <w:bookmarkStart w:id="482" w:name="_Toc185415970"/>
      <w:r w:rsidRPr="0081146C">
        <w:rPr>
          <w:rStyle w:val="CharSectno"/>
        </w:rPr>
        <w:t>151</w:t>
      </w:r>
      <w:r w:rsidRPr="0081146C">
        <w:t xml:space="preserve">  Authorised officer must produce identity card on request</w:t>
      </w:r>
      <w:bookmarkEnd w:id="482"/>
    </w:p>
    <w:p w14:paraId="3B370503" w14:textId="77777777" w:rsidR="00035544" w:rsidRPr="0081146C" w:rsidRDefault="00035544" w:rsidP="00035544">
      <w:pPr>
        <w:pStyle w:val="subsection"/>
        <w:rPr>
          <w:kern w:val="28"/>
        </w:rPr>
      </w:pPr>
      <w:r w:rsidRPr="0081146C">
        <w:rPr>
          <w:kern w:val="28"/>
        </w:rPr>
        <w:tab/>
      </w:r>
      <w:r w:rsidRPr="0081146C">
        <w:rPr>
          <w:kern w:val="28"/>
        </w:rPr>
        <w:tab/>
        <w:t xml:space="preserve">An authorised officer is not entitled to exercise any powers under this </w:t>
      </w:r>
      <w:r w:rsidR="00753679" w:rsidRPr="0081146C">
        <w:rPr>
          <w:kern w:val="28"/>
        </w:rPr>
        <w:t>Part i</w:t>
      </w:r>
      <w:r w:rsidRPr="0081146C">
        <w:rPr>
          <w:kern w:val="28"/>
        </w:rPr>
        <w:t>n relation to premises if:</w:t>
      </w:r>
    </w:p>
    <w:p w14:paraId="48C81CF4" w14:textId="77777777" w:rsidR="00035544" w:rsidRPr="0081146C" w:rsidRDefault="00035544" w:rsidP="00035544">
      <w:pPr>
        <w:pStyle w:val="paragraph"/>
        <w:rPr>
          <w:kern w:val="28"/>
        </w:rPr>
      </w:pPr>
      <w:r w:rsidRPr="0081146C">
        <w:rPr>
          <w:kern w:val="28"/>
        </w:rPr>
        <w:tab/>
        <w:t>(a)</w:t>
      </w:r>
      <w:r w:rsidRPr="0081146C">
        <w:rPr>
          <w:kern w:val="28"/>
        </w:rPr>
        <w:tab/>
        <w:t>the occupier of the premises requires the authorised officer to produce his or her identity card for inspection by the occupier; and</w:t>
      </w:r>
    </w:p>
    <w:p w14:paraId="400BA6D0" w14:textId="77777777" w:rsidR="00035544" w:rsidRPr="0081146C" w:rsidRDefault="00035544" w:rsidP="00035544">
      <w:pPr>
        <w:pStyle w:val="paragraph"/>
        <w:rPr>
          <w:kern w:val="28"/>
        </w:rPr>
      </w:pPr>
      <w:r w:rsidRPr="0081146C">
        <w:rPr>
          <w:kern w:val="28"/>
        </w:rPr>
        <w:tab/>
        <w:t>(b)</w:t>
      </w:r>
      <w:r w:rsidRPr="0081146C">
        <w:rPr>
          <w:kern w:val="28"/>
        </w:rPr>
        <w:tab/>
        <w:t>the authorised officer fails to comply with the requirement.</w:t>
      </w:r>
    </w:p>
    <w:p w14:paraId="1A0B622A" w14:textId="77777777" w:rsidR="00035544" w:rsidRPr="0081146C" w:rsidRDefault="00035544" w:rsidP="00035544">
      <w:pPr>
        <w:pStyle w:val="ActHead5"/>
      </w:pPr>
      <w:bookmarkStart w:id="483" w:name="_Toc185415971"/>
      <w:r w:rsidRPr="0081146C">
        <w:rPr>
          <w:rStyle w:val="CharSectno"/>
        </w:rPr>
        <w:t>152</w:t>
      </w:r>
      <w:r w:rsidRPr="0081146C">
        <w:t xml:space="preserve">  Consent</w:t>
      </w:r>
      <w:bookmarkEnd w:id="483"/>
    </w:p>
    <w:p w14:paraId="41C1AE9D" w14:textId="77777777" w:rsidR="00035544" w:rsidRPr="0081146C" w:rsidRDefault="00035544" w:rsidP="00035544">
      <w:pPr>
        <w:pStyle w:val="subsection"/>
        <w:rPr>
          <w:kern w:val="28"/>
        </w:rPr>
      </w:pPr>
      <w:r w:rsidRPr="0081146C">
        <w:rPr>
          <w:kern w:val="28"/>
        </w:rPr>
        <w:tab/>
        <w:t>(1)</w:t>
      </w:r>
      <w:r w:rsidRPr="0081146C">
        <w:rPr>
          <w:kern w:val="28"/>
        </w:rPr>
        <w:tab/>
        <w:t>Before obtaining the consent of a person for the purposes of paragraph</w:t>
      </w:r>
      <w:r w:rsidR="004F64A4" w:rsidRPr="0081146C">
        <w:rPr>
          <w:kern w:val="28"/>
        </w:rPr>
        <w:t> </w:t>
      </w:r>
      <w:r w:rsidRPr="0081146C">
        <w:rPr>
          <w:kern w:val="28"/>
        </w:rPr>
        <w:t>147(2)(a), the authorised officer must inform the person that he or she may refuse consent.</w:t>
      </w:r>
    </w:p>
    <w:p w14:paraId="3E549035" w14:textId="77777777" w:rsidR="00035544" w:rsidRPr="0081146C" w:rsidRDefault="00035544" w:rsidP="00035544">
      <w:pPr>
        <w:pStyle w:val="subsection"/>
        <w:rPr>
          <w:kern w:val="28"/>
        </w:rPr>
      </w:pPr>
      <w:r w:rsidRPr="0081146C">
        <w:rPr>
          <w:kern w:val="28"/>
        </w:rPr>
        <w:tab/>
        <w:t>(2)</w:t>
      </w:r>
      <w:r w:rsidRPr="0081146C">
        <w:rPr>
          <w:kern w:val="28"/>
        </w:rPr>
        <w:tab/>
        <w:t>An entry of an authorised officer because of the consent of a person is not lawful unless the person voluntarily consented to the entry.</w:t>
      </w:r>
    </w:p>
    <w:p w14:paraId="4D2D0C8E" w14:textId="77777777" w:rsidR="00035544" w:rsidRPr="0081146C" w:rsidRDefault="00035544" w:rsidP="00035544">
      <w:pPr>
        <w:pStyle w:val="subsection"/>
      </w:pPr>
      <w:r w:rsidRPr="0081146C">
        <w:tab/>
        <w:t>(3)</w:t>
      </w:r>
      <w:r w:rsidRPr="0081146C">
        <w:tab/>
        <w:t>The consent may be expressed to be limited to entry during a particular period unless the consent is withdrawn before the end of that period.</w:t>
      </w:r>
    </w:p>
    <w:p w14:paraId="5447927B" w14:textId="77777777" w:rsidR="00035544" w:rsidRPr="0081146C" w:rsidRDefault="00035544" w:rsidP="00035544">
      <w:pPr>
        <w:pStyle w:val="subsection"/>
      </w:pPr>
      <w:r w:rsidRPr="0081146C">
        <w:tab/>
        <w:t>(4)</w:t>
      </w:r>
      <w:r w:rsidRPr="0081146C">
        <w:tab/>
        <w:t xml:space="preserve">A consent that is not limited as mentioned in </w:t>
      </w:r>
      <w:r w:rsidR="004F64A4" w:rsidRPr="0081146C">
        <w:t>subsection (</w:t>
      </w:r>
      <w:r w:rsidRPr="0081146C">
        <w:t>3) has effect until the consent is withdrawn.</w:t>
      </w:r>
    </w:p>
    <w:p w14:paraId="58CB4BEE" w14:textId="77777777" w:rsidR="00035544" w:rsidRPr="0081146C" w:rsidRDefault="00035544" w:rsidP="00035544">
      <w:pPr>
        <w:pStyle w:val="subsection"/>
      </w:pPr>
      <w:r w:rsidRPr="0081146C">
        <w:tab/>
        <w:t>(5)</w:t>
      </w:r>
      <w:r w:rsidRPr="0081146C">
        <w:tab/>
        <w:t>If an authorised officer entered premises because of the consent of a person, the authorised officer must leave the premises if the person withdraws the consent.</w:t>
      </w:r>
    </w:p>
    <w:p w14:paraId="0A2CBBBC" w14:textId="77777777" w:rsidR="00035544" w:rsidRPr="0081146C" w:rsidRDefault="00035544" w:rsidP="00035544">
      <w:pPr>
        <w:pStyle w:val="ActHead5"/>
      </w:pPr>
      <w:bookmarkStart w:id="484" w:name="_Toc185415972"/>
      <w:r w:rsidRPr="0081146C">
        <w:rPr>
          <w:rStyle w:val="CharSectno"/>
        </w:rPr>
        <w:t>153</w:t>
      </w:r>
      <w:r w:rsidRPr="0081146C">
        <w:t xml:space="preserve">  Announcement before entry</w:t>
      </w:r>
      <w:bookmarkEnd w:id="484"/>
    </w:p>
    <w:p w14:paraId="712ADFB4" w14:textId="77777777" w:rsidR="00035544" w:rsidRPr="0081146C" w:rsidRDefault="00035544" w:rsidP="00035544">
      <w:pPr>
        <w:pStyle w:val="subsection"/>
        <w:rPr>
          <w:kern w:val="28"/>
        </w:rPr>
      </w:pPr>
      <w:r w:rsidRPr="0081146C">
        <w:tab/>
      </w:r>
      <w:r w:rsidRPr="0081146C">
        <w:rPr>
          <w:kern w:val="28"/>
        </w:rPr>
        <w:tab/>
        <w:t xml:space="preserve">An authorised officer executing a </w:t>
      </w:r>
      <w:r w:rsidRPr="0081146C">
        <w:t xml:space="preserve">monitoring </w:t>
      </w:r>
      <w:r w:rsidRPr="0081146C">
        <w:rPr>
          <w:kern w:val="28"/>
        </w:rPr>
        <w:t>warrant must, before entering premises under the warrant:</w:t>
      </w:r>
    </w:p>
    <w:p w14:paraId="14D4F660" w14:textId="77777777" w:rsidR="00035544" w:rsidRPr="0081146C" w:rsidRDefault="00035544" w:rsidP="00035544">
      <w:pPr>
        <w:pStyle w:val="paragraph"/>
        <w:rPr>
          <w:kern w:val="28"/>
        </w:rPr>
      </w:pPr>
      <w:r w:rsidRPr="0081146C">
        <w:rPr>
          <w:kern w:val="28"/>
        </w:rPr>
        <w:tab/>
        <w:t>(a)</w:t>
      </w:r>
      <w:r w:rsidRPr="0081146C">
        <w:rPr>
          <w:kern w:val="28"/>
        </w:rPr>
        <w:tab/>
        <w:t>announce that he or she is authorised to enter the premises; and</w:t>
      </w:r>
    </w:p>
    <w:p w14:paraId="48FC8FA0" w14:textId="77777777" w:rsidR="00035544" w:rsidRPr="0081146C" w:rsidRDefault="00035544" w:rsidP="00067AB9">
      <w:pPr>
        <w:pStyle w:val="paragraph"/>
        <w:keepNext/>
        <w:keepLines/>
        <w:rPr>
          <w:kern w:val="28"/>
        </w:rPr>
      </w:pPr>
      <w:r w:rsidRPr="0081146C">
        <w:rPr>
          <w:kern w:val="28"/>
        </w:rPr>
        <w:tab/>
        <w:t>(b)</w:t>
      </w:r>
      <w:r w:rsidRPr="0081146C">
        <w:rPr>
          <w:kern w:val="28"/>
        </w:rPr>
        <w:tab/>
        <w:t>give any person at the premises an opportunity to allow entry to the premises.</w:t>
      </w:r>
    </w:p>
    <w:p w14:paraId="1C1EC34C" w14:textId="77777777" w:rsidR="00035544" w:rsidRPr="0081146C" w:rsidRDefault="00035544" w:rsidP="00035544">
      <w:pPr>
        <w:pStyle w:val="notetext"/>
        <w:rPr>
          <w:kern w:val="28"/>
        </w:rPr>
      </w:pPr>
      <w:r w:rsidRPr="0081146C">
        <w:rPr>
          <w:kern w:val="28"/>
        </w:rPr>
        <w:t>Note:</w:t>
      </w:r>
      <w:r w:rsidRPr="0081146C">
        <w:rPr>
          <w:kern w:val="28"/>
        </w:rPr>
        <w:tab/>
      </w:r>
      <w:r w:rsidRPr="0081146C">
        <w:t xml:space="preserve">Monitoring </w:t>
      </w:r>
      <w:r w:rsidRPr="0081146C">
        <w:rPr>
          <w:kern w:val="28"/>
        </w:rPr>
        <w:t xml:space="preserve">warrants are issued under </w:t>
      </w:r>
      <w:r w:rsidR="003B7E15" w:rsidRPr="0081146C">
        <w:rPr>
          <w:kern w:val="28"/>
        </w:rPr>
        <w:t>section 1</w:t>
      </w:r>
      <w:r w:rsidRPr="0081146C">
        <w:rPr>
          <w:kern w:val="28"/>
        </w:rPr>
        <w:t>59.</w:t>
      </w:r>
    </w:p>
    <w:p w14:paraId="6336E9BD" w14:textId="77777777" w:rsidR="00035544" w:rsidRPr="0081146C" w:rsidRDefault="00035544" w:rsidP="00035544">
      <w:pPr>
        <w:pStyle w:val="ActHead5"/>
      </w:pPr>
      <w:bookmarkStart w:id="485" w:name="_Toc185415973"/>
      <w:r w:rsidRPr="0081146C">
        <w:rPr>
          <w:rStyle w:val="CharSectno"/>
        </w:rPr>
        <w:t>154</w:t>
      </w:r>
      <w:r w:rsidRPr="0081146C">
        <w:t xml:space="preserve">  Details of monitoring warrant to be given to occupier etc. before entry</w:t>
      </w:r>
      <w:bookmarkEnd w:id="485"/>
    </w:p>
    <w:p w14:paraId="4CB1DB2A" w14:textId="77777777" w:rsidR="00035544" w:rsidRPr="0081146C" w:rsidRDefault="00035544" w:rsidP="00035544">
      <w:pPr>
        <w:pStyle w:val="subsection"/>
        <w:rPr>
          <w:kern w:val="28"/>
        </w:rPr>
      </w:pPr>
      <w:r w:rsidRPr="0081146C">
        <w:tab/>
        <w:t>(</w:t>
      </w:r>
      <w:r w:rsidRPr="0081146C">
        <w:rPr>
          <w:kern w:val="28"/>
        </w:rPr>
        <w:t>1)</w:t>
      </w:r>
      <w:r w:rsidRPr="0081146C">
        <w:rPr>
          <w:kern w:val="28"/>
        </w:rPr>
        <w:tab/>
        <w:t>If:</w:t>
      </w:r>
    </w:p>
    <w:p w14:paraId="5E31BC7D" w14:textId="77777777" w:rsidR="00035544" w:rsidRPr="0081146C" w:rsidRDefault="00035544" w:rsidP="00035544">
      <w:pPr>
        <w:pStyle w:val="paragraph"/>
        <w:rPr>
          <w:kern w:val="28"/>
        </w:rPr>
      </w:pPr>
      <w:r w:rsidRPr="0081146C">
        <w:rPr>
          <w:kern w:val="28"/>
        </w:rPr>
        <w:tab/>
        <w:t>(a)</w:t>
      </w:r>
      <w:r w:rsidRPr="0081146C">
        <w:rPr>
          <w:kern w:val="28"/>
        </w:rPr>
        <w:tab/>
        <w:t xml:space="preserve">a </w:t>
      </w:r>
      <w:r w:rsidRPr="0081146C">
        <w:t xml:space="preserve">monitoring </w:t>
      </w:r>
      <w:r w:rsidRPr="0081146C">
        <w:rPr>
          <w:kern w:val="28"/>
        </w:rPr>
        <w:t>warrant is being executed in relation to premises; and</w:t>
      </w:r>
    </w:p>
    <w:p w14:paraId="3518E645" w14:textId="77777777" w:rsidR="00035544" w:rsidRPr="0081146C" w:rsidRDefault="00035544" w:rsidP="00035544">
      <w:pPr>
        <w:pStyle w:val="paragraph"/>
        <w:rPr>
          <w:kern w:val="28"/>
        </w:rPr>
      </w:pPr>
      <w:r w:rsidRPr="0081146C">
        <w:rPr>
          <w:kern w:val="28"/>
        </w:rPr>
        <w:tab/>
        <w:t>(b)</w:t>
      </w:r>
      <w:r w:rsidRPr="0081146C">
        <w:rPr>
          <w:kern w:val="28"/>
        </w:rPr>
        <w:tab/>
        <w:t>either:</w:t>
      </w:r>
    </w:p>
    <w:p w14:paraId="1746BD43" w14:textId="77777777" w:rsidR="00035544" w:rsidRPr="0081146C" w:rsidRDefault="00035544" w:rsidP="00035544">
      <w:pPr>
        <w:pStyle w:val="paragraphsub"/>
        <w:rPr>
          <w:kern w:val="28"/>
        </w:rPr>
      </w:pPr>
      <w:r w:rsidRPr="0081146C">
        <w:rPr>
          <w:kern w:val="28"/>
        </w:rPr>
        <w:tab/>
        <w:t>(i)</w:t>
      </w:r>
      <w:r w:rsidRPr="0081146C">
        <w:rPr>
          <w:kern w:val="28"/>
        </w:rPr>
        <w:tab/>
        <w:t>the occupier of the premises is present at the premises; or</w:t>
      </w:r>
    </w:p>
    <w:p w14:paraId="0FD75ECD" w14:textId="77777777" w:rsidR="00035544" w:rsidRPr="0081146C" w:rsidRDefault="00035544" w:rsidP="00035544">
      <w:pPr>
        <w:pStyle w:val="paragraphsub"/>
        <w:rPr>
          <w:kern w:val="28"/>
        </w:rPr>
      </w:pPr>
      <w:r w:rsidRPr="0081146C">
        <w:rPr>
          <w:kern w:val="28"/>
        </w:rPr>
        <w:tab/>
        <w:t>(ii)</w:t>
      </w:r>
      <w:r w:rsidRPr="0081146C">
        <w:rPr>
          <w:kern w:val="28"/>
        </w:rPr>
        <w:tab/>
        <w:t>the occupier of the premises is not present at the premises, but another person who apparently represents the occupier is present at the premises;</w:t>
      </w:r>
    </w:p>
    <w:p w14:paraId="545C9F6F" w14:textId="77777777" w:rsidR="00035544" w:rsidRPr="0081146C" w:rsidRDefault="00035544" w:rsidP="00035544">
      <w:pPr>
        <w:pStyle w:val="subsection2"/>
        <w:rPr>
          <w:kern w:val="28"/>
        </w:rPr>
      </w:pPr>
      <w:r w:rsidRPr="0081146C">
        <w:rPr>
          <w:kern w:val="28"/>
        </w:rPr>
        <w:t>the authorised officer must make a copy of the warrant available to:</w:t>
      </w:r>
    </w:p>
    <w:p w14:paraId="005D51AD" w14:textId="77777777" w:rsidR="00035544" w:rsidRPr="0081146C" w:rsidRDefault="00035544" w:rsidP="00035544">
      <w:pPr>
        <w:pStyle w:val="paragraph"/>
      </w:pPr>
      <w:r w:rsidRPr="0081146C">
        <w:tab/>
        <w:t>(c)</w:t>
      </w:r>
      <w:r w:rsidRPr="0081146C">
        <w:tab/>
        <w:t xml:space="preserve">if </w:t>
      </w:r>
      <w:r w:rsidR="004F64A4" w:rsidRPr="0081146C">
        <w:t>subparagraph (</w:t>
      </w:r>
      <w:r w:rsidRPr="0081146C">
        <w:t>b)(i) applies—the occupier of the premises; or</w:t>
      </w:r>
    </w:p>
    <w:p w14:paraId="1712FFFD" w14:textId="77777777" w:rsidR="00035544" w:rsidRPr="0081146C" w:rsidRDefault="00035544" w:rsidP="00035544">
      <w:pPr>
        <w:pStyle w:val="paragraph"/>
      </w:pPr>
      <w:r w:rsidRPr="0081146C">
        <w:tab/>
        <w:t>(d)</w:t>
      </w:r>
      <w:r w:rsidRPr="0081146C">
        <w:tab/>
        <w:t xml:space="preserve">if </w:t>
      </w:r>
      <w:r w:rsidR="004F64A4" w:rsidRPr="0081146C">
        <w:t>subparagraph (</w:t>
      </w:r>
      <w:r w:rsidRPr="0081146C">
        <w:t>b)(ii) applies—the person who apparently represents the occupier.</w:t>
      </w:r>
    </w:p>
    <w:p w14:paraId="4EF351D8" w14:textId="77777777" w:rsidR="00035544" w:rsidRPr="0081146C" w:rsidRDefault="00035544" w:rsidP="00035544">
      <w:pPr>
        <w:pStyle w:val="subsection"/>
        <w:rPr>
          <w:kern w:val="28"/>
        </w:rPr>
      </w:pPr>
      <w:r w:rsidRPr="0081146C">
        <w:rPr>
          <w:kern w:val="28"/>
        </w:rPr>
        <w:tab/>
        <w:t>(2)</w:t>
      </w:r>
      <w:r w:rsidRPr="0081146C">
        <w:rPr>
          <w:kern w:val="28"/>
        </w:rPr>
        <w:tab/>
        <w:t>The authorised officer must identify himself or herself to that person.</w:t>
      </w:r>
    </w:p>
    <w:p w14:paraId="6797B7DF" w14:textId="77777777" w:rsidR="00035544" w:rsidRPr="0081146C" w:rsidRDefault="00035544" w:rsidP="00035544">
      <w:pPr>
        <w:pStyle w:val="subsection"/>
        <w:rPr>
          <w:kern w:val="28"/>
        </w:rPr>
      </w:pPr>
      <w:r w:rsidRPr="0081146C">
        <w:rPr>
          <w:kern w:val="28"/>
        </w:rPr>
        <w:tab/>
        <w:t>(3)</w:t>
      </w:r>
      <w:r w:rsidRPr="0081146C">
        <w:rPr>
          <w:kern w:val="28"/>
        </w:rPr>
        <w:tab/>
        <w:t xml:space="preserve">The copy of the warrant mentioned in </w:t>
      </w:r>
      <w:r w:rsidR="004F64A4" w:rsidRPr="0081146C">
        <w:rPr>
          <w:kern w:val="28"/>
        </w:rPr>
        <w:t>subsection (</w:t>
      </w:r>
      <w:r w:rsidRPr="0081146C">
        <w:rPr>
          <w:kern w:val="28"/>
        </w:rPr>
        <w:t>1) need not include the signature of the magistrate who issued the warrant.</w:t>
      </w:r>
    </w:p>
    <w:p w14:paraId="4275C159" w14:textId="77777777" w:rsidR="00035544" w:rsidRPr="0081146C" w:rsidRDefault="00035544" w:rsidP="00035544">
      <w:pPr>
        <w:pStyle w:val="notetext"/>
        <w:rPr>
          <w:kern w:val="28"/>
        </w:rPr>
      </w:pPr>
      <w:r w:rsidRPr="0081146C">
        <w:rPr>
          <w:kern w:val="28"/>
        </w:rPr>
        <w:t>Note:</w:t>
      </w:r>
      <w:r w:rsidRPr="0081146C">
        <w:rPr>
          <w:kern w:val="28"/>
        </w:rPr>
        <w:tab/>
      </w:r>
      <w:r w:rsidRPr="0081146C">
        <w:t xml:space="preserve">Monitoring </w:t>
      </w:r>
      <w:r w:rsidRPr="0081146C">
        <w:rPr>
          <w:kern w:val="28"/>
        </w:rPr>
        <w:t xml:space="preserve">warrants are issued under </w:t>
      </w:r>
      <w:r w:rsidR="003B7E15" w:rsidRPr="0081146C">
        <w:rPr>
          <w:kern w:val="28"/>
        </w:rPr>
        <w:t>section 1</w:t>
      </w:r>
      <w:r w:rsidRPr="0081146C">
        <w:rPr>
          <w:kern w:val="28"/>
        </w:rPr>
        <w:t>59.</w:t>
      </w:r>
    </w:p>
    <w:p w14:paraId="3A875D48" w14:textId="77777777" w:rsidR="00035544" w:rsidRPr="0081146C" w:rsidRDefault="00035544" w:rsidP="00035544">
      <w:pPr>
        <w:pStyle w:val="ActHead5"/>
      </w:pPr>
      <w:bookmarkStart w:id="486" w:name="_Toc185415974"/>
      <w:r w:rsidRPr="0081146C">
        <w:rPr>
          <w:rStyle w:val="CharSectno"/>
        </w:rPr>
        <w:t>155</w:t>
      </w:r>
      <w:r w:rsidRPr="0081146C">
        <w:t xml:space="preserve">  Use of electronic equipment in exercising monitoring powers</w:t>
      </w:r>
      <w:bookmarkEnd w:id="486"/>
    </w:p>
    <w:p w14:paraId="761266D9" w14:textId="77777777" w:rsidR="00035544" w:rsidRPr="0081146C" w:rsidRDefault="00035544" w:rsidP="00035544">
      <w:pPr>
        <w:pStyle w:val="subsection"/>
      </w:pPr>
      <w:r w:rsidRPr="0081146C">
        <w:tab/>
        <w:t>(1)</w:t>
      </w:r>
      <w:r w:rsidRPr="0081146C">
        <w:tab/>
        <w:t>This section applies to the following premises:</w:t>
      </w:r>
    </w:p>
    <w:p w14:paraId="3B008EEA" w14:textId="77777777" w:rsidR="00035544" w:rsidRPr="0081146C" w:rsidRDefault="00035544" w:rsidP="00035544">
      <w:pPr>
        <w:pStyle w:val="paragraph"/>
      </w:pPr>
      <w:r w:rsidRPr="0081146C">
        <w:tab/>
        <w:t>(a)</w:t>
      </w:r>
      <w:r w:rsidRPr="0081146C">
        <w:tab/>
        <w:t>premises that an authorised officer has entered, and remains on, with the consent of the occupier;</w:t>
      </w:r>
    </w:p>
    <w:p w14:paraId="1F77790E" w14:textId="77777777" w:rsidR="00035544" w:rsidRPr="0081146C" w:rsidRDefault="00035544" w:rsidP="00035544">
      <w:pPr>
        <w:pStyle w:val="paragraph"/>
      </w:pPr>
      <w:r w:rsidRPr="0081146C">
        <w:tab/>
        <w:t>(b)</w:t>
      </w:r>
      <w:r w:rsidRPr="0081146C">
        <w:tab/>
        <w:t>warrant premises.</w:t>
      </w:r>
    </w:p>
    <w:p w14:paraId="456BE3F4" w14:textId="77777777" w:rsidR="00035544" w:rsidRPr="0081146C" w:rsidRDefault="00035544" w:rsidP="00035544">
      <w:pPr>
        <w:pStyle w:val="subsection"/>
      </w:pPr>
      <w:r w:rsidRPr="0081146C">
        <w:tab/>
        <w:t>(2)</w:t>
      </w:r>
      <w:r w:rsidRPr="0081146C">
        <w:tab/>
        <w:t>An authorised officer or a person assisting that officer may operate electronic equipment already at the premises in order to exercise monitoring powers if he or she believes, on reasonable grounds, that the operation of the equipment can be carried out without damage to the equipment.</w:t>
      </w:r>
    </w:p>
    <w:p w14:paraId="5714E79F" w14:textId="77777777" w:rsidR="00035544" w:rsidRPr="0081146C" w:rsidRDefault="00035544" w:rsidP="00035544">
      <w:pPr>
        <w:pStyle w:val="subsection"/>
      </w:pPr>
      <w:r w:rsidRPr="0081146C">
        <w:tab/>
        <w:t>(3)</w:t>
      </w:r>
      <w:r w:rsidRPr="0081146C">
        <w:tab/>
        <w:t>If the authorised officer or a person assisting believes, on reasonable grounds, that:</w:t>
      </w:r>
    </w:p>
    <w:p w14:paraId="5806B2C0" w14:textId="77777777" w:rsidR="00035544" w:rsidRPr="0081146C" w:rsidRDefault="00035544" w:rsidP="00035544">
      <w:pPr>
        <w:pStyle w:val="paragraph"/>
      </w:pPr>
      <w:r w:rsidRPr="0081146C">
        <w:tab/>
        <w:t>(a)</w:t>
      </w:r>
      <w:r w:rsidRPr="0081146C">
        <w:tab/>
        <w:t>there is on the premises material relating to information provided under this Act, the regulations or the AML/CTF Rules that may be accessible by operating electronic equipment on the premises; and</w:t>
      </w:r>
    </w:p>
    <w:p w14:paraId="1404507C" w14:textId="77777777" w:rsidR="00035544" w:rsidRPr="0081146C" w:rsidRDefault="00035544" w:rsidP="00035544">
      <w:pPr>
        <w:pStyle w:val="paragraph"/>
      </w:pPr>
      <w:r w:rsidRPr="0081146C">
        <w:tab/>
        <w:t>(b)</w:t>
      </w:r>
      <w:r w:rsidRPr="0081146C">
        <w:tab/>
        <w:t>expert assistance is required to operate the equipment; and</w:t>
      </w:r>
    </w:p>
    <w:p w14:paraId="04906BA2" w14:textId="77777777" w:rsidR="00035544" w:rsidRPr="0081146C" w:rsidRDefault="00035544" w:rsidP="00035544">
      <w:pPr>
        <w:pStyle w:val="paragraph"/>
      </w:pPr>
      <w:r w:rsidRPr="0081146C">
        <w:tab/>
        <w:t>(c)</w:t>
      </w:r>
      <w:r w:rsidRPr="0081146C">
        <w:tab/>
        <w:t>if he or she does not take action under this subsection, the material may be destroyed, altered or otherwise interfered with;</w:t>
      </w:r>
    </w:p>
    <w:p w14:paraId="337DDD60" w14:textId="77777777" w:rsidR="00035544" w:rsidRPr="0081146C" w:rsidRDefault="00035544" w:rsidP="00035544">
      <w:pPr>
        <w:pStyle w:val="subsection2"/>
      </w:pPr>
      <w:r w:rsidRPr="0081146C">
        <w:t>he or she may do whatever is necessary to secure the equipment, whether by locking it up, placing a guard, or otherwise.</w:t>
      </w:r>
    </w:p>
    <w:p w14:paraId="7EA27633" w14:textId="77777777" w:rsidR="00035544" w:rsidRPr="0081146C" w:rsidRDefault="00035544" w:rsidP="00035544">
      <w:pPr>
        <w:pStyle w:val="subsection"/>
      </w:pPr>
      <w:r w:rsidRPr="0081146C">
        <w:tab/>
        <w:t>(4)</w:t>
      </w:r>
      <w:r w:rsidRPr="0081146C">
        <w:tab/>
        <w:t>The authorised officer or a person assisting must give notice to the occupier of the premises of his or her intention to secure equipment and of the fact that the equipment may be secured for up to 24 hours.</w:t>
      </w:r>
    </w:p>
    <w:p w14:paraId="399D89EC" w14:textId="77777777" w:rsidR="00035544" w:rsidRPr="0081146C" w:rsidRDefault="00035544" w:rsidP="00035544">
      <w:pPr>
        <w:pStyle w:val="subsection"/>
      </w:pPr>
      <w:r w:rsidRPr="0081146C">
        <w:tab/>
        <w:t>(5)</w:t>
      </w:r>
      <w:r w:rsidRPr="0081146C">
        <w:tab/>
        <w:t>The equipment may be secured:</w:t>
      </w:r>
    </w:p>
    <w:p w14:paraId="6BC10543" w14:textId="77777777" w:rsidR="00035544" w:rsidRPr="0081146C" w:rsidRDefault="00035544" w:rsidP="00035544">
      <w:pPr>
        <w:pStyle w:val="paragraph"/>
      </w:pPr>
      <w:r w:rsidRPr="0081146C">
        <w:tab/>
        <w:t>(a)</w:t>
      </w:r>
      <w:r w:rsidRPr="0081146C">
        <w:tab/>
        <w:t>for a period not exceeding 24 hours; or</w:t>
      </w:r>
    </w:p>
    <w:p w14:paraId="66F3D612" w14:textId="77777777" w:rsidR="00035544" w:rsidRPr="0081146C" w:rsidRDefault="00035544" w:rsidP="00035544">
      <w:pPr>
        <w:pStyle w:val="paragraph"/>
      </w:pPr>
      <w:r w:rsidRPr="0081146C">
        <w:tab/>
        <w:t>(b)</w:t>
      </w:r>
      <w:r w:rsidRPr="0081146C">
        <w:tab/>
        <w:t>until the equipment has been operated by the expert;</w:t>
      </w:r>
    </w:p>
    <w:p w14:paraId="33685EC2" w14:textId="77777777" w:rsidR="00035544" w:rsidRPr="0081146C" w:rsidRDefault="00035544" w:rsidP="00035544">
      <w:pPr>
        <w:pStyle w:val="subsection2"/>
      </w:pPr>
      <w:r w:rsidRPr="0081146C">
        <w:t>whichever first happens.</w:t>
      </w:r>
    </w:p>
    <w:p w14:paraId="460819BC" w14:textId="77777777" w:rsidR="00035544" w:rsidRPr="0081146C" w:rsidRDefault="00035544" w:rsidP="00035544">
      <w:pPr>
        <w:pStyle w:val="subsection"/>
      </w:pPr>
      <w:r w:rsidRPr="0081146C">
        <w:tab/>
        <w:t>(6)</w:t>
      </w:r>
      <w:r w:rsidRPr="0081146C">
        <w:tab/>
        <w:t>If an authorised officer or a person assisting believes, on reasonable grounds, that the expert assistance will not be available within 24 hours, he or she may apply to a magistrate for an extension of the period.</w:t>
      </w:r>
    </w:p>
    <w:p w14:paraId="3FD0124B" w14:textId="77777777" w:rsidR="00035544" w:rsidRPr="0081146C" w:rsidRDefault="00035544" w:rsidP="00035544">
      <w:pPr>
        <w:pStyle w:val="subsection"/>
      </w:pPr>
      <w:r w:rsidRPr="0081146C">
        <w:tab/>
        <w:t>(7)</w:t>
      </w:r>
      <w:r w:rsidRPr="0081146C">
        <w:tab/>
        <w:t>The authorised officer or a person assisting must give notice to the occupier of the premises of his or her intention to apply for an extension. The occupier is entitled to be heard in relation to that application.</w:t>
      </w:r>
    </w:p>
    <w:p w14:paraId="2C5AAEA6" w14:textId="77777777" w:rsidR="00035544" w:rsidRPr="0081146C" w:rsidRDefault="00035544" w:rsidP="00035544">
      <w:pPr>
        <w:pStyle w:val="subsection"/>
      </w:pPr>
      <w:r w:rsidRPr="0081146C">
        <w:tab/>
        <w:t>(8)</w:t>
      </w:r>
      <w:r w:rsidRPr="0081146C">
        <w:tab/>
        <w:t>The provisions of this Part relating to the issue of monitoring warrants apply, with such modifications as are necessary, to the issue of an extension.</w:t>
      </w:r>
    </w:p>
    <w:p w14:paraId="2DEAE342" w14:textId="77777777" w:rsidR="00035544" w:rsidRPr="0081146C" w:rsidRDefault="00035544" w:rsidP="00067AB9">
      <w:pPr>
        <w:pStyle w:val="ActHead5"/>
      </w:pPr>
      <w:bookmarkStart w:id="487" w:name="_Toc185415975"/>
      <w:r w:rsidRPr="0081146C">
        <w:rPr>
          <w:rStyle w:val="CharSectno"/>
        </w:rPr>
        <w:t>156</w:t>
      </w:r>
      <w:r w:rsidRPr="0081146C">
        <w:t xml:space="preserve">  Compensation for damage to electronic equipment</w:t>
      </w:r>
      <w:bookmarkEnd w:id="487"/>
    </w:p>
    <w:p w14:paraId="271D235C" w14:textId="77777777" w:rsidR="00035544" w:rsidRPr="0081146C" w:rsidRDefault="00035544" w:rsidP="00067AB9">
      <w:pPr>
        <w:pStyle w:val="subsection"/>
        <w:keepNext/>
        <w:keepLines/>
      </w:pPr>
      <w:r w:rsidRPr="0081146C">
        <w:tab/>
        <w:t>(1)</w:t>
      </w:r>
      <w:r w:rsidRPr="0081146C">
        <w:tab/>
        <w:t>This section applies if:</w:t>
      </w:r>
    </w:p>
    <w:p w14:paraId="23E245BC" w14:textId="77777777" w:rsidR="00035544" w:rsidRPr="0081146C" w:rsidRDefault="00035544" w:rsidP="00035544">
      <w:pPr>
        <w:pStyle w:val="paragraph"/>
      </w:pPr>
      <w:r w:rsidRPr="0081146C">
        <w:tab/>
        <w:t>(a)</w:t>
      </w:r>
      <w:r w:rsidRPr="0081146C">
        <w:tab/>
        <w:t xml:space="preserve">as a result of electronic equipment being operated as mentioned in </w:t>
      </w:r>
      <w:r w:rsidR="003B7E15" w:rsidRPr="0081146C">
        <w:t>section 1</w:t>
      </w:r>
      <w:r w:rsidRPr="0081146C">
        <w:t>55:</w:t>
      </w:r>
    </w:p>
    <w:p w14:paraId="3A99F173" w14:textId="77777777" w:rsidR="00035544" w:rsidRPr="0081146C" w:rsidRDefault="00035544" w:rsidP="00035544">
      <w:pPr>
        <w:pStyle w:val="paragraphsub"/>
      </w:pPr>
      <w:r w:rsidRPr="0081146C">
        <w:tab/>
        <w:t>(i)</w:t>
      </w:r>
      <w:r w:rsidRPr="0081146C">
        <w:tab/>
        <w:t>damage is caused to the equipment; or</w:t>
      </w:r>
    </w:p>
    <w:p w14:paraId="3ED08C70" w14:textId="77777777" w:rsidR="00035544" w:rsidRPr="0081146C" w:rsidRDefault="00035544" w:rsidP="00035544">
      <w:pPr>
        <w:pStyle w:val="paragraphsub"/>
      </w:pPr>
      <w:r w:rsidRPr="0081146C">
        <w:tab/>
        <w:t>(ii)</w:t>
      </w:r>
      <w:r w:rsidRPr="0081146C">
        <w:tab/>
        <w:t>the data recorded on the equipment is damaged; or</w:t>
      </w:r>
    </w:p>
    <w:p w14:paraId="61A87F59" w14:textId="77777777" w:rsidR="00035544" w:rsidRPr="0081146C" w:rsidRDefault="00035544" w:rsidP="00035544">
      <w:pPr>
        <w:pStyle w:val="paragraphsub"/>
      </w:pPr>
      <w:r w:rsidRPr="0081146C">
        <w:tab/>
        <w:t>(iii)</w:t>
      </w:r>
      <w:r w:rsidRPr="0081146C">
        <w:tab/>
        <w:t>programs associated with the use of the equipment, or with the use of the data, are damaged or corrupted; and</w:t>
      </w:r>
    </w:p>
    <w:p w14:paraId="182A714C" w14:textId="77777777" w:rsidR="00035544" w:rsidRPr="0081146C" w:rsidRDefault="00035544" w:rsidP="00035544">
      <w:pPr>
        <w:pStyle w:val="paragraph"/>
      </w:pPr>
      <w:r w:rsidRPr="0081146C">
        <w:tab/>
        <w:t>(b)</w:t>
      </w:r>
      <w:r w:rsidRPr="0081146C">
        <w:tab/>
        <w:t>the damage or corruption occurs because:</w:t>
      </w:r>
    </w:p>
    <w:p w14:paraId="2F491CAB" w14:textId="77777777" w:rsidR="00035544" w:rsidRPr="0081146C" w:rsidRDefault="00035544" w:rsidP="00035544">
      <w:pPr>
        <w:pStyle w:val="paragraphsub"/>
      </w:pPr>
      <w:r w:rsidRPr="0081146C">
        <w:tab/>
        <w:t>(i)</w:t>
      </w:r>
      <w:r w:rsidRPr="0081146C">
        <w:tab/>
        <w:t>insufficient care was exercised in selecting the person who was to operate the equipment; or</w:t>
      </w:r>
    </w:p>
    <w:p w14:paraId="22DD9E78" w14:textId="77777777" w:rsidR="00035544" w:rsidRPr="0081146C" w:rsidRDefault="00035544" w:rsidP="00035544">
      <w:pPr>
        <w:pStyle w:val="paragraphsub"/>
      </w:pPr>
      <w:r w:rsidRPr="0081146C">
        <w:tab/>
        <w:t>(ii)</w:t>
      </w:r>
      <w:r w:rsidRPr="0081146C">
        <w:tab/>
        <w:t>insufficient care was exercised by the person operating the equipment.</w:t>
      </w:r>
    </w:p>
    <w:p w14:paraId="2B152CF9" w14:textId="77777777" w:rsidR="00035544" w:rsidRPr="0081146C" w:rsidRDefault="00035544" w:rsidP="00035544">
      <w:pPr>
        <w:pStyle w:val="subsection"/>
      </w:pPr>
      <w:r w:rsidRPr="0081146C">
        <w:tab/>
        <w:t>(2)</w:t>
      </w:r>
      <w:r w:rsidRPr="0081146C">
        <w:tab/>
        <w:t>The Commonwealth must pay the owner of the equipment, or the user of the data or programs, such reasonable compensation for the damage or corruption as the Commonwealth and the owner or user agree on.</w:t>
      </w:r>
    </w:p>
    <w:p w14:paraId="666B1BF4" w14:textId="77777777" w:rsidR="00035544" w:rsidRPr="0081146C" w:rsidRDefault="00035544" w:rsidP="00035544">
      <w:pPr>
        <w:pStyle w:val="subsection"/>
      </w:pPr>
      <w:r w:rsidRPr="0081146C">
        <w:tab/>
        <w:t>(3)</w:t>
      </w:r>
      <w:r w:rsidRPr="0081146C">
        <w:tab/>
        <w:t>However, if the owner or user and the Commonwealth fail to agree, the owner or user may institute proceedings in the Federal Court for such reasonable amount of compensation as the Court determines.</w:t>
      </w:r>
    </w:p>
    <w:p w14:paraId="361C5521" w14:textId="77777777" w:rsidR="00035544" w:rsidRPr="0081146C" w:rsidRDefault="00035544" w:rsidP="00035544">
      <w:pPr>
        <w:pStyle w:val="subsection"/>
      </w:pPr>
      <w:r w:rsidRPr="0081146C">
        <w:tab/>
        <w:t>(4)</w:t>
      </w:r>
      <w:r w:rsidRPr="0081146C">
        <w:tab/>
        <w:t xml:space="preserve">In determining the amount of compensation payable under </w:t>
      </w:r>
      <w:r w:rsidR="004F64A4" w:rsidRPr="0081146C">
        <w:t>subsection (</w:t>
      </w:r>
      <w:r w:rsidRPr="0081146C">
        <w:t>3), regard is to be had to whether the occupier of the premises, or the occupier’s employees and agents, if they were available at the time, provided any appropriate warning or guidance on the operation of the equipment.</w:t>
      </w:r>
    </w:p>
    <w:p w14:paraId="77FAA5A2" w14:textId="77777777" w:rsidR="00035544" w:rsidRPr="0081146C" w:rsidRDefault="00035544" w:rsidP="00035544">
      <w:pPr>
        <w:pStyle w:val="subsection"/>
      </w:pPr>
      <w:r w:rsidRPr="0081146C">
        <w:tab/>
        <w:t>(5)</w:t>
      </w:r>
      <w:r w:rsidRPr="0081146C">
        <w:tab/>
        <w:t>Compensation is payable out of money appropriated by the Parliament.</w:t>
      </w:r>
    </w:p>
    <w:p w14:paraId="65B11F1A" w14:textId="77777777" w:rsidR="00035544" w:rsidRPr="0081146C" w:rsidRDefault="00CA78AA" w:rsidP="00AE2DA2">
      <w:pPr>
        <w:pStyle w:val="ActHead3"/>
        <w:pageBreakBefore/>
      </w:pPr>
      <w:bookmarkStart w:id="488" w:name="_Toc185415976"/>
      <w:r w:rsidRPr="0081146C">
        <w:rPr>
          <w:rStyle w:val="CharDivNo"/>
        </w:rPr>
        <w:t>Division 5</w:t>
      </w:r>
      <w:r w:rsidR="00035544" w:rsidRPr="0081146C">
        <w:t>—</w:t>
      </w:r>
      <w:r w:rsidR="00035544" w:rsidRPr="0081146C">
        <w:rPr>
          <w:rStyle w:val="CharDivText"/>
        </w:rPr>
        <w:t>Occupier’s rights and responsibilities</w:t>
      </w:r>
      <w:bookmarkEnd w:id="488"/>
    </w:p>
    <w:p w14:paraId="57030DF9" w14:textId="77777777" w:rsidR="00035544" w:rsidRPr="0081146C" w:rsidRDefault="00035544" w:rsidP="00035544">
      <w:pPr>
        <w:pStyle w:val="ActHead5"/>
      </w:pPr>
      <w:bookmarkStart w:id="489" w:name="_Toc185415977"/>
      <w:r w:rsidRPr="0081146C">
        <w:rPr>
          <w:rStyle w:val="CharSectno"/>
        </w:rPr>
        <w:t>157</w:t>
      </w:r>
      <w:r w:rsidRPr="0081146C">
        <w:t xml:space="preserve">  Occupier entitled to be present during execution of monitoring warrant</w:t>
      </w:r>
      <w:bookmarkEnd w:id="489"/>
    </w:p>
    <w:p w14:paraId="2B3BE805" w14:textId="77777777" w:rsidR="00035544" w:rsidRPr="0081146C" w:rsidRDefault="00035544" w:rsidP="00035544">
      <w:pPr>
        <w:pStyle w:val="subsection"/>
        <w:rPr>
          <w:kern w:val="28"/>
        </w:rPr>
      </w:pPr>
      <w:r w:rsidRPr="0081146C">
        <w:tab/>
        <w:t>(</w:t>
      </w:r>
      <w:r w:rsidRPr="0081146C">
        <w:rPr>
          <w:kern w:val="28"/>
        </w:rPr>
        <w:t>1)</w:t>
      </w:r>
      <w:r w:rsidRPr="0081146C">
        <w:rPr>
          <w:kern w:val="28"/>
        </w:rPr>
        <w:tab/>
        <w:t>If:</w:t>
      </w:r>
    </w:p>
    <w:p w14:paraId="3440C422" w14:textId="77777777" w:rsidR="00035544" w:rsidRPr="0081146C" w:rsidRDefault="00035544" w:rsidP="00035544">
      <w:pPr>
        <w:pStyle w:val="paragraph"/>
        <w:rPr>
          <w:kern w:val="28"/>
        </w:rPr>
      </w:pPr>
      <w:r w:rsidRPr="0081146C">
        <w:rPr>
          <w:kern w:val="28"/>
        </w:rPr>
        <w:tab/>
        <w:t>(a)</w:t>
      </w:r>
      <w:r w:rsidRPr="0081146C">
        <w:rPr>
          <w:kern w:val="28"/>
        </w:rPr>
        <w:tab/>
        <w:t>a monitoring warrant is being executed; and</w:t>
      </w:r>
    </w:p>
    <w:p w14:paraId="33B12EA9" w14:textId="77777777" w:rsidR="00035544" w:rsidRPr="0081146C" w:rsidRDefault="00035544" w:rsidP="00035544">
      <w:pPr>
        <w:pStyle w:val="paragraph"/>
        <w:rPr>
          <w:kern w:val="28"/>
        </w:rPr>
      </w:pPr>
      <w:r w:rsidRPr="0081146C">
        <w:rPr>
          <w:kern w:val="28"/>
        </w:rPr>
        <w:tab/>
        <w:t>(b)</w:t>
      </w:r>
      <w:r w:rsidRPr="0081146C">
        <w:rPr>
          <w:kern w:val="28"/>
        </w:rPr>
        <w:tab/>
        <w:t>the occupier of the warrant premises, or another person who apparently represents the occupier, is present at the premises;</w:t>
      </w:r>
    </w:p>
    <w:p w14:paraId="2F57C8DC" w14:textId="77777777" w:rsidR="00035544" w:rsidRPr="0081146C" w:rsidRDefault="00035544" w:rsidP="00035544">
      <w:pPr>
        <w:pStyle w:val="subsection2"/>
        <w:rPr>
          <w:kern w:val="28"/>
        </w:rPr>
      </w:pPr>
      <w:r w:rsidRPr="0081146C">
        <w:rPr>
          <w:kern w:val="28"/>
        </w:rPr>
        <w:t>the person is entitled to observe the execution of the warrant.</w:t>
      </w:r>
    </w:p>
    <w:p w14:paraId="55C173FE" w14:textId="77777777" w:rsidR="00035544" w:rsidRPr="0081146C" w:rsidRDefault="00035544" w:rsidP="00035544">
      <w:pPr>
        <w:pStyle w:val="subsection"/>
        <w:rPr>
          <w:kern w:val="28"/>
        </w:rPr>
      </w:pPr>
      <w:r w:rsidRPr="0081146C">
        <w:rPr>
          <w:kern w:val="28"/>
        </w:rPr>
        <w:tab/>
        <w:t>(2)</w:t>
      </w:r>
      <w:r w:rsidRPr="0081146C">
        <w:rPr>
          <w:kern w:val="28"/>
        </w:rPr>
        <w:tab/>
        <w:t>The right to observe the execution of the warrant ceases if the person impedes that execution.</w:t>
      </w:r>
    </w:p>
    <w:p w14:paraId="798BA977" w14:textId="77777777" w:rsidR="00035544" w:rsidRPr="0081146C" w:rsidRDefault="00035544" w:rsidP="00035544">
      <w:pPr>
        <w:pStyle w:val="subsection"/>
        <w:rPr>
          <w:kern w:val="28"/>
        </w:rPr>
      </w:pPr>
      <w:r w:rsidRPr="0081146C">
        <w:rPr>
          <w:kern w:val="28"/>
        </w:rPr>
        <w:tab/>
        <w:t>(3)</w:t>
      </w:r>
      <w:r w:rsidRPr="0081146C">
        <w:rPr>
          <w:kern w:val="28"/>
        </w:rPr>
        <w:tab/>
        <w:t>This section does not prevent the execution of the warrant in 2 or more areas of the premises at the same time.</w:t>
      </w:r>
    </w:p>
    <w:p w14:paraId="7DF14465" w14:textId="77777777" w:rsidR="00035544" w:rsidRPr="0081146C" w:rsidRDefault="00035544" w:rsidP="00035544">
      <w:pPr>
        <w:pStyle w:val="notetext"/>
        <w:rPr>
          <w:kern w:val="28"/>
        </w:rPr>
      </w:pPr>
      <w:r w:rsidRPr="0081146C">
        <w:rPr>
          <w:kern w:val="28"/>
        </w:rPr>
        <w:t>Note:</w:t>
      </w:r>
      <w:r w:rsidRPr="0081146C">
        <w:rPr>
          <w:kern w:val="28"/>
        </w:rPr>
        <w:tab/>
      </w:r>
      <w:r w:rsidRPr="0081146C">
        <w:t xml:space="preserve">Monitoring </w:t>
      </w:r>
      <w:r w:rsidRPr="0081146C">
        <w:rPr>
          <w:kern w:val="28"/>
        </w:rPr>
        <w:t xml:space="preserve">warrants are issued under </w:t>
      </w:r>
      <w:r w:rsidR="003B7E15" w:rsidRPr="0081146C">
        <w:rPr>
          <w:kern w:val="28"/>
        </w:rPr>
        <w:t>section 1</w:t>
      </w:r>
      <w:r w:rsidRPr="0081146C">
        <w:rPr>
          <w:kern w:val="28"/>
        </w:rPr>
        <w:t>59.</w:t>
      </w:r>
    </w:p>
    <w:p w14:paraId="2BD9D4CC" w14:textId="77777777" w:rsidR="00035544" w:rsidRPr="0081146C" w:rsidRDefault="00035544" w:rsidP="00035544">
      <w:pPr>
        <w:pStyle w:val="ActHead5"/>
      </w:pPr>
      <w:bookmarkStart w:id="490" w:name="_Toc185415978"/>
      <w:r w:rsidRPr="0081146C">
        <w:rPr>
          <w:rStyle w:val="CharSectno"/>
        </w:rPr>
        <w:t>158</w:t>
      </w:r>
      <w:r w:rsidRPr="0081146C">
        <w:t xml:space="preserve">  Occupier to provide authorised officer with facilities and assistance</w:t>
      </w:r>
      <w:bookmarkEnd w:id="490"/>
    </w:p>
    <w:p w14:paraId="5EC5648F" w14:textId="77777777" w:rsidR="00035544" w:rsidRPr="0081146C" w:rsidRDefault="00035544" w:rsidP="00035544">
      <w:pPr>
        <w:pStyle w:val="subsection"/>
        <w:rPr>
          <w:kern w:val="28"/>
        </w:rPr>
      </w:pPr>
      <w:r w:rsidRPr="0081146C">
        <w:rPr>
          <w:kern w:val="28"/>
        </w:rPr>
        <w:tab/>
        <w:t>(1)</w:t>
      </w:r>
      <w:r w:rsidRPr="0081146C">
        <w:rPr>
          <w:kern w:val="28"/>
        </w:rPr>
        <w:tab/>
        <w:t>The occupier of warrant premises, or another person who apparently represents the occupier, must provide:</w:t>
      </w:r>
    </w:p>
    <w:p w14:paraId="55AFA29B" w14:textId="77777777" w:rsidR="00035544" w:rsidRPr="0081146C" w:rsidRDefault="00035544" w:rsidP="00035544">
      <w:pPr>
        <w:pStyle w:val="paragraph"/>
        <w:rPr>
          <w:kern w:val="28"/>
        </w:rPr>
      </w:pPr>
      <w:r w:rsidRPr="0081146C">
        <w:rPr>
          <w:kern w:val="28"/>
        </w:rPr>
        <w:tab/>
        <w:t>(a)</w:t>
      </w:r>
      <w:r w:rsidRPr="0081146C">
        <w:rPr>
          <w:kern w:val="28"/>
        </w:rPr>
        <w:tab/>
        <w:t xml:space="preserve">the </w:t>
      </w:r>
      <w:r w:rsidRPr="0081146C">
        <w:t xml:space="preserve">authorised </w:t>
      </w:r>
      <w:r w:rsidRPr="0081146C">
        <w:rPr>
          <w:kern w:val="28"/>
        </w:rPr>
        <w:t>officer executing the monitoring warrant; and</w:t>
      </w:r>
    </w:p>
    <w:p w14:paraId="4DFDFA49" w14:textId="77777777" w:rsidR="00035544" w:rsidRPr="0081146C" w:rsidRDefault="00035544" w:rsidP="00035544">
      <w:pPr>
        <w:pStyle w:val="paragraph"/>
        <w:rPr>
          <w:kern w:val="28"/>
        </w:rPr>
      </w:pPr>
      <w:r w:rsidRPr="0081146C">
        <w:rPr>
          <w:kern w:val="28"/>
        </w:rPr>
        <w:tab/>
        <w:t>(b)</w:t>
      </w:r>
      <w:r w:rsidRPr="0081146C">
        <w:rPr>
          <w:kern w:val="28"/>
        </w:rPr>
        <w:tab/>
        <w:t>any person assisting that officer;</w:t>
      </w:r>
    </w:p>
    <w:p w14:paraId="2377A487" w14:textId="77777777" w:rsidR="00035544" w:rsidRPr="0081146C" w:rsidRDefault="00035544" w:rsidP="00035544">
      <w:pPr>
        <w:pStyle w:val="subsection2"/>
        <w:rPr>
          <w:kern w:val="28"/>
        </w:rPr>
      </w:pPr>
      <w:r w:rsidRPr="0081146C">
        <w:rPr>
          <w:kern w:val="28"/>
        </w:rPr>
        <w:t>with all reasonable facilities and assistance for the effective exercise of their powers.</w:t>
      </w:r>
    </w:p>
    <w:p w14:paraId="3FEF98FF" w14:textId="77777777" w:rsidR="00035544" w:rsidRPr="0081146C" w:rsidRDefault="00035544" w:rsidP="00035544">
      <w:pPr>
        <w:pStyle w:val="notetext"/>
        <w:rPr>
          <w:kern w:val="28"/>
        </w:rPr>
      </w:pPr>
      <w:r w:rsidRPr="0081146C">
        <w:rPr>
          <w:kern w:val="28"/>
        </w:rPr>
        <w:t>Note:</w:t>
      </w:r>
      <w:r w:rsidRPr="0081146C">
        <w:rPr>
          <w:kern w:val="28"/>
        </w:rPr>
        <w:tab/>
      </w:r>
      <w:r w:rsidRPr="0081146C">
        <w:t xml:space="preserve">Monitoring </w:t>
      </w:r>
      <w:r w:rsidRPr="0081146C">
        <w:rPr>
          <w:kern w:val="28"/>
        </w:rPr>
        <w:t xml:space="preserve">warrants are issued under </w:t>
      </w:r>
      <w:r w:rsidR="003B7E15" w:rsidRPr="0081146C">
        <w:rPr>
          <w:kern w:val="28"/>
        </w:rPr>
        <w:t>section 1</w:t>
      </w:r>
      <w:r w:rsidRPr="0081146C">
        <w:rPr>
          <w:kern w:val="28"/>
        </w:rPr>
        <w:t>59.</w:t>
      </w:r>
    </w:p>
    <w:p w14:paraId="65CD5330" w14:textId="77777777" w:rsidR="00035544" w:rsidRPr="0081146C" w:rsidRDefault="00035544" w:rsidP="00035544">
      <w:pPr>
        <w:pStyle w:val="subsection"/>
      </w:pPr>
      <w:r w:rsidRPr="0081146C">
        <w:tab/>
        <w:t>(2)</w:t>
      </w:r>
      <w:r w:rsidRPr="0081146C">
        <w:tab/>
        <w:t>A person commits an offence if:</w:t>
      </w:r>
    </w:p>
    <w:p w14:paraId="10FD4F80"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1); and</w:t>
      </w:r>
    </w:p>
    <w:p w14:paraId="60DFAD07" w14:textId="77777777" w:rsidR="00035544" w:rsidRPr="0081146C" w:rsidRDefault="00035544" w:rsidP="00035544">
      <w:pPr>
        <w:pStyle w:val="paragraph"/>
      </w:pPr>
      <w:r w:rsidRPr="0081146C">
        <w:tab/>
        <w:t>(b)</w:t>
      </w:r>
      <w:r w:rsidRPr="0081146C">
        <w:tab/>
        <w:t>the person engages in conduct; and</w:t>
      </w:r>
    </w:p>
    <w:p w14:paraId="7FFDC2FA" w14:textId="77777777" w:rsidR="00035544" w:rsidRPr="0081146C" w:rsidRDefault="00035544" w:rsidP="00035544">
      <w:pPr>
        <w:pStyle w:val="paragraph"/>
      </w:pPr>
      <w:r w:rsidRPr="0081146C">
        <w:tab/>
        <w:t>(c)</w:t>
      </w:r>
      <w:r w:rsidRPr="0081146C">
        <w:tab/>
        <w:t>the person’s conduct breaches the requirement.</w:t>
      </w:r>
    </w:p>
    <w:p w14:paraId="452DDE11" w14:textId="77777777" w:rsidR="00035544" w:rsidRPr="0081146C" w:rsidRDefault="00035544" w:rsidP="00035544">
      <w:pPr>
        <w:pStyle w:val="Penalty"/>
      </w:pPr>
      <w:r w:rsidRPr="0081146C">
        <w:t>Penalty for contravention of this subsection: 30 penalty units.</w:t>
      </w:r>
    </w:p>
    <w:p w14:paraId="0BAD05B9" w14:textId="77777777" w:rsidR="00035544" w:rsidRPr="0081146C" w:rsidRDefault="003A364D" w:rsidP="00AE2DA2">
      <w:pPr>
        <w:pStyle w:val="ActHead3"/>
        <w:pageBreakBefore/>
      </w:pPr>
      <w:bookmarkStart w:id="491" w:name="_Toc185415979"/>
      <w:r w:rsidRPr="0081146C">
        <w:rPr>
          <w:rStyle w:val="CharDivNo"/>
        </w:rPr>
        <w:t>Division 6</w:t>
      </w:r>
      <w:r w:rsidR="00035544" w:rsidRPr="0081146C">
        <w:t>—</w:t>
      </w:r>
      <w:r w:rsidR="00035544" w:rsidRPr="0081146C">
        <w:rPr>
          <w:rStyle w:val="CharDivText"/>
        </w:rPr>
        <w:t>Monitoring warrants</w:t>
      </w:r>
      <w:bookmarkEnd w:id="491"/>
    </w:p>
    <w:p w14:paraId="07C151FE" w14:textId="77777777" w:rsidR="00035544" w:rsidRPr="0081146C" w:rsidRDefault="00035544" w:rsidP="00035544">
      <w:pPr>
        <w:pStyle w:val="ActHead5"/>
      </w:pPr>
      <w:bookmarkStart w:id="492" w:name="_Toc185415980"/>
      <w:r w:rsidRPr="0081146C">
        <w:rPr>
          <w:rStyle w:val="CharSectno"/>
        </w:rPr>
        <w:t>159</w:t>
      </w:r>
      <w:r w:rsidRPr="0081146C">
        <w:t xml:space="preserve">  Monitoring warrants</w:t>
      </w:r>
      <w:bookmarkEnd w:id="492"/>
    </w:p>
    <w:p w14:paraId="1E733133" w14:textId="77777777" w:rsidR="00035544" w:rsidRPr="0081146C" w:rsidRDefault="00035544" w:rsidP="00035544">
      <w:pPr>
        <w:pStyle w:val="subsection"/>
        <w:rPr>
          <w:kern w:val="28"/>
        </w:rPr>
      </w:pPr>
      <w:r w:rsidRPr="0081146C">
        <w:tab/>
        <w:t>(</w:t>
      </w:r>
      <w:r w:rsidRPr="0081146C">
        <w:rPr>
          <w:kern w:val="28"/>
        </w:rPr>
        <w:t>1)</w:t>
      </w:r>
      <w:r w:rsidRPr="0081146C">
        <w:rPr>
          <w:kern w:val="28"/>
        </w:rPr>
        <w:tab/>
        <w:t>An authorised officer may apply to a magistrate for a warrant under this section in relation to reporting entity business premises.</w:t>
      </w:r>
    </w:p>
    <w:p w14:paraId="443346A5" w14:textId="77777777" w:rsidR="00035544" w:rsidRPr="0081146C" w:rsidRDefault="00035544" w:rsidP="00035544">
      <w:pPr>
        <w:pStyle w:val="notetext"/>
        <w:rPr>
          <w:kern w:val="28"/>
        </w:rPr>
      </w:pPr>
      <w:r w:rsidRPr="0081146C">
        <w:rPr>
          <w:kern w:val="28"/>
        </w:rPr>
        <w:t>Note:</w:t>
      </w:r>
      <w:r w:rsidRPr="0081146C">
        <w:rPr>
          <w:kern w:val="28"/>
        </w:rPr>
        <w:tab/>
        <w:t xml:space="preserve">A warrant under this section is called a </w:t>
      </w:r>
      <w:r w:rsidRPr="0081146C">
        <w:rPr>
          <w:b/>
          <w:i/>
          <w:kern w:val="28"/>
        </w:rPr>
        <w:t>m</w:t>
      </w:r>
      <w:r w:rsidRPr="0081146C">
        <w:rPr>
          <w:b/>
          <w:i/>
        </w:rPr>
        <w:t xml:space="preserve">onitoring </w:t>
      </w:r>
      <w:r w:rsidRPr="0081146C">
        <w:rPr>
          <w:b/>
          <w:i/>
          <w:kern w:val="28"/>
        </w:rPr>
        <w:t>warrant</w:t>
      </w:r>
      <w:r w:rsidRPr="0081146C">
        <w:rPr>
          <w:kern w:val="28"/>
        </w:rPr>
        <w:t>.</w:t>
      </w:r>
    </w:p>
    <w:p w14:paraId="7E2A0EF7" w14:textId="77777777" w:rsidR="00035544" w:rsidRPr="0081146C" w:rsidRDefault="00035544" w:rsidP="00035544">
      <w:pPr>
        <w:pStyle w:val="subsection"/>
        <w:rPr>
          <w:kern w:val="28"/>
        </w:rPr>
      </w:pPr>
      <w:r w:rsidRPr="0081146C">
        <w:rPr>
          <w:kern w:val="28"/>
        </w:rPr>
        <w:tab/>
        <w:t>(2)</w:t>
      </w:r>
      <w:r w:rsidRPr="0081146C">
        <w:rPr>
          <w:kern w:val="28"/>
        </w:rPr>
        <w:tab/>
        <w:t>The magistrate may issue the warrant if the magistrate is satisfied, by information on oath or affirmation, that it is reasonably necessary that one or more authorised officers should have access to the premises for the purposes of determining whether the provisions of this Act,</w:t>
      </w:r>
      <w:r w:rsidRPr="0081146C">
        <w:t xml:space="preserve"> the regulations or the AML/CTF Rules </w:t>
      </w:r>
      <w:r w:rsidRPr="0081146C">
        <w:rPr>
          <w:kern w:val="28"/>
        </w:rPr>
        <w:t xml:space="preserve">have been, or are being, complied with. This subsection has effect subject to </w:t>
      </w:r>
      <w:r w:rsidR="004F64A4" w:rsidRPr="0081146C">
        <w:rPr>
          <w:kern w:val="28"/>
        </w:rPr>
        <w:t>subsection (</w:t>
      </w:r>
      <w:r w:rsidRPr="0081146C">
        <w:rPr>
          <w:kern w:val="28"/>
        </w:rPr>
        <w:t>3).</w:t>
      </w:r>
    </w:p>
    <w:p w14:paraId="2E8D1091" w14:textId="77777777" w:rsidR="00035544" w:rsidRPr="0081146C" w:rsidRDefault="00035544" w:rsidP="00035544">
      <w:pPr>
        <w:pStyle w:val="subsection"/>
        <w:rPr>
          <w:kern w:val="28"/>
        </w:rPr>
      </w:pPr>
      <w:r w:rsidRPr="0081146C">
        <w:rPr>
          <w:kern w:val="28"/>
        </w:rPr>
        <w:tab/>
        <w:t>(3)</w:t>
      </w:r>
      <w:r w:rsidRPr="0081146C">
        <w:rPr>
          <w:kern w:val="28"/>
        </w:rPr>
        <w:tab/>
        <w:t>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14:paraId="74C167CF" w14:textId="77777777" w:rsidR="00035544" w:rsidRPr="0081146C" w:rsidRDefault="00035544" w:rsidP="00035544">
      <w:pPr>
        <w:pStyle w:val="subsection"/>
        <w:rPr>
          <w:kern w:val="28"/>
        </w:rPr>
      </w:pPr>
      <w:r w:rsidRPr="0081146C">
        <w:rPr>
          <w:kern w:val="28"/>
        </w:rPr>
        <w:tab/>
        <w:t>(4)</w:t>
      </w:r>
      <w:r w:rsidRPr="0081146C">
        <w:rPr>
          <w:kern w:val="28"/>
        </w:rPr>
        <w:tab/>
        <w:t>The warrant must:</w:t>
      </w:r>
    </w:p>
    <w:p w14:paraId="3AB867EF" w14:textId="77777777" w:rsidR="00035544" w:rsidRPr="0081146C" w:rsidRDefault="00035544" w:rsidP="00035544">
      <w:pPr>
        <w:pStyle w:val="paragraph"/>
      </w:pPr>
      <w:r w:rsidRPr="0081146C">
        <w:tab/>
        <w:t>(a)</w:t>
      </w:r>
      <w:r w:rsidRPr="0081146C">
        <w:tab/>
        <w:t>contain a description of the premises to which the warrant relates; and</w:t>
      </w:r>
    </w:p>
    <w:p w14:paraId="4F781FDA" w14:textId="77777777" w:rsidR="00035544" w:rsidRPr="0081146C" w:rsidRDefault="00035544" w:rsidP="00035544">
      <w:pPr>
        <w:pStyle w:val="paragraph"/>
        <w:rPr>
          <w:kern w:val="28"/>
        </w:rPr>
      </w:pPr>
      <w:r w:rsidRPr="0081146C">
        <w:rPr>
          <w:kern w:val="28"/>
        </w:rPr>
        <w:tab/>
        <w:t>(b)</w:t>
      </w:r>
      <w:r w:rsidRPr="0081146C">
        <w:rPr>
          <w:kern w:val="28"/>
        </w:rPr>
        <w:tab/>
        <w:t>authorise one or more authorised officers (whether or not named in the warrant), and any person or persons assisting the authorised officer or authorised officers:</w:t>
      </w:r>
    </w:p>
    <w:p w14:paraId="4E6ADAD7" w14:textId="77777777" w:rsidR="00035544" w:rsidRPr="0081146C" w:rsidRDefault="00035544" w:rsidP="00035544">
      <w:pPr>
        <w:pStyle w:val="paragraphsub"/>
        <w:rPr>
          <w:kern w:val="28"/>
        </w:rPr>
      </w:pPr>
      <w:r w:rsidRPr="0081146C">
        <w:rPr>
          <w:kern w:val="28"/>
        </w:rPr>
        <w:tab/>
        <w:t>(i)</w:t>
      </w:r>
      <w:r w:rsidRPr="0081146C">
        <w:rPr>
          <w:kern w:val="28"/>
        </w:rPr>
        <w:tab/>
        <w:t>to enter the premises; and</w:t>
      </w:r>
    </w:p>
    <w:p w14:paraId="745A527A" w14:textId="77777777" w:rsidR="00035544" w:rsidRPr="0081146C" w:rsidRDefault="00035544" w:rsidP="00035544">
      <w:pPr>
        <w:pStyle w:val="paragraphsub"/>
        <w:rPr>
          <w:kern w:val="28"/>
        </w:rPr>
      </w:pPr>
      <w:r w:rsidRPr="0081146C">
        <w:rPr>
          <w:kern w:val="28"/>
        </w:rPr>
        <w:tab/>
        <w:t>(ii)</w:t>
      </w:r>
      <w:r w:rsidRPr="0081146C">
        <w:rPr>
          <w:kern w:val="28"/>
        </w:rPr>
        <w:tab/>
        <w:t xml:space="preserve">to exercise the powers set out in </w:t>
      </w:r>
      <w:r w:rsidR="003B7E15" w:rsidRPr="0081146C">
        <w:rPr>
          <w:kern w:val="28"/>
        </w:rPr>
        <w:t>section 1</w:t>
      </w:r>
      <w:r w:rsidRPr="0081146C">
        <w:rPr>
          <w:kern w:val="28"/>
        </w:rPr>
        <w:t>48 in relation to the premises; and</w:t>
      </w:r>
    </w:p>
    <w:p w14:paraId="481B137F" w14:textId="77777777" w:rsidR="00035544" w:rsidRPr="0081146C" w:rsidRDefault="00035544" w:rsidP="00035544">
      <w:pPr>
        <w:pStyle w:val="paragraph"/>
        <w:rPr>
          <w:kern w:val="28"/>
        </w:rPr>
      </w:pPr>
      <w:r w:rsidRPr="0081146C">
        <w:rPr>
          <w:kern w:val="28"/>
        </w:rPr>
        <w:tab/>
        <w:t>(c)</w:t>
      </w:r>
      <w:r w:rsidRPr="0081146C">
        <w:rPr>
          <w:kern w:val="28"/>
        </w:rPr>
        <w:tab/>
        <w:t>state whether the entry is authorised to be made at any time of the day or during specified hours of the day; and</w:t>
      </w:r>
    </w:p>
    <w:p w14:paraId="51C7CEAB" w14:textId="77777777" w:rsidR="00035544" w:rsidRPr="0081146C" w:rsidRDefault="00035544" w:rsidP="00035544">
      <w:pPr>
        <w:pStyle w:val="paragraph"/>
        <w:rPr>
          <w:kern w:val="28"/>
        </w:rPr>
      </w:pPr>
      <w:r w:rsidRPr="0081146C">
        <w:rPr>
          <w:kern w:val="28"/>
        </w:rPr>
        <w:tab/>
        <w:t>(d)</w:t>
      </w:r>
      <w:r w:rsidRPr="0081146C">
        <w:rPr>
          <w:kern w:val="28"/>
        </w:rPr>
        <w:tab/>
        <w:t>specify the day (not more than 6 months after the issue of the warrant) on which the warrant ceases to have effect; and</w:t>
      </w:r>
    </w:p>
    <w:p w14:paraId="795066A9" w14:textId="77777777" w:rsidR="00035544" w:rsidRPr="0081146C" w:rsidRDefault="00035544" w:rsidP="00035544">
      <w:pPr>
        <w:pStyle w:val="paragraph"/>
      </w:pPr>
      <w:r w:rsidRPr="0081146C">
        <w:rPr>
          <w:kern w:val="28"/>
        </w:rPr>
        <w:tab/>
        <w:t>(e)</w:t>
      </w:r>
      <w:r w:rsidRPr="0081146C">
        <w:rPr>
          <w:kern w:val="28"/>
        </w:rPr>
        <w:tab/>
        <w:t>state the purpose for which the warrant is issued.</w:t>
      </w:r>
    </w:p>
    <w:p w14:paraId="1C7F5ADB" w14:textId="77777777" w:rsidR="00035544" w:rsidRPr="0081146C" w:rsidRDefault="00035544" w:rsidP="00035544">
      <w:pPr>
        <w:pStyle w:val="ActHead5"/>
      </w:pPr>
      <w:bookmarkStart w:id="493" w:name="_Toc185415981"/>
      <w:r w:rsidRPr="0081146C">
        <w:rPr>
          <w:rStyle w:val="CharSectno"/>
        </w:rPr>
        <w:t>160</w:t>
      </w:r>
      <w:r w:rsidRPr="0081146C">
        <w:t xml:space="preserve">  Magistrates—personal capacity</w:t>
      </w:r>
      <w:bookmarkEnd w:id="493"/>
    </w:p>
    <w:p w14:paraId="5CCD47F7" w14:textId="77777777" w:rsidR="00035544" w:rsidRPr="0081146C" w:rsidRDefault="00035544" w:rsidP="00035544">
      <w:pPr>
        <w:pStyle w:val="SubsectionHead"/>
      </w:pPr>
      <w:r w:rsidRPr="0081146C">
        <w:t>Functions conferred personally</w:t>
      </w:r>
    </w:p>
    <w:p w14:paraId="4A4EC8B7" w14:textId="77777777" w:rsidR="00035544" w:rsidRPr="0081146C" w:rsidRDefault="00035544" w:rsidP="00035544">
      <w:pPr>
        <w:pStyle w:val="subsection"/>
      </w:pPr>
      <w:r w:rsidRPr="0081146C">
        <w:tab/>
        <w:t>(1)</w:t>
      </w:r>
      <w:r w:rsidRPr="0081146C">
        <w:tab/>
        <w:t xml:space="preserve">The functions conferred on a magistrate by </w:t>
      </w:r>
      <w:r w:rsidR="003B7E15" w:rsidRPr="0081146C">
        <w:t>section 1</w:t>
      </w:r>
      <w:r w:rsidRPr="0081146C">
        <w:t>59 are conferred on the magistrate:</w:t>
      </w:r>
    </w:p>
    <w:p w14:paraId="4B76E33B" w14:textId="77777777" w:rsidR="00035544" w:rsidRPr="0081146C" w:rsidRDefault="00035544" w:rsidP="00035544">
      <w:pPr>
        <w:pStyle w:val="paragraph"/>
      </w:pPr>
      <w:r w:rsidRPr="0081146C">
        <w:tab/>
        <w:t>(a)</w:t>
      </w:r>
      <w:r w:rsidRPr="0081146C">
        <w:tab/>
        <w:t>in a personal capacity; and</w:t>
      </w:r>
    </w:p>
    <w:p w14:paraId="2AF8249A" w14:textId="77777777" w:rsidR="00035544" w:rsidRPr="0081146C" w:rsidRDefault="00035544" w:rsidP="00035544">
      <w:pPr>
        <w:pStyle w:val="paragraph"/>
      </w:pPr>
      <w:r w:rsidRPr="0081146C">
        <w:tab/>
        <w:t>(b)</w:t>
      </w:r>
      <w:r w:rsidRPr="0081146C">
        <w:tab/>
        <w:t>not as a court or a member of a court.</w:t>
      </w:r>
    </w:p>
    <w:p w14:paraId="0CA0FD71" w14:textId="77777777" w:rsidR="00035544" w:rsidRPr="0081146C" w:rsidRDefault="00035544" w:rsidP="00035544">
      <w:pPr>
        <w:pStyle w:val="SubsectionHead"/>
      </w:pPr>
      <w:r w:rsidRPr="0081146C">
        <w:t>Functions need not be accepted</w:t>
      </w:r>
    </w:p>
    <w:p w14:paraId="17279532" w14:textId="77777777" w:rsidR="00035544" w:rsidRPr="0081146C" w:rsidRDefault="00035544" w:rsidP="00035544">
      <w:pPr>
        <w:pStyle w:val="subsection"/>
      </w:pPr>
      <w:r w:rsidRPr="0081146C">
        <w:tab/>
        <w:t>(2)</w:t>
      </w:r>
      <w:r w:rsidRPr="0081146C">
        <w:tab/>
        <w:t>The magistrate need not accept the functions conferred.</w:t>
      </w:r>
    </w:p>
    <w:p w14:paraId="64935B08" w14:textId="77777777" w:rsidR="00035544" w:rsidRPr="0081146C" w:rsidRDefault="00035544" w:rsidP="00035544">
      <w:pPr>
        <w:pStyle w:val="SubsectionHead"/>
      </w:pPr>
      <w:r w:rsidRPr="0081146C">
        <w:t>Protection and immunity</w:t>
      </w:r>
    </w:p>
    <w:p w14:paraId="041820C5" w14:textId="77777777" w:rsidR="00035544" w:rsidRPr="0081146C" w:rsidRDefault="00035544" w:rsidP="00035544">
      <w:pPr>
        <w:pStyle w:val="subsection"/>
      </w:pPr>
      <w:r w:rsidRPr="0081146C">
        <w:tab/>
        <w:t>(3)</w:t>
      </w:r>
      <w:r w:rsidRPr="0081146C">
        <w:tab/>
        <w:t xml:space="preserve">A magistrate performing a function conferred by </w:t>
      </w:r>
      <w:r w:rsidR="003B7E15" w:rsidRPr="0081146C">
        <w:t>section 1</w:t>
      </w:r>
      <w:r w:rsidRPr="0081146C">
        <w:t>59 has the same protection and immunity as if he or she were performing the function:</w:t>
      </w:r>
    </w:p>
    <w:p w14:paraId="2CADD765" w14:textId="77777777" w:rsidR="00035544" w:rsidRPr="0081146C" w:rsidRDefault="00035544" w:rsidP="00035544">
      <w:pPr>
        <w:pStyle w:val="paragraph"/>
      </w:pPr>
      <w:r w:rsidRPr="0081146C">
        <w:tab/>
        <w:t>(a)</w:t>
      </w:r>
      <w:r w:rsidRPr="0081146C">
        <w:tab/>
        <w:t>as the court of which the magistrate is a member; or</w:t>
      </w:r>
    </w:p>
    <w:p w14:paraId="242D0F84" w14:textId="77777777" w:rsidR="00035544" w:rsidRPr="0081146C" w:rsidRDefault="00035544" w:rsidP="00035544">
      <w:pPr>
        <w:pStyle w:val="paragraph"/>
      </w:pPr>
      <w:r w:rsidRPr="0081146C">
        <w:tab/>
        <w:t>(b)</w:t>
      </w:r>
      <w:r w:rsidRPr="0081146C">
        <w:tab/>
        <w:t>as a member of the court of which the magistrate is a member.</w:t>
      </w:r>
    </w:p>
    <w:p w14:paraId="6FB8FBEA" w14:textId="77777777" w:rsidR="00035544" w:rsidRPr="0081146C" w:rsidRDefault="00CA78AA" w:rsidP="00AE2DA2">
      <w:pPr>
        <w:pStyle w:val="ActHead3"/>
        <w:pageBreakBefore/>
      </w:pPr>
      <w:bookmarkStart w:id="494" w:name="_Toc185415982"/>
      <w:r w:rsidRPr="0081146C">
        <w:rPr>
          <w:rStyle w:val="CharDivNo"/>
        </w:rPr>
        <w:t>Division 7</w:t>
      </w:r>
      <w:r w:rsidR="00035544" w:rsidRPr="0081146C">
        <w:t>—</w:t>
      </w:r>
      <w:r w:rsidR="00035544" w:rsidRPr="0081146C">
        <w:rPr>
          <w:rStyle w:val="CharDivText"/>
        </w:rPr>
        <w:t>External audits</w:t>
      </w:r>
      <w:bookmarkEnd w:id="494"/>
    </w:p>
    <w:p w14:paraId="26A52C5B" w14:textId="77777777" w:rsidR="00035544" w:rsidRPr="0081146C" w:rsidRDefault="00035544" w:rsidP="00035544">
      <w:pPr>
        <w:pStyle w:val="ActHead5"/>
      </w:pPr>
      <w:bookmarkStart w:id="495" w:name="_Toc185415983"/>
      <w:r w:rsidRPr="0081146C">
        <w:rPr>
          <w:rStyle w:val="CharSectno"/>
        </w:rPr>
        <w:t>161</w:t>
      </w:r>
      <w:r w:rsidRPr="0081146C">
        <w:t xml:space="preserve">  External audits—risk management etc.</w:t>
      </w:r>
      <w:bookmarkEnd w:id="495"/>
    </w:p>
    <w:p w14:paraId="5427CDED" w14:textId="77777777" w:rsidR="001C5A6B" w:rsidRPr="0081146C" w:rsidRDefault="001C5A6B" w:rsidP="001C5A6B">
      <w:pPr>
        <w:pStyle w:val="subsection"/>
      </w:pPr>
      <w:r w:rsidRPr="0081146C">
        <w:tab/>
        <w:t>(1)</w:t>
      </w:r>
      <w:r w:rsidRPr="0081146C">
        <w:tab/>
        <w:t>This section applies if the AUSTRAC CEO has reasonable grounds to suspect that a reporting entity has not taken, or is not taking, appropriate action to identify, assess, manage or mitigate the risks of money laundering, financing of terrorism and proliferation financing that the reporting entity may reasonably face in providing its designated services at or through a permanent establishment of the reporting entity in Australia.</w:t>
      </w:r>
    </w:p>
    <w:p w14:paraId="64A08D73" w14:textId="77777777" w:rsidR="00035544" w:rsidRPr="0081146C" w:rsidRDefault="00035544" w:rsidP="00035544">
      <w:pPr>
        <w:pStyle w:val="SubsectionHead"/>
      </w:pPr>
      <w:r w:rsidRPr="0081146C">
        <w:t>Requirement</w:t>
      </w:r>
    </w:p>
    <w:p w14:paraId="7E5F69BD" w14:textId="77777777" w:rsidR="00035544" w:rsidRPr="0081146C" w:rsidRDefault="00035544" w:rsidP="00035544">
      <w:pPr>
        <w:pStyle w:val="subsection"/>
      </w:pPr>
      <w:r w:rsidRPr="0081146C">
        <w:tab/>
        <w:t>(2)</w:t>
      </w:r>
      <w:r w:rsidRPr="0081146C">
        <w:tab/>
        <w:t>The AUSTRAC CEO may, by written notice given to the reporting entity, require the reporting entity to:</w:t>
      </w:r>
    </w:p>
    <w:p w14:paraId="2D686641" w14:textId="77777777" w:rsidR="00035544" w:rsidRPr="0081146C" w:rsidRDefault="00035544" w:rsidP="00035544">
      <w:pPr>
        <w:pStyle w:val="paragraph"/>
      </w:pPr>
      <w:r w:rsidRPr="0081146C">
        <w:tab/>
        <w:t>(a)</w:t>
      </w:r>
      <w:r w:rsidRPr="0081146C">
        <w:tab/>
        <w:t>appoint an external auditor; and</w:t>
      </w:r>
    </w:p>
    <w:p w14:paraId="0FB6404D" w14:textId="77777777" w:rsidR="001C5A6B" w:rsidRPr="0081146C" w:rsidRDefault="001C5A6B" w:rsidP="001C5A6B">
      <w:pPr>
        <w:pStyle w:val="paragraph"/>
      </w:pPr>
      <w:r w:rsidRPr="0081146C">
        <w:tab/>
        <w:t>(b)</w:t>
      </w:r>
      <w:r w:rsidRPr="0081146C">
        <w:tab/>
        <w:t>arrange for the external auditor to carry out an external audit of the reporting entity’s capacity and endeavours to identify, assess, manage or mitigate the risks of money laundering, financing of terrorism and proliferation financing that the reporting entity may reasonably face in providing its designated services at or through a permanent establishment of the reporting entity in Australia; and</w:t>
      </w:r>
    </w:p>
    <w:p w14:paraId="336EABED" w14:textId="77777777" w:rsidR="00035544" w:rsidRPr="0081146C" w:rsidRDefault="00035544" w:rsidP="00035544">
      <w:pPr>
        <w:pStyle w:val="paragraph"/>
      </w:pPr>
      <w:r w:rsidRPr="0081146C">
        <w:tab/>
        <w:t>(c)</w:t>
      </w:r>
      <w:r w:rsidRPr="0081146C">
        <w:tab/>
        <w:t xml:space="preserve">arrange for the external auditor to give the reporting entity a written report (the </w:t>
      </w:r>
      <w:r w:rsidRPr="0081146C">
        <w:rPr>
          <w:b/>
          <w:i/>
        </w:rPr>
        <w:t>audit report</w:t>
      </w:r>
      <w:r w:rsidRPr="0081146C">
        <w:t>) setting out the results of the audit; and</w:t>
      </w:r>
    </w:p>
    <w:p w14:paraId="37C65FDE" w14:textId="77777777" w:rsidR="00035544" w:rsidRPr="0081146C" w:rsidRDefault="00035544" w:rsidP="00035544">
      <w:pPr>
        <w:pStyle w:val="paragraph"/>
      </w:pPr>
      <w:r w:rsidRPr="0081146C">
        <w:tab/>
        <w:t>(d)</w:t>
      </w:r>
      <w:r w:rsidRPr="0081146C">
        <w:tab/>
        <w:t>give the AUSTRAC CEO a copy of the audit report within:</w:t>
      </w:r>
    </w:p>
    <w:p w14:paraId="50588709" w14:textId="77777777" w:rsidR="00035544" w:rsidRPr="0081146C" w:rsidRDefault="00035544" w:rsidP="00035544">
      <w:pPr>
        <w:pStyle w:val="paragraphsub"/>
      </w:pPr>
      <w:r w:rsidRPr="0081146C">
        <w:tab/>
        <w:t>(i)</w:t>
      </w:r>
      <w:r w:rsidRPr="0081146C">
        <w:tab/>
        <w:t>the period specified in the notice; or</w:t>
      </w:r>
    </w:p>
    <w:p w14:paraId="6F4157BB" w14:textId="77777777" w:rsidR="00035544" w:rsidRPr="0081146C" w:rsidRDefault="00035544" w:rsidP="00035544">
      <w:pPr>
        <w:pStyle w:val="paragraphsub"/>
      </w:pPr>
      <w:r w:rsidRPr="0081146C">
        <w:tab/>
        <w:t>(ii)</w:t>
      </w:r>
      <w:r w:rsidRPr="0081146C">
        <w:tab/>
        <w:t>if the AUSTRAC CEO allows a longer period—that longer period.</w:t>
      </w:r>
    </w:p>
    <w:p w14:paraId="38CF9D9D" w14:textId="77777777" w:rsidR="00C32824" w:rsidRPr="0081146C" w:rsidRDefault="00C32824" w:rsidP="00C32824">
      <w:pPr>
        <w:pStyle w:val="notetext"/>
      </w:pPr>
      <w:r w:rsidRPr="0081146C">
        <w:t>Note:</w:t>
      </w:r>
      <w:r w:rsidRPr="0081146C">
        <w:tab/>
        <w:t xml:space="preserve">The AUSTRAC CEO’s decisions under this subsection are reviewable (see </w:t>
      </w:r>
      <w:r w:rsidR="00CA78AA" w:rsidRPr="0081146C">
        <w:t>Part 1</w:t>
      </w:r>
      <w:r w:rsidRPr="0081146C">
        <w:t>7A).</w:t>
      </w:r>
    </w:p>
    <w:p w14:paraId="0FDE7378" w14:textId="77777777" w:rsidR="00035544" w:rsidRPr="0081146C" w:rsidRDefault="00035544" w:rsidP="00035544">
      <w:pPr>
        <w:pStyle w:val="subsection"/>
      </w:pPr>
      <w:r w:rsidRPr="0081146C">
        <w:tab/>
        <w:t>(3)</w:t>
      </w:r>
      <w:r w:rsidRPr="0081146C">
        <w:tab/>
        <w:t>The notice must specify:</w:t>
      </w:r>
    </w:p>
    <w:p w14:paraId="6400777E" w14:textId="77777777" w:rsidR="00035544" w:rsidRPr="0081146C" w:rsidRDefault="00035544" w:rsidP="00035544">
      <w:pPr>
        <w:pStyle w:val="paragraph"/>
      </w:pPr>
      <w:r w:rsidRPr="0081146C">
        <w:tab/>
        <w:t>(a)</w:t>
      </w:r>
      <w:r w:rsidRPr="0081146C">
        <w:tab/>
        <w:t>the matters to be covered by the audit; and</w:t>
      </w:r>
    </w:p>
    <w:p w14:paraId="00F4FFC2" w14:textId="77777777" w:rsidR="00035544" w:rsidRPr="0081146C" w:rsidRDefault="00035544" w:rsidP="00035544">
      <w:pPr>
        <w:pStyle w:val="paragraph"/>
      </w:pPr>
      <w:r w:rsidRPr="0081146C">
        <w:tab/>
        <w:t>(b)</w:t>
      </w:r>
      <w:r w:rsidRPr="0081146C">
        <w:tab/>
        <w:t>the form of the audit report and the kinds of details it is to contain.</w:t>
      </w:r>
    </w:p>
    <w:p w14:paraId="4BD66C7C" w14:textId="77777777" w:rsidR="001C5A6B" w:rsidRPr="0081146C" w:rsidRDefault="001C5A6B" w:rsidP="001C5A6B">
      <w:pPr>
        <w:pStyle w:val="subsection"/>
      </w:pPr>
      <w:r w:rsidRPr="0081146C">
        <w:tab/>
        <w:t>(4)</w:t>
      </w:r>
      <w:r w:rsidRPr="0081146C">
        <w:tab/>
        <w:t>The matters that may be specified under paragraph (3)(a) may include either or both of the following:</w:t>
      </w:r>
    </w:p>
    <w:p w14:paraId="7C0CBE5D" w14:textId="77777777" w:rsidR="001C5A6B" w:rsidRPr="0081146C" w:rsidRDefault="001C5A6B" w:rsidP="001C5A6B">
      <w:pPr>
        <w:pStyle w:val="paragraph"/>
      </w:pPr>
      <w:r w:rsidRPr="0081146C">
        <w:tab/>
        <w:t>(a)</w:t>
      </w:r>
      <w:r w:rsidRPr="0081146C">
        <w:tab/>
        <w:t>an assessment of the risks of money laundering, financing of terrorism and proliferation financing that the reporting entity may reasonably face in providing its designated services at or through a permanent establishment of the reporting entity in Australia;</w:t>
      </w:r>
    </w:p>
    <w:p w14:paraId="0FEFF684" w14:textId="77777777" w:rsidR="001C5A6B" w:rsidRPr="0081146C" w:rsidRDefault="001C5A6B" w:rsidP="001C5A6B">
      <w:pPr>
        <w:pStyle w:val="paragraph"/>
      </w:pPr>
      <w:r w:rsidRPr="0081146C">
        <w:tab/>
        <w:t>(b)</w:t>
      </w:r>
      <w:r w:rsidRPr="0081146C">
        <w:tab/>
        <w:t>an assessment of what the reporting entity will need to do, or continue to do, to appropriately identify, assess, manage or mitigate the risks of money laundering, financing of terrorism and proliferation financing that the reporting entity may reasonably face in providing its designated services at or through a permanent establishment of the reporting entity in Australia.</w:t>
      </w:r>
    </w:p>
    <w:p w14:paraId="4D33D5CA" w14:textId="77777777" w:rsidR="00035544" w:rsidRPr="0081146C" w:rsidRDefault="00035544" w:rsidP="00035544">
      <w:pPr>
        <w:pStyle w:val="subsection"/>
      </w:pPr>
      <w:r w:rsidRPr="0081146C">
        <w:tab/>
        <w:t>(5)</w:t>
      </w:r>
      <w:r w:rsidRPr="0081146C">
        <w:tab/>
      </w:r>
      <w:r w:rsidR="004F64A4" w:rsidRPr="0081146C">
        <w:t>Subsection (</w:t>
      </w:r>
      <w:r w:rsidRPr="0081146C">
        <w:t xml:space="preserve">4) does not limit </w:t>
      </w:r>
      <w:r w:rsidR="004F64A4" w:rsidRPr="0081146C">
        <w:t>paragraph (</w:t>
      </w:r>
      <w:r w:rsidRPr="0081146C">
        <w:t>3)(a).</w:t>
      </w:r>
    </w:p>
    <w:p w14:paraId="589D7AE7" w14:textId="77777777" w:rsidR="00035544" w:rsidRPr="0081146C" w:rsidRDefault="00035544" w:rsidP="0030348B">
      <w:pPr>
        <w:pStyle w:val="SubsectionHead"/>
      </w:pPr>
      <w:r w:rsidRPr="0081146C">
        <w:t>Eligibility for appointment as an external auditor</w:t>
      </w:r>
    </w:p>
    <w:p w14:paraId="2C80C590" w14:textId="77777777" w:rsidR="00035544" w:rsidRPr="0081146C" w:rsidRDefault="00035544" w:rsidP="0030348B">
      <w:pPr>
        <w:pStyle w:val="subsection"/>
        <w:keepNext/>
      </w:pPr>
      <w:r w:rsidRPr="0081146C">
        <w:tab/>
        <w:t>(6)</w:t>
      </w:r>
      <w:r w:rsidRPr="0081146C">
        <w:tab/>
        <w:t>An individual is not eligible to be appointed an external auditor by a reporting entity if:</w:t>
      </w:r>
    </w:p>
    <w:p w14:paraId="6327F064" w14:textId="77777777" w:rsidR="00035544" w:rsidRPr="0081146C" w:rsidRDefault="00035544" w:rsidP="00035544">
      <w:pPr>
        <w:pStyle w:val="paragraph"/>
      </w:pPr>
      <w:r w:rsidRPr="0081146C">
        <w:tab/>
        <w:t>(a)</w:t>
      </w:r>
      <w:r w:rsidRPr="0081146C">
        <w:tab/>
        <w:t>the individual is an officer, employee or agent of the reporting entity; or</w:t>
      </w:r>
    </w:p>
    <w:p w14:paraId="0E3E0652" w14:textId="77777777" w:rsidR="00035544" w:rsidRPr="0081146C" w:rsidRDefault="00035544" w:rsidP="00035544">
      <w:pPr>
        <w:pStyle w:val="paragraph"/>
      </w:pPr>
      <w:r w:rsidRPr="0081146C">
        <w:tab/>
        <w:t>(b)</w:t>
      </w:r>
      <w:r w:rsidRPr="0081146C">
        <w:tab/>
        <w:t>both:</w:t>
      </w:r>
    </w:p>
    <w:p w14:paraId="7C853108" w14:textId="6790A4E6" w:rsidR="00035544" w:rsidRPr="0081146C" w:rsidRDefault="00035544" w:rsidP="00035544">
      <w:pPr>
        <w:pStyle w:val="paragraphsub"/>
      </w:pPr>
      <w:r w:rsidRPr="0081146C">
        <w:tab/>
        <w:t>(i)</w:t>
      </w:r>
      <w:r w:rsidRPr="0081146C">
        <w:tab/>
        <w:t xml:space="preserve">the reporting entity </w:t>
      </w:r>
      <w:r w:rsidR="001C5A6B" w:rsidRPr="0081146C">
        <w:t>is a member of a reporting group</w:t>
      </w:r>
      <w:r w:rsidRPr="0081146C">
        <w:t>; and</w:t>
      </w:r>
    </w:p>
    <w:p w14:paraId="1CB6F76B" w14:textId="39E774C8" w:rsidR="00035544" w:rsidRPr="0081146C" w:rsidRDefault="00035544" w:rsidP="00035544">
      <w:pPr>
        <w:pStyle w:val="paragraphsub"/>
      </w:pPr>
      <w:r w:rsidRPr="0081146C">
        <w:tab/>
        <w:t>(ii)</w:t>
      </w:r>
      <w:r w:rsidRPr="0081146C">
        <w:tab/>
        <w:t xml:space="preserve">the individual is an officer, employee or agent of another member of the </w:t>
      </w:r>
      <w:r w:rsidR="001C5A6B" w:rsidRPr="0081146C">
        <w:t>reporting group</w:t>
      </w:r>
      <w:r w:rsidRPr="0081146C">
        <w:t>.</w:t>
      </w:r>
    </w:p>
    <w:p w14:paraId="323E92EC" w14:textId="77777777" w:rsidR="00035544" w:rsidRPr="0081146C" w:rsidRDefault="00035544" w:rsidP="00035544">
      <w:pPr>
        <w:pStyle w:val="SubsectionHead"/>
      </w:pPr>
      <w:r w:rsidRPr="0081146C">
        <w:t>Offence</w:t>
      </w:r>
    </w:p>
    <w:p w14:paraId="2597336A" w14:textId="77777777" w:rsidR="00035544" w:rsidRPr="0081146C" w:rsidRDefault="00035544" w:rsidP="00035544">
      <w:pPr>
        <w:pStyle w:val="subsection"/>
      </w:pPr>
      <w:r w:rsidRPr="0081146C">
        <w:tab/>
        <w:t>(7)</w:t>
      </w:r>
      <w:r w:rsidRPr="0081146C">
        <w:tab/>
        <w:t>A person commits an offence if:</w:t>
      </w:r>
    </w:p>
    <w:p w14:paraId="349C2E85"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2); and</w:t>
      </w:r>
    </w:p>
    <w:p w14:paraId="66B162F4" w14:textId="77777777" w:rsidR="00035544" w:rsidRPr="0081146C" w:rsidRDefault="00035544" w:rsidP="00035544">
      <w:pPr>
        <w:pStyle w:val="paragraph"/>
      </w:pPr>
      <w:r w:rsidRPr="0081146C">
        <w:tab/>
        <w:t>(b)</w:t>
      </w:r>
      <w:r w:rsidRPr="0081146C">
        <w:tab/>
        <w:t>the person engages in conduct; and</w:t>
      </w:r>
    </w:p>
    <w:p w14:paraId="3E2E2526" w14:textId="77777777" w:rsidR="00035544" w:rsidRPr="0081146C" w:rsidRDefault="00035544" w:rsidP="00035544">
      <w:pPr>
        <w:pStyle w:val="paragraph"/>
      </w:pPr>
      <w:r w:rsidRPr="0081146C">
        <w:tab/>
        <w:t>(c)</w:t>
      </w:r>
      <w:r w:rsidRPr="0081146C">
        <w:tab/>
        <w:t>the person’s conduct breaches the requirement.</w:t>
      </w:r>
    </w:p>
    <w:p w14:paraId="0B53FBF9" w14:textId="77777777" w:rsidR="00035544" w:rsidRPr="0081146C" w:rsidRDefault="00035544" w:rsidP="00035544">
      <w:pPr>
        <w:pStyle w:val="Penalty"/>
      </w:pPr>
      <w:r w:rsidRPr="0081146C">
        <w:t>Penalty:</w:t>
      </w:r>
      <w:r w:rsidRPr="0081146C">
        <w:tab/>
        <w:t>Imprisonment for 6 months or 30 penalty units, or both.</w:t>
      </w:r>
    </w:p>
    <w:p w14:paraId="2FF638C7" w14:textId="77777777" w:rsidR="00035544" w:rsidRPr="0081146C" w:rsidRDefault="00035544" w:rsidP="00035544">
      <w:pPr>
        <w:pStyle w:val="SubsectionHead"/>
      </w:pPr>
      <w:r w:rsidRPr="0081146C">
        <w:t>Civil penalty</w:t>
      </w:r>
    </w:p>
    <w:p w14:paraId="13ED0269" w14:textId="77777777" w:rsidR="00035544" w:rsidRPr="0081146C" w:rsidRDefault="00035544" w:rsidP="00035544">
      <w:pPr>
        <w:pStyle w:val="subsection"/>
      </w:pPr>
      <w:r w:rsidRPr="0081146C">
        <w:tab/>
        <w:t>(8)</w:t>
      </w:r>
      <w:r w:rsidRPr="0081146C">
        <w:tab/>
        <w:t xml:space="preserve">A reporting entity must comply with a requirement under </w:t>
      </w:r>
      <w:r w:rsidR="004F64A4" w:rsidRPr="0081146C">
        <w:t>subsection (</w:t>
      </w:r>
      <w:r w:rsidRPr="0081146C">
        <w:t>2).</w:t>
      </w:r>
    </w:p>
    <w:p w14:paraId="06824100" w14:textId="77777777" w:rsidR="00035544" w:rsidRPr="0081146C" w:rsidRDefault="00035544" w:rsidP="00035544">
      <w:pPr>
        <w:pStyle w:val="subsection"/>
      </w:pPr>
      <w:r w:rsidRPr="0081146C">
        <w:tab/>
        <w:t>(9)</w:t>
      </w:r>
      <w:r w:rsidRPr="0081146C">
        <w:tab/>
      </w:r>
      <w:r w:rsidR="004F64A4" w:rsidRPr="0081146C">
        <w:t>Subsection (</w:t>
      </w:r>
      <w:r w:rsidRPr="0081146C">
        <w:t>8) is a civil penalty provision.</w:t>
      </w:r>
    </w:p>
    <w:p w14:paraId="4E046215" w14:textId="77777777" w:rsidR="00035544" w:rsidRPr="0081146C" w:rsidRDefault="00035544" w:rsidP="00035544">
      <w:pPr>
        <w:pStyle w:val="ActHead5"/>
      </w:pPr>
      <w:bookmarkStart w:id="496" w:name="_Toc185415984"/>
      <w:r w:rsidRPr="0081146C">
        <w:rPr>
          <w:rStyle w:val="CharSectno"/>
        </w:rPr>
        <w:t>162</w:t>
      </w:r>
      <w:r w:rsidRPr="0081146C">
        <w:t xml:space="preserve">  External audits—compliance</w:t>
      </w:r>
      <w:bookmarkEnd w:id="496"/>
    </w:p>
    <w:p w14:paraId="1933AB9A" w14:textId="77777777" w:rsidR="00035544" w:rsidRPr="0081146C" w:rsidRDefault="00035544" w:rsidP="00035544">
      <w:pPr>
        <w:pStyle w:val="subsection"/>
      </w:pPr>
      <w:r w:rsidRPr="0081146C">
        <w:tab/>
        <w:t>(1)</w:t>
      </w:r>
      <w:r w:rsidRPr="0081146C">
        <w:tab/>
        <w:t>This section applies if the AUSTRAC CEO has reasonable grounds to suspect that a reporting entity has contravened, is contravening, or is proposing to contravene, this Act, the regulations or the AML/CTF Rules.</w:t>
      </w:r>
    </w:p>
    <w:p w14:paraId="6E4B02F7" w14:textId="77777777" w:rsidR="00035544" w:rsidRPr="0081146C" w:rsidRDefault="00035544" w:rsidP="00035544">
      <w:pPr>
        <w:pStyle w:val="subsection"/>
      </w:pPr>
      <w:r w:rsidRPr="0081146C">
        <w:tab/>
        <w:t>(2)</w:t>
      </w:r>
      <w:r w:rsidRPr="0081146C">
        <w:tab/>
        <w:t>The AUSTRAC CEO may, by written notice given to the reporting entity, require the reporting entity to:</w:t>
      </w:r>
    </w:p>
    <w:p w14:paraId="4EBDBDA2" w14:textId="77777777" w:rsidR="00035544" w:rsidRPr="0081146C" w:rsidRDefault="00035544" w:rsidP="00035544">
      <w:pPr>
        <w:pStyle w:val="paragraph"/>
      </w:pPr>
      <w:r w:rsidRPr="0081146C">
        <w:tab/>
        <w:t>(a)</w:t>
      </w:r>
      <w:r w:rsidRPr="0081146C">
        <w:tab/>
        <w:t>appoint an external auditor; and</w:t>
      </w:r>
    </w:p>
    <w:p w14:paraId="6020CC16" w14:textId="77777777" w:rsidR="00035544" w:rsidRPr="0081146C" w:rsidRDefault="00035544" w:rsidP="00035544">
      <w:pPr>
        <w:pStyle w:val="paragraph"/>
      </w:pPr>
      <w:r w:rsidRPr="0081146C">
        <w:tab/>
        <w:t>(b)</w:t>
      </w:r>
      <w:r w:rsidRPr="0081146C">
        <w:tab/>
        <w:t>arrange for the external auditor to carry out an external audit of whichever of the following is specified in the notice:</w:t>
      </w:r>
    </w:p>
    <w:p w14:paraId="654258D5" w14:textId="77777777" w:rsidR="00035544" w:rsidRPr="0081146C" w:rsidRDefault="00035544" w:rsidP="00035544">
      <w:pPr>
        <w:pStyle w:val="paragraphsub"/>
      </w:pPr>
      <w:r w:rsidRPr="0081146C">
        <w:tab/>
        <w:t>(i)</w:t>
      </w:r>
      <w:r w:rsidRPr="0081146C">
        <w:tab/>
        <w:t>the reporting entity’s compliance with this Act, the regulations and the AML/CTF Rules;</w:t>
      </w:r>
    </w:p>
    <w:p w14:paraId="3D56D259" w14:textId="77777777" w:rsidR="00035544" w:rsidRPr="0081146C" w:rsidRDefault="00035544" w:rsidP="00035544">
      <w:pPr>
        <w:pStyle w:val="paragraphsub"/>
      </w:pPr>
      <w:r w:rsidRPr="0081146C">
        <w:tab/>
        <w:t>(ii)</w:t>
      </w:r>
      <w:r w:rsidRPr="0081146C">
        <w:tab/>
        <w:t>one or more specified aspects of the reporting entity’s compliance with this Act, the regulations and the AML/CTF Rules; and</w:t>
      </w:r>
    </w:p>
    <w:p w14:paraId="46D07A8C" w14:textId="77777777" w:rsidR="00035544" w:rsidRPr="0081146C" w:rsidRDefault="00035544" w:rsidP="00035544">
      <w:pPr>
        <w:pStyle w:val="paragraph"/>
      </w:pPr>
      <w:r w:rsidRPr="0081146C">
        <w:tab/>
        <w:t>(c)</w:t>
      </w:r>
      <w:r w:rsidRPr="0081146C">
        <w:tab/>
        <w:t xml:space="preserve">arrange for the external auditor to give the reporting entity a written report (the </w:t>
      </w:r>
      <w:r w:rsidRPr="0081146C">
        <w:rPr>
          <w:b/>
          <w:i/>
        </w:rPr>
        <w:t>audit report</w:t>
      </w:r>
      <w:r w:rsidRPr="0081146C">
        <w:t>) setting out the results of the audit; and</w:t>
      </w:r>
    </w:p>
    <w:p w14:paraId="46FA1B02" w14:textId="77777777" w:rsidR="00035544" w:rsidRPr="0081146C" w:rsidRDefault="00035544" w:rsidP="00035544">
      <w:pPr>
        <w:pStyle w:val="paragraph"/>
      </w:pPr>
      <w:r w:rsidRPr="0081146C">
        <w:tab/>
        <w:t>(d)</w:t>
      </w:r>
      <w:r w:rsidRPr="0081146C">
        <w:tab/>
        <w:t>give the AUSTRAC CEO a copy of the audit report within:</w:t>
      </w:r>
    </w:p>
    <w:p w14:paraId="03EB06E1" w14:textId="77777777" w:rsidR="00035544" w:rsidRPr="0081146C" w:rsidRDefault="00035544" w:rsidP="00035544">
      <w:pPr>
        <w:pStyle w:val="paragraphsub"/>
      </w:pPr>
      <w:r w:rsidRPr="0081146C">
        <w:tab/>
        <w:t>(i)</w:t>
      </w:r>
      <w:r w:rsidRPr="0081146C">
        <w:tab/>
        <w:t>the period specified in the notice; or</w:t>
      </w:r>
    </w:p>
    <w:p w14:paraId="6A738F79" w14:textId="77777777" w:rsidR="00035544" w:rsidRPr="0081146C" w:rsidRDefault="00035544" w:rsidP="00035544">
      <w:pPr>
        <w:pStyle w:val="paragraphsub"/>
      </w:pPr>
      <w:r w:rsidRPr="0081146C">
        <w:tab/>
        <w:t>(ii)</w:t>
      </w:r>
      <w:r w:rsidRPr="0081146C">
        <w:tab/>
        <w:t>if the AUSTRAC CEO allows a longer period—that longer period.</w:t>
      </w:r>
    </w:p>
    <w:p w14:paraId="6E53F576" w14:textId="77777777" w:rsidR="00035544" w:rsidRPr="0081146C" w:rsidRDefault="00035544" w:rsidP="00035544">
      <w:pPr>
        <w:pStyle w:val="subsection"/>
      </w:pPr>
      <w:r w:rsidRPr="0081146C">
        <w:tab/>
        <w:t>(3)</w:t>
      </w:r>
      <w:r w:rsidRPr="0081146C">
        <w:tab/>
        <w:t>The notice must specify:</w:t>
      </w:r>
    </w:p>
    <w:p w14:paraId="25FCAE46" w14:textId="77777777" w:rsidR="00035544" w:rsidRPr="0081146C" w:rsidRDefault="00035544" w:rsidP="00035544">
      <w:pPr>
        <w:pStyle w:val="paragraph"/>
      </w:pPr>
      <w:r w:rsidRPr="0081146C">
        <w:tab/>
        <w:t>(a)</w:t>
      </w:r>
      <w:r w:rsidRPr="0081146C">
        <w:tab/>
        <w:t>the matters to be covered by the audit; and</w:t>
      </w:r>
    </w:p>
    <w:p w14:paraId="69B67763" w14:textId="77777777" w:rsidR="00035544" w:rsidRPr="0081146C" w:rsidRDefault="00035544" w:rsidP="00035544">
      <w:pPr>
        <w:pStyle w:val="paragraph"/>
      </w:pPr>
      <w:r w:rsidRPr="0081146C">
        <w:tab/>
        <w:t>(b)</w:t>
      </w:r>
      <w:r w:rsidRPr="0081146C">
        <w:tab/>
        <w:t>the form of the audit report and the kinds of details it is to contain.</w:t>
      </w:r>
    </w:p>
    <w:p w14:paraId="180F0781" w14:textId="77777777" w:rsidR="00035544" w:rsidRPr="0081146C" w:rsidRDefault="00035544" w:rsidP="00035544">
      <w:pPr>
        <w:pStyle w:val="subsection"/>
      </w:pPr>
      <w:r w:rsidRPr="0081146C">
        <w:tab/>
        <w:t>(4)</w:t>
      </w:r>
      <w:r w:rsidRPr="0081146C">
        <w:tab/>
        <w:t xml:space="preserve">The matters that may be specified under </w:t>
      </w:r>
      <w:r w:rsidR="004F64A4" w:rsidRPr="0081146C">
        <w:t>paragraph (</w:t>
      </w:r>
      <w:r w:rsidRPr="0081146C">
        <w:t>3)(a) may include either or both of the following:</w:t>
      </w:r>
    </w:p>
    <w:p w14:paraId="139FA0FB" w14:textId="77777777" w:rsidR="00035544" w:rsidRPr="0081146C" w:rsidRDefault="00035544" w:rsidP="00035544">
      <w:pPr>
        <w:pStyle w:val="paragraph"/>
      </w:pPr>
      <w:r w:rsidRPr="0081146C">
        <w:tab/>
        <w:t>(a)</w:t>
      </w:r>
      <w:r w:rsidRPr="0081146C">
        <w:tab/>
        <w:t>an assessment of the reporting entity’s existing capacity to comply with this Act, the regulations and the AML/CTF Rules;</w:t>
      </w:r>
    </w:p>
    <w:p w14:paraId="6DEF6ABD" w14:textId="77777777" w:rsidR="00035544" w:rsidRPr="0081146C" w:rsidRDefault="00035544" w:rsidP="00035544">
      <w:pPr>
        <w:pStyle w:val="paragraph"/>
      </w:pPr>
      <w:r w:rsidRPr="0081146C">
        <w:tab/>
        <w:t>(b)</w:t>
      </w:r>
      <w:r w:rsidRPr="0081146C">
        <w:tab/>
        <w:t>an assessment of what the reporting entity will need to do, or continue to do, to comply with this Act, the regulations and the AML/CTF Rules.</w:t>
      </w:r>
    </w:p>
    <w:p w14:paraId="14DEBF49" w14:textId="77777777" w:rsidR="00035544" w:rsidRPr="0081146C" w:rsidRDefault="00035544" w:rsidP="00035544">
      <w:pPr>
        <w:pStyle w:val="subsection"/>
      </w:pPr>
      <w:r w:rsidRPr="0081146C">
        <w:tab/>
        <w:t>(5)</w:t>
      </w:r>
      <w:r w:rsidRPr="0081146C">
        <w:tab/>
      </w:r>
      <w:r w:rsidR="004F64A4" w:rsidRPr="0081146C">
        <w:t>Subsection (</w:t>
      </w:r>
      <w:r w:rsidRPr="0081146C">
        <w:t xml:space="preserve">4) does not limit </w:t>
      </w:r>
      <w:r w:rsidR="004F64A4" w:rsidRPr="0081146C">
        <w:t>paragraph (</w:t>
      </w:r>
      <w:r w:rsidRPr="0081146C">
        <w:t>3)(a).</w:t>
      </w:r>
    </w:p>
    <w:p w14:paraId="405D1947" w14:textId="77777777" w:rsidR="00035544" w:rsidRPr="0081146C" w:rsidRDefault="00035544" w:rsidP="00035544">
      <w:pPr>
        <w:pStyle w:val="SubsectionHead"/>
      </w:pPr>
      <w:r w:rsidRPr="0081146C">
        <w:t>Eligibility for appointment as an external auditor</w:t>
      </w:r>
    </w:p>
    <w:p w14:paraId="4E9F96C1" w14:textId="77777777" w:rsidR="00035544" w:rsidRPr="0081146C" w:rsidRDefault="00035544" w:rsidP="00035544">
      <w:pPr>
        <w:pStyle w:val="subsection"/>
      </w:pPr>
      <w:r w:rsidRPr="0081146C">
        <w:tab/>
        <w:t>(6)</w:t>
      </w:r>
      <w:r w:rsidRPr="0081146C">
        <w:tab/>
        <w:t>An individual is not eligible to be appointed an external auditor by a reporting entity if:</w:t>
      </w:r>
    </w:p>
    <w:p w14:paraId="5B673B69" w14:textId="77777777" w:rsidR="00035544" w:rsidRPr="0081146C" w:rsidRDefault="00035544" w:rsidP="00035544">
      <w:pPr>
        <w:pStyle w:val="paragraph"/>
      </w:pPr>
      <w:r w:rsidRPr="0081146C">
        <w:tab/>
        <w:t>(a)</w:t>
      </w:r>
      <w:r w:rsidRPr="0081146C">
        <w:tab/>
        <w:t>the individual is an officer, employee or agent of the reporting entity; or</w:t>
      </w:r>
    </w:p>
    <w:p w14:paraId="225F080F" w14:textId="77777777" w:rsidR="00035544" w:rsidRPr="0081146C" w:rsidRDefault="00035544" w:rsidP="00035544">
      <w:pPr>
        <w:pStyle w:val="paragraph"/>
      </w:pPr>
      <w:r w:rsidRPr="0081146C">
        <w:tab/>
        <w:t>(b)</w:t>
      </w:r>
      <w:r w:rsidRPr="0081146C">
        <w:tab/>
        <w:t>both:</w:t>
      </w:r>
    </w:p>
    <w:p w14:paraId="32C4E3EB" w14:textId="7F5E5642" w:rsidR="00035544" w:rsidRPr="0081146C" w:rsidRDefault="00035544" w:rsidP="00035544">
      <w:pPr>
        <w:pStyle w:val="paragraphsub"/>
      </w:pPr>
      <w:r w:rsidRPr="0081146C">
        <w:tab/>
        <w:t>(i)</w:t>
      </w:r>
      <w:r w:rsidRPr="0081146C">
        <w:tab/>
        <w:t xml:space="preserve">the reporting entity </w:t>
      </w:r>
      <w:r w:rsidR="001C5A6B" w:rsidRPr="0081146C">
        <w:t>is a member of a reporting group</w:t>
      </w:r>
      <w:r w:rsidRPr="0081146C">
        <w:t>; and</w:t>
      </w:r>
    </w:p>
    <w:p w14:paraId="46687840" w14:textId="0C232694" w:rsidR="00035544" w:rsidRPr="0081146C" w:rsidRDefault="00035544" w:rsidP="00035544">
      <w:pPr>
        <w:pStyle w:val="paragraphsub"/>
      </w:pPr>
      <w:r w:rsidRPr="0081146C">
        <w:tab/>
        <w:t>(ii)</w:t>
      </w:r>
      <w:r w:rsidRPr="0081146C">
        <w:tab/>
        <w:t xml:space="preserve">the individual is an officer, employee or agent of another member of the </w:t>
      </w:r>
      <w:r w:rsidR="001C5A6B" w:rsidRPr="0081146C">
        <w:t>reporting group</w:t>
      </w:r>
      <w:r w:rsidRPr="0081146C">
        <w:t>.</w:t>
      </w:r>
    </w:p>
    <w:p w14:paraId="30DA0CD6" w14:textId="77777777" w:rsidR="00035544" w:rsidRPr="0081146C" w:rsidRDefault="00035544" w:rsidP="00035544">
      <w:pPr>
        <w:pStyle w:val="SubsectionHead"/>
      </w:pPr>
      <w:r w:rsidRPr="0081146C">
        <w:t>Offence</w:t>
      </w:r>
    </w:p>
    <w:p w14:paraId="382B4290" w14:textId="77777777" w:rsidR="00035544" w:rsidRPr="0081146C" w:rsidRDefault="00035544" w:rsidP="00035544">
      <w:pPr>
        <w:pStyle w:val="subsection"/>
      </w:pPr>
      <w:r w:rsidRPr="0081146C">
        <w:tab/>
        <w:t>(7)</w:t>
      </w:r>
      <w:r w:rsidRPr="0081146C">
        <w:tab/>
        <w:t>A person commits an offence if:</w:t>
      </w:r>
    </w:p>
    <w:p w14:paraId="6EA55977"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2); and</w:t>
      </w:r>
    </w:p>
    <w:p w14:paraId="58660B30" w14:textId="77777777" w:rsidR="00035544" w:rsidRPr="0081146C" w:rsidRDefault="00035544" w:rsidP="00035544">
      <w:pPr>
        <w:pStyle w:val="paragraph"/>
      </w:pPr>
      <w:r w:rsidRPr="0081146C">
        <w:tab/>
        <w:t>(b)</w:t>
      </w:r>
      <w:r w:rsidRPr="0081146C">
        <w:tab/>
        <w:t>the person engages in conduct; and</w:t>
      </w:r>
    </w:p>
    <w:p w14:paraId="5DC80C13" w14:textId="77777777" w:rsidR="00035544" w:rsidRPr="0081146C" w:rsidRDefault="00035544" w:rsidP="00035544">
      <w:pPr>
        <w:pStyle w:val="paragraph"/>
      </w:pPr>
      <w:r w:rsidRPr="0081146C">
        <w:tab/>
        <w:t>(c)</w:t>
      </w:r>
      <w:r w:rsidRPr="0081146C">
        <w:tab/>
        <w:t>the person’s conduct breaches the requirement.</w:t>
      </w:r>
    </w:p>
    <w:p w14:paraId="5E84145C" w14:textId="77777777" w:rsidR="00035544" w:rsidRPr="0081146C" w:rsidRDefault="00035544" w:rsidP="00035544">
      <w:pPr>
        <w:pStyle w:val="Penalty"/>
      </w:pPr>
      <w:r w:rsidRPr="0081146C">
        <w:t>Penalty:</w:t>
      </w:r>
      <w:r w:rsidRPr="0081146C">
        <w:tab/>
        <w:t>Imprisonment for 12 months or 60 penalty units, or both.</w:t>
      </w:r>
    </w:p>
    <w:p w14:paraId="0C0DF700" w14:textId="77777777" w:rsidR="00035544" w:rsidRPr="0081146C" w:rsidRDefault="00035544" w:rsidP="00035544">
      <w:pPr>
        <w:pStyle w:val="SubsectionHead"/>
      </w:pPr>
      <w:r w:rsidRPr="0081146C">
        <w:t>Civil penalty</w:t>
      </w:r>
    </w:p>
    <w:p w14:paraId="0EC96BDB" w14:textId="77777777" w:rsidR="00035544" w:rsidRPr="0081146C" w:rsidRDefault="00035544" w:rsidP="00035544">
      <w:pPr>
        <w:pStyle w:val="subsection"/>
      </w:pPr>
      <w:r w:rsidRPr="0081146C">
        <w:tab/>
        <w:t>(8)</w:t>
      </w:r>
      <w:r w:rsidRPr="0081146C">
        <w:tab/>
        <w:t xml:space="preserve">A reporting entity must comply with a requirement under </w:t>
      </w:r>
      <w:r w:rsidR="004F64A4" w:rsidRPr="0081146C">
        <w:t>subsection (</w:t>
      </w:r>
      <w:r w:rsidRPr="0081146C">
        <w:t>2).</w:t>
      </w:r>
    </w:p>
    <w:p w14:paraId="603B7484" w14:textId="77777777" w:rsidR="00035544" w:rsidRPr="0081146C" w:rsidRDefault="00035544" w:rsidP="00035544">
      <w:pPr>
        <w:pStyle w:val="subsection"/>
      </w:pPr>
      <w:r w:rsidRPr="0081146C">
        <w:tab/>
        <w:t>(9)</w:t>
      </w:r>
      <w:r w:rsidRPr="0081146C">
        <w:tab/>
      </w:r>
      <w:r w:rsidR="004F64A4" w:rsidRPr="0081146C">
        <w:t>Subsection (</w:t>
      </w:r>
      <w:r w:rsidRPr="0081146C">
        <w:t>8) is a civil penalty provision.</w:t>
      </w:r>
    </w:p>
    <w:p w14:paraId="63F1E27D" w14:textId="77777777" w:rsidR="00035544" w:rsidRPr="0081146C" w:rsidRDefault="00035544" w:rsidP="00035544">
      <w:pPr>
        <w:pStyle w:val="ActHead5"/>
      </w:pPr>
      <w:bookmarkStart w:id="497" w:name="_Toc185415985"/>
      <w:r w:rsidRPr="0081146C">
        <w:rPr>
          <w:rStyle w:val="CharSectno"/>
        </w:rPr>
        <w:t>163</w:t>
      </w:r>
      <w:r w:rsidRPr="0081146C">
        <w:t xml:space="preserve">  External auditor may have regard to the results of previous audit</w:t>
      </w:r>
      <w:bookmarkEnd w:id="497"/>
    </w:p>
    <w:p w14:paraId="518ABCE3" w14:textId="77777777" w:rsidR="00035544" w:rsidRPr="0081146C" w:rsidRDefault="00035544" w:rsidP="00035544">
      <w:pPr>
        <w:pStyle w:val="subsection"/>
      </w:pPr>
      <w:r w:rsidRPr="0081146C">
        <w:tab/>
      </w:r>
      <w:r w:rsidRPr="0081146C">
        <w:tab/>
        <w:t xml:space="preserve">In carrying out an external audit in accordance with a notice under </w:t>
      </w:r>
      <w:r w:rsidR="003B7E15" w:rsidRPr="0081146C">
        <w:t>section 1</w:t>
      </w:r>
      <w:r w:rsidRPr="0081146C">
        <w:t>61 or 162, an external auditor may, if:</w:t>
      </w:r>
    </w:p>
    <w:p w14:paraId="527D2462" w14:textId="77777777" w:rsidR="00035544" w:rsidRPr="0081146C" w:rsidRDefault="00035544" w:rsidP="00035544">
      <w:pPr>
        <w:pStyle w:val="paragraph"/>
      </w:pPr>
      <w:r w:rsidRPr="0081146C">
        <w:tab/>
        <w:t>(a)</w:t>
      </w:r>
      <w:r w:rsidRPr="0081146C">
        <w:tab/>
        <w:t>an external audit was completed under that section within the last preceding 2 years; and</w:t>
      </w:r>
    </w:p>
    <w:p w14:paraId="25E9AE3A" w14:textId="77777777" w:rsidR="00035544" w:rsidRPr="0081146C" w:rsidRDefault="00035544" w:rsidP="00035544">
      <w:pPr>
        <w:pStyle w:val="paragraph"/>
      </w:pPr>
      <w:r w:rsidRPr="0081146C">
        <w:tab/>
        <w:t>(b)</w:t>
      </w:r>
      <w:r w:rsidRPr="0081146C">
        <w:tab/>
        <w:t>the external auditor is satisfied that the previous audit is still relevant;</w:t>
      </w:r>
    </w:p>
    <w:p w14:paraId="10CDACC2" w14:textId="77777777" w:rsidR="00035544" w:rsidRPr="0081146C" w:rsidRDefault="00035544" w:rsidP="00035544">
      <w:pPr>
        <w:pStyle w:val="subsection2"/>
      </w:pPr>
      <w:r w:rsidRPr="0081146C">
        <w:t>have regard to the results of the previous audit.</w:t>
      </w:r>
    </w:p>
    <w:p w14:paraId="3D693F1B" w14:textId="77777777" w:rsidR="00035544" w:rsidRPr="0081146C" w:rsidRDefault="00035544" w:rsidP="00035544">
      <w:pPr>
        <w:pStyle w:val="ActHead5"/>
      </w:pPr>
      <w:bookmarkStart w:id="498" w:name="_Toc185415986"/>
      <w:r w:rsidRPr="0081146C">
        <w:rPr>
          <w:rStyle w:val="CharSectno"/>
        </w:rPr>
        <w:t>164</w:t>
      </w:r>
      <w:r w:rsidRPr="0081146C">
        <w:t xml:space="preserve">  External auditors</w:t>
      </w:r>
      <w:bookmarkEnd w:id="498"/>
    </w:p>
    <w:p w14:paraId="09A6C43B" w14:textId="77777777" w:rsidR="00035544" w:rsidRPr="0081146C" w:rsidRDefault="00035544" w:rsidP="00035544">
      <w:pPr>
        <w:pStyle w:val="subsection"/>
      </w:pPr>
      <w:r w:rsidRPr="0081146C">
        <w:tab/>
        <w:t>(1)</w:t>
      </w:r>
      <w:r w:rsidRPr="0081146C">
        <w:tab/>
        <w:t>The AUSTRAC CEO may, by writing, authorise a specified individual to be an external auditor for the purposes of this Act.</w:t>
      </w:r>
    </w:p>
    <w:p w14:paraId="5DC2C19B" w14:textId="77777777" w:rsidR="00035544" w:rsidRPr="0081146C" w:rsidRDefault="00035544" w:rsidP="00035544">
      <w:pPr>
        <w:pStyle w:val="notetext"/>
      </w:pPr>
      <w:r w:rsidRPr="0081146C">
        <w:t>Note 1:</w:t>
      </w:r>
      <w:r w:rsidRPr="0081146C">
        <w:tab/>
        <w:t xml:space="preserve">For specification by class, see </w:t>
      </w:r>
      <w:r w:rsidR="002F05B0" w:rsidRPr="0081146C">
        <w:t>subsection</w:t>
      </w:r>
      <w:r w:rsidR="004F64A4" w:rsidRPr="0081146C">
        <w:t> </w:t>
      </w:r>
      <w:r w:rsidR="002F05B0" w:rsidRPr="0081146C">
        <w:t>33(3AB)</w:t>
      </w:r>
      <w:r w:rsidRPr="0081146C">
        <w:t xml:space="preserve"> of the </w:t>
      </w:r>
      <w:r w:rsidRPr="0081146C">
        <w:rPr>
          <w:i/>
        </w:rPr>
        <w:t>Acts Interpretation Act 1901</w:t>
      </w:r>
      <w:r w:rsidRPr="0081146C">
        <w:t>.</w:t>
      </w:r>
    </w:p>
    <w:p w14:paraId="138A3DAA" w14:textId="77777777" w:rsidR="00035544" w:rsidRPr="0081146C" w:rsidRDefault="00035544" w:rsidP="00035544">
      <w:pPr>
        <w:pStyle w:val="notetext"/>
      </w:pPr>
      <w:r w:rsidRPr="0081146C">
        <w:t>Note 2:</w:t>
      </w:r>
      <w:r w:rsidRPr="0081146C">
        <w:tab/>
        <w:t>For variation and revocation, see subsection</w:t>
      </w:r>
      <w:r w:rsidR="004F64A4" w:rsidRPr="0081146C">
        <w:t> </w:t>
      </w:r>
      <w:r w:rsidRPr="0081146C">
        <w:t xml:space="preserve">33(3) of the </w:t>
      </w:r>
      <w:r w:rsidRPr="0081146C">
        <w:rPr>
          <w:i/>
        </w:rPr>
        <w:t>Acts Interpretation Act 1901</w:t>
      </w:r>
      <w:r w:rsidRPr="0081146C">
        <w:t>.</w:t>
      </w:r>
    </w:p>
    <w:p w14:paraId="396C5AE1" w14:textId="77777777" w:rsidR="00035544" w:rsidRPr="0081146C" w:rsidRDefault="00035544" w:rsidP="00035544">
      <w:pPr>
        <w:pStyle w:val="subsection"/>
      </w:pPr>
      <w:r w:rsidRPr="0081146C">
        <w:tab/>
        <w:t>(2)</w:t>
      </w:r>
      <w:r w:rsidRPr="0081146C">
        <w:tab/>
        <w:t xml:space="preserve">An authorisation under </w:t>
      </w:r>
      <w:r w:rsidR="004F64A4" w:rsidRPr="0081146C">
        <w:t>subsection (</w:t>
      </w:r>
      <w:r w:rsidRPr="0081146C">
        <w:t>1) is not a legislative instrument.</w:t>
      </w:r>
    </w:p>
    <w:p w14:paraId="2A1BD8BD" w14:textId="77777777" w:rsidR="00035544" w:rsidRPr="0081146C" w:rsidRDefault="00CA78AA" w:rsidP="00AE2DA2">
      <w:pPr>
        <w:pStyle w:val="ActHead2"/>
        <w:pageBreakBefore/>
      </w:pPr>
      <w:bookmarkStart w:id="499" w:name="_Toc185415987"/>
      <w:r w:rsidRPr="0081146C">
        <w:rPr>
          <w:rStyle w:val="CharPartNo"/>
        </w:rPr>
        <w:t>Part 1</w:t>
      </w:r>
      <w:r w:rsidR="00035544" w:rsidRPr="0081146C">
        <w:rPr>
          <w:rStyle w:val="CharPartNo"/>
        </w:rPr>
        <w:t>4</w:t>
      </w:r>
      <w:r w:rsidR="00035544" w:rsidRPr="0081146C">
        <w:t>—</w:t>
      </w:r>
      <w:r w:rsidR="00035544" w:rsidRPr="0081146C">
        <w:rPr>
          <w:rStyle w:val="CharPartText"/>
        </w:rPr>
        <w:t>Information</w:t>
      </w:r>
      <w:r w:rsidR="003B7E15" w:rsidRPr="0081146C">
        <w:rPr>
          <w:rStyle w:val="CharPartText"/>
        </w:rPr>
        <w:noBreakHyphen/>
      </w:r>
      <w:r w:rsidR="00035544" w:rsidRPr="0081146C">
        <w:rPr>
          <w:rStyle w:val="CharPartText"/>
        </w:rPr>
        <w:t>gathering powers</w:t>
      </w:r>
      <w:bookmarkEnd w:id="499"/>
    </w:p>
    <w:p w14:paraId="17144AEB" w14:textId="77777777" w:rsidR="00824795" w:rsidRPr="0081146C" w:rsidRDefault="00824795" w:rsidP="00824795">
      <w:pPr>
        <w:pStyle w:val="ActHead3"/>
      </w:pPr>
      <w:bookmarkStart w:id="500" w:name="_Toc176444457"/>
      <w:bookmarkStart w:id="501" w:name="_Toc184034078"/>
      <w:bookmarkStart w:id="502" w:name="_Toc185415988"/>
      <w:r w:rsidRPr="0081146C">
        <w:rPr>
          <w:rStyle w:val="CharDivNo"/>
        </w:rPr>
        <w:t>Division 1</w:t>
      </w:r>
      <w:r w:rsidRPr="0081146C">
        <w:t>—</w:t>
      </w:r>
      <w:r w:rsidRPr="0081146C">
        <w:rPr>
          <w:rStyle w:val="CharDivText"/>
        </w:rPr>
        <w:t>Introduction</w:t>
      </w:r>
      <w:bookmarkEnd w:id="500"/>
      <w:bookmarkEnd w:id="501"/>
      <w:bookmarkEnd w:id="502"/>
    </w:p>
    <w:p w14:paraId="3CA16BFA" w14:textId="77777777" w:rsidR="00824795" w:rsidRPr="0081146C" w:rsidRDefault="00824795" w:rsidP="00824795">
      <w:pPr>
        <w:pStyle w:val="ActHead5"/>
      </w:pPr>
      <w:bookmarkStart w:id="503" w:name="_Toc176444458"/>
      <w:bookmarkStart w:id="504" w:name="_Toc184034079"/>
      <w:bookmarkStart w:id="505" w:name="_Toc185415989"/>
      <w:r w:rsidRPr="0081146C">
        <w:rPr>
          <w:rStyle w:val="CharSectno"/>
        </w:rPr>
        <w:t>166</w:t>
      </w:r>
      <w:r w:rsidRPr="0081146C">
        <w:t xml:space="preserve">  Simplified outline</w:t>
      </w:r>
      <w:bookmarkEnd w:id="503"/>
      <w:bookmarkEnd w:id="504"/>
      <w:bookmarkEnd w:id="505"/>
    </w:p>
    <w:p w14:paraId="17B81D4E" w14:textId="77777777" w:rsidR="00824795" w:rsidRPr="0081146C" w:rsidRDefault="00824795" w:rsidP="00824795">
      <w:pPr>
        <w:pStyle w:val="SOText"/>
      </w:pPr>
      <w:bookmarkStart w:id="506" w:name="_Hlk184378555"/>
      <w:r w:rsidRPr="0081146C">
        <w:t>An authorised officer may obtain information or documents.</w:t>
      </w:r>
    </w:p>
    <w:p w14:paraId="0D490338" w14:textId="77777777" w:rsidR="00824795" w:rsidRPr="0081146C" w:rsidRDefault="00824795" w:rsidP="00824795">
      <w:pPr>
        <w:pStyle w:val="SOText"/>
      </w:pPr>
      <w:r w:rsidRPr="0081146C">
        <w:t xml:space="preserve">If the AUSTRAC CEO believes on reasonable grounds that a person has information or a document that is relevant to compliance with this Act, the regulations or the AML/CTF Rules, or an offence against the </w:t>
      </w:r>
      <w:r w:rsidRPr="0081146C">
        <w:rPr>
          <w:i/>
        </w:rPr>
        <w:t>Crimes Act 1914</w:t>
      </w:r>
      <w:r w:rsidRPr="0081146C">
        <w:t xml:space="preserve"> or the </w:t>
      </w:r>
      <w:r w:rsidRPr="0081146C">
        <w:rPr>
          <w:i/>
        </w:rPr>
        <w:t>Criminal Code</w:t>
      </w:r>
      <w:r w:rsidRPr="0081146C">
        <w:t xml:space="preserve"> that relates to this Act, the regulations or the AML/CTF Rules, the AUSTRAC CEO may require the person:</w:t>
      </w:r>
    </w:p>
    <w:p w14:paraId="450D3291" w14:textId="77777777" w:rsidR="00824795" w:rsidRPr="0081146C" w:rsidRDefault="00824795" w:rsidP="00824795">
      <w:pPr>
        <w:pStyle w:val="SOPara"/>
      </w:pPr>
      <w:r w:rsidRPr="0081146C">
        <w:tab/>
        <w:t>(a)</w:t>
      </w:r>
      <w:r w:rsidRPr="0081146C">
        <w:tab/>
        <w:t>to produce to the AUSTRAC CEO, within the period and in the manner specified in the notice, any such documents; or</w:t>
      </w:r>
    </w:p>
    <w:p w14:paraId="2659B97F" w14:textId="77777777" w:rsidR="00824795" w:rsidRPr="0081146C" w:rsidRDefault="00824795" w:rsidP="00824795">
      <w:pPr>
        <w:pStyle w:val="SOPara"/>
      </w:pPr>
      <w:r w:rsidRPr="0081146C">
        <w:tab/>
        <w:t>(b)</w:t>
      </w:r>
      <w:r w:rsidRPr="0081146C">
        <w:tab/>
        <w:t>to appear before an examiner for examination under this Division on oath or affirmation and to answer questions, and to produce any such documents.</w:t>
      </w:r>
    </w:p>
    <w:p w14:paraId="5B2E084A" w14:textId="77777777" w:rsidR="00824795" w:rsidRPr="0081146C" w:rsidRDefault="00824795" w:rsidP="00824795">
      <w:pPr>
        <w:pStyle w:val="SOText"/>
      </w:pPr>
      <w:r w:rsidRPr="0081146C">
        <w:t>The examiner may, and must if the examinee so requests, cause a record to be made of statements made at an examination under this Division.</w:t>
      </w:r>
    </w:p>
    <w:p w14:paraId="1000DFD8" w14:textId="77777777" w:rsidR="00824795" w:rsidRPr="0081146C" w:rsidRDefault="00824795" w:rsidP="00824795">
      <w:pPr>
        <w:pStyle w:val="SOText"/>
      </w:pPr>
      <w:r w:rsidRPr="0081146C">
        <w:t>A statement made by a person at an examination under this Division of the person is admissible in evidence against the person in certain proceedings except in certain circumstances.</w:t>
      </w:r>
    </w:p>
    <w:p w14:paraId="32618676" w14:textId="77777777" w:rsidR="00824795" w:rsidRPr="0081146C" w:rsidRDefault="00824795" w:rsidP="009E2BDF">
      <w:pPr>
        <w:pStyle w:val="ActHead3"/>
        <w:pageBreakBefore/>
      </w:pPr>
      <w:bookmarkStart w:id="507" w:name="_Toc176444459"/>
      <w:bookmarkStart w:id="508" w:name="_Toc184034080"/>
      <w:bookmarkStart w:id="509" w:name="_Toc185415990"/>
      <w:bookmarkEnd w:id="506"/>
      <w:r w:rsidRPr="0081146C">
        <w:rPr>
          <w:rStyle w:val="CharDivNo"/>
        </w:rPr>
        <w:t>Division 2</w:t>
      </w:r>
      <w:r w:rsidRPr="0081146C">
        <w:t>—</w:t>
      </w:r>
      <w:r w:rsidRPr="0081146C">
        <w:rPr>
          <w:rStyle w:val="CharDivText"/>
        </w:rPr>
        <w:t>Powers of authorised officers</w:t>
      </w:r>
      <w:bookmarkEnd w:id="507"/>
      <w:bookmarkEnd w:id="508"/>
      <w:bookmarkEnd w:id="509"/>
    </w:p>
    <w:p w14:paraId="7700FA9E" w14:textId="77777777" w:rsidR="00035544" w:rsidRPr="0081146C" w:rsidRDefault="00035544" w:rsidP="00035544">
      <w:pPr>
        <w:pStyle w:val="ActHead5"/>
      </w:pPr>
      <w:bookmarkStart w:id="510" w:name="_Toc185415991"/>
      <w:r w:rsidRPr="0081146C">
        <w:rPr>
          <w:rStyle w:val="CharSectno"/>
        </w:rPr>
        <w:t>167</w:t>
      </w:r>
      <w:r w:rsidRPr="0081146C">
        <w:t xml:space="preserve">  Authorised officer may obtain information and documents</w:t>
      </w:r>
      <w:bookmarkEnd w:id="510"/>
    </w:p>
    <w:p w14:paraId="501D7D13" w14:textId="77777777" w:rsidR="00824795" w:rsidRPr="0081146C" w:rsidRDefault="00824795" w:rsidP="00824795">
      <w:pPr>
        <w:pStyle w:val="subsection"/>
      </w:pPr>
      <w:r w:rsidRPr="0081146C">
        <w:tab/>
        <w:t>(1)</w:t>
      </w:r>
      <w:r w:rsidRPr="0081146C">
        <w:tab/>
        <w:t>This section applies to a person if an authorised officer reasonably believes that the person has knowledge of information, or possession or control of a document, that is relevant to the compliance with or enforcement of:</w:t>
      </w:r>
    </w:p>
    <w:p w14:paraId="16542BEE" w14:textId="77777777" w:rsidR="00824795" w:rsidRPr="0081146C" w:rsidRDefault="00824795" w:rsidP="00824795">
      <w:pPr>
        <w:pStyle w:val="paragraph"/>
      </w:pPr>
      <w:r w:rsidRPr="0081146C">
        <w:tab/>
        <w:t>(a)</w:t>
      </w:r>
      <w:r w:rsidRPr="0081146C">
        <w:tab/>
        <w:t>an offence provision of this Act or the regulations; or</w:t>
      </w:r>
    </w:p>
    <w:p w14:paraId="3625FDC3" w14:textId="77777777" w:rsidR="00824795" w:rsidRPr="0081146C" w:rsidRDefault="00824795" w:rsidP="00824795">
      <w:pPr>
        <w:pStyle w:val="paragraph"/>
      </w:pPr>
      <w:r w:rsidRPr="0081146C">
        <w:tab/>
        <w:t>(b)</w:t>
      </w:r>
      <w:r w:rsidRPr="0081146C">
        <w:tab/>
        <w:t>a civil penalty provision of this Act or the regulations; or</w:t>
      </w:r>
    </w:p>
    <w:p w14:paraId="6A84F36F" w14:textId="77777777" w:rsidR="00824795" w:rsidRPr="0081146C" w:rsidRDefault="00824795" w:rsidP="00824795">
      <w:pPr>
        <w:pStyle w:val="paragraph"/>
      </w:pPr>
      <w:r w:rsidRPr="0081146C">
        <w:tab/>
        <w:t>(c)</w:t>
      </w:r>
      <w:r w:rsidRPr="0081146C">
        <w:tab/>
        <w:t xml:space="preserve">an offence provision of the </w:t>
      </w:r>
      <w:r w:rsidRPr="0081146C">
        <w:rPr>
          <w:i/>
        </w:rPr>
        <w:t>Crimes Act 1914</w:t>
      </w:r>
      <w:r w:rsidRPr="0081146C">
        <w:t xml:space="preserve"> or the </w:t>
      </w:r>
      <w:r w:rsidRPr="0081146C">
        <w:rPr>
          <w:i/>
        </w:rPr>
        <w:t>Criminal Code</w:t>
      </w:r>
      <w:r w:rsidRPr="0081146C">
        <w:t>, to the extent that it relates to this Act.</w:t>
      </w:r>
    </w:p>
    <w:p w14:paraId="154B4B38" w14:textId="77777777" w:rsidR="00035544" w:rsidRPr="0081146C" w:rsidRDefault="00035544" w:rsidP="00035544">
      <w:pPr>
        <w:pStyle w:val="SubsectionHead"/>
      </w:pPr>
      <w:r w:rsidRPr="0081146C">
        <w:t>Requirement</w:t>
      </w:r>
    </w:p>
    <w:p w14:paraId="04917039" w14:textId="77777777" w:rsidR="00035544" w:rsidRPr="0081146C" w:rsidRDefault="00035544" w:rsidP="00035544">
      <w:pPr>
        <w:pStyle w:val="subsection"/>
      </w:pPr>
      <w:r w:rsidRPr="0081146C">
        <w:tab/>
        <w:t>(2)</w:t>
      </w:r>
      <w:r w:rsidRPr="0081146C">
        <w:tab/>
        <w:t>The authorised officer may, by written notice given to the person, require the person:</w:t>
      </w:r>
    </w:p>
    <w:p w14:paraId="5A8AFC1E" w14:textId="77777777" w:rsidR="00035544" w:rsidRPr="0081146C" w:rsidRDefault="00035544" w:rsidP="00035544">
      <w:pPr>
        <w:pStyle w:val="paragraph"/>
      </w:pPr>
      <w:r w:rsidRPr="0081146C">
        <w:tab/>
        <w:t>(a)</w:t>
      </w:r>
      <w:r w:rsidRPr="0081146C">
        <w:tab/>
        <w:t>to give to the authorised officer, within the period and in the manner specified in the notice, any such information; or</w:t>
      </w:r>
    </w:p>
    <w:p w14:paraId="20F6FAB2" w14:textId="77777777" w:rsidR="00035544" w:rsidRPr="0081146C" w:rsidRDefault="00035544" w:rsidP="00035544">
      <w:pPr>
        <w:pStyle w:val="paragraph"/>
      </w:pPr>
      <w:r w:rsidRPr="0081146C">
        <w:tab/>
        <w:t>(b)</w:t>
      </w:r>
      <w:r w:rsidRPr="0081146C">
        <w:tab/>
        <w:t>to produce to the authorised officer, within the period and in the manner specified in the notice, any such documents; or</w:t>
      </w:r>
    </w:p>
    <w:p w14:paraId="3DFC3271" w14:textId="77777777" w:rsidR="00035544" w:rsidRPr="0081146C" w:rsidRDefault="00035544" w:rsidP="00035544">
      <w:pPr>
        <w:pStyle w:val="paragraph"/>
      </w:pPr>
      <w:r w:rsidRPr="0081146C">
        <w:tab/>
        <w:t>(c)</w:t>
      </w:r>
      <w:r w:rsidRPr="0081146C">
        <w:tab/>
        <w:t>to make copies of any such documents and to produce to the authorised officer, within the period and in the manner specified in the notice, those copies.</w:t>
      </w:r>
    </w:p>
    <w:p w14:paraId="0F27E03C" w14:textId="77777777" w:rsidR="00035544" w:rsidRPr="0081146C" w:rsidRDefault="00035544" w:rsidP="00035544">
      <w:pPr>
        <w:pStyle w:val="SubsectionHead"/>
      </w:pPr>
      <w:r w:rsidRPr="0081146C">
        <w:t>Offence</w:t>
      </w:r>
    </w:p>
    <w:p w14:paraId="07D226B5" w14:textId="77777777" w:rsidR="00035544" w:rsidRPr="0081146C" w:rsidRDefault="00035544" w:rsidP="00035544">
      <w:pPr>
        <w:pStyle w:val="subsection"/>
      </w:pPr>
      <w:r w:rsidRPr="0081146C">
        <w:tab/>
        <w:t>(3)</w:t>
      </w:r>
      <w:r w:rsidRPr="0081146C">
        <w:tab/>
        <w:t>A person commits an offence if:</w:t>
      </w:r>
    </w:p>
    <w:p w14:paraId="2423971E" w14:textId="77777777" w:rsidR="00035544" w:rsidRPr="0081146C" w:rsidRDefault="00035544" w:rsidP="00035544">
      <w:pPr>
        <w:pStyle w:val="paragraph"/>
      </w:pPr>
      <w:r w:rsidRPr="0081146C">
        <w:tab/>
        <w:t>(a)</w:t>
      </w:r>
      <w:r w:rsidRPr="0081146C">
        <w:tab/>
        <w:t xml:space="preserve">the person has been given a notice under </w:t>
      </w:r>
      <w:r w:rsidR="004F64A4" w:rsidRPr="0081146C">
        <w:t>subsection (</w:t>
      </w:r>
      <w:r w:rsidRPr="0081146C">
        <w:t>2); and</w:t>
      </w:r>
    </w:p>
    <w:p w14:paraId="04691792" w14:textId="77777777" w:rsidR="00035544" w:rsidRPr="0081146C" w:rsidRDefault="00035544" w:rsidP="00035544">
      <w:pPr>
        <w:pStyle w:val="paragraph"/>
      </w:pPr>
      <w:r w:rsidRPr="0081146C">
        <w:tab/>
        <w:t>(b)</w:t>
      </w:r>
      <w:r w:rsidRPr="0081146C">
        <w:tab/>
        <w:t>the person omits to do an act; and</w:t>
      </w:r>
    </w:p>
    <w:p w14:paraId="4EB9DBF5" w14:textId="77777777" w:rsidR="00035544" w:rsidRPr="0081146C" w:rsidRDefault="00035544" w:rsidP="00035544">
      <w:pPr>
        <w:pStyle w:val="paragraph"/>
      </w:pPr>
      <w:r w:rsidRPr="0081146C">
        <w:tab/>
        <w:t>(c)</w:t>
      </w:r>
      <w:r w:rsidRPr="0081146C">
        <w:tab/>
        <w:t>the omission contravenes a requirement in the notice.</w:t>
      </w:r>
    </w:p>
    <w:p w14:paraId="4B382E61" w14:textId="77777777" w:rsidR="00035544" w:rsidRPr="0081146C" w:rsidRDefault="00035544" w:rsidP="00035544">
      <w:pPr>
        <w:pStyle w:val="Penalty"/>
      </w:pPr>
      <w:r w:rsidRPr="0081146C">
        <w:t>Penalty:</w:t>
      </w:r>
      <w:r w:rsidRPr="0081146C">
        <w:tab/>
        <w:t>Imprisonment for 6 months or 30 penalty units, or both.</w:t>
      </w:r>
    </w:p>
    <w:p w14:paraId="6392F7A3" w14:textId="77777777" w:rsidR="00824795" w:rsidRPr="0081146C" w:rsidRDefault="00824795" w:rsidP="00824795">
      <w:pPr>
        <w:pStyle w:val="SubsectionHead"/>
      </w:pPr>
      <w:r w:rsidRPr="0081146C">
        <w:t>Compliance</w:t>
      </w:r>
    </w:p>
    <w:p w14:paraId="183303C8" w14:textId="77777777" w:rsidR="00824795" w:rsidRPr="0081146C" w:rsidRDefault="00824795" w:rsidP="00824795">
      <w:pPr>
        <w:pStyle w:val="subsection"/>
      </w:pPr>
      <w:r w:rsidRPr="0081146C">
        <w:tab/>
        <w:t>(3A)</w:t>
      </w:r>
      <w:r w:rsidRPr="0081146C">
        <w:tab/>
        <w:t>A person must comply with a notice given under subsection (2).</w:t>
      </w:r>
    </w:p>
    <w:p w14:paraId="7824C1C8" w14:textId="77777777" w:rsidR="00824795" w:rsidRPr="0081146C" w:rsidRDefault="00824795" w:rsidP="00824795">
      <w:pPr>
        <w:pStyle w:val="subsection"/>
      </w:pPr>
      <w:r w:rsidRPr="0081146C">
        <w:tab/>
        <w:t>(3B)</w:t>
      </w:r>
      <w:r w:rsidRPr="0081146C">
        <w:tab/>
        <w:t>Subsection (3A) is a civil penalty provision.</w:t>
      </w:r>
    </w:p>
    <w:p w14:paraId="45581A0D" w14:textId="2DFEA8A7" w:rsidR="00035544" w:rsidRPr="0081146C" w:rsidRDefault="00035544" w:rsidP="00035544">
      <w:pPr>
        <w:pStyle w:val="SubsectionHead"/>
      </w:pPr>
      <w:r w:rsidRPr="0081146C">
        <w:t>Notice to set out the effect of offence provisions</w:t>
      </w:r>
      <w:r w:rsidR="002F4208" w:rsidRPr="0081146C">
        <w:t xml:space="preserve"> </w:t>
      </w:r>
      <w:r w:rsidR="002F4208" w:rsidRPr="0081146C">
        <w:rPr>
          <w:lang w:eastAsia="en-US"/>
        </w:rPr>
        <w:t>etc</w:t>
      </w:r>
      <w:r w:rsidR="002F4208" w:rsidRPr="0081146C">
        <w:t>.</w:t>
      </w:r>
    </w:p>
    <w:p w14:paraId="5FEC4441" w14:textId="77777777" w:rsidR="00035544" w:rsidRPr="0081146C" w:rsidRDefault="00035544" w:rsidP="00035544">
      <w:pPr>
        <w:pStyle w:val="subsection"/>
      </w:pPr>
      <w:r w:rsidRPr="0081146C">
        <w:tab/>
        <w:t>(4)</w:t>
      </w:r>
      <w:r w:rsidRPr="0081146C">
        <w:tab/>
        <w:t xml:space="preserve">A notice under </w:t>
      </w:r>
      <w:r w:rsidR="004F64A4" w:rsidRPr="0081146C">
        <w:t>subsection (</w:t>
      </w:r>
      <w:r w:rsidRPr="0081146C">
        <w:t>2) must set out the effect of the following provisions:</w:t>
      </w:r>
    </w:p>
    <w:p w14:paraId="06036229" w14:textId="77777777" w:rsidR="00035544" w:rsidRPr="0081146C" w:rsidRDefault="00035544" w:rsidP="00035544">
      <w:pPr>
        <w:pStyle w:val="paragraph"/>
      </w:pPr>
      <w:r w:rsidRPr="0081146C">
        <w:tab/>
        <w:t>(a)</w:t>
      </w:r>
      <w:r w:rsidRPr="0081146C">
        <w:tab/>
      </w:r>
      <w:r w:rsidR="004F64A4" w:rsidRPr="0081146C">
        <w:t>subsection (</w:t>
      </w:r>
      <w:r w:rsidRPr="0081146C">
        <w:t>3);</w:t>
      </w:r>
    </w:p>
    <w:p w14:paraId="27A9691B" w14:textId="77777777" w:rsidR="002F4208" w:rsidRPr="0081146C" w:rsidRDefault="002F4208" w:rsidP="002F4208">
      <w:pPr>
        <w:pStyle w:val="paragraph"/>
      </w:pPr>
      <w:r w:rsidRPr="0081146C">
        <w:tab/>
        <w:t>(aa)</w:t>
      </w:r>
      <w:r w:rsidRPr="0081146C">
        <w:tab/>
        <w:t>subsection (5);</w:t>
      </w:r>
    </w:p>
    <w:p w14:paraId="2931F479" w14:textId="77777777" w:rsidR="002F4208" w:rsidRPr="0081146C" w:rsidRDefault="002F4208" w:rsidP="002F4208">
      <w:pPr>
        <w:pStyle w:val="paragraph"/>
      </w:pPr>
      <w:r w:rsidRPr="0081146C">
        <w:tab/>
        <w:t>(ab)</w:t>
      </w:r>
      <w:r w:rsidRPr="0081146C">
        <w:tab/>
        <w:t>subsection (6);</w:t>
      </w:r>
    </w:p>
    <w:p w14:paraId="4AD96BA0" w14:textId="77777777" w:rsidR="00035544" w:rsidRPr="0081146C" w:rsidRDefault="00035544" w:rsidP="00035544">
      <w:pPr>
        <w:pStyle w:val="paragraph"/>
      </w:pPr>
      <w:r w:rsidRPr="0081146C">
        <w:tab/>
        <w:t>(b)</w:t>
      </w:r>
      <w:r w:rsidRPr="0081146C">
        <w:tab/>
      </w:r>
      <w:r w:rsidR="003B7E15" w:rsidRPr="0081146C">
        <w:t>section 1</w:t>
      </w:r>
      <w:r w:rsidRPr="0081146C">
        <w:t>36;</w:t>
      </w:r>
    </w:p>
    <w:p w14:paraId="1202C3D3" w14:textId="77777777" w:rsidR="00035544" w:rsidRPr="0081146C" w:rsidRDefault="00035544" w:rsidP="00035544">
      <w:pPr>
        <w:pStyle w:val="paragraph"/>
      </w:pPr>
      <w:r w:rsidRPr="0081146C">
        <w:tab/>
        <w:t>(c)</w:t>
      </w:r>
      <w:r w:rsidRPr="0081146C">
        <w:tab/>
      </w:r>
      <w:r w:rsidR="003B7E15" w:rsidRPr="0081146C">
        <w:t>section 1</w:t>
      </w:r>
      <w:r w:rsidRPr="0081146C">
        <w:t>37.</w:t>
      </w:r>
    </w:p>
    <w:p w14:paraId="0F1F424F" w14:textId="77777777" w:rsidR="00035544" w:rsidRPr="0081146C" w:rsidRDefault="00035544" w:rsidP="00035544">
      <w:pPr>
        <w:pStyle w:val="notetext"/>
      </w:pPr>
      <w:r w:rsidRPr="0081146C">
        <w:t>Note 1:</w:t>
      </w:r>
      <w:r w:rsidRPr="0081146C">
        <w:tab/>
        <w:t>Section</w:t>
      </w:r>
      <w:r w:rsidR="004F64A4" w:rsidRPr="0081146C">
        <w:t> </w:t>
      </w:r>
      <w:r w:rsidRPr="0081146C">
        <w:t>136 is about giving false or misleading information.</w:t>
      </w:r>
    </w:p>
    <w:p w14:paraId="3D3F7D35" w14:textId="77777777" w:rsidR="00035544" w:rsidRPr="0081146C" w:rsidRDefault="00035544" w:rsidP="00035544">
      <w:pPr>
        <w:pStyle w:val="notetext"/>
      </w:pPr>
      <w:r w:rsidRPr="0081146C">
        <w:t>Note 2:</w:t>
      </w:r>
      <w:r w:rsidRPr="0081146C">
        <w:tab/>
        <w:t>Section</w:t>
      </w:r>
      <w:r w:rsidR="004F64A4" w:rsidRPr="0081146C">
        <w:t> </w:t>
      </w:r>
      <w:r w:rsidRPr="0081146C">
        <w:t>137 is about producing false or misleading documents.</w:t>
      </w:r>
    </w:p>
    <w:p w14:paraId="75A56EDA" w14:textId="77777777" w:rsidR="002F4208" w:rsidRPr="0081146C" w:rsidRDefault="002F4208" w:rsidP="002F4208">
      <w:pPr>
        <w:pStyle w:val="SubsectionHead"/>
      </w:pPr>
      <w:r w:rsidRPr="0081146C">
        <w:t>Legal professional privilege</w:t>
      </w:r>
    </w:p>
    <w:p w14:paraId="669A9BA0" w14:textId="77777777" w:rsidR="002F4208" w:rsidRPr="0081146C" w:rsidRDefault="002F4208" w:rsidP="002F4208">
      <w:pPr>
        <w:pStyle w:val="subsection"/>
      </w:pPr>
      <w:r w:rsidRPr="0081146C">
        <w:tab/>
        <w:t>(5)</w:t>
      </w:r>
      <w:r w:rsidRPr="0081146C">
        <w:tab/>
        <w:t>If:</w:t>
      </w:r>
    </w:p>
    <w:p w14:paraId="545141D5" w14:textId="77777777" w:rsidR="002F4208" w:rsidRPr="0081146C" w:rsidRDefault="002F4208" w:rsidP="002F4208">
      <w:pPr>
        <w:pStyle w:val="paragraph"/>
      </w:pPr>
      <w:r w:rsidRPr="0081146C">
        <w:tab/>
        <w:t>(a)</w:t>
      </w:r>
      <w:r w:rsidRPr="0081146C">
        <w:tab/>
        <w:t>a person is given a notice under subsection (2) in relation to information, a document or a copy of a document; and</w:t>
      </w:r>
    </w:p>
    <w:p w14:paraId="4C577A1F" w14:textId="77777777" w:rsidR="002F4208" w:rsidRPr="0081146C" w:rsidRDefault="002F4208" w:rsidP="002F4208">
      <w:pPr>
        <w:pStyle w:val="paragraph"/>
      </w:pPr>
      <w:r w:rsidRPr="0081146C">
        <w:tab/>
        <w:t>(b)</w:t>
      </w:r>
      <w:r w:rsidRPr="0081146C">
        <w:tab/>
        <w:t>the person reasonably believes that the information, document or copy is privileged from being given or produced on the ground of legal professional privilege;</w:t>
      </w:r>
    </w:p>
    <w:p w14:paraId="52F4C6C3" w14:textId="77777777" w:rsidR="002F4208" w:rsidRPr="0081146C" w:rsidRDefault="002F4208" w:rsidP="002F4208">
      <w:pPr>
        <w:pStyle w:val="subsection2"/>
      </w:pPr>
      <w:r w:rsidRPr="0081146C">
        <w:t>the person must give the AUSTRAC CEO an LPP form in relation to the information, document or copy within the period specified in the notice.</w:t>
      </w:r>
    </w:p>
    <w:p w14:paraId="1379F5F8" w14:textId="77777777" w:rsidR="002F4208" w:rsidRPr="0081146C" w:rsidRDefault="002F4208" w:rsidP="002F4208">
      <w:pPr>
        <w:pStyle w:val="subsection"/>
      </w:pPr>
      <w:r w:rsidRPr="0081146C">
        <w:tab/>
        <w:t>(6)</w:t>
      </w:r>
      <w:r w:rsidRPr="0081146C">
        <w:tab/>
        <w:t>Subsection (5) is a civil penalty provision.</w:t>
      </w:r>
    </w:p>
    <w:p w14:paraId="48DDD760" w14:textId="77777777" w:rsidR="002F4208" w:rsidRPr="0081146C" w:rsidRDefault="002F4208" w:rsidP="002F4208">
      <w:pPr>
        <w:pStyle w:val="notetext"/>
      </w:pPr>
      <w:r w:rsidRPr="0081146C">
        <w:t>Note:</w:t>
      </w:r>
      <w:r w:rsidRPr="0081146C">
        <w:tab/>
        <w:t>For other provisions dealing with legal professional privilege, see sections 242 and 242A.</w:t>
      </w:r>
    </w:p>
    <w:p w14:paraId="47B3300C" w14:textId="77777777" w:rsidR="00035544" w:rsidRPr="0081146C" w:rsidRDefault="00035544" w:rsidP="00035544">
      <w:pPr>
        <w:pStyle w:val="ActHead5"/>
      </w:pPr>
      <w:bookmarkStart w:id="511" w:name="_Toc185415992"/>
      <w:r w:rsidRPr="0081146C">
        <w:rPr>
          <w:rStyle w:val="CharSectno"/>
        </w:rPr>
        <w:t>168</w:t>
      </w:r>
      <w:r w:rsidRPr="0081146C">
        <w:t xml:space="preserve">  Copying documents—reasonable compensation</w:t>
      </w:r>
      <w:bookmarkEnd w:id="511"/>
    </w:p>
    <w:p w14:paraId="40471560" w14:textId="77777777" w:rsidR="00035544" w:rsidRPr="0081146C" w:rsidRDefault="00035544" w:rsidP="00035544">
      <w:pPr>
        <w:pStyle w:val="subsection"/>
      </w:pPr>
      <w:r w:rsidRPr="0081146C">
        <w:tab/>
      </w:r>
      <w:r w:rsidRPr="0081146C">
        <w:tab/>
        <w:t>A person is entitled to be paid reasonable compensation for complying with a requirement covered by paragraph</w:t>
      </w:r>
      <w:r w:rsidR="004F64A4" w:rsidRPr="0081146C">
        <w:t> </w:t>
      </w:r>
      <w:r w:rsidRPr="0081146C">
        <w:t>167(2)(c).</w:t>
      </w:r>
    </w:p>
    <w:p w14:paraId="020BD5A0" w14:textId="77777777" w:rsidR="00035544" w:rsidRPr="0081146C" w:rsidRDefault="00035544" w:rsidP="00035544">
      <w:pPr>
        <w:pStyle w:val="ActHead5"/>
      </w:pPr>
      <w:bookmarkStart w:id="512" w:name="_Toc185415993"/>
      <w:r w:rsidRPr="0081146C">
        <w:rPr>
          <w:rStyle w:val="CharSectno"/>
        </w:rPr>
        <w:t>169</w:t>
      </w:r>
      <w:r w:rsidRPr="0081146C">
        <w:t xml:space="preserve">  Self</w:t>
      </w:r>
      <w:r w:rsidR="003B7E15" w:rsidRPr="0081146C">
        <w:noBreakHyphen/>
      </w:r>
      <w:r w:rsidRPr="0081146C">
        <w:t>incrimination</w:t>
      </w:r>
      <w:bookmarkEnd w:id="512"/>
    </w:p>
    <w:p w14:paraId="1B0F151F" w14:textId="77777777" w:rsidR="00035544" w:rsidRPr="0081146C" w:rsidRDefault="00035544" w:rsidP="00035544">
      <w:pPr>
        <w:pStyle w:val="subsection"/>
      </w:pPr>
      <w:r w:rsidRPr="0081146C">
        <w:tab/>
        <w:t>(1)</w:t>
      </w:r>
      <w:r w:rsidRPr="0081146C">
        <w:tab/>
        <w:t xml:space="preserve">A person is not excused from giving information or producing a document under </w:t>
      </w:r>
      <w:r w:rsidR="003B7E15" w:rsidRPr="0081146C">
        <w:t>section 1</w:t>
      </w:r>
      <w:r w:rsidRPr="0081146C">
        <w:t>67 on the ground that the information or the production of the document might tend to incriminate the person or expose the person to a penalty.</w:t>
      </w:r>
    </w:p>
    <w:p w14:paraId="2CAA105F" w14:textId="77777777" w:rsidR="00035544" w:rsidRPr="0081146C" w:rsidRDefault="00035544" w:rsidP="00035544">
      <w:pPr>
        <w:pStyle w:val="subsection"/>
      </w:pPr>
      <w:r w:rsidRPr="0081146C">
        <w:tab/>
        <w:t>(2)</w:t>
      </w:r>
      <w:r w:rsidRPr="0081146C">
        <w:tab/>
        <w:t>However:</w:t>
      </w:r>
    </w:p>
    <w:p w14:paraId="1342C948" w14:textId="77777777" w:rsidR="00035544" w:rsidRPr="0081146C" w:rsidRDefault="00035544" w:rsidP="00035544">
      <w:pPr>
        <w:pStyle w:val="paragraph"/>
      </w:pPr>
      <w:r w:rsidRPr="0081146C">
        <w:tab/>
        <w:t>(a)</w:t>
      </w:r>
      <w:r w:rsidRPr="0081146C">
        <w:tab/>
        <w:t>the information given or the document produced; or</w:t>
      </w:r>
    </w:p>
    <w:p w14:paraId="04308E8D" w14:textId="77777777" w:rsidR="00035544" w:rsidRPr="0081146C" w:rsidRDefault="00035544" w:rsidP="00035544">
      <w:pPr>
        <w:pStyle w:val="paragraph"/>
      </w:pPr>
      <w:r w:rsidRPr="0081146C">
        <w:tab/>
        <w:t>(b)</w:t>
      </w:r>
      <w:r w:rsidRPr="0081146C">
        <w:tab/>
        <w:t>giving the information or producing the document;</w:t>
      </w:r>
    </w:p>
    <w:p w14:paraId="55D95DF6" w14:textId="77777777" w:rsidR="00035544" w:rsidRPr="0081146C" w:rsidRDefault="00035544" w:rsidP="00035544">
      <w:pPr>
        <w:pStyle w:val="subsection2"/>
      </w:pPr>
      <w:r w:rsidRPr="0081146C">
        <w:t>is not admissible in evidence against the person:</w:t>
      </w:r>
    </w:p>
    <w:p w14:paraId="0EF67CB0" w14:textId="77777777" w:rsidR="00617BC5" w:rsidRPr="0081146C" w:rsidRDefault="00617BC5" w:rsidP="00617BC5">
      <w:pPr>
        <w:pStyle w:val="paragraph"/>
      </w:pPr>
      <w:r w:rsidRPr="0081146C">
        <w:tab/>
        <w:t>(c)</w:t>
      </w:r>
      <w:r w:rsidRPr="0081146C">
        <w:tab/>
        <w:t>in civil proceedings other than:</w:t>
      </w:r>
    </w:p>
    <w:p w14:paraId="211A2902" w14:textId="77777777" w:rsidR="00617BC5" w:rsidRPr="0081146C" w:rsidRDefault="00617BC5" w:rsidP="00617BC5">
      <w:pPr>
        <w:pStyle w:val="paragraphsub"/>
      </w:pPr>
      <w:r w:rsidRPr="0081146C">
        <w:tab/>
        <w:t>(i)</w:t>
      </w:r>
      <w:r w:rsidRPr="0081146C">
        <w:tab/>
        <w:t>proceedings under this Act; or</w:t>
      </w:r>
    </w:p>
    <w:p w14:paraId="03A3E6A1" w14:textId="77777777" w:rsidR="00617BC5" w:rsidRPr="0081146C" w:rsidRDefault="00617BC5" w:rsidP="00617BC5">
      <w:pPr>
        <w:pStyle w:val="paragraphsub"/>
      </w:pPr>
      <w:r w:rsidRPr="0081146C">
        <w:tab/>
        <w:t>(ii)</w:t>
      </w:r>
      <w:r w:rsidRPr="0081146C">
        <w:tab/>
        <w:t xml:space="preserve">proceedings under the </w:t>
      </w:r>
      <w:r w:rsidRPr="0081146C">
        <w:rPr>
          <w:i/>
        </w:rPr>
        <w:t>Proceeds of Crime Act 2002</w:t>
      </w:r>
      <w:r w:rsidRPr="0081146C">
        <w:t xml:space="preserve"> that relate to this Act; or</w:t>
      </w:r>
    </w:p>
    <w:p w14:paraId="41D36B1B" w14:textId="77777777" w:rsidR="00617BC5" w:rsidRPr="0081146C" w:rsidRDefault="00617BC5" w:rsidP="00617BC5">
      <w:pPr>
        <w:pStyle w:val="paragraph"/>
      </w:pPr>
      <w:r w:rsidRPr="0081146C">
        <w:tab/>
        <w:t>(d)</w:t>
      </w:r>
      <w:r w:rsidRPr="0081146C">
        <w:tab/>
        <w:t>in criminal proceedings other than:</w:t>
      </w:r>
    </w:p>
    <w:p w14:paraId="66C0C29F" w14:textId="77777777" w:rsidR="00617BC5" w:rsidRPr="0081146C" w:rsidRDefault="00617BC5" w:rsidP="00617BC5">
      <w:pPr>
        <w:pStyle w:val="paragraphsub"/>
      </w:pPr>
      <w:r w:rsidRPr="0081146C">
        <w:tab/>
        <w:t>(i)</w:t>
      </w:r>
      <w:r w:rsidRPr="0081146C">
        <w:tab/>
        <w:t>proceedings for an offence against this Act; or</w:t>
      </w:r>
    </w:p>
    <w:p w14:paraId="0BF74979" w14:textId="73FEC219" w:rsidR="00617BC5" w:rsidRPr="0081146C" w:rsidRDefault="00617BC5" w:rsidP="00617BC5">
      <w:pPr>
        <w:pStyle w:val="paragraphsub"/>
      </w:pPr>
      <w:r w:rsidRPr="0081146C">
        <w:tab/>
        <w:t>(ii)</w:t>
      </w:r>
      <w:r w:rsidRPr="0081146C">
        <w:tab/>
        <w:t xml:space="preserve">proceedings for an offence against the </w:t>
      </w:r>
      <w:r w:rsidRPr="0081146C">
        <w:rPr>
          <w:i/>
        </w:rPr>
        <w:t>Criminal Code</w:t>
      </w:r>
      <w:r w:rsidRPr="0081146C">
        <w:t xml:space="preserve"> that relates to this Act</w:t>
      </w:r>
      <w:r w:rsidR="00824795" w:rsidRPr="0081146C">
        <w:t>; or</w:t>
      </w:r>
    </w:p>
    <w:p w14:paraId="0F213A57" w14:textId="438F8A07" w:rsidR="00824795" w:rsidRPr="0081146C" w:rsidRDefault="00824795" w:rsidP="00824795">
      <w:pPr>
        <w:pStyle w:val="paragraphsub"/>
      </w:pPr>
      <w:r w:rsidRPr="0081146C">
        <w:tab/>
        <w:t>(iii)</w:t>
      </w:r>
      <w:r w:rsidRPr="0081146C">
        <w:tab/>
        <w:t xml:space="preserve">proceedings for an offence against a provision covered by the definition of </w:t>
      </w:r>
      <w:r w:rsidRPr="0081146C">
        <w:rPr>
          <w:b/>
          <w:i/>
        </w:rPr>
        <w:t>money laundering</w:t>
      </w:r>
      <w:r w:rsidRPr="0081146C">
        <w:t xml:space="preserve"> in section 5; or</w:t>
      </w:r>
    </w:p>
    <w:p w14:paraId="08C7C545" w14:textId="77777777" w:rsidR="00824795" w:rsidRPr="0081146C" w:rsidRDefault="00824795" w:rsidP="00824795">
      <w:pPr>
        <w:pStyle w:val="paragraphsub"/>
      </w:pPr>
      <w:r w:rsidRPr="0081146C">
        <w:tab/>
        <w:t>(iv)</w:t>
      </w:r>
      <w:r w:rsidRPr="0081146C">
        <w:tab/>
        <w:t xml:space="preserve">proceedings for an offence against a provision covered by the definition of </w:t>
      </w:r>
      <w:r w:rsidRPr="0081146C">
        <w:rPr>
          <w:b/>
          <w:i/>
        </w:rPr>
        <w:t>financing of terrorism</w:t>
      </w:r>
      <w:r w:rsidRPr="0081146C">
        <w:t xml:space="preserve"> in section 5; or</w:t>
      </w:r>
    </w:p>
    <w:p w14:paraId="72E79B3D" w14:textId="77777777" w:rsidR="00824795" w:rsidRPr="0081146C" w:rsidRDefault="00824795" w:rsidP="00824795">
      <w:pPr>
        <w:pStyle w:val="paragraphsub"/>
      </w:pPr>
      <w:r w:rsidRPr="0081146C">
        <w:tab/>
        <w:t>(v)</w:t>
      </w:r>
      <w:r w:rsidRPr="0081146C">
        <w:tab/>
        <w:t xml:space="preserve">proceedings for an offence against a provision covered by the definition of </w:t>
      </w:r>
      <w:r w:rsidRPr="0081146C">
        <w:rPr>
          <w:b/>
          <w:i/>
        </w:rPr>
        <w:t>proliferation financing</w:t>
      </w:r>
      <w:r w:rsidRPr="0081146C">
        <w:t xml:space="preserve"> in section 5.</w:t>
      </w:r>
    </w:p>
    <w:p w14:paraId="28CA562A" w14:textId="77777777" w:rsidR="00035544" w:rsidRPr="0081146C" w:rsidRDefault="00035544" w:rsidP="00035544">
      <w:pPr>
        <w:pStyle w:val="ActHead5"/>
      </w:pPr>
      <w:bookmarkStart w:id="513" w:name="_Toc185415994"/>
      <w:r w:rsidRPr="0081146C">
        <w:rPr>
          <w:rStyle w:val="CharSectno"/>
        </w:rPr>
        <w:t>170</w:t>
      </w:r>
      <w:r w:rsidRPr="0081146C">
        <w:t xml:space="preserve">  Copies of documents</w:t>
      </w:r>
      <w:bookmarkEnd w:id="513"/>
    </w:p>
    <w:p w14:paraId="75584D5D" w14:textId="77777777" w:rsidR="00035544" w:rsidRPr="0081146C" w:rsidRDefault="00035544" w:rsidP="00035544">
      <w:pPr>
        <w:pStyle w:val="subsection"/>
      </w:pPr>
      <w:r w:rsidRPr="0081146C">
        <w:tab/>
      </w:r>
      <w:r w:rsidRPr="0081146C">
        <w:tab/>
        <w:t>An authorised officer may inspect a document produced under this Part and may make and retain copies of, or take and retain extracts from, such a document.</w:t>
      </w:r>
    </w:p>
    <w:p w14:paraId="579CED42" w14:textId="77777777" w:rsidR="00035544" w:rsidRPr="0081146C" w:rsidRDefault="00035544" w:rsidP="00035544">
      <w:pPr>
        <w:pStyle w:val="ActHead5"/>
      </w:pPr>
      <w:bookmarkStart w:id="514" w:name="_Toc185415995"/>
      <w:r w:rsidRPr="0081146C">
        <w:rPr>
          <w:rStyle w:val="CharSectno"/>
        </w:rPr>
        <w:t>171</w:t>
      </w:r>
      <w:r w:rsidRPr="0081146C">
        <w:t xml:space="preserve">  Authorised officer may retain documents</w:t>
      </w:r>
      <w:bookmarkEnd w:id="514"/>
    </w:p>
    <w:p w14:paraId="3A46DC36" w14:textId="77777777" w:rsidR="00035544" w:rsidRPr="0081146C" w:rsidRDefault="00035544" w:rsidP="00035544">
      <w:pPr>
        <w:pStyle w:val="subsection"/>
      </w:pPr>
      <w:r w:rsidRPr="0081146C">
        <w:tab/>
        <w:t>(1)</w:t>
      </w:r>
      <w:r w:rsidRPr="0081146C">
        <w:tab/>
        <w:t>An authorised officer may take possession of a document produced under this Part, and retain it for as long as is reasonably necessary.</w:t>
      </w:r>
    </w:p>
    <w:p w14:paraId="4B7AD849" w14:textId="77777777" w:rsidR="00035544" w:rsidRPr="0081146C" w:rsidRDefault="00035544" w:rsidP="00035544">
      <w:pPr>
        <w:pStyle w:val="subsection"/>
      </w:pPr>
      <w:r w:rsidRPr="0081146C">
        <w:tab/>
        <w:t>(2)</w:t>
      </w:r>
      <w:r w:rsidRPr="0081146C">
        <w:tab/>
        <w:t>The person otherwise entitled to possession of the document is entitled to be supplied, as soon as practicable, with a copy certified by the authorised officer to be a true copy.</w:t>
      </w:r>
    </w:p>
    <w:p w14:paraId="42C84C19" w14:textId="77777777" w:rsidR="00035544" w:rsidRPr="0081146C" w:rsidRDefault="00035544" w:rsidP="00035544">
      <w:pPr>
        <w:pStyle w:val="subsection"/>
      </w:pPr>
      <w:r w:rsidRPr="0081146C">
        <w:tab/>
        <w:t>(3)</w:t>
      </w:r>
      <w:r w:rsidRPr="0081146C">
        <w:tab/>
        <w:t>The certified copy must be received in all courts and tribunals as evidence as if it were the original.</w:t>
      </w:r>
    </w:p>
    <w:p w14:paraId="191C4449" w14:textId="77777777" w:rsidR="00035544" w:rsidRPr="0081146C" w:rsidRDefault="00035544" w:rsidP="00035544">
      <w:pPr>
        <w:pStyle w:val="subsection"/>
      </w:pPr>
      <w:r w:rsidRPr="0081146C">
        <w:tab/>
        <w:t>(4)</w:t>
      </w:r>
      <w:r w:rsidRPr="0081146C">
        <w:tab/>
        <w:t>Until a certified copy is supplied, the authorised officer must provide the person otherwise entitled to possession of the document, or a person authorised by that person, reasonable access to the document for the purposes of inspecting and making copies of, or taking extracts from, the document.</w:t>
      </w:r>
    </w:p>
    <w:p w14:paraId="6C7458E4" w14:textId="77777777" w:rsidR="00035544" w:rsidRPr="0081146C" w:rsidRDefault="00035544" w:rsidP="00035544">
      <w:pPr>
        <w:pStyle w:val="ActHead5"/>
      </w:pPr>
      <w:bookmarkStart w:id="515" w:name="_Toc185415996"/>
      <w:r w:rsidRPr="0081146C">
        <w:rPr>
          <w:rStyle w:val="CharSectno"/>
        </w:rPr>
        <w:t>172</w:t>
      </w:r>
      <w:r w:rsidRPr="0081146C">
        <w:t xml:space="preserve">  </w:t>
      </w:r>
      <w:r w:rsidR="00CA78AA" w:rsidRPr="0081146C">
        <w:t>Division 4</w:t>
      </w:r>
      <w:r w:rsidRPr="0081146C">
        <w:t>00 and Chapter</w:t>
      </w:r>
      <w:r w:rsidR="004F64A4" w:rsidRPr="0081146C">
        <w:t> </w:t>
      </w:r>
      <w:r w:rsidRPr="0081146C">
        <w:t xml:space="preserve">5 of the </w:t>
      </w:r>
      <w:r w:rsidRPr="0081146C">
        <w:rPr>
          <w:i/>
        </w:rPr>
        <w:t>Criminal Code</w:t>
      </w:r>
      <w:bookmarkEnd w:id="515"/>
    </w:p>
    <w:p w14:paraId="468321C2" w14:textId="77777777" w:rsidR="00035544" w:rsidRPr="0081146C" w:rsidRDefault="00035544" w:rsidP="00035544">
      <w:pPr>
        <w:pStyle w:val="subsection"/>
      </w:pPr>
      <w:r w:rsidRPr="0081146C">
        <w:tab/>
      </w:r>
      <w:r w:rsidRPr="0081146C">
        <w:tab/>
        <w:t>If a person, or an officer, employee or agent of a person, provides information under a notice under sub</w:t>
      </w:r>
      <w:r w:rsidR="003B7E15" w:rsidRPr="0081146C">
        <w:t>section 1</w:t>
      </w:r>
      <w:r w:rsidRPr="0081146C">
        <w:t xml:space="preserve">67(2), the person, officer, employee or agent is taken, for the purposes of </w:t>
      </w:r>
      <w:r w:rsidR="00CA78AA" w:rsidRPr="0081146C">
        <w:t>Division 4</w:t>
      </w:r>
      <w:r w:rsidRPr="0081146C">
        <w:t>00 and Chapter</w:t>
      </w:r>
      <w:r w:rsidR="004F64A4" w:rsidRPr="0081146C">
        <w:t> </w:t>
      </w:r>
      <w:r w:rsidRPr="0081146C">
        <w:t xml:space="preserve">5 of the </w:t>
      </w:r>
      <w:r w:rsidRPr="0081146C">
        <w:rPr>
          <w:i/>
        </w:rPr>
        <w:t>Criminal Code</w:t>
      </w:r>
      <w:r w:rsidRPr="0081146C">
        <w:t>, not to have been in possession of that information at any time.</w:t>
      </w:r>
    </w:p>
    <w:p w14:paraId="07E9B121" w14:textId="77777777" w:rsidR="00824795" w:rsidRPr="0081146C" w:rsidRDefault="00824795" w:rsidP="005518CA">
      <w:pPr>
        <w:pStyle w:val="ActHead3"/>
        <w:pageBreakBefore/>
      </w:pPr>
      <w:bookmarkStart w:id="516" w:name="_Toc176444460"/>
      <w:bookmarkStart w:id="517" w:name="_Toc184034081"/>
      <w:bookmarkStart w:id="518" w:name="_Toc185415997"/>
      <w:r w:rsidRPr="0081146C">
        <w:rPr>
          <w:rStyle w:val="CharDivNo"/>
        </w:rPr>
        <w:t>Division 3</w:t>
      </w:r>
      <w:r w:rsidRPr="0081146C">
        <w:t>—</w:t>
      </w:r>
      <w:r w:rsidRPr="0081146C">
        <w:rPr>
          <w:rStyle w:val="CharDivText"/>
        </w:rPr>
        <w:t>Other powers to obtain information and documents</w:t>
      </w:r>
      <w:bookmarkEnd w:id="516"/>
      <w:bookmarkEnd w:id="517"/>
      <w:bookmarkEnd w:id="518"/>
    </w:p>
    <w:p w14:paraId="2B3CEE45" w14:textId="77777777" w:rsidR="00824795" w:rsidRPr="0081146C" w:rsidRDefault="00824795" w:rsidP="00824795">
      <w:pPr>
        <w:pStyle w:val="ActHead4"/>
      </w:pPr>
      <w:bookmarkStart w:id="519" w:name="_Toc176444461"/>
      <w:bookmarkStart w:id="520" w:name="_Toc184034082"/>
      <w:bookmarkStart w:id="521" w:name="_Toc185415998"/>
      <w:r w:rsidRPr="0081146C">
        <w:rPr>
          <w:rStyle w:val="CharSubdNo"/>
        </w:rPr>
        <w:t>Subdivision A</w:t>
      </w:r>
      <w:r w:rsidRPr="0081146C">
        <w:t>—</w:t>
      </w:r>
      <w:r w:rsidRPr="0081146C">
        <w:rPr>
          <w:rStyle w:val="CharSubdText"/>
        </w:rPr>
        <w:t>Examination of persons</w:t>
      </w:r>
      <w:bookmarkEnd w:id="519"/>
      <w:bookmarkEnd w:id="520"/>
      <w:bookmarkEnd w:id="521"/>
    </w:p>
    <w:p w14:paraId="5B8D9825" w14:textId="77777777" w:rsidR="00824795" w:rsidRPr="0081146C" w:rsidRDefault="00824795" w:rsidP="00824795">
      <w:pPr>
        <w:pStyle w:val="ActHead5"/>
      </w:pPr>
      <w:bookmarkStart w:id="522" w:name="_Toc176444462"/>
      <w:bookmarkStart w:id="523" w:name="_Toc184034083"/>
      <w:bookmarkStart w:id="524" w:name="_Toc185415999"/>
      <w:r w:rsidRPr="0081146C">
        <w:rPr>
          <w:rStyle w:val="CharSectno"/>
        </w:rPr>
        <w:t>172A</w:t>
      </w:r>
      <w:r w:rsidRPr="0081146C">
        <w:t xml:space="preserve">  Power of AUSTRAC CEO to obtain information and documents</w:t>
      </w:r>
      <w:bookmarkEnd w:id="522"/>
      <w:bookmarkEnd w:id="523"/>
      <w:bookmarkEnd w:id="524"/>
    </w:p>
    <w:p w14:paraId="62129D6E" w14:textId="77777777" w:rsidR="00824795" w:rsidRPr="0081146C" w:rsidRDefault="00824795" w:rsidP="00824795">
      <w:pPr>
        <w:pStyle w:val="subsection"/>
        <w:rPr>
          <w:lang w:eastAsia="en-US"/>
        </w:rPr>
      </w:pPr>
      <w:r w:rsidRPr="0081146C">
        <w:tab/>
        <w:t>(1)</w:t>
      </w:r>
      <w:r w:rsidRPr="0081146C">
        <w:tab/>
        <w:t>This section applies if the AUSTRAC CEO believes on reasonable grounds that a person has information or a document that is relevant</w:t>
      </w:r>
      <w:r w:rsidRPr="0081146C">
        <w:rPr>
          <w:lang w:eastAsia="en-US"/>
        </w:rPr>
        <w:t xml:space="preserve"> to:</w:t>
      </w:r>
    </w:p>
    <w:p w14:paraId="7F2E6491" w14:textId="77777777" w:rsidR="00824795" w:rsidRPr="0081146C" w:rsidRDefault="00824795" w:rsidP="00824795">
      <w:pPr>
        <w:pStyle w:val="paragraph"/>
        <w:rPr>
          <w:lang w:eastAsia="en-US"/>
        </w:rPr>
      </w:pPr>
      <w:r w:rsidRPr="0081146C">
        <w:tab/>
        <w:t>(a)</w:t>
      </w:r>
      <w:r w:rsidRPr="0081146C">
        <w:tab/>
        <w:t>compliance with this Act, the regulations or the AML/CTF Rules; or</w:t>
      </w:r>
    </w:p>
    <w:p w14:paraId="31D50630" w14:textId="77777777" w:rsidR="00824795" w:rsidRPr="0081146C" w:rsidRDefault="00824795" w:rsidP="00824795">
      <w:pPr>
        <w:pStyle w:val="paragraph"/>
        <w:rPr>
          <w:lang w:eastAsia="en-US"/>
        </w:rPr>
      </w:pPr>
      <w:r w:rsidRPr="0081146C">
        <w:tab/>
        <w:t>(b)</w:t>
      </w:r>
      <w:r w:rsidRPr="0081146C">
        <w:tab/>
        <w:t xml:space="preserve">an offence against the </w:t>
      </w:r>
      <w:r w:rsidRPr="0081146C">
        <w:rPr>
          <w:i/>
        </w:rPr>
        <w:t>Crimes Act 1914</w:t>
      </w:r>
      <w:r w:rsidRPr="0081146C">
        <w:t xml:space="preserve"> or the </w:t>
      </w:r>
      <w:r w:rsidRPr="0081146C">
        <w:rPr>
          <w:i/>
        </w:rPr>
        <w:t>Criminal Code</w:t>
      </w:r>
      <w:r w:rsidRPr="0081146C">
        <w:t xml:space="preserve"> that relates to this Act, the regulations or the AML/CTF Rules.</w:t>
      </w:r>
    </w:p>
    <w:p w14:paraId="545B2E7C" w14:textId="77777777" w:rsidR="00824795" w:rsidRPr="0081146C" w:rsidRDefault="00824795" w:rsidP="00824795">
      <w:pPr>
        <w:pStyle w:val="subsection"/>
      </w:pPr>
      <w:r w:rsidRPr="0081146C">
        <w:tab/>
        <w:t>(2)</w:t>
      </w:r>
      <w:r w:rsidRPr="0081146C">
        <w:tab/>
        <w:t>The AUSTRAC CEO may, by written notice given to the person, require the person:</w:t>
      </w:r>
    </w:p>
    <w:p w14:paraId="49133D16" w14:textId="77777777" w:rsidR="00824795" w:rsidRPr="0081146C" w:rsidRDefault="00824795" w:rsidP="00824795">
      <w:pPr>
        <w:pStyle w:val="paragraph"/>
      </w:pPr>
      <w:r w:rsidRPr="0081146C">
        <w:tab/>
        <w:t>(a)</w:t>
      </w:r>
      <w:r w:rsidRPr="0081146C">
        <w:tab/>
        <w:t>to produce to the AUSTRAC CEO, within the period and in the manner specified in the notice, any such documents; or</w:t>
      </w:r>
    </w:p>
    <w:p w14:paraId="021B605E" w14:textId="77777777" w:rsidR="00824795" w:rsidRPr="0081146C" w:rsidRDefault="00824795" w:rsidP="00824795">
      <w:pPr>
        <w:pStyle w:val="paragraph"/>
      </w:pPr>
      <w:r w:rsidRPr="0081146C">
        <w:tab/>
        <w:t>(b)</w:t>
      </w:r>
      <w:r w:rsidRPr="0081146C">
        <w:tab/>
        <w:t>to appear before an examiner at the time and place specified in the notice:</w:t>
      </w:r>
    </w:p>
    <w:p w14:paraId="6F4CB4C9" w14:textId="77777777" w:rsidR="00824795" w:rsidRPr="0081146C" w:rsidRDefault="00824795" w:rsidP="00824795">
      <w:pPr>
        <w:pStyle w:val="paragraphsub"/>
      </w:pPr>
      <w:r w:rsidRPr="0081146C">
        <w:tab/>
        <w:t>(i)</w:t>
      </w:r>
      <w:r w:rsidRPr="0081146C">
        <w:tab/>
        <w:t>for examination under this Division, on oath or affirmation and to answer questions; and</w:t>
      </w:r>
    </w:p>
    <w:p w14:paraId="6CC07D87" w14:textId="77777777" w:rsidR="00824795" w:rsidRPr="0081146C" w:rsidRDefault="00824795" w:rsidP="00824795">
      <w:pPr>
        <w:pStyle w:val="paragraphsub"/>
      </w:pPr>
      <w:r w:rsidRPr="0081146C">
        <w:tab/>
        <w:t>(ii)</w:t>
      </w:r>
      <w:r w:rsidRPr="0081146C">
        <w:tab/>
        <w:t>to produce any such documents.</w:t>
      </w:r>
    </w:p>
    <w:p w14:paraId="2F9C9436" w14:textId="77777777" w:rsidR="00824795" w:rsidRPr="0081146C" w:rsidRDefault="00824795" w:rsidP="00824795">
      <w:pPr>
        <w:pStyle w:val="subsection"/>
      </w:pPr>
      <w:r w:rsidRPr="0081146C">
        <w:tab/>
        <w:t>(3)</w:t>
      </w:r>
      <w:r w:rsidRPr="0081146C">
        <w:tab/>
        <w:t>The notice must:</w:t>
      </w:r>
    </w:p>
    <w:p w14:paraId="24EEB250" w14:textId="77777777" w:rsidR="00824795" w:rsidRPr="0081146C" w:rsidRDefault="00824795" w:rsidP="00824795">
      <w:pPr>
        <w:pStyle w:val="paragraph"/>
      </w:pPr>
      <w:r w:rsidRPr="0081146C">
        <w:tab/>
        <w:t>(a)</w:t>
      </w:r>
      <w:r w:rsidRPr="0081146C">
        <w:tab/>
        <w:t>if paragraph (2)(b) applies—state the general nature of the matter to which the questions will relate; and</w:t>
      </w:r>
    </w:p>
    <w:p w14:paraId="743B609B" w14:textId="77777777" w:rsidR="00824795" w:rsidRPr="0081146C" w:rsidRDefault="00824795" w:rsidP="00824795">
      <w:pPr>
        <w:pStyle w:val="paragraph"/>
      </w:pPr>
      <w:r w:rsidRPr="0081146C">
        <w:tab/>
        <w:t>(b)</w:t>
      </w:r>
      <w:r w:rsidRPr="0081146C">
        <w:tab/>
        <w:t>in any case set out the effect of subsections (4) and 172F(1).</w:t>
      </w:r>
    </w:p>
    <w:p w14:paraId="24F60755" w14:textId="77777777" w:rsidR="00824795" w:rsidRPr="0081146C" w:rsidRDefault="00824795" w:rsidP="00824795">
      <w:pPr>
        <w:pStyle w:val="subsection"/>
      </w:pPr>
      <w:r w:rsidRPr="0081146C">
        <w:tab/>
        <w:t>(4)</w:t>
      </w:r>
      <w:r w:rsidRPr="0081146C">
        <w:tab/>
        <w:t>A person commits an offence if the person intentionally or recklessly fails to comply with a notice under subsection (2).</w:t>
      </w:r>
    </w:p>
    <w:p w14:paraId="0D840673" w14:textId="77777777" w:rsidR="00824795" w:rsidRPr="0081146C" w:rsidRDefault="00824795" w:rsidP="00824795">
      <w:pPr>
        <w:pStyle w:val="Penalty"/>
      </w:pPr>
      <w:r w:rsidRPr="0081146C">
        <w:t>Penalty:</w:t>
      </w:r>
      <w:r w:rsidRPr="0081146C">
        <w:tab/>
        <w:t>Imprisonment for 2 years or 100 penalty units, or both.</w:t>
      </w:r>
    </w:p>
    <w:p w14:paraId="1CF81098" w14:textId="77777777" w:rsidR="00824795" w:rsidRPr="0081146C" w:rsidRDefault="00824795" w:rsidP="00824795">
      <w:pPr>
        <w:pStyle w:val="ActHead5"/>
      </w:pPr>
      <w:bookmarkStart w:id="525" w:name="_Toc176444463"/>
      <w:bookmarkStart w:id="526" w:name="_Toc184034084"/>
      <w:bookmarkStart w:id="527" w:name="_Toc185416000"/>
      <w:r w:rsidRPr="0081146C">
        <w:rPr>
          <w:rStyle w:val="CharSectno"/>
        </w:rPr>
        <w:t>172B</w:t>
      </w:r>
      <w:r w:rsidRPr="0081146C">
        <w:t xml:space="preserve">  Proceedings at examination</w:t>
      </w:r>
      <w:bookmarkEnd w:id="525"/>
      <w:bookmarkEnd w:id="526"/>
      <w:bookmarkEnd w:id="527"/>
    </w:p>
    <w:p w14:paraId="73A14E23" w14:textId="77777777" w:rsidR="00824795" w:rsidRPr="0081146C" w:rsidRDefault="00824795" w:rsidP="00824795">
      <w:pPr>
        <w:pStyle w:val="subsection"/>
      </w:pPr>
      <w:r w:rsidRPr="0081146C">
        <w:tab/>
      </w:r>
      <w:r w:rsidRPr="0081146C">
        <w:tab/>
        <w:t xml:space="preserve">Sections 172C to 172H apply if, in accordance with a notice given under section 172A, a person (in this Division called the </w:t>
      </w:r>
      <w:r w:rsidRPr="0081146C">
        <w:rPr>
          <w:b/>
          <w:i/>
        </w:rPr>
        <w:t>examinee</w:t>
      </w:r>
      <w:r w:rsidRPr="0081146C">
        <w:t xml:space="preserve">) appears before another person (in this Division called the </w:t>
      </w:r>
      <w:r w:rsidRPr="0081146C">
        <w:rPr>
          <w:b/>
          <w:i/>
        </w:rPr>
        <w:t>examiner</w:t>
      </w:r>
      <w:r w:rsidRPr="0081146C">
        <w:t>) for examination.</w:t>
      </w:r>
    </w:p>
    <w:p w14:paraId="0E3F9A64" w14:textId="77777777" w:rsidR="00824795" w:rsidRPr="0081146C" w:rsidRDefault="00824795" w:rsidP="00824795">
      <w:pPr>
        <w:pStyle w:val="ActHead5"/>
      </w:pPr>
      <w:bookmarkStart w:id="528" w:name="_Toc176444464"/>
      <w:bookmarkStart w:id="529" w:name="_Toc184034085"/>
      <w:bookmarkStart w:id="530" w:name="_Toc185416001"/>
      <w:r w:rsidRPr="0081146C">
        <w:rPr>
          <w:rStyle w:val="CharSectno"/>
        </w:rPr>
        <w:t>172C</w:t>
      </w:r>
      <w:r w:rsidRPr="0081146C">
        <w:t xml:space="preserve">  Requirements made of persons appearing for examination</w:t>
      </w:r>
      <w:bookmarkEnd w:id="528"/>
      <w:bookmarkEnd w:id="529"/>
      <w:bookmarkEnd w:id="530"/>
    </w:p>
    <w:p w14:paraId="3912A39A" w14:textId="77777777" w:rsidR="00824795" w:rsidRPr="0081146C" w:rsidRDefault="00824795" w:rsidP="00824795">
      <w:pPr>
        <w:pStyle w:val="subsection"/>
      </w:pPr>
      <w:r w:rsidRPr="0081146C">
        <w:tab/>
        <w:t>(1)</w:t>
      </w:r>
      <w:r w:rsidRPr="0081146C">
        <w:tab/>
        <w:t>If a person appears for examination in accordance with a notice given under subsection 172A(2), the examiner may examine the person on oath or affirmation and may, for that purpose:</w:t>
      </w:r>
    </w:p>
    <w:p w14:paraId="1B1B2A68" w14:textId="77777777" w:rsidR="00824795" w:rsidRPr="0081146C" w:rsidRDefault="00824795" w:rsidP="00824795">
      <w:pPr>
        <w:pStyle w:val="paragraph"/>
      </w:pPr>
      <w:r w:rsidRPr="0081146C">
        <w:tab/>
        <w:t>(a)</w:t>
      </w:r>
      <w:r w:rsidRPr="0081146C">
        <w:tab/>
        <w:t>require the person to either take an oath or make an affirmation; and</w:t>
      </w:r>
    </w:p>
    <w:p w14:paraId="7C369AFD" w14:textId="77777777" w:rsidR="00824795" w:rsidRPr="0081146C" w:rsidRDefault="00824795" w:rsidP="00824795">
      <w:pPr>
        <w:pStyle w:val="paragraph"/>
      </w:pPr>
      <w:r w:rsidRPr="0081146C">
        <w:tab/>
        <w:t>(b)</w:t>
      </w:r>
      <w:r w:rsidRPr="0081146C">
        <w:tab/>
        <w:t>administer an oath or affirmation to the person.</w:t>
      </w:r>
    </w:p>
    <w:p w14:paraId="55E4D97D" w14:textId="77777777" w:rsidR="00824795" w:rsidRPr="0081146C" w:rsidRDefault="00824795" w:rsidP="00824795">
      <w:pPr>
        <w:pStyle w:val="subsection"/>
      </w:pPr>
      <w:r w:rsidRPr="0081146C">
        <w:tab/>
        <w:t>(2)</w:t>
      </w:r>
      <w:r w:rsidRPr="0081146C">
        <w:tab/>
        <w:t>The oath or affirmation to be taken or made by the examinee for the purposes of the examination is an oath or affirmation that the statements that the examinee will make will be true.</w:t>
      </w:r>
    </w:p>
    <w:p w14:paraId="47787ABC" w14:textId="77777777" w:rsidR="00824795" w:rsidRPr="0081146C" w:rsidRDefault="00824795" w:rsidP="00824795">
      <w:pPr>
        <w:pStyle w:val="subsection"/>
      </w:pPr>
      <w:r w:rsidRPr="0081146C">
        <w:tab/>
        <w:t>(3)</w:t>
      </w:r>
      <w:r w:rsidRPr="0081146C">
        <w:tab/>
        <w:t>A person commits an offence of strict liability if the person refuses or fails to comply with a requirement made under subsection (1).</w:t>
      </w:r>
    </w:p>
    <w:p w14:paraId="74094E78" w14:textId="77777777" w:rsidR="00824795" w:rsidRPr="0081146C" w:rsidRDefault="00824795" w:rsidP="00824795">
      <w:pPr>
        <w:pStyle w:val="Penalty"/>
      </w:pPr>
      <w:r w:rsidRPr="0081146C">
        <w:t>Penalty:</w:t>
      </w:r>
      <w:r w:rsidRPr="0081146C">
        <w:tab/>
        <w:t>3 months imprisonment.</w:t>
      </w:r>
    </w:p>
    <w:p w14:paraId="24143912" w14:textId="77777777" w:rsidR="00824795" w:rsidRPr="0081146C" w:rsidRDefault="00824795" w:rsidP="00824795">
      <w:pPr>
        <w:pStyle w:val="subsection"/>
        <w:rPr>
          <w:lang w:eastAsia="en-US"/>
        </w:rPr>
      </w:pPr>
      <w:r w:rsidRPr="0081146C">
        <w:tab/>
        <w:t>(4)</w:t>
      </w:r>
      <w:r w:rsidRPr="0081146C">
        <w:tab/>
        <w:t xml:space="preserve">The examiner may require the person to answer a question that is put to the person at the examination and is relevant </w:t>
      </w:r>
      <w:r w:rsidRPr="0081146C">
        <w:rPr>
          <w:lang w:eastAsia="en-US"/>
        </w:rPr>
        <w:t>to:</w:t>
      </w:r>
    </w:p>
    <w:p w14:paraId="36DE3B89" w14:textId="77777777" w:rsidR="00824795" w:rsidRPr="0081146C" w:rsidRDefault="00824795" w:rsidP="00824795">
      <w:pPr>
        <w:pStyle w:val="paragraph"/>
        <w:rPr>
          <w:lang w:eastAsia="en-US"/>
        </w:rPr>
      </w:pPr>
      <w:r w:rsidRPr="0081146C">
        <w:tab/>
        <w:t>(a)</w:t>
      </w:r>
      <w:r w:rsidRPr="0081146C">
        <w:tab/>
        <w:t>compliance with this Act, the regulations or the AML/CTF Rules; or</w:t>
      </w:r>
    </w:p>
    <w:p w14:paraId="069EC200" w14:textId="77777777" w:rsidR="00824795" w:rsidRPr="0081146C" w:rsidRDefault="00824795" w:rsidP="00824795">
      <w:pPr>
        <w:pStyle w:val="paragraph"/>
        <w:rPr>
          <w:lang w:eastAsia="en-US"/>
        </w:rPr>
      </w:pPr>
      <w:r w:rsidRPr="0081146C">
        <w:tab/>
        <w:t>(b)</w:t>
      </w:r>
      <w:r w:rsidRPr="0081146C">
        <w:tab/>
        <w:t xml:space="preserve">an offence against the </w:t>
      </w:r>
      <w:r w:rsidRPr="0081146C">
        <w:rPr>
          <w:i/>
        </w:rPr>
        <w:t>Crimes Act 1914</w:t>
      </w:r>
      <w:r w:rsidRPr="0081146C">
        <w:t xml:space="preserve"> or the </w:t>
      </w:r>
      <w:r w:rsidRPr="0081146C">
        <w:rPr>
          <w:i/>
        </w:rPr>
        <w:t>Criminal Code</w:t>
      </w:r>
      <w:r w:rsidRPr="0081146C">
        <w:t xml:space="preserve"> that relates to this Act, the regulations or the AML/CTF Rules.</w:t>
      </w:r>
    </w:p>
    <w:p w14:paraId="13853B91" w14:textId="77777777" w:rsidR="00824795" w:rsidRPr="0081146C" w:rsidRDefault="00824795" w:rsidP="00824795">
      <w:pPr>
        <w:pStyle w:val="subsection"/>
      </w:pPr>
      <w:r w:rsidRPr="0081146C">
        <w:tab/>
        <w:t>(5)</w:t>
      </w:r>
      <w:r w:rsidRPr="0081146C">
        <w:tab/>
        <w:t>A person commits an offence if the person intentionally or recklessly refuses or fails to comply with a requirement made under subsection (4).</w:t>
      </w:r>
    </w:p>
    <w:p w14:paraId="794ADAAD" w14:textId="77777777" w:rsidR="00824795" w:rsidRPr="0081146C" w:rsidRDefault="00824795" w:rsidP="00824795">
      <w:pPr>
        <w:pStyle w:val="Penalty"/>
      </w:pPr>
      <w:r w:rsidRPr="0081146C">
        <w:t>Penalty:</w:t>
      </w:r>
      <w:r w:rsidRPr="0081146C">
        <w:tab/>
        <w:t>Imprisonment for 2 years.</w:t>
      </w:r>
    </w:p>
    <w:p w14:paraId="47B4171C" w14:textId="77777777" w:rsidR="00824795" w:rsidRPr="0081146C" w:rsidRDefault="00824795" w:rsidP="00824795">
      <w:pPr>
        <w:pStyle w:val="ActHead5"/>
      </w:pPr>
      <w:bookmarkStart w:id="531" w:name="_Toc176444465"/>
      <w:bookmarkStart w:id="532" w:name="_Toc184034086"/>
      <w:bookmarkStart w:id="533" w:name="_Toc185416002"/>
      <w:r w:rsidRPr="0081146C">
        <w:rPr>
          <w:rStyle w:val="CharSectno"/>
        </w:rPr>
        <w:t>172D</w:t>
      </w:r>
      <w:r w:rsidRPr="0081146C">
        <w:t xml:space="preserve">  Examination to take place in private</w:t>
      </w:r>
      <w:bookmarkEnd w:id="531"/>
      <w:bookmarkEnd w:id="532"/>
      <w:bookmarkEnd w:id="533"/>
    </w:p>
    <w:p w14:paraId="62E7552D" w14:textId="77777777" w:rsidR="00824795" w:rsidRPr="0081146C" w:rsidRDefault="00824795" w:rsidP="00824795">
      <w:pPr>
        <w:pStyle w:val="subsection"/>
      </w:pPr>
      <w:r w:rsidRPr="0081146C">
        <w:tab/>
        <w:t>(1)</w:t>
      </w:r>
      <w:r w:rsidRPr="0081146C">
        <w:tab/>
        <w:t>An examination under this Division must take place in private and the examiner may give directions about who may be present during it, or during a part of it.</w:t>
      </w:r>
    </w:p>
    <w:p w14:paraId="5FBB8E8A" w14:textId="77777777" w:rsidR="00824795" w:rsidRPr="0081146C" w:rsidRDefault="00824795" w:rsidP="00824795">
      <w:pPr>
        <w:pStyle w:val="subsection"/>
      </w:pPr>
      <w:r w:rsidRPr="0081146C">
        <w:tab/>
        <w:t>(2)</w:t>
      </w:r>
      <w:r w:rsidRPr="0081146C">
        <w:tab/>
        <w:t>A person commits an offence of strict liability if:</w:t>
      </w:r>
    </w:p>
    <w:p w14:paraId="39583341" w14:textId="77777777" w:rsidR="00824795" w:rsidRPr="0081146C" w:rsidRDefault="00824795" w:rsidP="00824795">
      <w:pPr>
        <w:pStyle w:val="paragraph"/>
      </w:pPr>
      <w:r w:rsidRPr="0081146C">
        <w:tab/>
        <w:t>(a)</w:t>
      </w:r>
      <w:r w:rsidRPr="0081146C">
        <w:tab/>
        <w:t>the person is present at the examination; and</w:t>
      </w:r>
    </w:p>
    <w:p w14:paraId="07B30667" w14:textId="77777777" w:rsidR="00824795" w:rsidRPr="0081146C" w:rsidRDefault="00824795" w:rsidP="00824795">
      <w:pPr>
        <w:pStyle w:val="paragraph"/>
      </w:pPr>
      <w:r w:rsidRPr="0081146C">
        <w:tab/>
        <w:t>(b)</w:t>
      </w:r>
      <w:r w:rsidRPr="0081146C">
        <w:tab/>
        <w:t>the person is not:</w:t>
      </w:r>
    </w:p>
    <w:p w14:paraId="7A096353" w14:textId="77777777" w:rsidR="00824795" w:rsidRPr="0081146C" w:rsidRDefault="00824795" w:rsidP="00824795">
      <w:pPr>
        <w:pStyle w:val="paragraphsub"/>
      </w:pPr>
      <w:r w:rsidRPr="0081146C">
        <w:tab/>
        <w:t>(i)</w:t>
      </w:r>
      <w:r w:rsidRPr="0081146C">
        <w:tab/>
        <w:t>the examiner or examinee; or</w:t>
      </w:r>
    </w:p>
    <w:p w14:paraId="5534530C" w14:textId="77777777" w:rsidR="00824795" w:rsidRPr="0081146C" w:rsidRDefault="00824795" w:rsidP="00824795">
      <w:pPr>
        <w:pStyle w:val="paragraphsub"/>
      </w:pPr>
      <w:r w:rsidRPr="0081146C">
        <w:tab/>
        <w:t>(ii)</w:t>
      </w:r>
      <w:r w:rsidRPr="0081146C">
        <w:tab/>
        <w:t>a member of the staff of AUSTRAC approved by the examiner; or</w:t>
      </w:r>
    </w:p>
    <w:p w14:paraId="5362E2C7" w14:textId="77777777" w:rsidR="00824795" w:rsidRPr="0081146C" w:rsidRDefault="00824795" w:rsidP="00824795">
      <w:pPr>
        <w:pStyle w:val="paragraphsub"/>
      </w:pPr>
      <w:r w:rsidRPr="0081146C">
        <w:tab/>
        <w:t>(iii)</w:t>
      </w:r>
      <w:r w:rsidRPr="0081146C">
        <w:tab/>
        <w:t>entitled to be present by virtue of a direction under subsection (1) or subsection 172F(1).</w:t>
      </w:r>
    </w:p>
    <w:p w14:paraId="13A2C9F5" w14:textId="77777777" w:rsidR="00824795" w:rsidRPr="0081146C" w:rsidRDefault="00824795" w:rsidP="00824795">
      <w:pPr>
        <w:pStyle w:val="Penalty"/>
      </w:pPr>
      <w:r w:rsidRPr="0081146C">
        <w:t>Penalty:</w:t>
      </w:r>
      <w:r w:rsidRPr="0081146C">
        <w:tab/>
        <w:t>30 penalty units.</w:t>
      </w:r>
    </w:p>
    <w:p w14:paraId="672A716D" w14:textId="77777777" w:rsidR="00824795" w:rsidRPr="0081146C" w:rsidRDefault="00824795" w:rsidP="00824795">
      <w:pPr>
        <w:pStyle w:val="ActHead5"/>
      </w:pPr>
      <w:bookmarkStart w:id="534" w:name="_Toc176444466"/>
      <w:bookmarkStart w:id="535" w:name="_Toc184034087"/>
      <w:bookmarkStart w:id="536" w:name="_Toc185416003"/>
      <w:bookmarkStart w:id="537" w:name="_Hlk146363342"/>
      <w:r w:rsidRPr="0081146C">
        <w:rPr>
          <w:rStyle w:val="CharSectno"/>
        </w:rPr>
        <w:t>172E</w:t>
      </w:r>
      <w:r w:rsidRPr="0081146C">
        <w:t xml:space="preserve">  Procedures for holding an examination</w:t>
      </w:r>
      <w:bookmarkEnd w:id="534"/>
      <w:bookmarkEnd w:id="535"/>
      <w:bookmarkEnd w:id="536"/>
    </w:p>
    <w:p w14:paraId="624E4FFE" w14:textId="77777777" w:rsidR="00824795" w:rsidRPr="0081146C" w:rsidRDefault="00824795" w:rsidP="00824795">
      <w:pPr>
        <w:pStyle w:val="subsection"/>
      </w:pPr>
      <w:r w:rsidRPr="0081146C">
        <w:tab/>
        <w:t>(1)</w:t>
      </w:r>
      <w:r w:rsidRPr="0081146C">
        <w:tab/>
        <w:t>The examiner may decide to hold an examination under this Division:</w:t>
      </w:r>
    </w:p>
    <w:p w14:paraId="715FA49A" w14:textId="77777777" w:rsidR="00824795" w:rsidRPr="0081146C" w:rsidRDefault="00824795" w:rsidP="00824795">
      <w:pPr>
        <w:pStyle w:val="paragraph"/>
      </w:pPr>
      <w:r w:rsidRPr="0081146C">
        <w:tab/>
        <w:t>(a)</w:t>
      </w:r>
      <w:r w:rsidRPr="0081146C">
        <w:tab/>
        <w:t>at one or more physical venues; or</w:t>
      </w:r>
    </w:p>
    <w:p w14:paraId="7D3AA645" w14:textId="77777777" w:rsidR="00824795" w:rsidRPr="0081146C" w:rsidRDefault="00824795" w:rsidP="00824795">
      <w:pPr>
        <w:pStyle w:val="paragraph"/>
      </w:pPr>
      <w:r w:rsidRPr="0081146C">
        <w:tab/>
        <w:t>(b)</w:t>
      </w:r>
      <w:r w:rsidRPr="0081146C">
        <w:tab/>
        <w:t>at one or more physical venues and using virtual examination technology that allows a person to appear at all or part of the examination without being physically present at the examination; or</w:t>
      </w:r>
    </w:p>
    <w:p w14:paraId="4E09AEDC" w14:textId="77777777" w:rsidR="00824795" w:rsidRPr="0081146C" w:rsidRDefault="00824795" w:rsidP="00824795">
      <w:pPr>
        <w:pStyle w:val="paragraph"/>
      </w:pPr>
      <w:r w:rsidRPr="0081146C">
        <w:tab/>
        <w:t>(c)</w:t>
      </w:r>
      <w:r w:rsidRPr="0081146C">
        <w:tab/>
        <w:t>using virtual examination technology only.</w:t>
      </w:r>
    </w:p>
    <w:p w14:paraId="64860942" w14:textId="77777777" w:rsidR="00824795" w:rsidRPr="0081146C" w:rsidRDefault="00824795" w:rsidP="00824795">
      <w:pPr>
        <w:pStyle w:val="subsection"/>
      </w:pPr>
      <w:r w:rsidRPr="0081146C">
        <w:tab/>
        <w:t>(2)</w:t>
      </w:r>
      <w:r w:rsidRPr="0081146C">
        <w:tab/>
        <w:t>Subsection (3) applies if the examination is held:</w:t>
      </w:r>
    </w:p>
    <w:p w14:paraId="051E12EE" w14:textId="77777777" w:rsidR="00824795" w:rsidRPr="0081146C" w:rsidRDefault="00824795" w:rsidP="00824795">
      <w:pPr>
        <w:pStyle w:val="paragraph"/>
      </w:pPr>
      <w:r w:rsidRPr="0081146C">
        <w:tab/>
        <w:t>(a)</w:t>
      </w:r>
      <w:r w:rsidRPr="0081146C">
        <w:tab/>
        <w:t>at one or more physical venues and using virtual examination technology; or</w:t>
      </w:r>
    </w:p>
    <w:p w14:paraId="6DC8E1CA" w14:textId="77777777" w:rsidR="00824795" w:rsidRPr="0081146C" w:rsidRDefault="00824795" w:rsidP="00824795">
      <w:pPr>
        <w:pStyle w:val="paragraph"/>
      </w:pPr>
      <w:r w:rsidRPr="0081146C">
        <w:tab/>
        <w:t>(b)</w:t>
      </w:r>
      <w:r w:rsidRPr="0081146C">
        <w:tab/>
        <w:t>using virtual examination technology only.</w:t>
      </w:r>
    </w:p>
    <w:p w14:paraId="4E8AFE77" w14:textId="77777777" w:rsidR="00824795" w:rsidRPr="0081146C" w:rsidRDefault="00824795" w:rsidP="00824795">
      <w:pPr>
        <w:pStyle w:val="subsection"/>
      </w:pPr>
      <w:r w:rsidRPr="0081146C">
        <w:tab/>
        <w:t>(3)</w:t>
      </w:r>
      <w:r w:rsidRPr="0081146C">
        <w:tab/>
        <w:t>The examiner must ensure that the use of the virtual examination technology is reasonable.</w:t>
      </w:r>
    </w:p>
    <w:p w14:paraId="4550ED47" w14:textId="77777777" w:rsidR="00824795" w:rsidRPr="0081146C" w:rsidRDefault="00824795" w:rsidP="00824795">
      <w:pPr>
        <w:pStyle w:val="subsection"/>
      </w:pPr>
      <w:r w:rsidRPr="0081146C">
        <w:tab/>
        <w:t>(4)</w:t>
      </w:r>
      <w:r w:rsidRPr="0081146C">
        <w:tab/>
        <w:t>If the examination is held:</w:t>
      </w:r>
    </w:p>
    <w:p w14:paraId="4CAB92A9" w14:textId="77777777" w:rsidR="00824795" w:rsidRPr="0081146C" w:rsidRDefault="00824795" w:rsidP="00824795">
      <w:pPr>
        <w:pStyle w:val="paragraph"/>
      </w:pPr>
      <w:r w:rsidRPr="0081146C">
        <w:tab/>
        <w:t>(a)</w:t>
      </w:r>
      <w:r w:rsidRPr="0081146C">
        <w:tab/>
        <w:t>at more than one physical venue; or</w:t>
      </w:r>
    </w:p>
    <w:p w14:paraId="6D263D60" w14:textId="77777777" w:rsidR="00824795" w:rsidRPr="0081146C" w:rsidRDefault="00824795" w:rsidP="00824795">
      <w:pPr>
        <w:pStyle w:val="paragraph"/>
      </w:pPr>
      <w:r w:rsidRPr="0081146C">
        <w:tab/>
        <w:t>(b)</w:t>
      </w:r>
      <w:r w:rsidRPr="0081146C">
        <w:tab/>
        <w:t>at one or more physical venues and using virtual examination technology; or</w:t>
      </w:r>
    </w:p>
    <w:p w14:paraId="6F0D7FDD" w14:textId="77777777" w:rsidR="00824795" w:rsidRPr="0081146C" w:rsidRDefault="00824795" w:rsidP="00824795">
      <w:pPr>
        <w:pStyle w:val="paragraph"/>
      </w:pPr>
      <w:r w:rsidRPr="0081146C">
        <w:tab/>
        <w:t>(c)</w:t>
      </w:r>
      <w:r w:rsidRPr="0081146C">
        <w:tab/>
        <w:t>using virtual examination technology only;</w:t>
      </w:r>
    </w:p>
    <w:p w14:paraId="73EF2204" w14:textId="77777777" w:rsidR="00824795" w:rsidRPr="0081146C" w:rsidRDefault="00824795" w:rsidP="00824795">
      <w:pPr>
        <w:pStyle w:val="subsection2"/>
      </w:pPr>
      <w:r w:rsidRPr="0081146C">
        <w:t>the examiner may appoint a single place and time at which the examination is taken to have been held.</w:t>
      </w:r>
    </w:p>
    <w:p w14:paraId="37F8E07A" w14:textId="77777777" w:rsidR="00824795" w:rsidRPr="0081146C" w:rsidRDefault="00824795" w:rsidP="00824795">
      <w:pPr>
        <w:pStyle w:val="subsection"/>
      </w:pPr>
      <w:r w:rsidRPr="0081146C">
        <w:tab/>
        <w:t>(5)</w:t>
      </w:r>
      <w:r w:rsidRPr="0081146C">
        <w:tab/>
        <w:t>This section applies to part of an examination in the same way that it applies to all of an examination.</w:t>
      </w:r>
    </w:p>
    <w:p w14:paraId="61C866E2" w14:textId="77777777" w:rsidR="00824795" w:rsidRPr="0081146C" w:rsidRDefault="00824795" w:rsidP="00824795">
      <w:pPr>
        <w:pStyle w:val="subsection"/>
      </w:pPr>
      <w:r w:rsidRPr="0081146C">
        <w:tab/>
        <w:t>(6)</w:t>
      </w:r>
      <w:r w:rsidRPr="0081146C">
        <w:tab/>
        <w:t>In this section:</w:t>
      </w:r>
    </w:p>
    <w:p w14:paraId="601FDFA4" w14:textId="77777777" w:rsidR="00824795" w:rsidRPr="0081146C" w:rsidRDefault="00824795" w:rsidP="00824795">
      <w:pPr>
        <w:pStyle w:val="Definition"/>
      </w:pPr>
      <w:r w:rsidRPr="0081146C">
        <w:rPr>
          <w:b/>
          <w:i/>
        </w:rPr>
        <w:t>virtual examination technology</w:t>
      </w:r>
      <w:r w:rsidRPr="0081146C">
        <w:t xml:space="preserve"> means any technology that allows a person to appear at all or part of an examination under this Division without being physically present at the examination.</w:t>
      </w:r>
    </w:p>
    <w:p w14:paraId="41D373DD" w14:textId="77777777" w:rsidR="00824795" w:rsidRPr="0081146C" w:rsidRDefault="00824795" w:rsidP="00824795">
      <w:pPr>
        <w:pStyle w:val="ActHead5"/>
      </w:pPr>
      <w:bookmarkStart w:id="538" w:name="_Toc176444467"/>
      <w:bookmarkStart w:id="539" w:name="_Toc184034088"/>
      <w:bookmarkStart w:id="540" w:name="_Toc185416004"/>
      <w:bookmarkEnd w:id="537"/>
      <w:r w:rsidRPr="0081146C">
        <w:rPr>
          <w:rStyle w:val="CharSectno"/>
        </w:rPr>
        <w:t>172F</w:t>
      </w:r>
      <w:r w:rsidRPr="0081146C">
        <w:t xml:space="preserve">  Examinee’s lawyer may attend</w:t>
      </w:r>
      <w:bookmarkEnd w:id="538"/>
      <w:bookmarkEnd w:id="539"/>
      <w:bookmarkEnd w:id="540"/>
    </w:p>
    <w:p w14:paraId="6810C498" w14:textId="77777777" w:rsidR="00824795" w:rsidRPr="0081146C" w:rsidRDefault="00824795" w:rsidP="00824795">
      <w:pPr>
        <w:pStyle w:val="subsection"/>
      </w:pPr>
      <w:r w:rsidRPr="0081146C">
        <w:tab/>
        <w:t>(1)</w:t>
      </w:r>
      <w:r w:rsidRPr="0081146C">
        <w:tab/>
        <w:t>The examinee’s lawyer may be present at the examination and may, at such times during the examination as the examiner determines:</w:t>
      </w:r>
    </w:p>
    <w:p w14:paraId="6652D6DB" w14:textId="77777777" w:rsidR="00824795" w:rsidRPr="0081146C" w:rsidRDefault="00824795" w:rsidP="00824795">
      <w:pPr>
        <w:pStyle w:val="paragraph"/>
      </w:pPr>
      <w:r w:rsidRPr="0081146C">
        <w:tab/>
        <w:t>(a)</w:t>
      </w:r>
      <w:r w:rsidRPr="0081146C">
        <w:tab/>
        <w:t>address the examiner; and</w:t>
      </w:r>
    </w:p>
    <w:p w14:paraId="13096F05" w14:textId="77777777" w:rsidR="00824795" w:rsidRPr="0081146C" w:rsidRDefault="00824795" w:rsidP="00824795">
      <w:pPr>
        <w:pStyle w:val="paragraph"/>
      </w:pPr>
      <w:r w:rsidRPr="0081146C">
        <w:tab/>
        <w:t>(b)</w:t>
      </w:r>
      <w:r w:rsidRPr="0081146C">
        <w:tab/>
        <w:t>examine the examinee;</w:t>
      </w:r>
    </w:p>
    <w:p w14:paraId="6BF4D606" w14:textId="77777777" w:rsidR="00824795" w:rsidRPr="0081146C" w:rsidRDefault="00824795" w:rsidP="00824795">
      <w:pPr>
        <w:pStyle w:val="subsection2"/>
      </w:pPr>
      <w:r w:rsidRPr="0081146C">
        <w:t>about matters about which the examiner has examined the examinee.</w:t>
      </w:r>
    </w:p>
    <w:p w14:paraId="2AC3A1C3" w14:textId="77777777" w:rsidR="00824795" w:rsidRPr="0081146C" w:rsidRDefault="00824795" w:rsidP="00824795">
      <w:pPr>
        <w:pStyle w:val="subsection"/>
      </w:pPr>
      <w:r w:rsidRPr="0081146C">
        <w:tab/>
        <w:t>(2)</w:t>
      </w:r>
      <w:r w:rsidRPr="0081146C">
        <w:tab/>
        <w:t>If, in the examiner’s opinion, a person is trying to obstruct the examination by exercising rights under subsection (1), the examiner may require the person to stop addressing the examiner, or examining the examinee, as the case requires.</w:t>
      </w:r>
    </w:p>
    <w:p w14:paraId="2E2179CD" w14:textId="77777777" w:rsidR="00824795" w:rsidRPr="0081146C" w:rsidRDefault="00824795" w:rsidP="00824795">
      <w:pPr>
        <w:pStyle w:val="subsection"/>
      </w:pPr>
      <w:r w:rsidRPr="0081146C">
        <w:tab/>
        <w:t>(3)</w:t>
      </w:r>
      <w:r w:rsidRPr="0081146C">
        <w:tab/>
        <w:t>A person commits an offence of strict liability if the person refuses or fails to comply with a requirement made under subsection (2).</w:t>
      </w:r>
    </w:p>
    <w:p w14:paraId="554A7DA5" w14:textId="77777777" w:rsidR="00824795" w:rsidRPr="0081146C" w:rsidRDefault="00824795" w:rsidP="00824795">
      <w:pPr>
        <w:pStyle w:val="Penalty"/>
      </w:pPr>
      <w:r w:rsidRPr="0081146C">
        <w:t>Penalty:</w:t>
      </w:r>
      <w:r w:rsidRPr="0081146C">
        <w:tab/>
        <w:t>20 penalty units.</w:t>
      </w:r>
    </w:p>
    <w:p w14:paraId="25C30A6B" w14:textId="77777777" w:rsidR="00824795" w:rsidRPr="0081146C" w:rsidRDefault="00824795" w:rsidP="00824795">
      <w:pPr>
        <w:pStyle w:val="ActHead5"/>
      </w:pPr>
      <w:bookmarkStart w:id="541" w:name="_Toc176444468"/>
      <w:bookmarkStart w:id="542" w:name="_Toc184034089"/>
      <w:bookmarkStart w:id="543" w:name="_Toc185416005"/>
      <w:r w:rsidRPr="0081146C">
        <w:rPr>
          <w:rStyle w:val="CharSectno"/>
        </w:rPr>
        <w:t>172G</w:t>
      </w:r>
      <w:r w:rsidRPr="0081146C">
        <w:t xml:space="preserve">  Record of examination</w:t>
      </w:r>
      <w:bookmarkEnd w:id="541"/>
      <w:bookmarkEnd w:id="542"/>
      <w:bookmarkEnd w:id="543"/>
    </w:p>
    <w:p w14:paraId="46737ECA" w14:textId="77777777" w:rsidR="00824795" w:rsidRPr="0081146C" w:rsidRDefault="00824795" w:rsidP="00824795">
      <w:pPr>
        <w:pStyle w:val="subsection"/>
      </w:pPr>
      <w:r w:rsidRPr="0081146C">
        <w:tab/>
        <w:t>(1)</w:t>
      </w:r>
      <w:r w:rsidRPr="0081146C">
        <w:tab/>
        <w:t>The examiner may, and must if the examinee so requests, cause a record to be made of statements made at an examination under this Division.</w:t>
      </w:r>
    </w:p>
    <w:p w14:paraId="57D3F601" w14:textId="77777777" w:rsidR="00824795" w:rsidRPr="0081146C" w:rsidRDefault="00824795" w:rsidP="00824795">
      <w:pPr>
        <w:pStyle w:val="subsection"/>
      </w:pPr>
      <w:r w:rsidRPr="0081146C">
        <w:tab/>
        <w:t>(2)</w:t>
      </w:r>
      <w:r w:rsidRPr="0081146C">
        <w:tab/>
        <w:t>If a record made under subsection (1) is in writing or is reduced to writing:</w:t>
      </w:r>
    </w:p>
    <w:p w14:paraId="79917068" w14:textId="77777777" w:rsidR="00824795" w:rsidRPr="0081146C" w:rsidRDefault="00824795" w:rsidP="00824795">
      <w:pPr>
        <w:pStyle w:val="paragraph"/>
      </w:pPr>
      <w:r w:rsidRPr="0081146C">
        <w:tab/>
        <w:t>(a)</w:t>
      </w:r>
      <w:r w:rsidRPr="0081146C">
        <w:tab/>
        <w:t>the examiner may require the examinee to read it, or to have it read to the examinee, and may require the examinee to sign it; and</w:t>
      </w:r>
    </w:p>
    <w:p w14:paraId="5B924323" w14:textId="77777777" w:rsidR="00824795" w:rsidRPr="0081146C" w:rsidRDefault="00824795" w:rsidP="00824795">
      <w:pPr>
        <w:pStyle w:val="paragraph"/>
      </w:pPr>
      <w:r w:rsidRPr="0081146C">
        <w:tab/>
        <w:t>(b)</w:t>
      </w:r>
      <w:r w:rsidRPr="0081146C">
        <w:tab/>
        <w:t>the examiner must, if requested in writing by the examinee to give to the examinee a copy of the written record, comply with the request without charge but subject to such conditions (if any) as the examiner imposes.</w:t>
      </w:r>
    </w:p>
    <w:p w14:paraId="15266B36" w14:textId="77777777" w:rsidR="00824795" w:rsidRPr="0081146C" w:rsidRDefault="00824795" w:rsidP="00824795">
      <w:pPr>
        <w:pStyle w:val="subsection"/>
      </w:pPr>
      <w:r w:rsidRPr="0081146C">
        <w:tab/>
        <w:t>(3)</w:t>
      </w:r>
      <w:r w:rsidRPr="0081146C">
        <w:tab/>
        <w:t>A person commits an offence of strict liability if the person fails to comply with a requirement made under paragraph (2)(a).</w:t>
      </w:r>
    </w:p>
    <w:p w14:paraId="7DEBB3C1" w14:textId="77777777" w:rsidR="00824795" w:rsidRPr="0081146C" w:rsidRDefault="00824795" w:rsidP="00824795">
      <w:pPr>
        <w:pStyle w:val="Penalty"/>
      </w:pPr>
      <w:r w:rsidRPr="0081146C">
        <w:t>Penalty:</w:t>
      </w:r>
      <w:r w:rsidRPr="0081146C">
        <w:tab/>
        <w:t>3 months imprisonment.</w:t>
      </w:r>
    </w:p>
    <w:p w14:paraId="565BFBB5" w14:textId="77777777" w:rsidR="00824795" w:rsidRPr="0081146C" w:rsidRDefault="00824795" w:rsidP="00824795">
      <w:pPr>
        <w:pStyle w:val="ActHead5"/>
      </w:pPr>
      <w:bookmarkStart w:id="544" w:name="_Toc176444469"/>
      <w:bookmarkStart w:id="545" w:name="_Toc184034090"/>
      <w:bookmarkStart w:id="546" w:name="_Toc185416006"/>
      <w:r w:rsidRPr="0081146C">
        <w:rPr>
          <w:rStyle w:val="CharSectno"/>
        </w:rPr>
        <w:t>172H</w:t>
      </w:r>
      <w:r w:rsidRPr="0081146C">
        <w:t xml:space="preserve">  Giving to other persons copies of written record of examination</w:t>
      </w:r>
      <w:bookmarkEnd w:id="544"/>
      <w:bookmarkEnd w:id="545"/>
      <w:bookmarkEnd w:id="546"/>
    </w:p>
    <w:p w14:paraId="21D42DB1" w14:textId="77777777" w:rsidR="00824795" w:rsidRPr="0081146C" w:rsidRDefault="00824795" w:rsidP="00824795">
      <w:pPr>
        <w:pStyle w:val="subsection"/>
      </w:pPr>
      <w:r w:rsidRPr="0081146C">
        <w:tab/>
        <w:t>(1)</w:t>
      </w:r>
      <w:r w:rsidRPr="0081146C">
        <w:tab/>
        <w:t>The AUSTRAC CEO may give a copy of the whole or a part of a written record of an examination made under subsection 172G(1) to a person’s lawyer if the lawyer satisfies the AUSTRAC CEO that the person is carrying on, or is contemplating in good faith, a proceeding in respect of a matter to which the examination related.</w:t>
      </w:r>
    </w:p>
    <w:p w14:paraId="63E99818" w14:textId="77777777" w:rsidR="00824795" w:rsidRPr="0081146C" w:rsidRDefault="00824795" w:rsidP="00824795">
      <w:pPr>
        <w:pStyle w:val="subsection"/>
      </w:pPr>
      <w:r w:rsidRPr="0081146C">
        <w:tab/>
        <w:t>(2)</w:t>
      </w:r>
      <w:r w:rsidRPr="0081146C">
        <w:tab/>
        <w:t>A person commits an offence of strict liability if:</w:t>
      </w:r>
    </w:p>
    <w:p w14:paraId="137CC4C9" w14:textId="77777777" w:rsidR="00824795" w:rsidRPr="0081146C" w:rsidRDefault="00824795" w:rsidP="00824795">
      <w:pPr>
        <w:pStyle w:val="paragraph"/>
      </w:pPr>
      <w:r w:rsidRPr="0081146C">
        <w:tab/>
        <w:t>(a)</w:t>
      </w:r>
      <w:r w:rsidRPr="0081146C">
        <w:tab/>
        <w:t>the AUSTRAC CEO gives a copy of the whole or a part of a written record of an examination to a person under subsection (1); and</w:t>
      </w:r>
    </w:p>
    <w:p w14:paraId="3496145C" w14:textId="77777777" w:rsidR="00824795" w:rsidRPr="0081146C" w:rsidRDefault="00824795" w:rsidP="00824795">
      <w:pPr>
        <w:pStyle w:val="paragraph"/>
      </w:pPr>
      <w:r w:rsidRPr="0081146C">
        <w:tab/>
        <w:t>(b)</w:t>
      </w:r>
      <w:r w:rsidRPr="0081146C">
        <w:tab/>
        <w:t>the person, or any other person who has possession, custody or control of the copy or a copy of it:</w:t>
      </w:r>
    </w:p>
    <w:p w14:paraId="7C97CFE1" w14:textId="77777777" w:rsidR="00824795" w:rsidRPr="0081146C" w:rsidRDefault="00824795" w:rsidP="00824795">
      <w:pPr>
        <w:pStyle w:val="paragraphsub"/>
      </w:pPr>
      <w:r w:rsidRPr="0081146C">
        <w:tab/>
        <w:t>(i)</w:t>
      </w:r>
      <w:r w:rsidRPr="0081146C">
        <w:tab/>
        <w:t>uses the copy or a copy of it; or</w:t>
      </w:r>
    </w:p>
    <w:p w14:paraId="670EEF5C" w14:textId="77777777" w:rsidR="00824795" w:rsidRPr="0081146C" w:rsidRDefault="00824795" w:rsidP="00824795">
      <w:pPr>
        <w:pStyle w:val="paragraphsub"/>
      </w:pPr>
      <w:r w:rsidRPr="0081146C">
        <w:tab/>
        <w:t>(ii)</w:t>
      </w:r>
      <w:r w:rsidRPr="0081146C">
        <w:tab/>
        <w:t>publishes, or communicates to another person, the copy, a copy of it, or any part of the copy’s contents;</w:t>
      </w:r>
    </w:p>
    <w:p w14:paraId="430189BE" w14:textId="77777777" w:rsidR="00824795" w:rsidRPr="0081146C" w:rsidRDefault="00824795" w:rsidP="00824795">
      <w:pPr>
        <w:pStyle w:val="paragraph"/>
      </w:pPr>
      <w:r w:rsidRPr="0081146C">
        <w:tab/>
      </w:r>
      <w:r w:rsidRPr="0081146C">
        <w:tab/>
        <w:t>except in connection with preparing, beginning or carrying on, or in the course of, a proceeding.</w:t>
      </w:r>
    </w:p>
    <w:p w14:paraId="2D0E1863" w14:textId="77777777" w:rsidR="00824795" w:rsidRPr="0081146C" w:rsidRDefault="00824795" w:rsidP="00824795">
      <w:pPr>
        <w:pStyle w:val="Penalty"/>
      </w:pPr>
      <w:r w:rsidRPr="0081146C">
        <w:t>Penalty:</w:t>
      </w:r>
      <w:r w:rsidRPr="0081146C">
        <w:tab/>
        <w:t>30 penalty units.</w:t>
      </w:r>
    </w:p>
    <w:p w14:paraId="10CA6A0E" w14:textId="77777777" w:rsidR="00824795" w:rsidRPr="0081146C" w:rsidRDefault="00824795" w:rsidP="00824795">
      <w:pPr>
        <w:pStyle w:val="subsection"/>
      </w:pPr>
      <w:r w:rsidRPr="0081146C">
        <w:tab/>
        <w:t>(3)</w:t>
      </w:r>
      <w:r w:rsidRPr="0081146C">
        <w:tab/>
        <w:t>The AUSTRAC CEO may, subject to such conditions (if any) as it imposes, give to a person a copy of the whole or a part of a written record of the examination made under subsection 172G(1).</w:t>
      </w:r>
    </w:p>
    <w:p w14:paraId="405357A1" w14:textId="77777777" w:rsidR="00824795" w:rsidRPr="0081146C" w:rsidRDefault="00824795" w:rsidP="00824795">
      <w:pPr>
        <w:pStyle w:val="ActHead5"/>
      </w:pPr>
      <w:bookmarkStart w:id="547" w:name="_Toc176444470"/>
      <w:bookmarkStart w:id="548" w:name="_Toc184034091"/>
      <w:bookmarkStart w:id="549" w:name="_Toc185416007"/>
      <w:r w:rsidRPr="0081146C">
        <w:rPr>
          <w:rStyle w:val="CharSectno"/>
        </w:rPr>
        <w:t>172J</w:t>
      </w:r>
      <w:r w:rsidRPr="0081146C">
        <w:t xml:space="preserve">  Copies of record of examination given subject to conditions</w:t>
      </w:r>
      <w:bookmarkEnd w:id="547"/>
      <w:bookmarkEnd w:id="548"/>
      <w:bookmarkEnd w:id="549"/>
    </w:p>
    <w:p w14:paraId="58558C56" w14:textId="77777777" w:rsidR="00824795" w:rsidRPr="0081146C" w:rsidRDefault="00824795" w:rsidP="00824795">
      <w:pPr>
        <w:pStyle w:val="subsection"/>
        <w:keepNext/>
      </w:pPr>
      <w:r w:rsidRPr="0081146C">
        <w:tab/>
      </w:r>
      <w:r w:rsidRPr="0081146C">
        <w:tab/>
        <w:t xml:space="preserve">A person (the </w:t>
      </w:r>
      <w:r w:rsidRPr="0081146C">
        <w:rPr>
          <w:b/>
          <w:i/>
        </w:rPr>
        <w:t>first person</w:t>
      </w:r>
      <w:r w:rsidRPr="0081146C">
        <w:t>) commits an offence of strict liability if:</w:t>
      </w:r>
    </w:p>
    <w:p w14:paraId="64F598B4" w14:textId="77777777" w:rsidR="00824795" w:rsidRPr="0081146C" w:rsidRDefault="00824795" w:rsidP="00824795">
      <w:pPr>
        <w:pStyle w:val="paragraph"/>
      </w:pPr>
      <w:r w:rsidRPr="0081146C">
        <w:tab/>
        <w:t>(a)</w:t>
      </w:r>
      <w:r w:rsidRPr="0081146C">
        <w:tab/>
        <w:t>a copy of the whole or a part of a record is given to a person under subsection 172G(2) or 172H(3) subject to conditions; and</w:t>
      </w:r>
    </w:p>
    <w:p w14:paraId="3CF02CF3" w14:textId="77777777" w:rsidR="00824795" w:rsidRPr="0081146C" w:rsidRDefault="00824795" w:rsidP="00824795">
      <w:pPr>
        <w:pStyle w:val="paragraph"/>
      </w:pPr>
      <w:r w:rsidRPr="0081146C">
        <w:tab/>
        <w:t>(b)</w:t>
      </w:r>
      <w:r w:rsidRPr="0081146C">
        <w:tab/>
        <w:t>the first person:</w:t>
      </w:r>
    </w:p>
    <w:p w14:paraId="64F92DE8" w14:textId="77777777" w:rsidR="00824795" w:rsidRPr="0081146C" w:rsidRDefault="00824795" w:rsidP="00824795">
      <w:pPr>
        <w:pStyle w:val="paragraphsub"/>
      </w:pPr>
      <w:r w:rsidRPr="0081146C">
        <w:tab/>
        <w:t>(i)</w:t>
      </w:r>
      <w:r w:rsidRPr="0081146C">
        <w:tab/>
        <w:t>is the person referred to in paragraph (a); or</w:t>
      </w:r>
    </w:p>
    <w:p w14:paraId="46630FFF" w14:textId="77777777" w:rsidR="00824795" w:rsidRPr="0081146C" w:rsidRDefault="00824795" w:rsidP="00824795">
      <w:pPr>
        <w:pStyle w:val="paragraphsub"/>
      </w:pPr>
      <w:r w:rsidRPr="0081146C">
        <w:tab/>
        <w:t>(ii)</w:t>
      </w:r>
      <w:r w:rsidRPr="0081146C">
        <w:tab/>
        <w:t>has possession, custody or control of the copy or a copy of it; and</w:t>
      </w:r>
    </w:p>
    <w:p w14:paraId="616986FF" w14:textId="77777777" w:rsidR="00824795" w:rsidRPr="0081146C" w:rsidRDefault="00824795" w:rsidP="00824795">
      <w:pPr>
        <w:pStyle w:val="paragraph"/>
      </w:pPr>
      <w:r w:rsidRPr="0081146C">
        <w:tab/>
        <w:t>(c)</w:t>
      </w:r>
      <w:r w:rsidRPr="0081146C">
        <w:tab/>
        <w:t>the first person engages in conduct; and</w:t>
      </w:r>
    </w:p>
    <w:p w14:paraId="286CCAEA" w14:textId="77777777" w:rsidR="00824795" w:rsidRPr="0081146C" w:rsidRDefault="00824795" w:rsidP="00824795">
      <w:pPr>
        <w:pStyle w:val="paragraph"/>
      </w:pPr>
      <w:r w:rsidRPr="0081146C">
        <w:tab/>
        <w:t>(d)</w:t>
      </w:r>
      <w:r w:rsidRPr="0081146C">
        <w:tab/>
        <w:t>the first person’s conduct breaches the condition.</w:t>
      </w:r>
    </w:p>
    <w:p w14:paraId="70B14A85" w14:textId="77777777" w:rsidR="00824795" w:rsidRPr="0081146C" w:rsidRDefault="00824795" w:rsidP="00824795">
      <w:pPr>
        <w:pStyle w:val="Penalty"/>
      </w:pPr>
      <w:r w:rsidRPr="0081146C">
        <w:t>Penalty:</w:t>
      </w:r>
      <w:r w:rsidRPr="0081146C">
        <w:tab/>
        <w:t>30 penalty units.</w:t>
      </w:r>
    </w:p>
    <w:p w14:paraId="5C84D683" w14:textId="77777777" w:rsidR="00824795" w:rsidRPr="0081146C" w:rsidRDefault="00824795" w:rsidP="00824795">
      <w:pPr>
        <w:pStyle w:val="ActHead5"/>
      </w:pPr>
      <w:bookmarkStart w:id="550" w:name="_Toc176444471"/>
      <w:bookmarkStart w:id="551" w:name="_Toc184034092"/>
      <w:bookmarkStart w:id="552" w:name="_Toc185416008"/>
      <w:r w:rsidRPr="0081146C">
        <w:rPr>
          <w:rStyle w:val="CharSectno"/>
        </w:rPr>
        <w:t>172K</w:t>
      </w:r>
      <w:r w:rsidRPr="0081146C">
        <w:t xml:space="preserve">  Self</w:t>
      </w:r>
      <w:r w:rsidRPr="0081146C">
        <w:noBreakHyphen/>
        <w:t>incrimination</w:t>
      </w:r>
      <w:bookmarkEnd w:id="550"/>
      <w:bookmarkEnd w:id="551"/>
      <w:bookmarkEnd w:id="552"/>
    </w:p>
    <w:p w14:paraId="6F2645B7" w14:textId="77777777" w:rsidR="00824795" w:rsidRPr="0081146C" w:rsidRDefault="00824795" w:rsidP="00824795">
      <w:pPr>
        <w:pStyle w:val="subsection"/>
      </w:pPr>
      <w:r w:rsidRPr="0081146C">
        <w:tab/>
        <w:t>(1)</w:t>
      </w:r>
      <w:r w:rsidRPr="0081146C">
        <w:tab/>
        <w:t>For the purposes of this Division, it is not a reasonable excuse for an individual to refuse or fail:</w:t>
      </w:r>
    </w:p>
    <w:p w14:paraId="2A4D6D6D" w14:textId="77777777" w:rsidR="00824795" w:rsidRPr="0081146C" w:rsidRDefault="00824795" w:rsidP="00824795">
      <w:pPr>
        <w:pStyle w:val="paragraph"/>
      </w:pPr>
      <w:r w:rsidRPr="0081146C">
        <w:tab/>
        <w:t>(a)</w:t>
      </w:r>
      <w:r w:rsidRPr="0081146C">
        <w:tab/>
        <w:t>to answer a question; or</w:t>
      </w:r>
    </w:p>
    <w:p w14:paraId="776BB075" w14:textId="77777777" w:rsidR="00824795" w:rsidRPr="0081146C" w:rsidRDefault="00824795" w:rsidP="00824795">
      <w:pPr>
        <w:pStyle w:val="paragraph"/>
      </w:pPr>
      <w:r w:rsidRPr="0081146C">
        <w:tab/>
        <w:t>(b)</w:t>
      </w:r>
      <w:r w:rsidRPr="0081146C">
        <w:tab/>
        <w:t>to produce a document; or</w:t>
      </w:r>
    </w:p>
    <w:p w14:paraId="795D6BBE" w14:textId="77777777" w:rsidR="00824795" w:rsidRPr="0081146C" w:rsidRDefault="00824795" w:rsidP="00824795">
      <w:pPr>
        <w:pStyle w:val="paragraph"/>
      </w:pPr>
      <w:r w:rsidRPr="0081146C">
        <w:tab/>
        <w:t>(c)</w:t>
      </w:r>
      <w:r w:rsidRPr="0081146C">
        <w:tab/>
        <w:t>to sign a record;</w:t>
      </w:r>
    </w:p>
    <w:p w14:paraId="0FFB3FF4" w14:textId="77777777" w:rsidR="00824795" w:rsidRPr="0081146C" w:rsidRDefault="00824795" w:rsidP="00824795">
      <w:pPr>
        <w:pStyle w:val="subsection2"/>
      </w:pPr>
      <w:r w:rsidRPr="0081146C">
        <w:t>in accordance with a requirement made of the individual under this Division, on the ground that answering the question, producing the document or signing the record might tend to incriminate the individual or expose the individual to a penalty.</w:t>
      </w:r>
    </w:p>
    <w:p w14:paraId="34D124B8" w14:textId="77777777" w:rsidR="00824795" w:rsidRPr="0081146C" w:rsidRDefault="00824795" w:rsidP="00824795">
      <w:pPr>
        <w:pStyle w:val="subsection"/>
      </w:pPr>
      <w:r w:rsidRPr="0081146C">
        <w:tab/>
        <w:t>(2)</w:t>
      </w:r>
      <w:r w:rsidRPr="0081146C">
        <w:tab/>
        <w:t>Subsection (3) applies if:</w:t>
      </w:r>
    </w:p>
    <w:p w14:paraId="567A7FB5" w14:textId="77777777" w:rsidR="00824795" w:rsidRPr="0081146C" w:rsidRDefault="00824795" w:rsidP="00824795">
      <w:pPr>
        <w:pStyle w:val="paragraph"/>
      </w:pPr>
      <w:r w:rsidRPr="0081146C">
        <w:tab/>
        <w:t>(a)</w:t>
      </w:r>
      <w:r w:rsidRPr="0081146C">
        <w:tab/>
        <w:t>before making an oral statement in answer to a question, or signing a record, in accordance with a requirement made under this Division, the individual claims that the statement or the signing of the record (as the case may be) might tend to incriminate the individual or make the individual liable to a penalty; and</w:t>
      </w:r>
    </w:p>
    <w:p w14:paraId="34822CEE" w14:textId="77777777" w:rsidR="00824795" w:rsidRPr="0081146C" w:rsidRDefault="00824795" w:rsidP="00824795">
      <w:pPr>
        <w:pStyle w:val="paragraph"/>
      </w:pPr>
      <w:r w:rsidRPr="0081146C">
        <w:tab/>
        <w:t>(b)</w:t>
      </w:r>
      <w:r w:rsidRPr="0081146C">
        <w:tab/>
        <w:t>the statement or the signing of the record (as the case may be) might, in fact, tend to incriminate the individual or make the individual so liable.</w:t>
      </w:r>
    </w:p>
    <w:p w14:paraId="010268B4" w14:textId="77777777" w:rsidR="00824795" w:rsidRPr="0081146C" w:rsidRDefault="00824795" w:rsidP="00824795">
      <w:pPr>
        <w:pStyle w:val="subsection"/>
      </w:pPr>
      <w:r w:rsidRPr="0081146C">
        <w:tab/>
        <w:t>(3)</w:t>
      </w:r>
      <w:r w:rsidRPr="0081146C">
        <w:tab/>
        <w:t>The statement or the fact that the individual has signed the record (as the case may be) is not admissible in evidence against the individual in:</w:t>
      </w:r>
    </w:p>
    <w:p w14:paraId="54776462" w14:textId="77777777" w:rsidR="00824795" w:rsidRPr="0081146C" w:rsidRDefault="00824795" w:rsidP="00824795">
      <w:pPr>
        <w:pStyle w:val="paragraph"/>
      </w:pPr>
      <w:r w:rsidRPr="0081146C">
        <w:tab/>
        <w:t>(a)</w:t>
      </w:r>
      <w:r w:rsidRPr="0081146C">
        <w:tab/>
        <w:t>civil or criminal proceedings; or</w:t>
      </w:r>
    </w:p>
    <w:p w14:paraId="0352D6C7" w14:textId="77777777" w:rsidR="00824795" w:rsidRPr="0081146C" w:rsidRDefault="00824795" w:rsidP="00824795">
      <w:pPr>
        <w:pStyle w:val="paragraph"/>
      </w:pPr>
      <w:r w:rsidRPr="0081146C">
        <w:tab/>
        <w:t>(b)</w:t>
      </w:r>
      <w:r w:rsidRPr="0081146C">
        <w:tab/>
        <w:t>a proceeding for the imposition of a penalty;</w:t>
      </w:r>
    </w:p>
    <w:p w14:paraId="1C0640B3" w14:textId="77777777" w:rsidR="00824795" w:rsidRPr="0081146C" w:rsidRDefault="00824795" w:rsidP="00824795">
      <w:pPr>
        <w:pStyle w:val="subsection2"/>
      </w:pPr>
      <w:r w:rsidRPr="0081146C">
        <w:t>other than a proceeding in respect of:</w:t>
      </w:r>
    </w:p>
    <w:p w14:paraId="36ECD38B" w14:textId="77777777" w:rsidR="00824795" w:rsidRPr="0081146C" w:rsidRDefault="00824795" w:rsidP="00824795">
      <w:pPr>
        <w:pStyle w:val="paragraph"/>
      </w:pPr>
      <w:r w:rsidRPr="0081146C">
        <w:tab/>
        <w:t>(c)</w:t>
      </w:r>
      <w:r w:rsidRPr="0081146C">
        <w:tab/>
        <w:t>in the case of the making of a statement—the falsity of the statement; or</w:t>
      </w:r>
    </w:p>
    <w:p w14:paraId="367C5509" w14:textId="77777777" w:rsidR="00824795" w:rsidRPr="0081146C" w:rsidRDefault="00824795" w:rsidP="00824795">
      <w:pPr>
        <w:pStyle w:val="paragraph"/>
      </w:pPr>
      <w:r w:rsidRPr="0081146C">
        <w:tab/>
        <w:t>(d)</w:t>
      </w:r>
      <w:r w:rsidRPr="0081146C">
        <w:tab/>
        <w:t>in the case of the signing of a record—the falsity of any statement contained in the record.</w:t>
      </w:r>
    </w:p>
    <w:p w14:paraId="5AD7166E" w14:textId="77777777" w:rsidR="00824795" w:rsidRPr="0081146C" w:rsidRDefault="00824795" w:rsidP="00824795">
      <w:pPr>
        <w:pStyle w:val="notetext"/>
      </w:pPr>
      <w:r w:rsidRPr="0081146C">
        <w:t>Note:</w:t>
      </w:r>
      <w:r w:rsidRPr="0081146C">
        <w:tab/>
        <w:t>The law relating to legal professional privilege is not affected by this Act (see section 242).</w:t>
      </w:r>
    </w:p>
    <w:p w14:paraId="088463D7" w14:textId="77777777" w:rsidR="00824795" w:rsidRPr="0081146C" w:rsidRDefault="00824795" w:rsidP="00824795">
      <w:pPr>
        <w:pStyle w:val="ActHead4"/>
      </w:pPr>
      <w:bookmarkStart w:id="553" w:name="_Toc176444472"/>
      <w:bookmarkStart w:id="554" w:name="_Toc184034093"/>
      <w:bookmarkStart w:id="555" w:name="_Toc185416009"/>
      <w:r w:rsidRPr="0081146C">
        <w:rPr>
          <w:rStyle w:val="CharSubdNo"/>
        </w:rPr>
        <w:t>Subdivision B</w:t>
      </w:r>
      <w:r w:rsidRPr="0081146C">
        <w:t>—</w:t>
      </w:r>
      <w:r w:rsidRPr="0081146C">
        <w:rPr>
          <w:rStyle w:val="CharSubdText"/>
        </w:rPr>
        <w:t>Evidentiary use of certain material</w:t>
      </w:r>
      <w:bookmarkEnd w:id="553"/>
      <w:bookmarkEnd w:id="554"/>
      <w:bookmarkEnd w:id="555"/>
    </w:p>
    <w:p w14:paraId="59F6D578" w14:textId="77777777" w:rsidR="00824795" w:rsidRPr="0081146C" w:rsidRDefault="00824795" w:rsidP="00824795">
      <w:pPr>
        <w:pStyle w:val="ActHead5"/>
      </w:pPr>
      <w:bookmarkStart w:id="556" w:name="_Toc176444473"/>
      <w:bookmarkStart w:id="557" w:name="_Toc184034094"/>
      <w:bookmarkStart w:id="558" w:name="_Toc185416010"/>
      <w:r w:rsidRPr="0081146C">
        <w:rPr>
          <w:rStyle w:val="CharSectno"/>
        </w:rPr>
        <w:t>172L</w:t>
      </w:r>
      <w:r w:rsidRPr="0081146C">
        <w:t xml:space="preserve">  Statements made at an examination—proceedings against examinee</w:t>
      </w:r>
      <w:bookmarkEnd w:id="556"/>
      <w:bookmarkEnd w:id="557"/>
      <w:bookmarkEnd w:id="558"/>
    </w:p>
    <w:p w14:paraId="6D68366E" w14:textId="77777777" w:rsidR="00824795" w:rsidRPr="0081146C" w:rsidRDefault="00824795" w:rsidP="00824795">
      <w:pPr>
        <w:pStyle w:val="subsection"/>
      </w:pPr>
      <w:r w:rsidRPr="0081146C">
        <w:tab/>
        <w:t>(1)</w:t>
      </w:r>
      <w:r w:rsidRPr="0081146C">
        <w:tab/>
        <w:t>A statement that a person makes at an examination under this Division of the person is admissible in evidence against the person in a proceeding referred to in subsection (2) unless:</w:t>
      </w:r>
    </w:p>
    <w:p w14:paraId="51FD11FF" w14:textId="77777777" w:rsidR="00824795" w:rsidRPr="0081146C" w:rsidRDefault="00824795" w:rsidP="00824795">
      <w:pPr>
        <w:pStyle w:val="paragraph"/>
      </w:pPr>
      <w:r w:rsidRPr="0081146C">
        <w:tab/>
        <w:t>(a)</w:t>
      </w:r>
      <w:r w:rsidRPr="0081146C">
        <w:tab/>
        <w:t>because of subsection 172K(3), the statement is not admissible in evidence against the person in the proceeding; or</w:t>
      </w:r>
    </w:p>
    <w:p w14:paraId="74A83D2C" w14:textId="77777777" w:rsidR="00824795" w:rsidRPr="0081146C" w:rsidRDefault="00824795" w:rsidP="00824795">
      <w:pPr>
        <w:pStyle w:val="paragraph"/>
      </w:pPr>
      <w:r w:rsidRPr="0081146C">
        <w:tab/>
        <w:t>(b)</w:t>
      </w:r>
      <w:r w:rsidRPr="0081146C">
        <w:tab/>
        <w:t>the statement is not relevant to the proceeding and the person objects to the admission of evidence of the statement; or</w:t>
      </w:r>
    </w:p>
    <w:p w14:paraId="753FC382" w14:textId="77777777" w:rsidR="00824795" w:rsidRPr="0081146C" w:rsidRDefault="00824795" w:rsidP="00824795">
      <w:pPr>
        <w:pStyle w:val="paragraph"/>
      </w:pPr>
      <w:r w:rsidRPr="0081146C">
        <w:tab/>
        <w:t>(c)</w:t>
      </w:r>
      <w:r w:rsidRPr="0081146C">
        <w:tab/>
        <w:t>the statement is qualified or explained by another statement made at the examination, evidence of the other statement is not tendered in the proceeding, and the person objects to the admission of evidence of the first</w:t>
      </w:r>
      <w:r w:rsidRPr="0081146C">
        <w:noBreakHyphen/>
        <w:t>mentioned statement; or</w:t>
      </w:r>
    </w:p>
    <w:p w14:paraId="2A3C3C40" w14:textId="77777777" w:rsidR="00824795" w:rsidRPr="0081146C" w:rsidRDefault="00824795" w:rsidP="00824795">
      <w:pPr>
        <w:pStyle w:val="paragraph"/>
      </w:pPr>
      <w:r w:rsidRPr="0081146C">
        <w:tab/>
        <w:t>(d)</w:t>
      </w:r>
      <w:r w:rsidRPr="0081146C">
        <w:tab/>
        <w:t>the statement discloses matter in respect of which the person could claim legal professional privilege in the proceeding if this subsection did not apply in relation to the statement, and the person objects to the admission of evidence of the statement.</w:t>
      </w:r>
    </w:p>
    <w:p w14:paraId="63E03DFC" w14:textId="77777777" w:rsidR="00824795" w:rsidRPr="0081146C" w:rsidRDefault="00824795" w:rsidP="00824795">
      <w:pPr>
        <w:pStyle w:val="notetext"/>
      </w:pPr>
      <w:r w:rsidRPr="0081146C">
        <w:t>Note:</w:t>
      </w:r>
      <w:r w:rsidRPr="0081146C">
        <w:tab/>
        <w:t>The law relating to legal professional privilege is not affected by this Act (see section 242).</w:t>
      </w:r>
    </w:p>
    <w:p w14:paraId="2CB6EB7A" w14:textId="77777777" w:rsidR="00824795" w:rsidRPr="0081146C" w:rsidRDefault="00824795" w:rsidP="00824795">
      <w:pPr>
        <w:pStyle w:val="subsection"/>
      </w:pPr>
      <w:r w:rsidRPr="0081146C">
        <w:tab/>
        <w:t>(2)</w:t>
      </w:r>
      <w:r w:rsidRPr="0081146C">
        <w:tab/>
        <w:t>For the purposes of subsection (1), the proceedings are:</w:t>
      </w:r>
    </w:p>
    <w:p w14:paraId="007475A0" w14:textId="77777777" w:rsidR="00824795" w:rsidRPr="0081146C" w:rsidRDefault="00824795" w:rsidP="00824795">
      <w:pPr>
        <w:pStyle w:val="paragraph"/>
      </w:pPr>
      <w:r w:rsidRPr="0081146C">
        <w:tab/>
        <w:t>(a)</w:t>
      </w:r>
      <w:r w:rsidRPr="0081146C">
        <w:tab/>
        <w:t>a proceeding in a court; or</w:t>
      </w:r>
    </w:p>
    <w:p w14:paraId="0ED1277C" w14:textId="77777777" w:rsidR="00824795" w:rsidRPr="0081146C" w:rsidRDefault="00824795" w:rsidP="00824795">
      <w:pPr>
        <w:pStyle w:val="paragraph"/>
      </w:pPr>
      <w:r w:rsidRPr="0081146C">
        <w:tab/>
        <w:t>(b)</w:t>
      </w:r>
      <w:r w:rsidRPr="0081146C">
        <w:tab/>
        <w:t>a proceeding or hearing before, or an examination by or before, a tribunal in Australia or any other body, authority or person in Australia having power, by law or by consent of parties, to hear, receive or examine evidence;</w:t>
      </w:r>
    </w:p>
    <w:p w14:paraId="08E487E8" w14:textId="77777777" w:rsidR="00824795" w:rsidRPr="0081146C" w:rsidRDefault="00824795" w:rsidP="00824795">
      <w:pPr>
        <w:pStyle w:val="subsection2"/>
      </w:pPr>
      <w:r w:rsidRPr="0081146C">
        <w:t>whether the proceeding, hearing or examination is of a civil, administrative, criminal, disciplinary or other nature.</w:t>
      </w:r>
    </w:p>
    <w:p w14:paraId="423E95AD" w14:textId="77777777" w:rsidR="00824795" w:rsidRPr="0081146C" w:rsidRDefault="00824795" w:rsidP="00824795">
      <w:pPr>
        <w:pStyle w:val="subsection"/>
      </w:pPr>
      <w:r w:rsidRPr="0081146C">
        <w:tab/>
        <w:t>(3)</w:t>
      </w:r>
      <w:r w:rsidRPr="0081146C">
        <w:tab/>
        <w:t>Subsection (1) applies in relation to a proceeding against a person even if it is heard together with a proceeding against another person.</w:t>
      </w:r>
    </w:p>
    <w:p w14:paraId="7600ED7E" w14:textId="77777777" w:rsidR="00824795" w:rsidRPr="0081146C" w:rsidRDefault="00824795" w:rsidP="00824795">
      <w:pPr>
        <w:pStyle w:val="subsection"/>
      </w:pPr>
      <w:r w:rsidRPr="0081146C">
        <w:tab/>
        <w:t>(4)</w:t>
      </w:r>
      <w:r w:rsidRPr="0081146C">
        <w:tab/>
        <w:t>If a written record of an examination of a person is signed by the person under subsection 172G(2) or authenticated in any other manner specified in the AML/CTF Rules, the record is, in a proceeding, prima facie evidence of the statements it records, but nothing in this Division limits or affects the admissibility in the proceeding of other evidence of statements made at the examination.</w:t>
      </w:r>
    </w:p>
    <w:p w14:paraId="1CA3E2A0" w14:textId="77777777" w:rsidR="00824795" w:rsidRPr="0081146C" w:rsidRDefault="00824795" w:rsidP="00824795">
      <w:pPr>
        <w:pStyle w:val="ActHead5"/>
      </w:pPr>
      <w:bookmarkStart w:id="559" w:name="_Toc176444474"/>
      <w:bookmarkStart w:id="560" w:name="_Toc184034095"/>
      <w:bookmarkStart w:id="561" w:name="_Toc185416011"/>
      <w:r w:rsidRPr="0081146C">
        <w:rPr>
          <w:rStyle w:val="CharSectno"/>
        </w:rPr>
        <w:t>172M</w:t>
      </w:r>
      <w:r w:rsidRPr="0081146C">
        <w:t xml:space="preserve">  Statements made at an examination—other proceedings</w:t>
      </w:r>
      <w:bookmarkEnd w:id="559"/>
      <w:bookmarkEnd w:id="560"/>
      <w:bookmarkEnd w:id="561"/>
    </w:p>
    <w:p w14:paraId="5639E4AC" w14:textId="77777777" w:rsidR="00824795" w:rsidRPr="0081146C" w:rsidRDefault="00824795" w:rsidP="00824795">
      <w:pPr>
        <w:pStyle w:val="subsection"/>
      </w:pPr>
      <w:r w:rsidRPr="0081146C">
        <w:tab/>
        <w:t>(1)</w:t>
      </w:r>
      <w:r w:rsidRPr="0081146C">
        <w:tab/>
        <w:t xml:space="preserve">If direct evidence by a person (the </w:t>
      </w:r>
      <w:r w:rsidRPr="0081146C">
        <w:rPr>
          <w:b/>
          <w:i/>
        </w:rPr>
        <w:t>absent witness</w:t>
      </w:r>
      <w:r w:rsidRPr="0081146C">
        <w:t>) of a matter would be admissible in a proceeding referred to in subsection (2), a statement that the absent witness made at an examination under this Division of the absent witness and that tends to establish that matter is admissible in the proceeding as evidence of that matter:</w:t>
      </w:r>
    </w:p>
    <w:p w14:paraId="06067E71" w14:textId="77777777" w:rsidR="00824795" w:rsidRPr="0081146C" w:rsidRDefault="00824795" w:rsidP="00824795">
      <w:pPr>
        <w:pStyle w:val="paragraph"/>
      </w:pPr>
      <w:r w:rsidRPr="0081146C">
        <w:tab/>
        <w:t>(a)</w:t>
      </w:r>
      <w:r w:rsidRPr="0081146C">
        <w:tab/>
        <w:t>if it appears to the court or tribunal that:</w:t>
      </w:r>
    </w:p>
    <w:p w14:paraId="422D745E" w14:textId="77777777" w:rsidR="00824795" w:rsidRPr="0081146C" w:rsidRDefault="00824795" w:rsidP="00824795">
      <w:pPr>
        <w:pStyle w:val="paragraphsub"/>
      </w:pPr>
      <w:r w:rsidRPr="0081146C">
        <w:tab/>
        <w:t>(i)</w:t>
      </w:r>
      <w:r w:rsidRPr="0081146C">
        <w:tab/>
        <w:t>the absent witness is dead or is unfit, because of physical or mental incapacity, to attend as a witness; or</w:t>
      </w:r>
    </w:p>
    <w:p w14:paraId="64D60048" w14:textId="77777777" w:rsidR="00824795" w:rsidRPr="0081146C" w:rsidRDefault="00824795" w:rsidP="00824795">
      <w:pPr>
        <w:pStyle w:val="paragraphsub"/>
      </w:pPr>
      <w:r w:rsidRPr="0081146C">
        <w:tab/>
        <w:t>(ii)</w:t>
      </w:r>
      <w:r w:rsidRPr="0081146C">
        <w:tab/>
        <w:t>the absent witness is outside the State or Territory in which the proceeding is being heard and it is not reasonably practicable to secure the witness’ attendance; or</w:t>
      </w:r>
    </w:p>
    <w:p w14:paraId="00D5A499" w14:textId="77777777" w:rsidR="00824795" w:rsidRPr="0081146C" w:rsidRDefault="00824795" w:rsidP="00824795">
      <w:pPr>
        <w:pStyle w:val="paragraphsub"/>
      </w:pPr>
      <w:r w:rsidRPr="0081146C">
        <w:tab/>
        <w:t>(iii)</w:t>
      </w:r>
      <w:r w:rsidRPr="0081146C">
        <w:tab/>
        <w:t>all reasonable steps have been taken to find the absent witness but the witness cannot be found; or</w:t>
      </w:r>
    </w:p>
    <w:p w14:paraId="1F183E47" w14:textId="77777777" w:rsidR="00824795" w:rsidRPr="0081146C" w:rsidRDefault="00824795" w:rsidP="00824795">
      <w:pPr>
        <w:pStyle w:val="paragraph"/>
      </w:pPr>
      <w:r w:rsidRPr="0081146C">
        <w:tab/>
        <w:t>(b)</w:t>
      </w:r>
      <w:r w:rsidRPr="0081146C">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14:paraId="0019E238" w14:textId="77777777" w:rsidR="00824795" w:rsidRPr="0081146C" w:rsidRDefault="00824795" w:rsidP="00824795">
      <w:pPr>
        <w:pStyle w:val="subsection"/>
      </w:pPr>
      <w:r w:rsidRPr="0081146C">
        <w:tab/>
        <w:t>(2)</w:t>
      </w:r>
      <w:r w:rsidRPr="0081146C">
        <w:tab/>
        <w:t>For the purposes of subsection (1), the proceedings are:</w:t>
      </w:r>
    </w:p>
    <w:p w14:paraId="7C0834B3" w14:textId="77777777" w:rsidR="00824795" w:rsidRPr="0081146C" w:rsidRDefault="00824795" w:rsidP="00824795">
      <w:pPr>
        <w:pStyle w:val="paragraph"/>
      </w:pPr>
      <w:r w:rsidRPr="0081146C">
        <w:tab/>
        <w:t>(a)</w:t>
      </w:r>
      <w:r w:rsidRPr="0081146C">
        <w:tab/>
        <w:t>a proceeding in a court; or</w:t>
      </w:r>
    </w:p>
    <w:p w14:paraId="61DAC1FB" w14:textId="77777777" w:rsidR="00824795" w:rsidRPr="0081146C" w:rsidRDefault="00824795" w:rsidP="00824795">
      <w:pPr>
        <w:pStyle w:val="paragraph"/>
      </w:pPr>
      <w:r w:rsidRPr="0081146C">
        <w:tab/>
        <w:t>(b)</w:t>
      </w:r>
      <w:r w:rsidRPr="0081146C">
        <w:tab/>
        <w:t>a proceeding or hearing before, or an examination by or before, a tribunal in Australia or any other body, authority or person in Australia having power, by law or by consent of parties, to hear, receive or examine evidence;</w:t>
      </w:r>
    </w:p>
    <w:p w14:paraId="2050AF4C" w14:textId="77777777" w:rsidR="00824795" w:rsidRPr="0081146C" w:rsidRDefault="00824795" w:rsidP="00824795">
      <w:pPr>
        <w:pStyle w:val="subsection2"/>
      </w:pPr>
      <w:r w:rsidRPr="0081146C">
        <w:t>whether the proceeding, hearing or examination is of a civil, administrative, criminal, disciplinary or other nature.</w:t>
      </w:r>
    </w:p>
    <w:p w14:paraId="5261CCC7" w14:textId="77777777" w:rsidR="00824795" w:rsidRPr="0081146C" w:rsidRDefault="00824795" w:rsidP="00824795">
      <w:pPr>
        <w:pStyle w:val="ActHead5"/>
      </w:pPr>
      <w:bookmarkStart w:id="562" w:name="_Toc176444475"/>
      <w:bookmarkStart w:id="563" w:name="_Toc184034096"/>
      <w:bookmarkStart w:id="564" w:name="_Toc185416012"/>
      <w:r w:rsidRPr="0081146C">
        <w:rPr>
          <w:rStyle w:val="CharSectno"/>
        </w:rPr>
        <w:t>172N</w:t>
      </w:r>
      <w:r w:rsidRPr="0081146C">
        <w:t xml:space="preserve">  Weight of evidence admitted under section 172M</w:t>
      </w:r>
      <w:bookmarkEnd w:id="562"/>
      <w:bookmarkEnd w:id="563"/>
      <w:bookmarkEnd w:id="564"/>
    </w:p>
    <w:p w14:paraId="0CF9C3CA" w14:textId="77777777" w:rsidR="00824795" w:rsidRPr="0081146C" w:rsidRDefault="00824795" w:rsidP="00824795">
      <w:pPr>
        <w:pStyle w:val="subsection"/>
      </w:pPr>
      <w:r w:rsidRPr="0081146C">
        <w:tab/>
        <w:t>(1)</w:t>
      </w:r>
      <w:r w:rsidRPr="0081146C">
        <w:tab/>
        <w:t>This section applies if evidence of a statement made by a person at an examination under this Division of the person is admitted under section 172M in a proceeding.</w:t>
      </w:r>
    </w:p>
    <w:p w14:paraId="64D8D986" w14:textId="77777777" w:rsidR="00824795" w:rsidRPr="0081146C" w:rsidRDefault="00824795" w:rsidP="00824795">
      <w:pPr>
        <w:pStyle w:val="subsection"/>
      </w:pPr>
      <w:r w:rsidRPr="0081146C">
        <w:tab/>
        <w:t>(2)</w:t>
      </w:r>
      <w:r w:rsidRPr="0081146C">
        <w:tab/>
        <w:t>In deciding how much weight (if any) to give to the statement as evidence of a matter, regard is to be had to:</w:t>
      </w:r>
    </w:p>
    <w:p w14:paraId="6E1DCBE8" w14:textId="77777777" w:rsidR="00824795" w:rsidRPr="0081146C" w:rsidRDefault="00824795" w:rsidP="00824795">
      <w:pPr>
        <w:pStyle w:val="paragraph"/>
      </w:pPr>
      <w:r w:rsidRPr="0081146C">
        <w:tab/>
        <w:t>(a)</w:t>
      </w:r>
      <w:r w:rsidRPr="0081146C">
        <w:tab/>
        <w:t>how long after the matters to which it related the statement was made; and</w:t>
      </w:r>
    </w:p>
    <w:p w14:paraId="08248882" w14:textId="77777777" w:rsidR="00824795" w:rsidRPr="0081146C" w:rsidRDefault="00824795" w:rsidP="00824795">
      <w:pPr>
        <w:pStyle w:val="paragraph"/>
      </w:pPr>
      <w:r w:rsidRPr="0081146C">
        <w:tab/>
        <w:t>(b)</w:t>
      </w:r>
      <w:r w:rsidRPr="0081146C">
        <w:tab/>
        <w:t>any reason the person may have had for concealing or misrepresenting a material matter; and</w:t>
      </w:r>
    </w:p>
    <w:p w14:paraId="7C959533" w14:textId="77777777" w:rsidR="00824795" w:rsidRPr="0081146C" w:rsidRDefault="00824795" w:rsidP="00824795">
      <w:pPr>
        <w:pStyle w:val="paragraph"/>
      </w:pPr>
      <w:r w:rsidRPr="0081146C">
        <w:tab/>
        <w:t>(c)</w:t>
      </w:r>
      <w:r w:rsidRPr="0081146C">
        <w:tab/>
        <w:t>any other circumstances from which it is reasonable to draw an inference about how accurate the statement is.</w:t>
      </w:r>
    </w:p>
    <w:p w14:paraId="1189CBA7" w14:textId="77777777" w:rsidR="00824795" w:rsidRPr="0081146C" w:rsidRDefault="00824795" w:rsidP="00824795">
      <w:pPr>
        <w:pStyle w:val="subsection"/>
      </w:pPr>
      <w:r w:rsidRPr="0081146C">
        <w:tab/>
        <w:t>(3)</w:t>
      </w:r>
      <w:r w:rsidRPr="0081146C">
        <w:tab/>
        <w:t>If the person is not called as a witness in the proceeding:</w:t>
      </w:r>
    </w:p>
    <w:p w14:paraId="6E567E89" w14:textId="77777777" w:rsidR="00824795" w:rsidRPr="0081146C" w:rsidRDefault="00824795" w:rsidP="00824795">
      <w:pPr>
        <w:pStyle w:val="paragraph"/>
      </w:pPr>
      <w:r w:rsidRPr="0081146C">
        <w:tab/>
        <w:t>(a)</w:t>
      </w:r>
      <w:r w:rsidRPr="0081146C">
        <w:tab/>
        <w:t>evidence that would, if the person had been so called, have been admissible in the proceeding for the purpose of destroying or supporting the person’s credibility is so admissible; and</w:t>
      </w:r>
    </w:p>
    <w:p w14:paraId="074148CE" w14:textId="77777777" w:rsidR="00824795" w:rsidRPr="0081146C" w:rsidRDefault="00824795" w:rsidP="00824795">
      <w:pPr>
        <w:pStyle w:val="paragraph"/>
      </w:pPr>
      <w:r w:rsidRPr="0081146C">
        <w:tab/>
        <w:t>(b)</w:t>
      </w:r>
      <w:r w:rsidRPr="0081146C">
        <w:tab/>
        <w:t>evidence is admissible to show that the statement is inconsistent with another statement that the person has made at any time.</w:t>
      </w:r>
    </w:p>
    <w:p w14:paraId="6E92C433" w14:textId="77777777" w:rsidR="00824795" w:rsidRPr="0081146C" w:rsidRDefault="00824795" w:rsidP="00824795">
      <w:pPr>
        <w:pStyle w:val="subsection"/>
        <w:keepLines/>
      </w:pPr>
      <w:r w:rsidRPr="0081146C">
        <w:tab/>
        <w:t>(4)</w:t>
      </w:r>
      <w:r w:rsidRPr="0081146C">
        <w:tab/>
        <w:t>However, evidence of a matter is not admissible under this section if, had the person been called as a witness in the proceeding and denied the matter in cross</w:t>
      </w:r>
      <w:r w:rsidRPr="0081146C">
        <w:noBreakHyphen/>
        <w:t>examination, evidence of the matter would not have been admissible if adduced by the cross</w:t>
      </w:r>
      <w:r w:rsidRPr="0081146C">
        <w:noBreakHyphen/>
        <w:t>examining party.</w:t>
      </w:r>
    </w:p>
    <w:p w14:paraId="0F7DCFAB" w14:textId="77777777" w:rsidR="00824795" w:rsidRPr="0081146C" w:rsidRDefault="00824795" w:rsidP="00824795">
      <w:pPr>
        <w:pStyle w:val="ActHead5"/>
      </w:pPr>
      <w:bookmarkStart w:id="565" w:name="_Toc176444476"/>
      <w:bookmarkStart w:id="566" w:name="_Toc184034097"/>
      <w:bookmarkStart w:id="567" w:name="_Toc185416013"/>
      <w:r w:rsidRPr="0081146C">
        <w:rPr>
          <w:rStyle w:val="CharSectno"/>
        </w:rPr>
        <w:t>172P</w:t>
      </w:r>
      <w:r w:rsidRPr="0081146C">
        <w:t xml:space="preserve">  Objection to admission of statements made at examination</w:t>
      </w:r>
      <w:bookmarkEnd w:id="565"/>
      <w:bookmarkEnd w:id="566"/>
      <w:bookmarkEnd w:id="567"/>
    </w:p>
    <w:p w14:paraId="68947F67" w14:textId="77777777" w:rsidR="00824795" w:rsidRPr="0081146C" w:rsidRDefault="00824795" w:rsidP="00824795">
      <w:pPr>
        <w:pStyle w:val="subsection"/>
      </w:pPr>
      <w:r w:rsidRPr="0081146C">
        <w:tab/>
        <w:t>(1)</w:t>
      </w:r>
      <w:r w:rsidRPr="0081146C">
        <w:tab/>
        <w:t xml:space="preserve">A party (the </w:t>
      </w:r>
      <w:r w:rsidRPr="0081146C">
        <w:rPr>
          <w:b/>
          <w:i/>
        </w:rPr>
        <w:t>adducing party</w:t>
      </w:r>
      <w:r w:rsidRPr="0081146C">
        <w:t>) to a proceeding referred to in subsection (2) may, not less than 14 days before the first day of the hearing of the proceeding, give to another party to the proceeding written notice that the adducing party:</w:t>
      </w:r>
    </w:p>
    <w:p w14:paraId="23E879AC" w14:textId="77777777" w:rsidR="00824795" w:rsidRPr="0081146C" w:rsidRDefault="00824795" w:rsidP="00824795">
      <w:pPr>
        <w:pStyle w:val="paragraph"/>
      </w:pPr>
      <w:r w:rsidRPr="0081146C">
        <w:tab/>
        <w:t>(a)</w:t>
      </w:r>
      <w:r w:rsidRPr="0081146C">
        <w:tab/>
        <w:t>will apply to have admitted in evidence in the proceeding specified statements made at an examination under this Division; and</w:t>
      </w:r>
    </w:p>
    <w:p w14:paraId="28907A80" w14:textId="77777777" w:rsidR="00824795" w:rsidRPr="0081146C" w:rsidRDefault="00824795" w:rsidP="00824795">
      <w:pPr>
        <w:pStyle w:val="paragraph"/>
      </w:pPr>
      <w:r w:rsidRPr="0081146C">
        <w:tab/>
        <w:t>(b)</w:t>
      </w:r>
      <w:r w:rsidRPr="0081146C">
        <w:tab/>
        <w:t>for that purpose, will apply to have evidence of those statements admitted in the proceeding.</w:t>
      </w:r>
    </w:p>
    <w:p w14:paraId="49B8511F" w14:textId="77777777" w:rsidR="00824795" w:rsidRPr="0081146C" w:rsidRDefault="00824795" w:rsidP="00824795">
      <w:pPr>
        <w:pStyle w:val="subsection"/>
      </w:pPr>
      <w:r w:rsidRPr="0081146C">
        <w:tab/>
        <w:t>(2)</w:t>
      </w:r>
      <w:r w:rsidRPr="0081146C">
        <w:tab/>
        <w:t>For the purposes of subsection (1), the proceedings are:</w:t>
      </w:r>
    </w:p>
    <w:p w14:paraId="3F0CFD2F" w14:textId="77777777" w:rsidR="00824795" w:rsidRPr="0081146C" w:rsidRDefault="00824795" w:rsidP="00824795">
      <w:pPr>
        <w:pStyle w:val="paragraph"/>
      </w:pPr>
      <w:r w:rsidRPr="0081146C">
        <w:tab/>
        <w:t>(a)</w:t>
      </w:r>
      <w:r w:rsidRPr="0081146C">
        <w:tab/>
        <w:t>a proceeding in a court; or</w:t>
      </w:r>
    </w:p>
    <w:p w14:paraId="7059D5A1" w14:textId="77777777" w:rsidR="00824795" w:rsidRPr="0081146C" w:rsidRDefault="00824795" w:rsidP="00824795">
      <w:pPr>
        <w:pStyle w:val="paragraph"/>
      </w:pPr>
      <w:r w:rsidRPr="0081146C">
        <w:tab/>
        <w:t>(b)</w:t>
      </w:r>
      <w:r w:rsidRPr="0081146C">
        <w:tab/>
        <w:t>a proceeding or hearing before, or an examination by or before, a tribunal in Australia or any other body, authority or person in Australia having power, by law or by consent of parties, to hear, receive or examine evidence;</w:t>
      </w:r>
    </w:p>
    <w:p w14:paraId="41656E5C" w14:textId="77777777" w:rsidR="00824795" w:rsidRPr="0081146C" w:rsidRDefault="00824795" w:rsidP="00824795">
      <w:pPr>
        <w:pStyle w:val="subsection2"/>
      </w:pPr>
      <w:r w:rsidRPr="0081146C">
        <w:t>whether the proceeding, hearing or examination is of a civil, administrative, criminal, disciplinary or other nature.</w:t>
      </w:r>
    </w:p>
    <w:p w14:paraId="6B479669" w14:textId="77777777" w:rsidR="00824795" w:rsidRPr="0081146C" w:rsidRDefault="00824795" w:rsidP="00824795">
      <w:pPr>
        <w:pStyle w:val="subsection"/>
      </w:pPr>
      <w:r w:rsidRPr="0081146C">
        <w:tab/>
        <w:t>(3)</w:t>
      </w:r>
      <w:r w:rsidRPr="0081146C">
        <w:tab/>
        <w:t>A notice under subsection (1) must set out, or be accompanied by writing that sets out, the specified statements.</w:t>
      </w:r>
    </w:p>
    <w:p w14:paraId="346235ED" w14:textId="77777777" w:rsidR="00824795" w:rsidRPr="0081146C" w:rsidRDefault="00824795" w:rsidP="00824795">
      <w:pPr>
        <w:pStyle w:val="subsection"/>
      </w:pPr>
      <w:r w:rsidRPr="0081146C">
        <w:tab/>
        <w:t>(4)</w:t>
      </w:r>
      <w:r w:rsidRPr="0081146C">
        <w:tab/>
        <w:t>Within 14 days after a notice is given under subsection (1), the other party may give to the adducing party a written notice:</w:t>
      </w:r>
    </w:p>
    <w:p w14:paraId="36BBA1A3" w14:textId="77777777" w:rsidR="00824795" w:rsidRPr="0081146C" w:rsidRDefault="00824795" w:rsidP="00824795">
      <w:pPr>
        <w:pStyle w:val="paragraph"/>
      </w:pPr>
      <w:r w:rsidRPr="0081146C">
        <w:tab/>
        <w:t>(a)</w:t>
      </w:r>
      <w:r w:rsidRPr="0081146C">
        <w:tab/>
        <w:t>stating that the other party objects to specified statements being admitted in evidence in the proceeding; and</w:t>
      </w:r>
    </w:p>
    <w:p w14:paraId="5734AA34" w14:textId="77777777" w:rsidR="00824795" w:rsidRPr="0081146C" w:rsidRDefault="00824795" w:rsidP="00824795">
      <w:pPr>
        <w:pStyle w:val="paragraph"/>
      </w:pPr>
      <w:r w:rsidRPr="0081146C">
        <w:tab/>
        <w:t>(b)</w:t>
      </w:r>
      <w:r w:rsidRPr="0081146C">
        <w:tab/>
        <w:t>specifies, in relation to each of those statements, the grounds of objection.</w:t>
      </w:r>
    </w:p>
    <w:p w14:paraId="1A726B61" w14:textId="77777777" w:rsidR="00824795" w:rsidRPr="0081146C" w:rsidRDefault="00824795" w:rsidP="00824795">
      <w:pPr>
        <w:pStyle w:val="subsection"/>
      </w:pPr>
      <w:r w:rsidRPr="0081146C">
        <w:tab/>
        <w:t>(5)</w:t>
      </w:r>
      <w:r w:rsidRPr="0081146C">
        <w:tab/>
        <w:t>The period prescribed by subsection (4) may be extended by the court or tribunal or by agreement between the parties concerned.</w:t>
      </w:r>
    </w:p>
    <w:p w14:paraId="328E1D97" w14:textId="77777777" w:rsidR="00824795" w:rsidRPr="0081146C" w:rsidRDefault="00824795" w:rsidP="00824795">
      <w:pPr>
        <w:pStyle w:val="subsection"/>
      </w:pPr>
      <w:r w:rsidRPr="0081146C">
        <w:tab/>
        <w:t>(6)</w:t>
      </w:r>
      <w:r w:rsidRPr="0081146C">
        <w:tab/>
        <w:t>On receiving a notice given under subsection (4), the adducing party must give to the court or tribunal or other body referred to in paragraph (2)(b) (as the case requires) a copy of:</w:t>
      </w:r>
    </w:p>
    <w:p w14:paraId="1111E9EC" w14:textId="77777777" w:rsidR="00824795" w:rsidRPr="0081146C" w:rsidRDefault="00824795" w:rsidP="00824795">
      <w:pPr>
        <w:pStyle w:val="paragraph"/>
      </w:pPr>
      <w:r w:rsidRPr="0081146C">
        <w:tab/>
        <w:t>(a)</w:t>
      </w:r>
      <w:r w:rsidRPr="0081146C">
        <w:tab/>
        <w:t>the notice under subsection (1) and any writing that subsection (3) required to accompany that notice; and</w:t>
      </w:r>
    </w:p>
    <w:p w14:paraId="7747C1D2" w14:textId="77777777" w:rsidR="00824795" w:rsidRPr="0081146C" w:rsidRDefault="00824795" w:rsidP="00824795">
      <w:pPr>
        <w:pStyle w:val="paragraph"/>
      </w:pPr>
      <w:r w:rsidRPr="0081146C">
        <w:tab/>
        <w:t>(b)</w:t>
      </w:r>
      <w:r w:rsidRPr="0081146C">
        <w:tab/>
        <w:t>the notice under subsection (4).</w:t>
      </w:r>
    </w:p>
    <w:p w14:paraId="16E3933F" w14:textId="77777777" w:rsidR="00824795" w:rsidRPr="0081146C" w:rsidRDefault="00824795" w:rsidP="00824795">
      <w:pPr>
        <w:pStyle w:val="subsection"/>
      </w:pPr>
      <w:r w:rsidRPr="0081146C">
        <w:tab/>
        <w:t>(7)</w:t>
      </w:r>
      <w:r w:rsidRPr="0081146C">
        <w:tab/>
        <w:t>If subsection (6) is complied with, the court or tribunal or other body may either:</w:t>
      </w:r>
    </w:p>
    <w:p w14:paraId="33949867" w14:textId="77777777" w:rsidR="00824795" w:rsidRPr="0081146C" w:rsidRDefault="00824795" w:rsidP="00824795">
      <w:pPr>
        <w:pStyle w:val="paragraph"/>
      </w:pPr>
      <w:r w:rsidRPr="0081146C">
        <w:tab/>
        <w:t>(a)</w:t>
      </w:r>
      <w:r w:rsidRPr="0081146C">
        <w:tab/>
        <w:t>determine the objections as a preliminary point before the hearing of the proceeding begins; or</w:t>
      </w:r>
    </w:p>
    <w:p w14:paraId="66A769F4" w14:textId="77777777" w:rsidR="00824795" w:rsidRPr="0081146C" w:rsidRDefault="00824795" w:rsidP="00824795">
      <w:pPr>
        <w:pStyle w:val="paragraph"/>
      </w:pPr>
      <w:r w:rsidRPr="0081146C">
        <w:tab/>
        <w:t>(b)</w:t>
      </w:r>
      <w:r w:rsidRPr="0081146C">
        <w:tab/>
        <w:t>defer determination of the objections until the hearing.</w:t>
      </w:r>
    </w:p>
    <w:p w14:paraId="3F989ADE" w14:textId="77777777" w:rsidR="00824795" w:rsidRPr="0081146C" w:rsidRDefault="00824795" w:rsidP="00824795">
      <w:pPr>
        <w:pStyle w:val="subsection"/>
      </w:pPr>
      <w:r w:rsidRPr="0081146C">
        <w:tab/>
        <w:t>(8)</w:t>
      </w:r>
      <w:r w:rsidRPr="0081146C">
        <w:tab/>
        <w:t>If a notice has been given in accordance with subsections (1) and (3), the other party is not entitled to object at the hearing of the proceeding to a statement specified in the notice being admitted in evidence in the proceeding, unless:</w:t>
      </w:r>
    </w:p>
    <w:p w14:paraId="5C7A1FB2" w14:textId="77777777" w:rsidR="00824795" w:rsidRPr="0081146C" w:rsidRDefault="00824795" w:rsidP="00824795">
      <w:pPr>
        <w:pStyle w:val="paragraph"/>
      </w:pPr>
      <w:r w:rsidRPr="0081146C">
        <w:tab/>
        <w:t>(a)</w:t>
      </w:r>
      <w:r w:rsidRPr="0081146C">
        <w:tab/>
        <w:t>the other party has, in accordance with subsection (4), objected to the statement being so admitted; or</w:t>
      </w:r>
    </w:p>
    <w:p w14:paraId="541EE2D4" w14:textId="77777777" w:rsidR="00824795" w:rsidRPr="0081146C" w:rsidRDefault="00824795" w:rsidP="00824795">
      <w:pPr>
        <w:pStyle w:val="paragraph"/>
      </w:pPr>
      <w:r w:rsidRPr="0081146C">
        <w:tab/>
        <w:t>(b)</w:t>
      </w:r>
      <w:r w:rsidRPr="0081146C">
        <w:tab/>
        <w:t>the court or tribunal or other body gives the other party leave to object to the statement being so admitted.</w:t>
      </w:r>
    </w:p>
    <w:p w14:paraId="3FF0BFD3" w14:textId="77777777" w:rsidR="00824795" w:rsidRPr="0081146C" w:rsidRDefault="00824795" w:rsidP="00824795">
      <w:pPr>
        <w:pStyle w:val="ActHead5"/>
      </w:pPr>
      <w:bookmarkStart w:id="568" w:name="_Toc176444477"/>
      <w:bookmarkStart w:id="569" w:name="_Toc184034098"/>
      <w:bookmarkStart w:id="570" w:name="_Toc185416014"/>
      <w:r w:rsidRPr="0081146C">
        <w:rPr>
          <w:rStyle w:val="CharSectno"/>
        </w:rPr>
        <w:t>172Q</w:t>
      </w:r>
      <w:r w:rsidRPr="0081146C">
        <w:t xml:space="preserve">  Material otherwise admissible</w:t>
      </w:r>
      <w:bookmarkEnd w:id="568"/>
      <w:bookmarkEnd w:id="569"/>
      <w:bookmarkEnd w:id="570"/>
    </w:p>
    <w:p w14:paraId="11FBCF35" w14:textId="77777777" w:rsidR="00824795" w:rsidRPr="0081146C" w:rsidRDefault="00824795" w:rsidP="00824795">
      <w:pPr>
        <w:pStyle w:val="subsection"/>
      </w:pPr>
      <w:r w:rsidRPr="0081146C">
        <w:tab/>
      </w:r>
      <w:r w:rsidRPr="0081146C">
        <w:tab/>
        <w:t>Nothing in this Division renders evidence inadmissible in a proceeding in circumstances where it would have been admissible in that proceeding if this Division had not been enacted.</w:t>
      </w:r>
    </w:p>
    <w:p w14:paraId="0448D7A9" w14:textId="77777777" w:rsidR="00824795" w:rsidRPr="0081146C" w:rsidRDefault="00824795" w:rsidP="00824795">
      <w:pPr>
        <w:pStyle w:val="ActHead4"/>
      </w:pPr>
      <w:bookmarkStart w:id="571" w:name="_Toc176444478"/>
      <w:bookmarkStart w:id="572" w:name="_Toc184034099"/>
      <w:bookmarkStart w:id="573" w:name="_Toc185416015"/>
      <w:r w:rsidRPr="0081146C">
        <w:rPr>
          <w:rStyle w:val="CharSubdNo"/>
        </w:rPr>
        <w:t>Subdivision C</w:t>
      </w:r>
      <w:r w:rsidRPr="0081146C">
        <w:t>—</w:t>
      </w:r>
      <w:r w:rsidRPr="0081146C">
        <w:rPr>
          <w:rStyle w:val="CharSubdText"/>
        </w:rPr>
        <w:t>Miscellaneous</w:t>
      </w:r>
      <w:bookmarkEnd w:id="571"/>
      <w:bookmarkEnd w:id="572"/>
      <w:bookmarkEnd w:id="573"/>
    </w:p>
    <w:p w14:paraId="798612BB" w14:textId="77777777" w:rsidR="00824795" w:rsidRPr="0081146C" w:rsidRDefault="00824795" w:rsidP="00824795">
      <w:pPr>
        <w:pStyle w:val="ActHead5"/>
      </w:pPr>
      <w:bookmarkStart w:id="574" w:name="_Toc176444479"/>
      <w:bookmarkStart w:id="575" w:name="_Toc184034100"/>
      <w:bookmarkStart w:id="576" w:name="_Toc185416016"/>
      <w:r w:rsidRPr="0081146C">
        <w:rPr>
          <w:rStyle w:val="CharSectno"/>
        </w:rPr>
        <w:t>172R</w:t>
      </w:r>
      <w:r w:rsidRPr="0081146C">
        <w:t xml:space="preserve">  Application of Crimes Act and Evidence Act</w:t>
      </w:r>
      <w:bookmarkEnd w:id="574"/>
      <w:bookmarkEnd w:id="575"/>
      <w:bookmarkEnd w:id="576"/>
    </w:p>
    <w:p w14:paraId="278993CF" w14:textId="77777777" w:rsidR="00824795" w:rsidRPr="0081146C" w:rsidRDefault="00824795" w:rsidP="00824795">
      <w:pPr>
        <w:pStyle w:val="subsection"/>
      </w:pPr>
      <w:r w:rsidRPr="0081146C">
        <w:tab/>
        <w:t>(1)</w:t>
      </w:r>
      <w:r w:rsidRPr="0081146C">
        <w:tab/>
        <w:t xml:space="preserve">For the purposes of Part III of the </w:t>
      </w:r>
      <w:r w:rsidRPr="0081146C">
        <w:rPr>
          <w:i/>
        </w:rPr>
        <w:t>Crimes Act 1914</w:t>
      </w:r>
      <w:r w:rsidRPr="0081146C">
        <w:t>, an examination under this Division is a judicial proceeding.</w:t>
      </w:r>
    </w:p>
    <w:p w14:paraId="63F83A0C" w14:textId="77777777" w:rsidR="00824795" w:rsidRPr="0081146C" w:rsidRDefault="00824795" w:rsidP="00824795">
      <w:pPr>
        <w:pStyle w:val="subsection"/>
      </w:pPr>
      <w:r w:rsidRPr="0081146C">
        <w:tab/>
        <w:t>(2)</w:t>
      </w:r>
      <w:r w:rsidRPr="0081146C">
        <w:tab/>
        <w:t xml:space="preserve">Part 2.2, sections 69, 70, 71 and 147 and Division 2 of Part 4.6 of the </w:t>
      </w:r>
      <w:r w:rsidRPr="0081146C">
        <w:rPr>
          <w:i/>
        </w:rPr>
        <w:t>Evidence Act 1995</w:t>
      </w:r>
      <w:r w:rsidRPr="0081146C">
        <w:t xml:space="preserve"> apply to an examination under this Division in the same way that they apply to a proceeding to which that Act applies under section 4 of that Act.</w:t>
      </w:r>
    </w:p>
    <w:p w14:paraId="2FB2DDEE" w14:textId="77777777" w:rsidR="00035544" w:rsidRPr="0081146C" w:rsidRDefault="00CA78AA" w:rsidP="00AE2DA2">
      <w:pPr>
        <w:pStyle w:val="ActHead2"/>
        <w:pageBreakBefore/>
      </w:pPr>
      <w:bookmarkStart w:id="577" w:name="_Toc185416017"/>
      <w:r w:rsidRPr="0081146C">
        <w:rPr>
          <w:rStyle w:val="CharPartNo"/>
        </w:rPr>
        <w:t>Part 1</w:t>
      </w:r>
      <w:r w:rsidR="00035544" w:rsidRPr="0081146C">
        <w:rPr>
          <w:rStyle w:val="CharPartNo"/>
        </w:rPr>
        <w:t>5</w:t>
      </w:r>
      <w:r w:rsidR="00035544" w:rsidRPr="0081146C">
        <w:t>—</w:t>
      </w:r>
      <w:r w:rsidR="00035544" w:rsidRPr="0081146C">
        <w:rPr>
          <w:rStyle w:val="CharPartText"/>
        </w:rPr>
        <w:t>Enforcement</w:t>
      </w:r>
      <w:bookmarkEnd w:id="577"/>
    </w:p>
    <w:p w14:paraId="7BF8ADC0" w14:textId="77777777" w:rsidR="00035544" w:rsidRPr="0081146C" w:rsidRDefault="00CA78AA" w:rsidP="00035544">
      <w:pPr>
        <w:pStyle w:val="ActHead3"/>
      </w:pPr>
      <w:bookmarkStart w:id="578" w:name="_Toc185416018"/>
      <w:r w:rsidRPr="0081146C">
        <w:rPr>
          <w:rStyle w:val="CharDivNo"/>
        </w:rPr>
        <w:t>Division 1</w:t>
      </w:r>
      <w:r w:rsidR="00035544" w:rsidRPr="0081146C">
        <w:t>—</w:t>
      </w:r>
      <w:r w:rsidR="00035544" w:rsidRPr="0081146C">
        <w:rPr>
          <w:rStyle w:val="CharDivText"/>
        </w:rPr>
        <w:t>Introduction</w:t>
      </w:r>
      <w:bookmarkEnd w:id="578"/>
    </w:p>
    <w:p w14:paraId="0E2EAB18" w14:textId="77777777" w:rsidR="00035544" w:rsidRPr="0081146C" w:rsidRDefault="00035544" w:rsidP="00035544">
      <w:pPr>
        <w:pStyle w:val="ActHead5"/>
      </w:pPr>
      <w:bookmarkStart w:id="579" w:name="_Toc185416019"/>
      <w:r w:rsidRPr="0081146C">
        <w:rPr>
          <w:rStyle w:val="CharSectno"/>
        </w:rPr>
        <w:t>173</w:t>
      </w:r>
      <w:r w:rsidRPr="0081146C">
        <w:t xml:space="preserve">  Simplified outline</w:t>
      </w:r>
      <w:bookmarkEnd w:id="579"/>
    </w:p>
    <w:p w14:paraId="2F667370" w14:textId="77777777" w:rsidR="00035544" w:rsidRPr="0081146C" w:rsidRDefault="00035544" w:rsidP="00035544">
      <w:pPr>
        <w:pStyle w:val="subsection"/>
      </w:pPr>
      <w:r w:rsidRPr="0081146C">
        <w:tab/>
      </w:r>
      <w:r w:rsidRPr="0081146C">
        <w:tab/>
        <w:t>The following is a simplified outline of this Part:</w:t>
      </w:r>
    </w:p>
    <w:p w14:paraId="0867609D" w14:textId="77777777" w:rsidR="00035544" w:rsidRPr="0081146C" w:rsidRDefault="00035544" w:rsidP="00035544">
      <w:pPr>
        <w:pStyle w:val="BoxList"/>
      </w:pPr>
      <w:r w:rsidRPr="0081146C">
        <w:t>•</w:t>
      </w:r>
      <w:r w:rsidRPr="0081146C">
        <w:tab/>
        <w:t>Pecuniary penalties are payable for contraventions of civil penalty provisions.</w:t>
      </w:r>
    </w:p>
    <w:p w14:paraId="00F2211C" w14:textId="77777777" w:rsidR="00035544" w:rsidRPr="0081146C" w:rsidRDefault="00035544" w:rsidP="00035544">
      <w:pPr>
        <w:pStyle w:val="BoxList"/>
      </w:pPr>
      <w:r w:rsidRPr="0081146C">
        <w:t>•</w:t>
      </w:r>
      <w:r w:rsidRPr="0081146C">
        <w:tab/>
        <w:t>Authorised officers, customs officers and police officers may issue infringement notices for unreported cross</w:t>
      </w:r>
      <w:r w:rsidR="003B7E15" w:rsidRPr="0081146C">
        <w:noBreakHyphen/>
      </w:r>
      <w:r w:rsidRPr="0081146C">
        <w:t xml:space="preserve">border movements of </w:t>
      </w:r>
      <w:r w:rsidR="000639B5" w:rsidRPr="0081146C">
        <w:t>monetary instruments</w:t>
      </w:r>
      <w:r w:rsidRPr="0081146C">
        <w:t>.</w:t>
      </w:r>
    </w:p>
    <w:p w14:paraId="63ECD9E1" w14:textId="77777777" w:rsidR="00035544" w:rsidRPr="0081146C" w:rsidRDefault="00035544" w:rsidP="00035544">
      <w:pPr>
        <w:pStyle w:val="BoxList"/>
      </w:pPr>
      <w:r w:rsidRPr="0081146C">
        <w:t>•</w:t>
      </w:r>
      <w:r w:rsidRPr="0081146C">
        <w:tab/>
        <w:t>The AUSTRAC CEO is to monitor compliance by reporting entities with their obligations under this Act, the regulations and the AML/CTF Rules.</w:t>
      </w:r>
    </w:p>
    <w:p w14:paraId="106F7B1D" w14:textId="77777777" w:rsidR="00035544" w:rsidRPr="0081146C" w:rsidRDefault="00035544" w:rsidP="00035544">
      <w:pPr>
        <w:pStyle w:val="BoxList"/>
      </w:pPr>
      <w:r w:rsidRPr="0081146C">
        <w:t>•</w:t>
      </w:r>
      <w:r w:rsidRPr="0081146C">
        <w:tab/>
        <w:t>The AUSTRAC CEO may give a remedial direction to a reporting entity that has contravened a civil penalty provision.</w:t>
      </w:r>
    </w:p>
    <w:p w14:paraId="1FD2B578" w14:textId="77777777" w:rsidR="00035544" w:rsidRPr="0081146C" w:rsidRDefault="00035544" w:rsidP="00035544">
      <w:pPr>
        <w:pStyle w:val="BoxList"/>
      </w:pPr>
      <w:r w:rsidRPr="0081146C">
        <w:t>•</w:t>
      </w:r>
      <w:r w:rsidRPr="0081146C">
        <w:tab/>
        <w:t>The Federal Court may grant injunctions in relation to contraventions of civil penalty provisions.</w:t>
      </w:r>
    </w:p>
    <w:p w14:paraId="71887D54" w14:textId="77777777" w:rsidR="00035544" w:rsidRPr="0081146C" w:rsidRDefault="00035544" w:rsidP="00035544">
      <w:pPr>
        <w:pStyle w:val="BoxList"/>
      </w:pPr>
      <w:r w:rsidRPr="0081146C">
        <w:t>•</w:t>
      </w:r>
      <w:r w:rsidRPr="0081146C">
        <w:tab/>
        <w:t>The AUSTRAC CEO may accept enforceable undertakings.</w:t>
      </w:r>
    </w:p>
    <w:p w14:paraId="1C3CFD53" w14:textId="77777777" w:rsidR="00035544" w:rsidRPr="0081146C" w:rsidRDefault="00035544" w:rsidP="00035544">
      <w:pPr>
        <w:pStyle w:val="BoxList"/>
      </w:pPr>
      <w:r w:rsidRPr="0081146C">
        <w:t>•</w:t>
      </w:r>
      <w:r w:rsidRPr="0081146C">
        <w:tab/>
        <w:t>Customs officers and police officers may exercise powers of questioning, search and arrest in connection with a cross</w:t>
      </w:r>
      <w:r w:rsidR="003B7E15" w:rsidRPr="0081146C">
        <w:noBreakHyphen/>
      </w:r>
      <w:r w:rsidRPr="0081146C">
        <w:t xml:space="preserve">border movement of </w:t>
      </w:r>
      <w:r w:rsidR="000639B5" w:rsidRPr="0081146C">
        <w:t>monetary instruments</w:t>
      </w:r>
      <w:r w:rsidRPr="0081146C">
        <w:t>.</w:t>
      </w:r>
    </w:p>
    <w:p w14:paraId="6ACF0BBA" w14:textId="77777777" w:rsidR="00035544" w:rsidRPr="0081146C" w:rsidRDefault="00CA78AA" w:rsidP="00AE2DA2">
      <w:pPr>
        <w:pStyle w:val="ActHead3"/>
        <w:pageBreakBefore/>
      </w:pPr>
      <w:bookmarkStart w:id="580" w:name="_Toc185416020"/>
      <w:r w:rsidRPr="0081146C">
        <w:rPr>
          <w:rStyle w:val="CharDivNo"/>
        </w:rPr>
        <w:t>Division 2</w:t>
      </w:r>
      <w:r w:rsidR="00035544" w:rsidRPr="0081146C">
        <w:t>—</w:t>
      </w:r>
      <w:r w:rsidR="00035544" w:rsidRPr="0081146C">
        <w:rPr>
          <w:rStyle w:val="CharDivText"/>
        </w:rPr>
        <w:t>Civil penalties</w:t>
      </w:r>
      <w:bookmarkEnd w:id="580"/>
    </w:p>
    <w:p w14:paraId="2401CFB7" w14:textId="77777777" w:rsidR="00035544" w:rsidRPr="0081146C" w:rsidRDefault="00035544" w:rsidP="00035544">
      <w:pPr>
        <w:pStyle w:val="ActHead5"/>
      </w:pPr>
      <w:bookmarkStart w:id="581" w:name="_Toc185416021"/>
      <w:r w:rsidRPr="0081146C">
        <w:rPr>
          <w:rStyle w:val="CharSectno"/>
        </w:rPr>
        <w:t>174</w:t>
      </w:r>
      <w:r w:rsidRPr="0081146C">
        <w:t xml:space="preserve">  Ancillary contravention of civil penalty provision</w:t>
      </w:r>
      <w:bookmarkEnd w:id="581"/>
    </w:p>
    <w:p w14:paraId="748A5DBE" w14:textId="77777777" w:rsidR="00035544" w:rsidRPr="0081146C" w:rsidRDefault="00035544" w:rsidP="00035544">
      <w:pPr>
        <w:pStyle w:val="subsection"/>
      </w:pPr>
      <w:r w:rsidRPr="0081146C">
        <w:tab/>
        <w:t>(1)</w:t>
      </w:r>
      <w:r w:rsidRPr="0081146C">
        <w:tab/>
        <w:t>A person must not:</w:t>
      </w:r>
    </w:p>
    <w:p w14:paraId="7B3B400D" w14:textId="77777777" w:rsidR="00035544" w:rsidRPr="0081146C" w:rsidRDefault="00035544" w:rsidP="00035544">
      <w:pPr>
        <w:pStyle w:val="paragraph"/>
      </w:pPr>
      <w:r w:rsidRPr="0081146C">
        <w:tab/>
        <w:t>(a)</w:t>
      </w:r>
      <w:r w:rsidRPr="0081146C">
        <w:tab/>
        <w:t>attempt to contravene a civil penalty provision (other than this subsection); or</w:t>
      </w:r>
    </w:p>
    <w:p w14:paraId="2B1520A5" w14:textId="77777777" w:rsidR="00035544" w:rsidRPr="0081146C" w:rsidRDefault="00035544" w:rsidP="00035544">
      <w:pPr>
        <w:pStyle w:val="paragraph"/>
      </w:pPr>
      <w:r w:rsidRPr="0081146C">
        <w:tab/>
        <w:t>(b)</w:t>
      </w:r>
      <w:r w:rsidRPr="0081146C">
        <w:tab/>
        <w:t>aid, abet, counsel or procure a contravention of a civil penalty provision (other than this subsection); or</w:t>
      </w:r>
    </w:p>
    <w:p w14:paraId="64921F66" w14:textId="77777777" w:rsidR="00035544" w:rsidRPr="0081146C" w:rsidRDefault="00035544" w:rsidP="00035544">
      <w:pPr>
        <w:pStyle w:val="paragraph"/>
      </w:pPr>
      <w:r w:rsidRPr="0081146C">
        <w:tab/>
        <w:t>(c)</w:t>
      </w:r>
      <w:r w:rsidRPr="0081146C">
        <w:tab/>
        <w:t>induce, whether by threats or promises or otherwise, a contravention of a civil penalty provision (other than this subsection); or</w:t>
      </w:r>
    </w:p>
    <w:p w14:paraId="54CB7481" w14:textId="77777777" w:rsidR="00035544" w:rsidRPr="0081146C" w:rsidRDefault="00035544" w:rsidP="00035544">
      <w:pPr>
        <w:pStyle w:val="paragraph"/>
      </w:pPr>
      <w:r w:rsidRPr="0081146C">
        <w:tab/>
        <w:t>(d)</w:t>
      </w:r>
      <w:r w:rsidRPr="0081146C">
        <w:tab/>
        <w:t>be in any way, directly or indirectly, knowingly concerned in, or party to, a contravention of a civil penalty provision (other than this subsection); or</w:t>
      </w:r>
    </w:p>
    <w:p w14:paraId="1C415AA6" w14:textId="77777777" w:rsidR="00035544" w:rsidRPr="0081146C" w:rsidRDefault="00035544" w:rsidP="00035544">
      <w:pPr>
        <w:pStyle w:val="paragraph"/>
      </w:pPr>
      <w:r w:rsidRPr="0081146C">
        <w:tab/>
        <w:t>(e)</w:t>
      </w:r>
      <w:r w:rsidRPr="0081146C">
        <w:tab/>
        <w:t>conspire with others to effect a contravention of a civil penalty provision (other than this subsection).</w:t>
      </w:r>
    </w:p>
    <w:p w14:paraId="123F475B" w14:textId="77777777" w:rsidR="00035544" w:rsidRPr="0081146C" w:rsidRDefault="00035544" w:rsidP="00035544">
      <w:pPr>
        <w:pStyle w:val="SubsectionHead"/>
      </w:pPr>
      <w:r w:rsidRPr="0081146C">
        <w:t>Civil penalty</w:t>
      </w:r>
    </w:p>
    <w:p w14:paraId="20A1389D" w14:textId="77777777" w:rsidR="00035544" w:rsidRPr="0081146C" w:rsidRDefault="00035544" w:rsidP="00035544">
      <w:pPr>
        <w:pStyle w:val="subsection"/>
      </w:pPr>
      <w:r w:rsidRPr="0081146C">
        <w:tab/>
        <w:t>(2)</w:t>
      </w:r>
      <w:r w:rsidRPr="0081146C">
        <w:tab/>
      </w:r>
      <w:r w:rsidR="004F64A4" w:rsidRPr="0081146C">
        <w:t>Subsection (</w:t>
      </w:r>
      <w:r w:rsidRPr="0081146C">
        <w:t>1) is a civil penalty provision.</w:t>
      </w:r>
    </w:p>
    <w:p w14:paraId="6405AE9B" w14:textId="77777777" w:rsidR="00035544" w:rsidRPr="0081146C" w:rsidRDefault="00035544" w:rsidP="00035544">
      <w:pPr>
        <w:pStyle w:val="ActHead5"/>
      </w:pPr>
      <w:bookmarkStart w:id="582" w:name="_Toc185416022"/>
      <w:r w:rsidRPr="0081146C">
        <w:rPr>
          <w:rStyle w:val="CharSectno"/>
        </w:rPr>
        <w:t>175</w:t>
      </w:r>
      <w:r w:rsidRPr="0081146C">
        <w:t xml:space="preserve">  Civil penalty orders</w:t>
      </w:r>
      <w:bookmarkEnd w:id="582"/>
    </w:p>
    <w:p w14:paraId="49086CC4" w14:textId="77777777" w:rsidR="00035544" w:rsidRPr="0081146C" w:rsidRDefault="00035544" w:rsidP="00035544">
      <w:pPr>
        <w:pStyle w:val="subsection"/>
      </w:pPr>
      <w:r w:rsidRPr="0081146C">
        <w:tab/>
        <w:t>(1)</w:t>
      </w:r>
      <w:r w:rsidRPr="0081146C">
        <w:tab/>
        <w:t>If the Federal Court is satisfied that a person has contravened a civil penalty provision, the Federal Court may order the person to pay the Commonwealth a pecuniary penalty.</w:t>
      </w:r>
    </w:p>
    <w:p w14:paraId="634169BA" w14:textId="77777777" w:rsidR="00035544" w:rsidRPr="0081146C" w:rsidRDefault="00035544" w:rsidP="00035544">
      <w:pPr>
        <w:pStyle w:val="subsection"/>
      </w:pPr>
      <w:r w:rsidRPr="0081146C">
        <w:tab/>
        <w:t>(2)</w:t>
      </w:r>
      <w:r w:rsidRPr="0081146C">
        <w:tab/>
        <w:t xml:space="preserve">An order under </w:t>
      </w:r>
      <w:r w:rsidR="004F64A4" w:rsidRPr="0081146C">
        <w:t>subsection (</w:t>
      </w:r>
      <w:r w:rsidRPr="0081146C">
        <w:t xml:space="preserve">1) is to be known as a </w:t>
      </w:r>
      <w:r w:rsidRPr="0081146C">
        <w:rPr>
          <w:b/>
          <w:i/>
        </w:rPr>
        <w:t>civil penalty order</w:t>
      </w:r>
      <w:r w:rsidRPr="0081146C">
        <w:t>.</w:t>
      </w:r>
    </w:p>
    <w:p w14:paraId="5F81EC32" w14:textId="77777777" w:rsidR="00035544" w:rsidRPr="0081146C" w:rsidRDefault="00035544" w:rsidP="00035544">
      <w:pPr>
        <w:pStyle w:val="SubsectionHead"/>
      </w:pPr>
      <w:r w:rsidRPr="0081146C">
        <w:t>Determining amount of pecuniary penalty</w:t>
      </w:r>
    </w:p>
    <w:p w14:paraId="164F1C06" w14:textId="77777777" w:rsidR="00035544" w:rsidRPr="0081146C" w:rsidRDefault="00035544" w:rsidP="00035544">
      <w:pPr>
        <w:pStyle w:val="subsection"/>
      </w:pPr>
      <w:r w:rsidRPr="0081146C">
        <w:tab/>
        <w:t>(3)</w:t>
      </w:r>
      <w:r w:rsidRPr="0081146C">
        <w:tab/>
        <w:t>In determining the pecuniary penalty, the Federal Court must have regard to all relevant matters, including:</w:t>
      </w:r>
    </w:p>
    <w:p w14:paraId="73F2CE32" w14:textId="77777777" w:rsidR="00035544" w:rsidRPr="0081146C" w:rsidRDefault="00035544" w:rsidP="00035544">
      <w:pPr>
        <w:pStyle w:val="paragraph"/>
      </w:pPr>
      <w:r w:rsidRPr="0081146C">
        <w:tab/>
        <w:t>(a)</w:t>
      </w:r>
      <w:r w:rsidRPr="0081146C">
        <w:tab/>
        <w:t>the nature and extent of the contravention; and</w:t>
      </w:r>
    </w:p>
    <w:p w14:paraId="44DD40F6" w14:textId="77777777" w:rsidR="00035544" w:rsidRPr="0081146C" w:rsidRDefault="00035544" w:rsidP="00035544">
      <w:pPr>
        <w:pStyle w:val="paragraph"/>
      </w:pPr>
      <w:r w:rsidRPr="0081146C">
        <w:tab/>
        <w:t>(b)</w:t>
      </w:r>
      <w:r w:rsidRPr="0081146C">
        <w:tab/>
        <w:t>the nature and extent of any loss or damage suffered as a result of the contravention; and</w:t>
      </w:r>
    </w:p>
    <w:p w14:paraId="7711ED50" w14:textId="77777777" w:rsidR="00035544" w:rsidRPr="0081146C" w:rsidRDefault="00035544" w:rsidP="00035544">
      <w:pPr>
        <w:pStyle w:val="paragraph"/>
      </w:pPr>
      <w:r w:rsidRPr="0081146C">
        <w:tab/>
        <w:t>(c)</w:t>
      </w:r>
      <w:r w:rsidRPr="0081146C">
        <w:tab/>
        <w:t>the circumstances in which the contravention took place; and</w:t>
      </w:r>
    </w:p>
    <w:p w14:paraId="05CA0F00" w14:textId="77777777" w:rsidR="00035544" w:rsidRPr="0081146C" w:rsidRDefault="00035544" w:rsidP="00035544">
      <w:pPr>
        <w:pStyle w:val="paragraph"/>
      </w:pPr>
      <w:r w:rsidRPr="0081146C">
        <w:tab/>
        <w:t>(d)</w:t>
      </w:r>
      <w:r w:rsidRPr="0081146C">
        <w:tab/>
        <w:t>whether the person has previously been found by the Federal Court in proceedings under this Act to have engaged in any similar conduct; and</w:t>
      </w:r>
    </w:p>
    <w:p w14:paraId="33AE2D12" w14:textId="77777777" w:rsidR="00035544" w:rsidRPr="0081146C" w:rsidRDefault="00035544" w:rsidP="00035544">
      <w:pPr>
        <w:pStyle w:val="paragraph"/>
      </w:pPr>
      <w:r w:rsidRPr="0081146C">
        <w:tab/>
        <w:t>(e)</w:t>
      </w:r>
      <w:r w:rsidRPr="0081146C">
        <w:tab/>
        <w:t>if the Federal Court considers that it is appropriate to do so—whether the person has previously been found by a court in proceedings under a law of a State or Territory to have engaged in any similar conduct; and</w:t>
      </w:r>
    </w:p>
    <w:p w14:paraId="3C03DC9D" w14:textId="77777777" w:rsidR="00035544" w:rsidRPr="0081146C" w:rsidRDefault="00035544" w:rsidP="00035544">
      <w:pPr>
        <w:pStyle w:val="paragraph"/>
      </w:pPr>
      <w:r w:rsidRPr="0081146C">
        <w:tab/>
        <w:t>(f)</w:t>
      </w:r>
      <w:r w:rsidRPr="0081146C">
        <w:tab/>
        <w:t>if the Federal Court considers that it is appropriate to do so—whether the person has previously been found by a court in a foreign country to have engaged in any similar conduct; and</w:t>
      </w:r>
    </w:p>
    <w:p w14:paraId="7B333B0A" w14:textId="7AC7143F" w:rsidR="00035544" w:rsidRPr="0081146C" w:rsidRDefault="00035544" w:rsidP="00035544">
      <w:pPr>
        <w:pStyle w:val="paragraph"/>
      </w:pPr>
      <w:r w:rsidRPr="0081146C">
        <w:tab/>
        <w:t>(g)</w:t>
      </w:r>
      <w:r w:rsidRPr="0081146C">
        <w:tab/>
        <w:t xml:space="preserve">if the Federal Court considers that it is appropriate to do so—whether the person has previously been found by a court in proceedings under the </w:t>
      </w:r>
      <w:r w:rsidR="007A2342" w:rsidRPr="0081146C">
        <w:t>repealed</w:t>
      </w:r>
      <w:r w:rsidR="007A2342" w:rsidRPr="0081146C">
        <w:rPr>
          <w:i/>
        </w:rPr>
        <w:t xml:space="preserve"> </w:t>
      </w:r>
      <w:r w:rsidRPr="0081146C">
        <w:rPr>
          <w:i/>
        </w:rPr>
        <w:t>Financial Transaction Reports Act 1988</w:t>
      </w:r>
      <w:r w:rsidRPr="0081146C">
        <w:t xml:space="preserve"> to have engaged in any similar conduct.</w:t>
      </w:r>
    </w:p>
    <w:p w14:paraId="776CDDD3" w14:textId="77777777" w:rsidR="00035544" w:rsidRPr="0081146C" w:rsidRDefault="00035544" w:rsidP="00035544">
      <w:pPr>
        <w:pStyle w:val="SubsectionHead"/>
      </w:pPr>
      <w:r w:rsidRPr="0081146C">
        <w:t>Maximum pecuniary penalty</w:t>
      </w:r>
    </w:p>
    <w:p w14:paraId="2686D6C6" w14:textId="77777777" w:rsidR="00035544" w:rsidRPr="0081146C" w:rsidRDefault="00035544" w:rsidP="00035544">
      <w:pPr>
        <w:pStyle w:val="subsection"/>
      </w:pPr>
      <w:r w:rsidRPr="0081146C">
        <w:tab/>
        <w:t>(4)</w:t>
      </w:r>
      <w:r w:rsidRPr="0081146C">
        <w:tab/>
        <w:t>The pecuniary penalty payable by a body corporate must not exceed 100,000 penalty units.</w:t>
      </w:r>
    </w:p>
    <w:p w14:paraId="1DEA2BCB" w14:textId="77777777" w:rsidR="00035544" w:rsidRPr="0081146C" w:rsidRDefault="00035544" w:rsidP="00035544">
      <w:pPr>
        <w:pStyle w:val="subsection"/>
      </w:pPr>
      <w:r w:rsidRPr="0081146C">
        <w:tab/>
        <w:t>(5)</w:t>
      </w:r>
      <w:r w:rsidRPr="0081146C">
        <w:tab/>
        <w:t>The pecuniary penalty payable by a person other than a body corporate must not exceed 20,000 penalty units.</w:t>
      </w:r>
    </w:p>
    <w:p w14:paraId="3B9ED7A0" w14:textId="77777777" w:rsidR="00035544" w:rsidRPr="0081146C" w:rsidRDefault="00035544" w:rsidP="00035544">
      <w:pPr>
        <w:pStyle w:val="SubsectionHead"/>
      </w:pPr>
      <w:r w:rsidRPr="0081146C">
        <w:t>Conduct contravening more than one civil penalty provision</w:t>
      </w:r>
    </w:p>
    <w:p w14:paraId="57C2D689" w14:textId="77777777" w:rsidR="00035544" w:rsidRPr="0081146C" w:rsidRDefault="00035544" w:rsidP="00035544">
      <w:pPr>
        <w:pStyle w:val="subsection"/>
      </w:pPr>
      <w:r w:rsidRPr="0081146C">
        <w:tab/>
        <w:t>(6)</w:t>
      </w:r>
      <w:r w:rsidRPr="0081146C">
        <w:tab/>
        <w:t>If conduct constitutes a contravention of 2 or more civil penalty provisions, proceedings may be instituted under this section against a person in relation to the contravention of any one or more of those provisions. However, the person is not liable to more than one pecuniary penalty under this section in respect of the same conduct.</w:t>
      </w:r>
    </w:p>
    <w:p w14:paraId="68AD358F" w14:textId="77777777" w:rsidR="00035544" w:rsidRPr="0081146C" w:rsidRDefault="00035544" w:rsidP="00035544">
      <w:pPr>
        <w:pStyle w:val="SubsectionHead"/>
      </w:pPr>
      <w:r w:rsidRPr="0081146C">
        <w:t>Civil enforcement of penalty</w:t>
      </w:r>
    </w:p>
    <w:p w14:paraId="57ECAF73" w14:textId="77777777" w:rsidR="00035544" w:rsidRPr="0081146C" w:rsidRDefault="00035544" w:rsidP="00035544">
      <w:pPr>
        <w:pStyle w:val="subsection"/>
      </w:pPr>
      <w:r w:rsidRPr="0081146C">
        <w:tab/>
        <w:t>(7)</w:t>
      </w:r>
      <w:r w:rsidRPr="0081146C">
        <w:tab/>
        <w:t>The pecuniary penalty is a civil debt payable to the Commonwealth. The Commonwealth may enforce the civil penalty order as if it were an order made in civil proceedings against the person to recover a debt due by the person. The debt arising from the order is taken to be a judgment debt.</w:t>
      </w:r>
    </w:p>
    <w:p w14:paraId="2E13BC53" w14:textId="77777777" w:rsidR="00035544" w:rsidRPr="0081146C" w:rsidRDefault="00035544" w:rsidP="00067AB9">
      <w:pPr>
        <w:pStyle w:val="ActHead5"/>
      </w:pPr>
      <w:bookmarkStart w:id="583" w:name="_Toc185416023"/>
      <w:r w:rsidRPr="0081146C">
        <w:rPr>
          <w:rStyle w:val="CharSectno"/>
        </w:rPr>
        <w:t>176</w:t>
      </w:r>
      <w:r w:rsidRPr="0081146C">
        <w:t xml:space="preserve">  Who may apply for a civil penalty order</w:t>
      </w:r>
      <w:bookmarkEnd w:id="583"/>
    </w:p>
    <w:p w14:paraId="462C850F" w14:textId="77777777" w:rsidR="00035544" w:rsidRPr="0081146C" w:rsidRDefault="00035544" w:rsidP="00067AB9">
      <w:pPr>
        <w:pStyle w:val="subsection"/>
        <w:keepNext/>
        <w:keepLines/>
      </w:pPr>
      <w:r w:rsidRPr="0081146C">
        <w:tab/>
        <w:t>(1)</w:t>
      </w:r>
      <w:r w:rsidRPr="0081146C">
        <w:tab/>
        <w:t>Only the AUSTRAC CEO may apply for a civil penalty order.</w:t>
      </w:r>
    </w:p>
    <w:p w14:paraId="34F9602D" w14:textId="77777777" w:rsidR="00035544" w:rsidRPr="0081146C" w:rsidRDefault="00035544" w:rsidP="00035544">
      <w:pPr>
        <w:pStyle w:val="subsection"/>
      </w:pPr>
      <w:r w:rsidRPr="0081146C">
        <w:tab/>
        <w:t>(2)</w:t>
      </w:r>
      <w:r w:rsidRPr="0081146C">
        <w:tab/>
      </w:r>
      <w:r w:rsidR="004F64A4" w:rsidRPr="0081146C">
        <w:t>Subsection (</w:t>
      </w:r>
      <w:r w:rsidRPr="0081146C">
        <w:t xml:space="preserve">1) does not exclude the operation of the </w:t>
      </w:r>
      <w:r w:rsidRPr="0081146C">
        <w:rPr>
          <w:i/>
        </w:rPr>
        <w:t>Director of Public Prosecutions Act 1983</w:t>
      </w:r>
      <w:r w:rsidRPr="0081146C">
        <w:t>.</w:t>
      </w:r>
    </w:p>
    <w:p w14:paraId="5DEB5C03" w14:textId="77777777" w:rsidR="00035544" w:rsidRPr="0081146C" w:rsidRDefault="00035544" w:rsidP="00035544">
      <w:pPr>
        <w:pStyle w:val="ActHead5"/>
      </w:pPr>
      <w:bookmarkStart w:id="584" w:name="_Toc185416024"/>
      <w:r w:rsidRPr="0081146C">
        <w:rPr>
          <w:rStyle w:val="CharSectno"/>
        </w:rPr>
        <w:t>177</w:t>
      </w:r>
      <w:r w:rsidRPr="0081146C">
        <w:t xml:space="preserve">  2 or more proceedings may be heard together</w:t>
      </w:r>
      <w:bookmarkEnd w:id="584"/>
    </w:p>
    <w:p w14:paraId="2935CBBD" w14:textId="77777777" w:rsidR="00035544" w:rsidRPr="0081146C" w:rsidRDefault="00035544" w:rsidP="00035544">
      <w:pPr>
        <w:pStyle w:val="subsection"/>
      </w:pPr>
      <w:r w:rsidRPr="0081146C">
        <w:tab/>
      </w:r>
      <w:r w:rsidRPr="0081146C">
        <w:tab/>
        <w:t>The Federal Court may direct that 2 or more proceedings for civil penalty orders are to be heard together.</w:t>
      </w:r>
    </w:p>
    <w:p w14:paraId="0FD5D3AD" w14:textId="77777777" w:rsidR="00035544" w:rsidRPr="0081146C" w:rsidRDefault="00035544" w:rsidP="00035544">
      <w:pPr>
        <w:pStyle w:val="ActHead5"/>
      </w:pPr>
      <w:bookmarkStart w:id="585" w:name="_Toc185416025"/>
      <w:r w:rsidRPr="0081146C">
        <w:rPr>
          <w:rStyle w:val="CharSectno"/>
        </w:rPr>
        <w:t>178</w:t>
      </w:r>
      <w:r w:rsidRPr="0081146C">
        <w:t xml:space="preserve">  Time limit for application for an order</w:t>
      </w:r>
      <w:bookmarkEnd w:id="585"/>
    </w:p>
    <w:p w14:paraId="1926484D" w14:textId="77777777" w:rsidR="00035544" w:rsidRPr="0081146C" w:rsidRDefault="00035544" w:rsidP="00035544">
      <w:pPr>
        <w:pStyle w:val="subsection"/>
      </w:pPr>
      <w:r w:rsidRPr="0081146C">
        <w:tab/>
      </w:r>
      <w:r w:rsidRPr="0081146C">
        <w:tab/>
        <w:t>Proceedings for a civil penalty order may be started no later than 6 years after the contravention.</w:t>
      </w:r>
    </w:p>
    <w:p w14:paraId="6CB06B24" w14:textId="77777777" w:rsidR="00035544" w:rsidRPr="0081146C" w:rsidRDefault="00035544" w:rsidP="00035544">
      <w:pPr>
        <w:pStyle w:val="ActHead5"/>
      </w:pPr>
      <w:bookmarkStart w:id="586" w:name="_Toc185416026"/>
      <w:r w:rsidRPr="0081146C">
        <w:rPr>
          <w:rStyle w:val="CharSectno"/>
        </w:rPr>
        <w:t>179</w:t>
      </w:r>
      <w:r w:rsidRPr="0081146C">
        <w:t xml:space="preserve">  Civil evidence and procedure rules for civil penalty orders</w:t>
      </w:r>
      <w:bookmarkEnd w:id="586"/>
    </w:p>
    <w:p w14:paraId="470B349F" w14:textId="77777777" w:rsidR="00035544" w:rsidRPr="0081146C" w:rsidRDefault="00035544" w:rsidP="00035544">
      <w:pPr>
        <w:pStyle w:val="subsection"/>
      </w:pPr>
      <w:r w:rsidRPr="0081146C">
        <w:tab/>
      </w:r>
      <w:r w:rsidRPr="0081146C">
        <w:tab/>
        <w:t>The Federal Court must apply the rules of evidence and procedure for civil matters when hearing proceedings for a civil penalty order.</w:t>
      </w:r>
    </w:p>
    <w:p w14:paraId="13EE8B03" w14:textId="77777777" w:rsidR="00035544" w:rsidRPr="0081146C" w:rsidRDefault="00035544" w:rsidP="00035544">
      <w:pPr>
        <w:pStyle w:val="ActHead5"/>
      </w:pPr>
      <w:bookmarkStart w:id="587" w:name="_Toc185416027"/>
      <w:r w:rsidRPr="0081146C">
        <w:rPr>
          <w:rStyle w:val="CharSectno"/>
        </w:rPr>
        <w:t>180</w:t>
      </w:r>
      <w:r w:rsidRPr="0081146C">
        <w:t xml:space="preserve">  Civil proceedings after criminal proceedings</w:t>
      </w:r>
      <w:bookmarkEnd w:id="587"/>
    </w:p>
    <w:p w14:paraId="41579E00" w14:textId="77777777" w:rsidR="00035544" w:rsidRPr="0081146C" w:rsidRDefault="00035544" w:rsidP="00035544">
      <w:pPr>
        <w:pStyle w:val="subsection"/>
      </w:pPr>
      <w:r w:rsidRPr="0081146C">
        <w:tab/>
      </w:r>
      <w:r w:rsidRPr="0081146C">
        <w:tab/>
        <w:t>The Federal Court must not make a civil penalty order against a person for a contravention if the person has been convicted of an offence constituted by conduct that is substantially the same as the conduct constituting the contravention.</w:t>
      </w:r>
    </w:p>
    <w:p w14:paraId="59552A69" w14:textId="77777777" w:rsidR="00035544" w:rsidRPr="0081146C" w:rsidRDefault="00035544" w:rsidP="00035544">
      <w:pPr>
        <w:pStyle w:val="ActHead5"/>
      </w:pPr>
      <w:bookmarkStart w:id="588" w:name="_Toc185416028"/>
      <w:r w:rsidRPr="0081146C">
        <w:rPr>
          <w:rStyle w:val="CharSectno"/>
        </w:rPr>
        <w:t>181</w:t>
      </w:r>
      <w:r w:rsidRPr="0081146C">
        <w:t xml:space="preserve">  Criminal proceedings during civil proceedings</w:t>
      </w:r>
      <w:bookmarkEnd w:id="588"/>
    </w:p>
    <w:p w14:paraId="3348D1C4" w14:textId="77777777" w:rsidR="00035544" w:rsidRPr="0081146C" w:rsidRDefault="00035544" w:rsidP="00035544">
      <w:pPr>
        <w:pStyle w:val="subsection"/>
      </w:pPr>
      <w:r w:rsidRPr="0081146C">
        <w:tab/>
        <w:t>(1)</w:t>
      </w:r>
      <w:r w:rsidRPr="0081146C">
        <w:tab/>
        <w:t>Proceedings for a civil penalty order against a person are stayed if:</w:t>
      </w:r>
    </w:p>
    <w:p w14:paraId="0BA41AF5" w14:textId="77777777" w:rsidR="00035544" w:rsidRPr="0081146C" w:rsidRDefault="00035544" w:rsidP="00035544">
      <w:pPr>
        <w:pStyle w:val="paragraph"/>
      </w:pPr>
      <w:r w:rsidRPr="0081146C">
        <w:tab/>
        <w:t>(a)</w:t>
      </w:r>
      <w:r w:rsidRPr="0081146C">
        <w:tab/>
        <w:t>criminal proceedings are started or have already been started against the person for an offence; and</w:t>
      </w:r>
    </w:p>
    <w:p w14:paraId="31AAD8CF" w14:textId="77777777" w:rsidR="00035544" w:rsidRPr="0081146C" w:rsidRDefault="00035544" w:rsidP="00035544">
      <w:pPr>
        <w:pStyle w:val="paragraph"/>
      </w:pPr>
      <w:r w:rsidRPr="0081146C">
        <w:tab/>
        <w:t>(b)</w:t>
      </w:r>
      <w:r w:rsidRPr="0081146C">
        <w:tab/>
        <w:t>the offence is constituted by conduct that is substantially the same as the conduct alleged to constitute the contravention.</w:t>
      </w:r>
    </w:p>
    <w:p w14:paraId="024C52B2" w14:textId="77777777" w:rsidR="00035544" w:rsidRPr="0081146C" w:rsidRDefault="00035544" w:rsidP="00035544">
      <w:pPr>
        <w:pStyle w:val="subsection"/>
      </w:pPr>
      <w:r w:rsidRPr="0081146C">
        <w:tab/>
        <w:t>(2)</w:t>
      </w:r>
      <w:r w:rsidRPr="0081146C">
        <w:tab/>
        <w:t>The proceedings for the order may be resumed if the person is not convicted of the offence. Otherwise, the proceedings for the order are dismissed.</w:t>
      </w:r>
    </w:p>
    <w:p w14:paraId="450D33CE" w14:textId="77777777" w:rsidR="00035544" w:rsidRPr="0081146C" w:rsidRDefault="00035544" w:rsidP="0030348B">
      <w:pPr>
        <w:pStyle w:val="ActHead5"/>
      </w:pPr>
      <w:bookmarkStart w:id="589" w:name="_Toc185416029"/>
      <w:r w:rsidRPr="0081146C">
        <w:rPr>
          <w:rStyle w:val="CharSectno"/>
        </w:rPr>
        <w:t>182</w:t>
      </w:r>
      <w:r w:rsidRPr="0081146C">
        <w:t xml:space="preserve">  Criminal proceedings after civil proceedings</w:t>
      </w:r>
      <w:bookmarkEnd w:id="589"/>
    </w:p>
    <w:p w14:paraId="26894812" w14:textId="77777777" w:rsidR="00035544" w:rsidRPr="0081146C" w:rsidRDefault="00035544" w:rsidP="0030348B">
      <w:pPr>
        <w:pStyle w:val="subsection"/>
        <w:keepNext/>
      </w:pPr>
      <w:r w:rsidRPr="0081146C">
        <w:tab/>
      </w:r>
      <w:r w:rsidRPr="0081146C">
        <w:tab/>
        <w:t>Criminal proceedings may be started against a person for conduct that is substantially the same as conduct constituting a contravention of a civil penalty provision regardless of whether a civil penalty order has been made against the person.</w:t>
      </w:r>
    </w:p>
    <w:p w14:paraId="7B9EAA09" w14:textId="77777777" w:rsidR="00035544" w:rsidRPr="0081146C" w:rsidRDefault="00035544" w:rsidP="00035544">
      <w:pPr>
        <w:pStyle w:val="ActHead5"/>
      </w:pPr>
      <w:bookmarkStart w:id="590" w:name="_Toc185416030"/>
      <w:r w:rsidRPr="0081146C">
        <w:rPr>
          <w:rStyle w:val="CharSectno"/>
        </w:rPr>
        <w:t>183</w:t>
      </w:r>
      <w:r w:rsidRPr="0081146C">
        <w:t xml:space="preserve">  Evidence given in proceedings for penalty not admissible in criminal proceedings</w:t>
      </w:r>
      <w:bookmarkEnd w:id="590"/>
    </w:p>
    <w:p w14:paraId="10EE10C3" w14:textId="77777777" w:rsidR="00035544" w:rsidRPr="0081146C" w:rsidRDefault="00035544" w:rsidP="00035544">
      <w:pPr>
        <w:pStyle w:val="subsection"/>
      </w:pPr>
      <w:r w:rsidRPr="0081146C">
        <w:tab/>
      </w:r>
      <w:r w:rsidRPr="0081146C">
        <w:tab/>
        <w:t>Evidence of information given, or evidence of production of documents, by an individual is not admissible in criminal proceedings against the individual if:</w:t>
      </w:r>
    </w:p>
    <w:p w14:paraId="1805B520" w14:textId="77777777" w:rsidR="00035544" w:rsidRPr="0081146C" w:rsidRDefault="00035544" w:rsidP="00035544">
      <w:pPr>
        <w:pStyle w:val="paragraph"/>
      </w:pPr>
      <w:r w:rsidRPr="0081146C">
        <w:tab/>
        <w:t>(a)</w:t>
      </w:r>
      <w:r w:rsidRPr="0081146C">
        <w:tab/>
        <w:t>the individual previously gave the evidence or produced the documents in proceedings for a civil penalty order against the individual for a contravention of a civil penalty provision (whether or not the order was made); and</w:t>
      </w:r>
    </w:p>
    <w:p w14:paraId="2E024D84" w14:textId="77777777" w:rsidR="00035544" w:rsidRPr="0081146C" w:rsidRDefault="00035544" w:rsidP="00035544">
      <w:pPr>
        <w:pStyle w:val="paragraph"/>
      </w:pPr>
      <w:r w:rsidRPr="0081146C">
        <w:tab/>
        <w:t>(b)</w:t>
      </w:r>
      <w:r w:rsidRPr="0081146C">
        <w:tab/>
        <w:t>the conduct alleged to constitute the offence is substantially the same as the conduct that was claimed to constitute the contravention.</w:t>
      </w:r>
    </w:p>
    <w:p w14:paraId="29647FF8" w14:textId="77777777" w:rsidR="00035544" w:rsidRPr="0081146C" w:rsidRDefault="00035544" w:rsidP="00035544">
      <w:pPr>
        <w:pStyle w:val="subsection2"/>
      </w:pPr>
      <w:r w:rsidRPr="0081146C">
        <w:t>However, this does not apply to a criminal proceeding in respect of the falsity of the evidence given by the individual in the proceedings for the civil penalty order.</w:t>
      </w:r>
    </w:p>
    <w:p w14:paraId="0F8E1DB8" w14:textId="77777777" w:rsidR="0089539F" w:rsidRPr="0081146C" w:rsidRDefault="00CA78AA" w:rsidP="00AE2DA2">
      <w:pPr>
        <w:pStyle w:val="ActHead3"/>
        <w:pageBreakBefore/>
      </w:pPr>
      <w:bookmarkStart w:id="591" w:name="_Toc185416031"/>
      <w:r w:rsidRPr="0081146C">
        <w:rPr>
          <w:rStyle w:val="CharDivNo"/>
        </w:rPr>
        <w:t>Division 3</w:t>
      </w:r>
      <w:r w:rsidR="0089539F" w:rsidRPr="0081146C">
        <w:t>—</w:t>
      </w:r>
      <w:r w:rsidR="0089539F" w:rsidRPr="0081146C">
        <w:rPr>
          <w:rStyle w:val="CharDivText"/>
        </w:rPr>
        <w:t>Infringement notices for certain contraventions</w:t>
      </w:r>
      <w:bookmarkEnd w:id="591"/>
    </w:p>
    <w:p w14:paraId="5A16E067" w14:textId="77777777" w:rsidR="00035544" w:rsidRPr="0081146C" w:rsidRDefault="00035544" w:rsidP="00035544">
      <w:pPr>
        <w:pStyle w:val="ActHead5"/>
      </w:pPr>
      <w:bookmarkStart w:id="592" w:name="_Toc185416032"/>
      <w:r w:rsidRPr="0081146C">
        <w:rPr>
          <w:rStyle w:val="CharSectno"/>
        </w:rPr>
        <w:t>184</w:t>
      </w:r>
      <w:r w:rsidRPr="0081146C">
        <w:t xml:space="preserve">  When an infringement notice can be given</w:t>
      </w:r>
      <w:bookmarkEnd w:id="592"/>
    </w:p>
    <w:p w14:paraId="3AABB0FA" w14:textId="77777777" w:rsidR="00035544" w:rsidRPr="0081146C" w:rsidRDefault="00035544" w:rsidP="00035544">
      <w:pPr>
        <w:pStyle w:val="subsection"/>
      </w:pPr>
      <w:r w:rsidRPr="0081146C">
        <w:tab/>
        <w:t>(1)</w:t>
      </w:r>
      <w:r w:rsidRPr="0081146C">
        <w:tab/>
        <w:t xml:space="preserve">If an authorised officer, a customs officer or a police officer has reasonable grounds to believe that a person has contravened </w:t>
      </w:r>
      <w:r w:rsidR="00222118" w:rsidRPr="0081146C">
        <w:t>an infringement notice provision</w:t>
      </w:r>
      <w:r w:rsidRPr="0081146C">
        <w:t>, the officer may give the person an infringement notice relating to the contravention.</w:t>
      </w:r>
    </w:p>
    <w:p w14:paraId="67B12D53" w14:textId="77777777" w:rsidR="00324D3F" w:rsidRPr="0081146C" w:rsidRDefault="00324D3F" w:rsidP="00324D3F">
      <w:pPr>
        <w:pStyle w:val="subsection"/>
      </w:pPr>
      <w:r w:rsidRPr="0081146C">
        <w:tab/>
        <w:t>(1A)</w:t>
      </w:r>
      <w:r w:rsidRPr="0081146C">
        <w:tab/>
        <w:t xml:space="preserve">An </w:t>
      </w:r>
      <w:r w:rsidRPr="0081146C">
        <w:rPr>
          <w:b/>
          <w:i/>
        </w:rPr>
        <w:t xml:space="preserve">infringement notice provision </w:t>
      </w:r>
      <w:r w:rsidRPr="0081146C">
        <w:t>means any of the following provisions:</w:t>
      </w:r>
    </w:p>
    <w:p w14:paraId="1324C66F" w14:textId="77777777" w:rsidR="00245247" w:rsidRPr="0081146C" w:rsidRDefault="00245247" w:rsidP="00245247">
      <w:pPr>
        <w:pStyle w:val="paragraph"/>
      </w:pPr>
      <w:r w:rsidRPr="0081146C">
        <w:tab/>
        <w:t>(aaaa)</w:t>
      </w:r>
      <w:r w:rsidRPr="0081146C">
        <w:tab/>
        <w:t xml:space="preserve">a designated infringement notice provision (see </w:t>
      </w:r>
      <w:r w:rsidR="004F64A4" w:rsidRPr="0081146C">
        <w:t>subsection (</w:t>
      </w:r>
      <w:r w:rsidRPr="0081146C">
        <w:t>4));</w:t>
      </w:r>
    </w:p>
    <w:p w14:paraId="04DD5EC7" w14:textId="77777777" w:rsidR="00514EE6" w:rsidRPr="0081146C" w:rsidRDefault="00514EE6" w:rsidP="00514EE6">
      <w:pPr>
        <w:pStyle w:val="paragraph"/>
      </w:pPr>
      <w:r w:rsidRPr="0081146C">
        <w:tab/>
        <w:t>(aaa)</w:t>
      </w:r>
      <w:r w:rsidRPr="0081146C">
        <w:tab/>
        <w:t>subsection</w:t>
      </w:r>
      <w:r w:rsidR="004F64A4" w:rsidRPr="0081146C">
        <w:t> </w:t>
      </w:r>
      <w:r w:rsidRPr="0081146C">
        <w:t>51B(1) (which deals with the requirement for reporting entities to enrol on the Reporting Entities Roll);</w:t>
      </w:r>
    </w:p>
    <w:p w14:paraId="3B89B296" w14:textId="77777777" w:rsidR="00514EE6" w:rsidRPr="0081146C" w:rsidRDefault="00514EE6" w:rsidP="00514EE6">
      <w:pPr>
        <w:pStyle w:val="paragraph"/>
      </w:pPr>
      <w:r w:rsidRPr="0081146C">
        <w:tab/>
        <w:t>(aa)</w:t>
      </w:r>
      <w:r w:rsidRPr="0081146C">
        <w:tab/>
        <w:t>subsection</w:t>
      </w:r>
      <w:r w:rsidR="004F64A4" w:rsidRPr="0081146C">
        <w:t> </w:t>
      </w:r>
      <w:r w:rsidRPr="0081146C">
        <w:t>51F(1) (which deals with reporting entities notifying changes of their enrolment details);</w:t>
      </w:r>
    </w:p>
    <w:p w14:paraId="2C950A79" w14:textId="77777777" w:rsidR="000639B5" w:rsidRPr="0081146C" w:rsidRDefault="000639B5" w:rsidP="000639B5">
      <w:pPr>
        <w:pStyle w:val="paragraph"/>
      </w:pPr>
      <w:r w:rsidRPr="0081146C">
        <w:tab/>
        <w:t>(a)</w:t>
      </w:r>
      <w:r w:rsidRPr="0081146C">
        <w:tab/>
        <w:t>subsection 53(2) (which deals with reports about movements of monetary instruments);</w:t>
      </w:r>
    </w:p>
    <w:p w14:paraId="6CBF7F99" w14:textId="77777777" w:rsidR="00324D3F" w:rsidRPr="0081146C" w:rsidRDefault="00324D3F" w:rsidP="00324D3F">
      <w:pPr>
        <w:pStyle w:val="paragraph"/>
      </w:pPr>
      <w:r w:rsidRPr="0081146C">
        <w:tab/>
        <w:t>(c)</w:t>
      </w:r>
      <w:r w:rsidRPr="0081146C">
        <w:tab/>
        <w:t>subsections</w:t>
      </w:r>
      <w:r w:rsidR="004F64A4" w:rsidRPr="0081146C">
        <w:t> </w:t>
      </w:r>
      <w:r w:rsidRPr="0081146C">
        <w:t>74(1), (1A), (1B) and (1C) (which deal with providing certain remittance services if unregistered or in breach of a condition of registration);</w:t>
      </w:r>
    </w:p>
    <w:p w14:paraId="098F00E7" w14:textId="77777777" w:rsidR="00324D3F" w:rsidRPr="0081146C" w:rsidRDefault="00324D3F" w:rsidP="00324D3F">
      <w:pPr>
        <w:pStyle w:val="paragraph"/>
      </w:pPr>
      <w:r w:rsidRPr="0081146C">
        <w:tab/>
        <w:t>(d)</w:t>
      </w:r>
      <w:r w:rsidRPr="0081146C">
        <w:tab/>
        <w:t>subsection</w:t>
      </w:r>
      <w:r w:rsidR="004F64A4" w:rsidRPr="0081146C">
        <w:t> </w:t>
      </w:r>
      <w:r w:rsidRPr="0081146C">
        <w:t>75M(1) (which deals with notifying the AUSTRAC CEO of certain matters)</w:t>
      </w:r>
      <w:r w:rsidR="00B27ECB" w:rsidRPr="0081146C">
        <w:t>;</w:t>
      </w:r>
    </w:p>
    <w:p w14:paraId="4E225C2F" w14:textId="5EE8A4F1" w:rsidR="0049002F" w:rsidRPr="0081146C" w:rsidRDefault="0049002F" w:rsidP="0049002F">
      <w:pPr>
        <w:pStyle w:val="paragraph"/>
      </w:pPr>
      <w:r w:rsidRPr="0081146C">
        <w:tab/>
        <w:t>(e)</w:t>
      </w:r>
      <w:r w:rsidRPr="0081146C">
        <w:tab/>
        <w:t>subsections</w:t>
      </w:r>
      <w:r w:rsidR="004F64A4" w:rsidRPr="0081146C">
        <w:t> </w:t>
      </w:r>
      <w:r w:rsidRPr="0081146C">
        <w:t xml:space="preserve">76A(1) and (2) (which deal with providing certain </w:t>
      </w:r>
      <w:bookmarkStart w:id="593" w:name="_Hlk172194356"/>
      <w:r w:rsidR="00B04A45" w:rsidRPr="0081146C">
        <w:t>virtual asset</w:t>
      </w:r>
      <w:bookmarkEnd w:id="593"/>
      <w:r w:rsidRPr="0081146C">
        <w:t xml:space="preserve"> services without being registered);</w:t>
      </w:r>
    </w:p>
    <w:p w14:paraId="17374EBE" w14:textId="77777777" w:rsidR="0049002F" w:rsidRPr="0081146C" w:rsidRDefault="0049002F" w:rsidP="0049002F">
      <w:pPr>
        <w:pStyle w:val="paragraph"/>
      </w:pPr>
      <w:r w:rsidRPr="0081146C">
        <w:tab/>
        <w:t>(f)</w:t>
      </w:r>
      <w:r w:rsidRPr="0081146C">
        <w:tab/>
        <w:t>subsection</w:t>
      </w:r>
      <w:r w:rsidR="004F64A4" w:rsidRPr="0081146C">
        <w:t> </w:t>
      </w:r>
      <w:r w:rsidRPr="0081146C">
        <w:t>76P(1) (which deals with notifying the AUSTRAC CEO of certain matters).</w:t>
      </w:r>
    </w:p>
    <w:p w14:paraId="3FD4966E" w14:textId="77777777" w:rsidR="0049002F" w:rsidRPr="0081146C" w:rsidRDefault="0049002F" w:rsidP="0049002F">
      <w:pPr>
        <w:pStyle w:val="subsection"/>
      </w:pPr>
      <w:r w:rsidRPr="0081146C">
        <w:tab/>
        <w:t>(1B)</w:t>
      </w:r>
      <w:r w:rsidRPr="0081146C">
        <w:tab/>
        <w:t xml:space="preserve">Despite </w:t>
      </w:r>
      <w:r w:rsidR="004F64A4" w:rsidRPr="0081146C">
        <w:t>subsection (</w:t>
      </w:r>
      <w:r w:rsidRPr="0081146C">
        <w:t xml:space="preserve">1), an infringement notice relating to the alleged contravention of a designated infringement notice provision may only be given to a person by </w:t>
      </w:r>
      <w:r w:rsidR="0042263A" w:rsidRPr="0081146C">
        <w:t>an authorised officer</w:t>
      </w:r>
      <w:r w:rsidRPr="0081146C">
        <w:t>.</w:t>
      </w:r>
    </w:p>
    <w:p w14:paraId="599BD7C5" w14:textId="5F487508" w:rsidR="0049002F" w:rsidRPr="0081146C" w:rsidRDefault="0049002F" w:rsidP="0049002F">
      <w:pPr>
        <w:pStyle w:val="subsection"/>
      </w:pPr>
      <w:r w:rsidRPr="0081146C">
        <w:tab/>
        <w:t>(1C)</w:t>
      </w:r>
      <w:r w:rsidRPr="0081146C">
        <w:tab/>
      </w:r>
      <w:r w:rsidR="0042263A" w:rsidRPr="0081146C">
        <w:t>An authorised officer</w:t>
      </w:r>
      <w:r w:rsidRPr="0081146C">
        <w:t xml:space="preserve"> must not issue an infringement notice relating to a contravention of subsection</w:t>
      </w:r>
      <w:r w:rsidR="004F64A4" w:rsidRPr="0081146C">
        <w:t> </w:t>
      </w:r>
      <w:r w:rsidRPr="0081146C">
        <w:t xml:space="preserve">32(1), 41(2), 43(2), </w:t>
      </w:r>
      <w:r w:rsidR="00250C0B" w:rsidRPr="0081146C">
        <w:t>46(2) or (5), 46A(2)</w:t>
      </w:r>
      <w:r w:rsidRPr="0081146C">
        <w:t xml:space="preserve"> or 49(2) unless the </w:t>
      </w:r>
      <w:r w:rsidR="0042263A" w:rsidRPr="0081146C">
        <w:t>authorised officer</w:t>
      </w:r>
      <w:r w:rsidRPr="0081146C">
        <w:t xml:space="preserve"> considers that issuing such a notice is appropriate in the particular case after taking into account:</w:t>
      </w:r>
    </w:p>
    <w:p w14:paraId="4AB18A4A" w14:textId="77777777" w:rsidR="0049002F" w:rsidRPr="0081146C" w:rsidRDefault="0049002F" w:rsidP="0049002F">
      <w:pPr>
        <w:pStyle w:val="paragraph"/>
      </w:pPr>
      <w:r w:rsidRPr="0081146C">
        <w:tab/>
        <w:t>(a)</w:t>
      </w:r>
      <w:r w:rsidRPr="0081146C">
        <w:tab/>
        <w:t>the nature and extent of the contravention; and</w:t>
      </w:r>
    </w:p>
    <w:p w14:paraId="18131E0A" w14:textId="77777777" w:rsidR="0049002F" w:rsidRPr="0081146C" w:rsidRDefault="0049002F" w:rsidP="0049002F">
      <w:pPr>
        <w:pStyle w:val="paragraph"/>
      </w:pPr>
      <w:r w:rsidRPr="0081146C">
        <w:tab/>
        <w:t>(b)</w:t>
      </w:r>
      <w:r w:rsidRPr="0081146C">
        <w:tab/>
        <w:t>the seriousness of the contravention; and</w:t>
      </w:r>
    </w:p>
    <w:p w14:paraId="3074215A" w14:textId="77777777" w:rsidR="0049002F" w:rsidRPr="0081146C" w:rsidRDefault="0049002F" w:rsidP="0049002F">
      <w:pPr>
        <w:pStyle w:val="paragraph"/>
      </w:pPr>
      <w:r w:rsidRPr="0081146C">
        <w:tab/>
        <w:t>(c)</w:t>
      </w:r>
      <w:r w:rsidRPr="0081146C">
        <w:tab/>
        <w:t>the circumstances in which the contravention took place; and</w:t>
      </w:r>
    </w:p>
    <w:p w14:paraId="72304A9D" w14:textId="77777777" w:rsidR="0049002F" w:rsidRPr="0081146C" w:rsidRDefault="0049002F" w:rsidP="0049002F">
      <w:pPr>
        <w:pStyle w:val="paragraph"/>
      </w:pPr>
      <w:r w:rsidRPr="0081146C">
        <w:tab/>
        <w:t>(d)</w:t>
      </w:r>
      <w:r w:rsidRPr="0081146C">
        <w:tab/>
        <w:t xml:space="preserve">any other matter the </w:t>
      </w:r>
      <w:r w:rsidR="0042263A" w:rsidRPr="0081146C">
        <w:t>authorised officer</w:t>
      </w:r>
      <w:r w:rsidRPr="0081146C">
        <w:t xml:space="preserve"> considers to be relevant.</w:t>
      </w:r>
    </w:p>
    <w:p w14:paraId="41AB6FD5" w14:textId="77777777" w:rsidR="00035544" w:rsidRPr="0081146C" w:rsidRDefault="00035544" w:rsidP="00035544">
      <w:pPr>
        <w:pStyle w:val="subsection"/>
      </w:pPr>
      <w:r w:rsidRPr="0081146C">
        <w:tab/>
        <w:t>(2)</w:t>
      </w:r>
      <w:r w:rsidRPr="0081146C">
        <w:tab/>
        <w:t>The infringement notice must be given within 12 months after the day on which the contravention is alleged to have taken place.</w:t>
      </w:r>
    </w:p>
    <w:p w14:paraId="68EE0F86" w14:textId="77777777" w:rsidR="00035544" w:rsidRPr="0081146C" w:rsidRDefault="00035544" w:rsidP="00035544">
      <w:pPr>
        <w:pStyle w:val="subsection"/>
      </w:pPr>
      <w:r w:rsidRPr="0081146C">
        <w:tab/>
        <w:t>(3)</w:t>
      </w:r>
      <w:r w:rsidRPr="0081146C">
        <w:tab/>
        <w:t>If a customs officer or a police officer issues an infringement notice, the officer must, within 5 business days after the day of issue of the infringement notice, forward a copy of the infringement notice to the AUSTRAC CEO.</w:t>
      </w:r>
    </w:p>
    <w:p w14:paraId="0FD67D05" w14:textId="77777777" w:rsidR="0049002F" w:rsidRPr="0081146C" w:rsidRDefault="0049002F" w:rsidP="0049002F">
      <w:pPr>
        <w:pStyle w:val="subsection"/>
      </w:pPr>
      <w:r w:rsidRPr="0081146C">
        <w:tab/>
        <w:t>(4)</w:t>
      </w:r>
      <w:r w:rsidRPr="0081146C">
        <w:tab/>
        <w:t>In this Act:</w:t>
      </w:r>
    </w:p>
    <w:p w14:paraId="3286ED87" w14:textId="77777777" w:rsidR="0049002F" w:rsidRPr="0081146C" w:rsidRDefault="0049002F" w:rsidP="0049002F">
      <w:pPr>
        <w:pStyle w:val="Definition"/>
      </w:pPr>
      <w:r w:rsidRPr="0081146C">
        <w:rPr>
          <w:b/>
          <w:i/>
        </w:rPr>
        <w:t>designated infringement notice provision</w:t>
      </w:r>
      <w:r w:rsidRPr="0081146C">
        <w:t xml:space="preserve"> means any of the following provisions:</w:t>
      </w:r>
    </w:p>
    <w:p w14:paraId="20030D87" w14:textId="77777777" w:rsidR="009B278E" w:rsidRPr="0081146C" w:rsidRDefault="009B278E" w:rsidP="009B278E">
      <w:pPr>
        <w:pStyle w:val="paragraph"/>
      </w:pPr>
      <w:r w:rsidRPr="0081146C">
        <w:tab/>
        <w:t>(aa)</w:t>
      </w:r>
      <w:r w:rsidRPr="0081146C">
        <w:tab/>
        <w:t>subsection 26K(1) or (2) (which deal with reporting entities’ obligation to designate an AML/CTF compliance officer);</w:t>
      </w:r>
    </w:p>
    <w:p w14:paraId="302AAD11" w14:textId="77777777" w:rsidR="009B278E" w:rsidRPr="0081146C" w:rsidRDefault="009B278E" w:rsidP="009B278E">
      <w:pPr>
        <w:pStyle w:val="paragraph"/>
      </w:pPr>
      <w:r w:rsidRPr="0081146C">
        <w:tab/>
        <w:t>(ab)</w:t>
      </w:r>
      <w:r w:rsidRPr="0081146C">
        <w:tab/>
        <w:t>subsection 26M(1) (which deals with notifications about AML/CTF compliance officers);</w:t>
      </w:r>
    </w:p>
    <w:p w14:paraId="703E216A" w14:textId="77777777" w:rsidR="009B278E" w:rsidRPr="0081146C" w:rsidRDefault="009B278E" w:rsidP="009B278E">
      <w:pPr>
        <w:pStyle w:val="paragraph"/>
      </w:pPr>
      <w:r w:rsidRPr="0081146C">
        <w:tab/>
        <w:t>(ac)</w:t>
      </w:r>
      <w:r w:rsidRPr="0081146C">
        <w:tab/>
        <w:t>subsection 26N(2) (which deals with AML/CTF program documentation);</w:t>
      </w:r>
    </w:p>
    <w:p w14:paraId="1A94E136" w14:textId="77777777" w:rsidR="009B278E" w:rsidRPr="0081146C" w:rsidRDefault="009B278E" w:rsidP="009B278E">
      <w:pPr>
        <w:pStyle w:val="paragraph"/>
      </w:pPr>
      <w:r w:rsidRPr="0081146C">
        <w:tab/>
        <w:t>(ad)</w:t>
      </w:r>
      <w:r w:rsidRPr="0081146C">
        <w:tab/>
        <w:t>subsection 26P(3) (which deals with AML/CTF program approvals);</w:t>
      </w:r>
    </w:p>
    <w:p w14:paraId="5C909847" w14:textId="77777777" w:rsidR="009B278E" w:rsidRPr="0081146C" w:rsidRDefault="009B278E" w:rsidP="009B278E">
      <w:pPr>
        <w:pStyle w:val="paragraph"/>
      </w:pPr>
      <w:r w:rsidRPr="0081146C">
        <w:tab/>
        <w:t>(ae)</w:t>
      </w:r>
      <w:r w:rsidRPr="0081146C">
        <w:tab/>
        <w:t>subsection 26Q(2) (which deals with requests for AML/CTF program documentation);</w:t>
      </w:r>
    </w:p>
    <w:p w14:paraId="6384FCE5" w14:textId="77777777" w:rsidR="002F4208" w:rsidRPr="0081146C" w:rsidRDefault="002F4208" w:rsidP="002F4208">
      <w:pPr>
        <w:pStyle w:val="paragraph"/>
      </w:pPr>
      <w:r w:rsidRPr="0081146C">
        <w:tab/>
        <w:t>(af)</w:t>
      </w:r>
      <w:r w:rsidRPr="0081146C">
        <w:tab/>
        <w:t>subsection 26Q(2A) (which deals with providing an LPP form in relation to certain further information requested);</w:t>
      </w:r>
    </w:p>
    <w:p w14:paraId="7893059C" w14:textId="77777777" w:rsidR="0049002F" w:rsidRPr="0081146C" w:rsidRDefault="0049002F" w:rsidP="0049002F">
      <w:pPr>
        <w:pStyle w:val="paragraph"/>
      </w:pPr>
      <w:r w:rsidRPr="0081146C">
        <w:tab/>
        <w:t>(b)</w:t>
      </w:r>
      <w:r w:rsidRPr="0081146C">
        <w:tab/>
        <w:t>subsection</w:t>
      </w:r>
      <w:r w:rsidR="004F64A4" w:rsidRPr="0081146C">
        <w:t> </w:t>
      </w:r>
      <w:r w:rsidRPr="0081146C">
        <w:t>41(2) (which deals with reporting certain suspicious matters);</w:t>
      </w:r>
    </w:p>
    <w:p w14:paraId="3B4B2FC7" w14:textId="77777777" w:rsidR="0049002F" w:rsidRPr="0081146C" w:rsidRDefault="0049002F" w:rsidP="0049002F">
      <w:pPr>
        <w:pStyle w:val="paragraph"/>
      </w:pPr>
      <w:r w:rsidRPr="0081146C">
        <w:tab/>
        <w:t>(c)</w:t>
      </w:r>
      <w:r w:rsidRPr="0081146C">
        <w:tab/>
        <w:t>subsection</w:t>
      </w:r>
      <w:r w:rsidR="004F64A4" w:rsidRPr="0081146C">
        <w:t> </w:t>
      </w:r>
      <w:r w:rsidRPr="0081146C">
        <w:t>43(2) (which deals with reporting a threshold transaction);</w:t>
      </w:r>
    </w:p>
    <w:p w14:paraId="5C253456" w14:textId="77777777" w:rsidR="00250C0B" w:rsidRPr="0081146C" w:rsidRDefault="00250C0B" w:rsidP="00250C0B">
      <w:pPr>
        <w:pStyle w:val="paragraph"/>
      </w:pPr>
      <w:r w:rsidRPr="0081146C">
        <w:tab/>
        <w:t>(d)</w:t>
      </w:r>
      <w:r w:rsidRPr="0081146C">
        <w:tab/>
        <w:t>subsection 46(2) or (5) (which deals with reporting about international value transfer services);</w:t>
      </w:r>
    </w:p>
    <w:p w14:paraId="1A55BF34" w14:textId="77777777" w:rsidR="00250C0B" w:rsidRPr="0081146C" w:rsidRDefault="00250C0B" w:rsidP="00250C0B">
      <w:pPr>
        <w:pStyle w:val="paragraph"/>
      </w:pPr>
      <w:r w:rsidRPr="0081146C">
        <w:tab/>
        <w:t>(da)</w:t>
      </w:r>
      <w:r w:rsidRPr="0081146C">
        <w:tab/>
        <w:t>subsection 46A(2) (which deals with reporting about transfers of value involving unverified self</w:t>
      </w:r>
      <w:r w:rsidRPr="0081146C">
        <w:noBreakHyphen/>
        <w:t>hosted virtual asset wallets);</w:t>
      </w:r>
    </w:p>
    <w:p w14:paraId="6E2060AE" w14:textId="77777777" w:rsidR="0049002F" w:rsidRPr="0081146C" w:rsidRDefault="0049002F" w:rsidP="0049002F">
      <w:pPr>
        <w:pStyle w:val="paragraph"/>
      </w:pPr>
      <w:r w:rsidRPr="0081146C">
        <w:tab/>
        <w:t>(e)</w:t>
      </w:r>
      <w:r w:rsidRPr="0081146C">
        <w:tab/>
        <w:t>subsection</w:t>
      </w:r>
      <w:r w:rsidR="004F64A4" w:rsidRPr="0081146C">
        <w:t> </w:t>
      </w:r>
      <w:r w:rsidRPr="0081146C">
        <w:t>47(2) (which deals with reporting on compliance with the Act and other instruments);</w:t>
      </w:r>
    </w:p>
    <w:p w14:paraId="6B29D930" w14:textId="77777777" w:rsidR="0049002F" w:rsidRPr="0081146C" w:rsidRDefault="0049002F" w:rsidP="0049002F">
      <w:pPr>
        <w:pStyle w:val="paragraph"/>
      </w:pPr>
      <w:r w:rsidRPr="0081146C">
        <w:tab/>
        <w:t>(f)</w:t>
      </w:r>
      <w:r w:rsidRPr="0081146C">
        <w:tab/>
        <w:t>subsection</w:t>
      </w:r>
      <w:r w:rsidR="004F64A4" w:rsidRPr="0081146C">
        <w:t> </w:t>
      </w:r>
      <w:r w:rsidRPr="0081146C">
        <w:t>49(2) (which deals with providing further information on request);</w:t>
      </w:r>
    </w:p>
    <w:p w14:paraId="1E00888B" w14:textId="77777777" w:rsidR="002F4208" w:rsidRPr="0081146C" w:rsidRDefault="002F4208" w:rsidP="002F4208">
      <w:pPr>
        <w:pStyle w:val="paragraph"/>
      </w:pPr>
      <w:r w:rsidRPr="0081146C">
        <w:tab/>
        <w:t>(fa)</w:t>
      </w:r>
      <w:r w:rsidRPr="0081146C">
        <w:tab/>
        <w:t>subsection 49(4) (which deals with providing an LPP form in relation to information or documents requested);</w:t>
      </w:r>
    </w:p>
    <w:p w14:paraId="739BEEEE" w14:textId="77777777" w:rsidR="00824795" w:rsidRPr="0081146C" w:rsidRDefault="00824795" w:rsidP="00824795">
      <w:pPr>
        <w:pStyle w:val="paragraph"/>
      </w:pPr>
      <w:r w:rsidRPr="0081146C">
        <w:tab/>
        <w:t>(fb)</w:t>
      </w:r>
      <w:r w:rsidRPr="0081146C">
        <w:tab/>
        <w:t>subsection 49B(6) (which deals with complying with a notice requiring certain information or documents);</w:t>
      </w:r>
    </w:p>
    <w:p w14:paraId="128CF62E" w14:textId="77777777" w:rsidR="002F4208" w:rsidRPr="0081146C" w:rsidRDefault="002F4208" w:rsidP="002F4208">
      <w:pPr>
        <w:pStyle w:val="paragraph"/>
      </w:pPr>
      <w:r w:rsidRPr="0081146C">
        <w:tab/>
        <w:t>(fc)</w:t>
      </w:r>
      <w:r w:rsidRPr="0081146C">
        <w:tab/>
        <w:t>subsection 49B(6A) (which deals with providing an LPP form in relation to information or documents requested);</w:t>
      </w:r>
    </w:p>
    <w:p w14:paraId="44CCF1C4" w14:textId="77777777" w:rsidR="002F4208" w:rsidRPr="0081146C" w:rsidRDefault="002F4208" w:rsidP="002F4208">
      <w:pPr>
        <w:pStyle w:val="paragraph"/>
      </w:pPr>
      <w:r w:rsidRPr="0081146C">
        <w:tab/>
        <w:t>(fd)</w:t>
      </w:r>
      <w:r w:rsidRPr="0081146C">
        <w:tab/>
        <w:t>subsection 50(4) (which deals with providing certain reports about a card issuer’s response, or lack of response to the AUSTRAC CEO);</w:t>
      </w:r>
    </w:p>
    <w:p w14:paraId="0563C8BE" w14:textId="77777777" w:rsidR="002F4208" w:rsidRPr="0081146C" w:rsidRDefault="002F4208" w:rsidP="002F4208">
      <w:pPr>
        <w:pStyle w:val="paragraph"/>
      </w:pPr>
      <w:r w:rsidRPr="0081146C">
        <w:tab/>
        <w:t>(fe)</w:t>
      </w:r>
      <w:r w:rsidRPr="0081146C">
        <w:tab/>
        <w:t>subsection 50(5) (which deals with providing certain reports about a card issuer’s response, or lack of response to the Commissioner of Taxation);</w:t>
      </w:r>
    </w:p>
    <w:p w14:paraId="740710F6" w14:textId="77777777" w:rsidR="00250C0B" w:rsidRPr="0081146C" w:rsidRDefault="00250C0B" w:rsidP="00250C0B">
      <w:pPr>
        <w:pStyle w:val="paragraph"/>
      </w:pPr>
      <w:r w:rsidRPr="0081146C">
        <w:tab/>
        <w:t>(ff)</w:t>
      </w:r>
      <w:r w:rsidRPr="0081146C">
        <w:tab/>
        <w:t>subsections 64(2), (3) and (5) (which deal with obligations of ordering institutions relating to transfers of value);</w:t>
      </w:r>
    </w:p>
    <w:p w14:paraId="4E229FB5" w14:textId="77777777" w:rsidR="00250C0B" w:rsidRPr="0081146C" w:rsidRDefault="00250C0B" w:rsidP="00250C0B">
      <w:pPr>
        <w:pStyle w:val="paragraph"/>
      </w:pPr>
      <w:r w:rsidRPr="0081146C">
        <w:tab/>
        <w:t>(fg)</w:t>
      </w:r>
      <w:r w:rsidRPr="0081146C">
        <w:tab/>
        <w:t>subsections 66(4) and (5) (which deal with obligations of intermediary institutions relating to transfers of value);</w:t>
      </w:r>
    </w:p>
    <w:p w14:paraId="2155C3CA" w14:textId="77777777" w:rsidR="00250C0B" w:rsidRPr="0081146C" w:rsidRDefault="00250C0B" w:rsidP="00250C0B">
      <w:pPr>
        <w:pStyle w:val="paragraph"/>
      </w:pPr>
      <w:r w:rsidRPr="0081146C">
        <w:tab/>
        <w:t>(fh)</w:t>
      </w:r>
      <w:r w:rsidRPr="0081146C">
        <w:tab/>
        <w:t>subsections 66A(4) and (7) (which deal with obligations of ordering and beneficiary institutions relating to virtual asset transfers);</w:t>
      </w:r>
    </w:p>
    <w:p w14:paraId="48569769" w14:textId="77777777" w:rsidR="002F4208" w:rsidRPr="0081146C" w:rsidRDefault="002F4208" w:rsidP="002F4208">
      <w:pPr>
        <w:pStyle w:val="paragraph"/>
      </w:pPr>
      <w:r w:rsidRPr="0081146C">
        <w:tab/>
        <w:t>(fi)</w:t>
      </w:r>
      <w:r w:rsidRPr="0081146C">
        <w:tab/>
        <w:t>subsection 75N(3) (which deals with providing an LPP form in relation to certain further information requested);</w:t>
      </w:r>
    </w:p>
    <w:p w14:paraId="3CFB7C4C" w14:textId="77777777" w:rsidR="002F4208" w:rsidRPr="0081146C" w:rsidRDefault="002F4208" w:rsidP="002F4208">
      <w:pPr>
        <w:pStyle w:val="paragraph"/>
      </w:pPr>
      <w:r w:rsidRPr="0081146C">
        <w:tab/>
        <w:t>(fj)</w:t>
      </w:r>
      <w:r w:rsidRPr="0081146C">
        <w:tab/>
        <w:t>subsection 76Q(3) (which deals with providing an LPP form in relation to certain further information requested);</w:t>
      </w:r>
    </w:p>
    <w:p w14:paraId="45659DC0" w14:textId="77777777" w:rsidR="00393E03" w:rsidRPr="0081146C" w:rsidRDefault="00393E03" w:rsidP="00393E03">
      <w:pPr>
        <w:pStyle w:val="paragraph"/>
      </w:pPr>
      <w:r w:rsidRPr="0081146C">
        <w:tab/>
        <w:t>(fk)</w:t>
      </w:r>
      <w:r w:rsidRPr="0081146C">
        <w:tab/>
        <w:t>subsection 111(2) (which deals with retaining records relating to customer due diligence);</w:t>
      </w:r>
    </w:p>
    <w:p w14:paraId="1B3D02FE" w14:textId="77777777" w:rsidR="007A2342" w:rsidRPr="0081146C" w:rsidRDefault="007A2342" w:rsidP="007A2342">
      <w:pPr>
        <w:pStyle w:val="paragraph"/>
      </w:pPr>
      <w:r w:rsidRPr="0081146C">
        <w:tab/>
        <w:t>(fl)</w:t>
      </w:r>
      <w:r w:rsidRPr="0081146C">
        <w:tab/>
        <w:t xml:space="preserve">subsection 114B(2) (which deals with retaining certain records made or obtained under the repealed </w:t>
      </w:r>
      <w:r w:rsidRPr="0081146C">
        <w:rPr>
          <w:i/>
        </w:rPr>
        <w:t>Financial Transaction Reports Act 1988</w:t>
      </w:r>
      <w:r w:rsidRPr="0081146C">
        <w:t>);</w:t>
      </w:r>
    </w:p>
    <w:p w14:paraId="7C9B5551" w14:textId="77777777" w:rsidR="009B278E" w:rsidRPr="0081146C" w:rsidRDefault="009B278E" w:rsidP="009B278E">
      <w:pPr>
        <w:pStyle w:val="paragraph"/>
      </w:pPr>
      <w:r w:rsidRPr="0081146C">
        <w:tab/>
        <w:t>(g)</w:t>
      </w:r>
      <w:r w:rsidRPr="0081146C">
        <w:tab/>
        <w:t>subsection 116(1) or (3) (which deal with retaining records relating to AML/CTF programs);</w:t>
      </w:r>
    </w:p>
    <w:p w14:paraId="1610B6CD" w14:textId="7BA595F6" w:rsidR="00824795" w:rsidRPr="0081146C" w:rsidRDefault="00824795" w:rsidP="00824795">
      <w:pPr>
        <w:pStyle w:val="paragraph"/>
      </w:pPr>
      <w:r w:rsidRPr="0081146C">
        <w:tab/>
        <w:t>(h)</w:t>
      </w:r>
      <w:r w:rsidRPr="0081146C">
        <w:tab/>
        <w:t>subsection 167(3A) (which deals with complying with a notice requiring certain information or documents);</w:t>
      </w:r>
    </w:p>
    <w:p w14:paraId="58EC93F3" w14:textId="5C00354B" w:rsidR="002F4208" w:rsidRPr="0081146C" w:rsidRDefault="002F4208" w:rsidP="002F4208">
      <w:pPr>
        <w:pStyle w:val="paragraph"/>
      </w:pPr>
      <w:r w:rsidRPr="0081146C">
        <w:tab/>
        <w:t>(i)</w:t>
      </w:r>
      <w:r w:rsidRPr="0081146C">
        <w:tab/>
        <w:t>subsection 167(5) (which deals with providing an LPP form in relation to certain information or documents to be provided to an authorised officer);</w:t>
      </w:r>
    </w:p>
    <w:p w14:paraId="06F4C220" w14:textId="77777777" w:rsidR="002F4208" w:rsidRPr="0081146C" w:rsidRDefault="002F4208" w:rsidP="002F4208">
      <w:pPr>
        <w:pStyle w:val="paragraph"/>
      </w:pPr>
      <w:r w:rsidRPr="0081146C">
        <w:tab/>
        <w:t>(j)</w:t>
      </w:r>
      <w:r w:rsidRPr="0081146C">
        <w:tab/>
        <w:t>subsection 202(5) (which deals with reporting entities providing an LPP form in relation to certain information or documents requested by notice).</w:t>
      </w:r>
    </w:p>
    <w:p w14:paraId="5C4E0750" w14:textId="77777777" w:rsidR="00035544" w:rsidRPr="0081146C" w:rsidRDefault="00035544" w:rsidP="00035544">
      <w:pPr>
        <w:pStyle w:val="ActHead5"/>
      </w:pPr>
      <w:bookmarkStart w:id="594" w:name="_Toc185416033"/>
      <w:r w:rsidRPr="0081146C">
        <w:rPr>
          <w:rStyle w:val="CharSectno"/>
        </w:rPr>
        <w:t>185</w:t>
      </w:r>
      <w:r w:rsidRPr="0081146C">
        <w:t xml:space="preserve">  Matters to be included in an infringement notice</w:t>
      </w:r>
      <w:bookmarkEnd w:id="594"/>
    </w:p>
    <w:p w14:paraId="387B6F77" w14:textId="77777777" w:rsidR="00035544" w:rsidRPr="0081146C" w:rsidRDefault="00035544" w:rsidP="00035544">
      <w:pPr>
        <w:pStyle w:val="subsection"/>
      </w:pPr>
      <w:r w:rsidRPr="0081146C">
        <w:tab/>
      </w:r>
      <w:r w:rsidR="00324D3F" w:rsidRPr="0081146C">
        <w:t>(1)</w:t>
      </w:r>
      <w:r w:rsidRPr="0081146C">
        <w:tab/>
        <w:t>An infringement notice must:</w:t>
      </w:r>
    </w:p>
    <w:p w14:paraId="726FF52E" w14:textId="77777777" w:rsidR="00035544" w:rsidRPr="0081146C" w:rsidRDefault="00035544" w:rsidP="00035544">
      <w:pPr>
        <w:pStyle w:val="paragraph"/>
      </w:pPr>
      <w:r w:rsidRPr="0081146C">
        <w:tab/>
        <w:t>(a)</w:t>
      </w:r>
      <w:r w:rsidRPr="0081146C">
        <w:tab/>
        <w:t>set out the name of the person to whom the notice is given; and</w:t>
      </w:r>
    </w:p>
    <w:p w14:paraId="4C1DD474" w14:textId="77777777" w:rsidR="00035544" w:rsidRPr="0081146C" w:rsidRDefault="00035544" w:rsidP="00035544">
      <w:pPr>
        <w:pStyle w:val="paragraph"/>
      </w:pPr>
      <w:r w:rsidRPr="0081146C">
        <w:tab/>
        <w:t>(b)</w:t>
      </w:r>
      <w:r w:rsidRPr="0081146C">
        <w:tab/>
        <w:t>set out the name of the person who gave the notice; and</w:t>
      </w:r>
    </w:p>
    <w:p w14:paraId="2F6C51F7" w14:textId="77777777" w:rsidR="00035544" w:rsidRPr="0081146C" w:rsidRDefault="00035544" w:rsidP="00035544">
      <w:pPr>
        <w:pStyle w:val="paragraph"/>
      </w:pPr>
      <w:r w:rsidRPr="0081146C">
        <w:tab/>
        <w:t>(c)</w:t>
      </w:r>
      <w:r w:rsidRPr="0081146C">
        <w:tab/>
        <w:t xml:space="preserve">set out brief details relating to the alleged contravention of </w:t>
      </w:r>
      <w:r w:rsidR="004F012B" w:rsidRPr="0081146C">
        <w:t>the infringement notice provision</w:t>
      </w:r>
      <w:r w:rsidRPr="0081146C">
        <w:t>, including the date of the alleged contravention; and</w:t>
      </w:r>
    </w:p>
    <w:p w14:paraId="699132D1" w14:textId="77777777" w:rsidR="00035544" w:rsidRPr="0081146C" w:rsidRDefault="00035544" w:rsidP="00035544">
      <w:pPr>
        <w:pStyle w:val="paragraph"/>
      </w:pPr>
      <w:r w:rsidRPr="0081146C">
        <w:tab/>
        <w:t>(d)</w:t>
      </w:r>
      <w:r w:rsidRPr="0081146C">
        <w:tab/>
        <w:t>contain a statement to the effect that neither criminal nor civil penalty proceedings will be brought in relation to the matter if the penalty specified in the notice is paid to the AUSTRAC CEO, on behalf of the Commonwealth, within:</w:t>
      </w:r>
    </w:p>
    <w:p w14:paraId="02575DB6" w14:textId="77777777" w:rsidR="00035544" w:rsidRPr="0081146C" w:rsidRDefault="00035544" w:rsidP="00035544">
      <w:pPr>
        <w:pStyle w:val="paragraphsub"/>
      </w:pPr>
      <w:r w:rsidRPr="0081146C">
        <w:tab/>
        <w:t>(i)</w:t>
      </w:r>
      <w:r w:rsidRPr="0081146C">
        <w:tab/>
        <w:t>28 days after the notice is given; or</w:t>
      </w:r>
    </w:p>
    <w:p w14:paraId="6CB2C42A" w14:textId="77777777" w:rsidR="00035544" w:rsidRPr="0081146C" w:rsidRDefault="00035544" w:rsidP="00035544">
      <w:pPr>
        <w:pStyle w:val="paragraphsub"/>
      </w:pPr>
      <w:r w:rsidRPr="0081146C">
        <w:tab/>
        <w:t>(ii)</w:t>
      </w:r>
      <w:r w:rsidRPr="0081146C">
        <w:tab/>
        <w:t>if the AUSTRAC CEO allows a longer period—that longer period; and</w:t>
      </w:r>
    </w:p>
    <w:p w14:paraId="211C702E" w14:textId="77777777" w:rsidR="00035544" w:rsidRPr="0081146C" w:rsidRDefault="00035544" w:rsidP="00035544">
      <w:pPr>
        <w:pStyle w:val="paragraph"/>
      </w:pPr>
      <w:r w:rsidRPr="0081146C">
        <w:tab/>
        <w:t>(e)</w:t>
      </w:r>
      <w:r w:rsidRPr="0081146C">
        <w:tab/>
        <w:t>give an explanation of how payment of the penalty is to be made; and</w:t>
      </w:r>
    </w:p>
    <w:p w14:paraId="5B0854EC" w14:textId="77777777" w:rsidR="00035544" w:rsidRPr="0081146C" w:rsidRDefault="00035544" w:rsidP="00035544">
      <w:pPr>
        <w:pStyle w:val="paragraph"/>
      </w:pPr>
      <w:r w:rsidRPr="0081146C">
        <w:tab/>
        <w:t>(f)</w:t>
      </w:r>
      <w:r w:rsidRPr="0081146C">
        <w:tab/>
        <w:t>set out such other matters (if any) as are specified in the regulations.</w:t>
      </w:r>
    </w:p>
    <w:p w14:paraId="69AED51F" w14:textId="77777777" w:rsidR="000639B5" w:rsidRPr="0081146C" w:rsidRDefault="000639B5" w:rsidP="000639B5">
      <w:pPr>
        <w:pStyle w:val="notetext"/>
      </w:pPr>
      <w:r w:rsidRPr="0081146C">
        <w:t>Note:</w:t>
      </w:r>
      <w:r w:rsidRPr="0081146C">
        <w:tab/>
        <w:t>See sections 186A and 186B for the penalty to be specified in the infringement notice.</w:t>
      </w:r>
    </w:p>
    <w:p w14:paraId="7332FBF9" w14:textId="77777777" w:rsidR="00E12160" w:rsidRPr="0081146C" w:rsidRDefault="00E12160" w:rsidP="00E12160">
      <w:pPr>
        <w:pStyle w:val="subsection"/>
      </w:pPr>
      <w:r w:rsidRPr="0081146C">
        <w:tab/>
        <w:t>(2)</w:t>
      </w:r>
      <w:r w:rsidRPr="0081146C">
        <w:tab/>
        <w:t xml:space="preserve">An infringement notice may specify more than one alleged contravention of one or more infringement notice provisions. If it does so, the infringement notice must set out the details referred to in </w:t>
      </w:r>
      <w:r w:rsidR="004F64A4" w:rsidRPr="0081146C">
        <w:t>paragraph (</w:t>
      </w:r>
      <w:r w:rsidRPr="0081146C">
        <w:t>1)(c) in relation to each alleged contravention.</w:t>
      </w:r>
    </w:p>
    <w:p w14:paraId="05F96703" w14:textId="77777777" w:rsidR="000639B5" w:rsidRPr="0081146C" w:rsidRDefault="000639B5" w:rsidP="000639B5">
      <w:pPr>
        <w:pStyle w:val="ActHead5"/>
      </w:pPr>
      <w:bookmarkStart w:id="595" w:name="_Toc185416034"/>
      <w:r w:rsidRPr="0081146C">
        <w:rPr>
          <w:rStyle w:val="CharSectno"/>
        </w:rPr>
        <w:t>186A</w:t>
      </w:r>
      <w:r w:rsidRPr="0081146C">
        <w:t xml:space="preserve">  Amount of penalty—breaches of certain provisions of Part 3A, 4, 6 or 6A</w:t>
      </w:r>
      <w:bookmarkEnd w:id="595"/>
    </w:p>
    <w:p w14:paraId="4BF192C4" w14:textId="77777777" w:rsidR="00AB13A1" w:rsidRPr="0081146C" w:rsidRDefault="00AB13A1" w:rsidP="00AB13A1">
      <w:pPr>
        <w:pStyle w:val="SubsectionHead"/>
      </w:pPr>
      <w:r w:rsidRPr="0081146C">
        <w:t>Infringement notice—bodies corporate</w:t>
      </w:r>
    </w:p>
    <w:p w14:paraId="0D983748" w14:textId="77777777" w:rsidR="00AB13A1" w:rsidRPr="0081146C" w:rsidRDefault="00AB13A1" w:rsidP="00AB13A1">
      <w:pPr>
        <w:pStyle w:val="subsection"/>
      </w:pPr>
      <w:r w:rsidRPr="0081146C">
        <w:tab/>
        <w:t>(1)</w:t>
      </w:r>
      <w:r w:rsidRPr="0081146C">
        <w:tab/>
        <w:t xml:space="preserve">The penalty to be specified in an infringement notice for an alleged contravention of </w:t>
      </w:r>
      <w:r w:rsidR="0095413C" w:rsidRPr="0081146C">
        <w:t>subsection 51B(1), 51F(1), 53(2), 74(1), (1A), (1B) or (1C), 75M(1), 76A(1) or (2) or 76P(1)</w:t>
      </w:r>
      <w:r w:rsidR="00EC4E45" w:rsidRPr="0081146C">
        <w:t xml:space="preserve"> </w:t>
      </w:r>
      <w:r w:rsidRPr="0081146C">
        <w:t>by a body corporate must be a pecuniary penalty equal to:</w:t>
      </w:r>
    </w:p>
    <w:p w14:paraId="238D82F9" w14:textId="77777777" w:rsidR="00AB13A1" w:rsidRPr="0081146C" w:rsidRDefault="00AB13A1" w:rsidP="00AB13A1">
      <w:pPr>
        <w:pStyle w:val="paragraph"/>
      </w:pPr>
      <w:r w:rsidRPr="0081146C">
        <w:tab/>
        <w:t>(a)</w:t>
      </w:r>
      <w:r w:rsidRPr="0081146C">
        <w:tab/>
        <w:t xml:space="preserve">if the alleged contravention is of a kind specified in the AML/CTF Rules under </w:t>
      </w:r>
      <w:r w:rsidR="004F64A4" w:rsidRPr="0081146C">
        <w:t>subsection (</w:t>
      </w:r>
      <w:r w:rsidRPr="0081146C">
        <w:t>3)—the number of penalty units specified in the AML/CTF Rules in relation to that kind of contravention; or</w:t>
      </w:r>
    </w:p>
    <w:p w14:paraId="06E65EAE" w14:textId="77777777" w:rsidR="00AB13A1" w:rsidRPr="0081146C" w:rsidRDefault="00AB13A1" w:rsidP="00AB13A1">
      <w:pPr>
        <w:pStyle w:val="paragraph"/>
      </w:pPr>
      <w:r w:rsidRPr="0081146C">
        <w:tab/>
        <w:t>(b)</w:t>
      </w:r>
      <w:r w:rsidRPr="0081146C">
        <w:tab/>
        <w:t>otherwise—60 penalty units.</w:t>
      </w:r>
    </w:p>
    <w:p w14:paraId="4ECAF2FB" w14:textId="77777777" w:rsidR="00AB13A1" w:rsidRPr="0081146C" w:rsidRDefault="00AB13A1" w:rsidP="00AB13A1">
      <w:pPr>
        <w:pStyle w:val="SubsectionHead"/>
      </w:pPr>
      <w:r w:rsidRPr="0081146C">
        <w:t>Infringement notice—persons other than bodies corporate</w:t>
      </w:r>
    </w:p>
    <w:p w14:paraId="5AD862BF" w14:textId="77777777" w:rsidR="00AB13A1" w:rsidRPr="0081146C" w:rsidRDefault="00AB13A1" w:rsidP="00AB13A1">
      <w:pPr>
        <w:pStyle w:val="subsection"/>
      </w:pPr>
      <w:r w:rsidRPr="0081146C">
        <w:tab/>
        <w:t>(2)</w:t>
      </w:r>
      <w:r w:rsidRPr="0081146C">
        <w:tab/>
        <w:t xml:space="preserve">The penalty to be specified in an infringement notice for an alleged contravention of </w:t>
      </w:r>
      <w:r w:rsidR="0095413C" w:rsidRPr="0081146C">
        <w:t>subsection 51B(1), 51F(1), 53(2), 74(1), (1A), (1B) or (1C), 75M(1), 76A(1) or (2) or 76P(1)</w:t>
      </w:r>
      <w:r w:rsidRPr="0081146C">
        <w:t xml:space="preserve"> by a person other than a body corporate must be a pecuniary penalty equal to:</w:t>
      </w:r>
    </w:p>
    <w:p w14:paraId="3A5111E1" w14:textId="77777777" w:rsidR="00AB13A1" w:rsidRPr="0081146C" w:rsidRDefault="00AB13A1" w:rsidP="00AB13A1">
      <w:pPr>
        <w:pStyle w:val="paragraph"/>
      </w:pPr>
      <w:r w:rsidRPr="0081146C">
        <w:tab/>
        <w:t>(a)</w:t>
      </w:r>
      <w:r w:rsidRPr="0081146C">
        <w:tab/>
        <w:t xml:space="preserve">if the alleged contravention is of a kind specified in the AML/CTF Rules under </w:t>
      </w:r>
      <w:r w:rsidR="004F64A4" w:rsidRPr="0081146C">
        <w:t>subsection (</w:t>
      </w:r>
      <w:r w:rsidRPr="0081146C">
        <w:t>3)—the number of penalty units specified in the AML/CTF Rules in relation to that kind of contravention; or</w:t>
      </w:r>
    </w:p>
    <w:p w14:paraId="5327AC12" w14:textId="77777777" w:rsidR="00AB13A1" w:rsidRPr="0081146C" w:rsidRDefault="00AB13A1" w:rsidP="00AB13A1">
      <w:pPr>
        <w:pStyle w:val="paragraph"/>
      </w:pPr>
      <w:r w:rsidRPr="0081146C">
        <w:tab/>
        <w:t>(b)</w:t>
      </w:r>
      <w:r w:rsidRPr="0081146C">
        <w:tab/>
        <w:t>otherwise—12 penalty units.</w:t>
      </w:r>
    </w:p>
    <w:p w14:paraId="34010562" w14:textId="77777777" w:rsidR="00AB13A1" w:rsidRPr="0081146C" w:rsidRDefault="00AB13A1" w:rsidP="00AB13A1">
      <w:pPr>
        <w:pStyle w:val="SubsectionHead"/>
      </w:pPr>
      <w:r w:rsidRPr="0081146C">
        <w:t>AML/CTF Rules may specify penalty units</w:t>
      </w:r>
    </w:p>
    <w:p w14:paraId="26384816" w14:textId="77777777" w:rsidR="00AB13A1" w:rsidRPr="0081146C" w:rsidRDefault="00AB13A1" w:rsidP="00AB13A1">
      <w:pPr>
        <w:pStyle w:val="subsection"/>
      </w:pPr>
      <w:r w:rsidRPr="0081146C">
        <w:tab/>
        <w:t>(3)</w:t>
      </w:r>
      <w:r w:rsidRPr="0081146C">
        <w:tab/>
        <w:t xml:space="preserve">For the purposes of </w:t>
      </w:r>
      <w:r w:rsidR="004F64A4" w:rsidRPr="0081146C">
        <w:t>paragraphs (</w:t>
      </w:r>
      <w:r w:rsidRPr="0081146C">
        <w:t>1)(a) and (2)(a), the AML/CTF Rules may:</w:t>
      </w:r>
    </w:p>
    <w:p w14:paraId="58323268" w14:textId="77777777" w:rsidR="0095413C" w:rsidRPr="0081146C" w:rsidRDefault="0095413C" w:rsidP="0095413C">
      <w:pPr>
        <w:pStyle w:val="paragraph"/>
      </w:pPr>
      <w:r w:rsidRPr="0081146C">
        <w:tab/>
        <w:t>(a)</w:t>
      </w:r>
      <w:r w:rsidRPr="0081146C">
        <w:tab/>
        <w:t>specify one or more kinds of alleged contraventions; and</w:t>
      </w:r>
    </w:p>
    <w:p w14:paraId="18C4A563" w14:textId="77777777" w:rsidR="00AB13A1" w:rsidRPr="0081146C" w:rsidRDefault="00AB13A1" w:rsidP="00AB13A1">
      <w:pPr>
        <w:pStyle w:val="paragraph"/>
      </w:pPr>
      <w:r w:rsidRPr="0081146C">
        <w:tab/>
        <w:t>(b)</w:t>
      </w:r>
      <w:r w:rsidRPr="0081146C">
        <w:tab/>
        <w:t>for each kind of contravention—specify a particular number of penalty units that applies.</w:t>
      </w:r>
    </w:p>
    <w:p w14:paraId="4B098621" w14:textId="77777777" w:rsidR="00AB13A1" w:rsidRPr="0081146C" w:rsidRDefault="00AB13A1" w:rsidP="00AB13A1">
      <w:pPr>
        <w:pStyle w:val="subsection"/>
      </w:pPr>
      <w:r w:rsidRPr="0081146C">
        <w:tab/>
        <w:t>(4)</w:t>
      </w:r>
      <w:r w:rsidRPr="0081146C">
        <w:tab/>
        <w:t xml:space="preserve">Without limiting the kinds of contraventions that may be specified in the AML/CTF Rules made under </w:t>
      </w:r>
      <w:r w:rsidR="004F64A4" w:rsidRPr="0081146C">
        <w:t>paragraph (</w:t>
      </w:r>
      <w:r w:rsidRPr="0081146C">
        <w:t>3)(a), the contraventions may be described by reference to the following:</w:t>
      </w:r>
    </w:p>
    <w:p w14:paraId="476B7E8C" w14:textId="77777777" w:rsidR="0095413C" w:rsidRPr="0081146C" w:rsidRDefault="0095413C" w:rsidP="0095413C">
      <w:pPr>
        <w:pStyle w:val="paragraph"/>
      </w:pPr>
      <w:r w:rsidRPr="0081146C">
        <w:tab/>
        <w:t>(a)</w:t>
      </w:r>
      <w:r w:rsidRPr="0081146C">
        <w:tab/>
        <w:t>whether an alleged contravention is one of a number of alleged contraventions of a provision covered by subsection (1) or (2) that is specified in a particular infringement notice;</w:t>
      </w:r>
    </w:p>
    <w:p w14:paraId="01E2A38B" w14:textId="77777777" w:rsidR="0095413C" w:rsidRPr="0081146C" w:rsidRDefault="0095413C" w:rsidP="0095413C">
      <w:pPr>
        <w:pStyle w:val="paragraph"/>
      </w:pPr>
      <w:r w:rsidRPr="0081146C">
        <w:tab/>
        <w:t>(b)</w:t>
      </w:r>
      <w:r w:rsidRPr="0081146C">
        <w:tab/>
        <w:t>whether a person alleged to have contravened one or more provisions covered by subsection (1) or (2) has previously been given an infringement notice in relation to an alleged contravention of one or more of those provisions.</w:t>
      </w:r>
    </w:p>
    <w:p w14:paraId="6EA8C770" w14:textId="77777777" w:rsidR="00AB13A1" w:rsidRPr="0081146C" w:rsidRDefault="00AB13A1" w:rsidP="00AB13A1">
      <w:pPr>
        <w:pStyle w:val="subsection"/>
      </w:pPr>
      <w:r w:rsidRPr="0081146C">
        <w:tab/>
        <w:t>(5)</w:t>
      </w:r>
      <w:r w:rsidRPr="0081146C">
        <w:tab/>
        <w:t xml:space="preserve">The number of penalty units specified in AML/CTF Rules made under </w:t>
      </w:r>
      <w:r w:rsidR="004F64A4" w:rsidRPr="0081146C">
        <w:t>paragraph (</w:t>
      </w:r>
      <w:r w:rsidRPr="0081146C">
        <w:t>3)(b) in relation to a particular kind of contravention must not exceed:</w:t>
      </w:r>
    </w:p>
    <w:p w14:paraId="5BF7F984" w14:textId="77777777" w:rsidR="00AB13A1" w:rsidRPr="0081146C" w:rsidRDefault="00AB13A1" w:rsidP="00AB13A1">
      <w:pPr>
        <w:pStyle w:val="paragraph"/>
      </w:pPr>
      <w:r w:rsidRPr="0081146C">
        <w:tab/>
        <w:t>(a)</w:t>
      </w:r>
      <w:r w:rsidRPr="0081146C">
        <w:tab/>
        <w:t>in the case of an alleged contravention by a body corporate—120 penalty units; or</w:t>
      </w:r>
    </w:p>
    <w:p w14:paraId="532C2806" w14:textId="77777777" w:rsidR="00AB13A1" w:rsidRPr="0081146C" w:rsidRDefault="00AB13A1" w:rsidP="00AB13A1">
      <w:pPr>
        <w:pStyle w:val="paragraph"/>
      </w:pPr>
      <w:r w:rsidRPr="0081146C">
        <w:tab/>
        <w:t>(b)</w:t>
      </w:r>
      <w:r w:rsidRPr="0081146C">
        <w:tab/>
        <w:t>in the case of an alleged contravention by a person other than a body corporate—24 penalty units.</w:t>
      </w:r>
    </w:p>
    <w:p w14:paraId="60085DAC" w14:textId="77777777" w:rsidR="0049002F" w:rsidRPr="0081146C" w:rsidRDefault="0049002F" w:rsidP="0049002F">
      <w:pPr>
        <w:pStyle w:val="ActHead5"/>
      </w:pPr>
      <w:bookmarkStart w:id="596" w:name="_Toc185416035"/>
      <w:r w:rsidRPr="0081146C">
        <w:rPr>
          <w:rStyle w:val="CharSectno"/>
        </w:rPr>
        <w:t>186B</w:t>
      </w:r>
      <w:r w:rsidRPr="0081146C">
        <w:t xml:space="preserve">  Amount of penalty—breaches of designated infringement notice provisions</w:t>
      </w:r>
      <w:bookmarkEnd w:id="596"/>
    </w:p>
    <w:p w14:paraId="3BFE741D" w14:textId="77777777" w:rsidR="0049002F" w:rsidRPr="0081146C" w:rsidRDefault="0049002F" w:rsidP="0049002F">
      <w:pPr>
        <w:pStyle w:val="subsection"/>
      </w:pPr>
      <w:r w:rsidRPr="0081146C">
        <w:tab/>
        <w:t>(1)</w:t>
      </w:r>
      <w:r w:rsidRPr="0081146C">
        <w:tab/>
        <w:t>The penalty to be specified in an infringement notice for an alleged contravention of a designated infringement notice provision by a body corporate must be a pecuniary penalty equal to 60 penalty units.</w:t>
      </w:r>
    </w:p>
    <w:p w14:paraId="2BB95434" w14:textId="77777777" w:rsidR="0049002F" w:rsidRPr="0081146C" w:rsidRDefault="0049002F" w:rsidP="0049002F">
      <w:pPr>
        <w:pStyle w:val="subsection"/>
      </w:pPr>
      <w:r w:rsidRPr="0081146C">
        <w:tab/>
        <w:t>(2)</w:t>
      </w:r>
      <w:r w:rsidRPr="0081146C">
        <w:tab/>
        <w:t>The penalty to be specified in an infringement notice for an alleged contravention of a designated infringement notice provision by a person other than a body corporate must be a pecuniary penalty equal to 12 penalty units.</w:t>
      </w:r>
    </w:p>
    <w:p w14:paraId="7FE0164B" w14:textId="77777777" w:rsidR="00035544" w:rsidRPr="0081146C" w:rsidRDefault="00035544" w:rsidP="00035544">
      <w:pPr>
        <w:pStyle w:val="ActHead5"/>
      </w:pPr>
      <w:bookmarkStart w:id="597" w:name="_Toc185416036"/>
      <w:r w:rsidRPr="0081146C">
        <w:rPr>
          <w:rStyle w:val="CharSectno"/>
        </w:rPr>
        <w:t>187</w:t>
      </w:r>
      <w:r w:rsidRPr="0081146C">
        <w:t xml:space="preserve">  Withdrawal of an infringement notice</w:t>
      </w:r>
      <w:bookmarkEnd w:id="597"/>
    </w:p>
    <w:p w14:paraId="52C43F6B" w14:textId="77777777" w:rsidR="00035544" w:rsidRPr="0081146C" w:rsidRDefault="00035544" w:rsidP="00035544">
      <w:pPr>
        <w:pStyle w:val="subsection"/>
      </w:pPr>
      <w:r w:rsidRPr="0081146C">
        <w:tab/>
        <w:t>(1)</w:t>
      </w:r>
      <w:r w:rsidRPr="0081146C">
        <w:tab/>
        <w:t>This section applies if an infringement notice is given to a person.</w:t>
      </w:r>
    </w:p>
    <w:p w14:paraId="4DC1D598" w14:textId="77777777" w:rsidR="00035544" w:rsidRPr="0081146C" w:rsidRDefault="00035544" w:rsidP="00035544">
      <w:pPr>
        <w:pStyle w:val="subsection"/>
      </w:pPr>
      <w:r w:rsidRPr="0081146C">
        <w:tab/>
        <w:t>(2)</w:t>
      </w:r>
      <w:r w:rsidRPr="0081146C">
        <w:tab/>
        <w:t xml:space="preserve">An authorised officer may, by written notice (the </w:t>
      </w:r>
      <w:r w:rsidRPr="0081146C">
        <w:rPr>
          <w:b/>
          <w:i/>
        </w:rPr>
        <w:t>withdrawal notice</w:t>
      </w:r>
      <w:r w:rsidRPr="0081146C">
        <w:t>) given to the person, withdraw the infringement notice.</w:t>
      </w:r>
    </w:p>
    <w:p w14:paraId="202C0D60" w14:textId="77777777" w:rsidR="00035544" w:rsidRPr="0081146C" w:rsidRDefault="00035544" w:rsidP="00035544">
      <w:pPr>
        <w:pStyle w:val="subsection"/>
      </w:pPr>
      <w:r w:rsidRPr="0081146C">
        <w:tab/>
        <w:t>(3)</w:t>
      </w:r>
      <w:r w:rsidRPr="0081146C">
        <w:tab/>
        <w:t>To be effective, the withdrawal notice must be given to the person within 28 days after the infringement notice was given.</w:t>
      </w:r>
    </w:p>
    <w:p w14:paraId="5509D798" w14:textId="77777777" w:rsidR="00035544" w:rsidRPr="0081146C" w:rsidRDefault="00035544" w:rsidP="00035544">
      <w:pPr>
        <w:pStyle w:val="SubsectionHead"/>
      </w:pPr>
      <w:r w:rsidRPr="0081146C">
        <w:t>Refund of penalty if infringement notice withdrawn</w:t>
      </w:r>
    </w:p>
    <w:p w14:paraId="75A0B323" w14:textId="77777777" w:rsidR="00035544" w:rsidRPr="0081146C" w:rsidRDefault="00035544" w:rsidP="00035544">
      <w:pPr>
        <w:pStyle w:val="subsection"/>
      </w:pPr>
      <w:r w:rsidRPr="0081146C">
        <w:tab/>
        <w:t>(4)</w:t>
      </w:r>
      <w:r w:rsidRPr="0081146C">
        <w:tab/>
        <w:t>If:</w:t>
      </w:r>
    </w:p>
    <w:p w14:paraId="31054C83" w14:textId="77777777" w:rsidR="00035544" w:rsidRPr="0081146C" w:rsidRDefault="00035544" w:rsidP="00035544">
      <w:pPr>
        <w:pStyle w:val="paragraph"/>
      </w:pPr>
      <w:r w:rsidRPr="0081146C">
        <w:tab/>
        <w:t>(a)</w:t>
      </w:r>
      <w:r w:rsidRPr="0081146C">
        <w:tab/>
        <w:t>the penalty specified in the infringement notice is paid; and</w:t>
      </w:r>
    </w:p>
    <w:p w14:paraId="33550EBD" w14:textId="77777777" w:rsidR="00035544" w:rsidRPr="0081146C" w:rsidRDefault="00035544" w:rsidP="00035544">
      <w:pPr>
        <w:pStyle w:val="paragraph"/>
      </w:pPr>
      <w:r w:rsidRPr="0081146C">
        <w:tab/>
        <w:t>(b)</w:t>
      </w:r>
      <w:r w:rsidRPr="0081146C">
        <w:tab/>
        <w:t>the infringement notice is withdrawn after the penalty is paid;</w:t>
      </w:r>
    </w:p>
    <w:p w14:paraId="612337A2" w14:textId="77777777" w:rsidR="00035544" w:rsidRPr="0081146C" w:rsidRDefault="00035544" w:rsidP="00035544">
      <w:pPr>
        <w:pStyle w:val="subsection2"/>
      </w:pPr>
      <w:r w:rsidRPr="0081146C">
        <w:t>the Commonwealth is liable to refund the penalty.</w:t>
      </w:r>
    </w:p>
    <w:p w14:paraId="1F1A2CED" w14:textId="77777777" w:rsidR="00035544" w:rsidRPr="0081146C" w:rsidRDefault="00035544" w:rsidP="00035544">
      <w:pPr>
        <w:pStyle w:val="ActHead5"/>
      </w:pPr>
      <w:bookmarkStart w:id="598" w:name="_Toc185416037"/>
      <w:r w:rsidRPr="0081146C">
        <w:rPr>
          <w:rStyle w:val="CharSectno"/>
        </w:rPr>
        <w:t>188</w:t>
      </w:r>
      <w:r w:rsidRPr="0081146C">
        <w:t xml:space="preserve">  What happens if the penalty is paid</w:t>
      </w:r>
      <w:bookmarkEnd w:id="598"/>
    </w:p>
    <w:p w14:paraId="4A3A493A" w14:textId="77777777" w:rsidR="00035544" w:rsidRPr="0081146C" w:rsidRDefault="00035544" w:rsidP="00035544">
      <w:pPr>
        <w:pStyle w:val="subsection"/>
      </w:pPr>
      <w:r w:rsidRPr="0081146C">
        <w:tab/>
        <w:t>(1)</w:t>
      </w:r>
      <w:r w:rsidRPr="0081146C">
        <w:tab/>
        <w:t>This section applies if:</w:t>
      </w:r>
    </w:p>
    <w:p w14:paraId="39181AB3" w14:textId="77777777" w:rsidR="00035544" w:rsidRPr="0081146C" w:rsidRDefault="00035544" w:rsidP="00035544">
      <w:pPr>
        <w:pStyle w:val="paragraph"/>
      </w:pPr>
      <w:r w:rsidRPr="0081146C">
        <w:tab/>
        <w:t>(a)</w:t>
      </w:r>
      <w:r w:rsidRPr="0081146C">
        <w:tab/>
        <w:t xml:space="preserve">an infringement notice relating to an alleged contravention of </w:t>
      </w:r>
      <w:r w:rsidR="00492BF8" w:rsidRPr="0081146C">
        <w:t>an infringement notice provision</w:t>
      </w:r>
      <w:r w:rsidRPr="0081146C">
        <w:t xml:space="preserve"> is given to a person; and</w:t>
      </w:r>
    </w:p>
    <w:p w14:paraId="6CC51CB1" w14:textId="77777777" w:rsidR="00035544" w:rsidRPr="0081146C" w:rsidRDefault="00035544" w:rsidP="00035544">
      <w:pPr>
        <w:pStyle w:val="paragraph"/>
      </w:pPr>
      <w:r w:rsidRPr="0081146C">
        <w:tab/>
        <w:t>(b)</w:t>
      </w:r>
      <w:r w:rsidRPr="0081146C">
        <w:tab/>
        <w:t>the penalty is paid in accordance with the infringement notice; and</w:t>
      </w:r>
    </w:p>
    <w:p w14:paraId="60EAA012" w14:textId="77777777" w:rsidR="00035544" w:rsidRPr="0081146C" w:rsidRDefault="00035544" w:rsidP="00035544">
      <w:pPr>
        <w:pStyle w:val="paragraph"/>
      </w:pPr>
      <w:r w:rsidRPr="0081146C">
        <w:tab/>
        <w:t>(c)</w:t>
      </w:r>
      <w:r w:rsidRPr="0081146C">
        <w:tab/>
        <w:t>the infringement notice is not withdrawn.</w:t>
      </w:r>
    </w:p>
    <w:p w14:paraId="240BB06D" w14:textId="77777777" w:rsidR="00035544" w:rsidRPr="0081146C" w:rsidRDefault="00035544" w:rsidP="00035544">
      <w:pPr>
        <w:pStyle w:val="subsection"/>
      </w:pPr>
      <w:r w:rsidRPr="0081146C">
        <w:tab/>
        <w:t>(2)</w:t>
      </w:r>
      <w:r w:rsidRPr="0081146C">
        <w:tab/>
        <w:t>Any liability of the person for the alleged contravention is discharged.</w:t>
      </w:r>
    </w:p>
    <w:p w14:paraId="6F7C0FED" w14:textId="77777777" w:rsidR="00035544" w:rsidRPr="0081146C" w:rsidRDefault="00035544" w:rsidP="00035544">
      <w:pPr>
        <w:pStyle w:val="subsection"/>
      </w:pPr>
      <w:r w:rsidRPr="0081146C">
        <w:tab/>
        <w:t>(3)</w:t>
      </w:r>
      <w:r w:rsidRPr="0081146C">
        <w:tab/>
        <w:t xml:space="preserve">Criminal proceedings, or </w:t>
      </w:r>
      <w:r w:rsidR="003B7E15" w:rsidRPr="0081146C">
        <w:t>section 1</w:t>
      </w:r>
      <w:r w:rsidRPr="0081146C">
        <w:t>75 proceedings, may not be brought against the person for the alleged contravention.</w:t>
      </w:r>
    </w:p>
    <w:p w14:paraId="057BD822" w14:textId="77777777" w:rsidR="00035544" w:rsidRPr="0081146C" w:rsidRDefault="00035544" w:rsidP="00035544">
      <w:pPr>
        <w:pStyle w:val="ActHead5"/>
      </w:pPr>
      <w:bookmarkStart w:id="599" w:name="_Toc185416038"/>
      <w:r w:rsidRPr="0081146C">
        <w:rPr>
          <w:rStyle w:val="CharSectno"/>
        </w:rPr>
        <w:t>189</w:t>
      </w:r>
      <w:r w:rsidRPr="0081146C">
        <w:t xml:space="preserve">  Effect of this Division on criminal and civil proceedings</w:t>
      </w:r>
      <w:bookmarkEnd w:id="599"/>
    </w:p>
    <w:p w14:paraId="7B1F4C84" w14:textId="77777777" w:rsidR="00035544" w:rsidRPr="0081146C" w:rsidRDefault="00035544" w:rsidP="00035544">
      <w:pPr>
        <w:pStyle w:val="subsection"/>
      </w:pPr>
      <w:r w:rsidRPr="0081146C">
        <w:tab/>
      </w:r>
      <w:r w:rsidRPr="0081146C">
        <w:tab/>
        <w:t>This Division does not:</w:t>
      </w:r>
    </w:p>
    <w:p w14:paraId="7AC75EAF" w14:textId="77777777" w:rsidR="00035544" w:rsidRPr="0081146C" w:rsidRDefault="00035544" w:rsidP="00035544">
      <w:pPr>
        <w:pStyle w:val="paragraph"/>
      </w:pPr>
      <w:r w:rsidRPr="0081146C">
        <w:tab/>
        <w:t>(a)</w:t>
      </w:r>
      <w:r w:rsidRPr="0081146C">
        <w:tab/>
        <w:t xml:space="preserve">require an infringement notice to be given in relation to an alleged contravention of </w:t>
      </w:r>
      <w:r w:rsidR="00AC384C" w:rsidRPr="0081146C">
        <w:t>an infringement notice provision</w:t>
      </w:r>
      <w:r w:rsidRPr="0081146C">
        <w:t>; or</w:t>
      </w:r>
    </w:p>
    <w:p w14:paraId="4D884DCB" w14:textId="77777777" w:rsidR="00035544" w:rsidRPr="0081146C" w:rsidRDefault="00035544" w:rsidP="00035544">
      <w:pPr>
        <w:pStyle w:val="paragraph"/>
      </w:pPr>
      <w:r w:rsidRPr="0081146C">
        <w:tab/>
        <w:t>(b)</w:t>
      </w:r>
      <w:r w:rsidRPr="0081146C">
        <w:tab/>
        <w:t>affect the liability of a person to have:</w:t>
      </w:r>
    </w:p>
    <w:p w14:paraId="011D4615" w14:textId="77777777" w:rsidR="00035544" w:rsidRPr="0081146C" w:rsidRDefault="00035544" w:rsidP="00035544">
      <w:pPr>
        <w:pStyle w:val="paragraphsub"/>
      </w:pPr>
      <w:r w:rsidRPr="0081146C">
        <w:tab/>
        <w:t>(i)</w:t>
      </w:r>
      <w:r w:rsidRPr="0081146C">
        <w:tab/>
        <w:t>criminal proceedings brought against the person for an alleged contravention of subsection</w:t>
      </w:r>
      <w:r w:rsidR="004F64A4" w:rsidRPr="0081146C">
        <w:t> </w:t>
      </w:r>
      <w:r w:rsidRPr="0081146C">
        <w:t>53(1)</w:t>
      </w:r>
      <w:r w:rsidR="0049002F" w:rsidRPr="0081146C">
        <w:t>, 74(2), (4), (6) or (8) or 76A(3), (5), (7) or (9)</w:t>
      </w:r>
      <w:r w:rsidRPr="0081146C">
        <w:t>; or</w:t>
      </w:r>
    </w:p>
    <w:p w14:paraId="5B16453B" w14:textId="77777777" w:rsidR="00035544" w:rsidRPr="0081146C" w:rsidRDefault="00035544" w:rsidP="00035544">
      <w:pPr>
        <w:pStyle w:val="paragraphsub"/>
      </w:pPr>
      <w:r w:rsidRPr="0081146C">
        <w:tab/>
        <w:t>(ii)</w:t>
      </w:r>
      <w:r w:rsidRPr="0081146C">
        <w:tab/>
      </w:r>
      <w:r w:rsidR="003B7E15" w:rsidRPr="0081146C">
        <w:t>section 1</w:t>
      </w:r>
      <w:r w:rsidRPr="0081146C">
        <w:t xml:space="preserve">75 proceedings brought against the person for an alleged contravention of </w:t>
      </w:r>
      <w:r w:rsidR="00A604D2" w:rsidRPr="0081146C">
        <w:t>an infringement notice provision</w:t>
      </w:r>
      <w:r w:rsidRPr="0081146C">
        <w:t>;</w:t>
      </w:r>
    </w:p>
    <w:p w14:paraId="006ACBB8" w14:textId="77777777" w:rsidR="00035544" w:rsidRPr="0081146C" w:rsidRDefault="00035544" w:rsidP="00035544">
      <w:pPr>
        <w:pStyle w:val="paragraph"/>
      </w:pPr>
      <w:r w:rsidRPr="0081146C">
        <w:tab/>
      </w:r>
      <w:r w:rsidRPr="0081146C">
        <w:tab/>
        <w:t>if:</w:t>
      </w:r>
    </w:p>
    <w:p w14:paraId="1C160446" w14:textId="77777777" w:rsidR="00035544" w:rsidRPr="0081146C" w:rsidRDefault="00035544" w:rsidP="00035544">
      <w:pPr>
        <w:pStyle w:val="paragraphsub"/>
      </w:pPr>
      <w:r w:rsidRPr="0081146C">
        <w:tab/>
        <w:t>(iii)</w:t>
      </w:r>
      <w:r w:rsidRPr="0081146C">
        <w:tab/>
        <w:t>the person does not comply with an infringement notice relating to the contravention; or</w:t>
      </w:r>
    </w:p>
    <w:p w14:paraId="13AEAE47" w14:textId="77777777" w:rsidR="00035544" w:rsidRPr="0081146C" w:rsidRDefault="00035544" w:rsidP="00035544">
      <w:pPr>
        <w:pStyle w:val="paragraphsub"/>
      </w:pPr>
      <w:r w:rsidRPr="0081146C">
        <w:tab/>
        <w:t>(iv)</w:t>
      </w:r>
      <w:r w:rsidRPr="0081146C">
        <w:tab/>
        <w:t>an infringement notice relating to the contravention is not given to the person; or</w:t>
      </w:r>
    </w:p>
    <w:p w14:paraId="2F60854A" w14:textId="77777777" w:rsidR="00035544" w:rsidRPr="0081146C" w:rsidRDefault="00035544" w:rsidP="00035544">
      <w:pPr>
        <w:pStyle w:val="paragraphsub"/>
      </w:pPr>
      <w:r w:rsidRPr="0081146C">
        <w:tab/>
        <w:t>(v)</w:t>
      </w:r>
      <w:r w:rsidRPr="0081146C">
        <w:tab/>
        <w:t>an infringement notice relating to the contravention is given to the person and subsequently withdrawn; or</w:t>
      </w:r>
    </w:p>
    <w:p w14:paraId="24E63F83" w14:textId="77777777" w:rsidR="00035544" w:rsidRPr="0081146C" w:rsidRDefault="00035544" w:rsidP="00035544">
      <w:pPr>
        <w:pStyle w:val="paragraph"/>
      </w:pPr>
      <w:r w:rsidRPr="0081146C">
        <w:tab/>
        <w:t>(c)</w:t>
      </w:r>
      <w:r w:rsidRPr="0081146C">
        <w:tab/>
        <w:t>limit a court’s discretion to determine the amount of a penalty to be imposed on a person who:</w:t>
      </w:r>
    </w:p>
    <w:p w14:paraId="301F5BB2" w14:textId="77777777" w:rsidR="00035544" w:rsidRPr="0081146C" w:rsidRDefault="00035544" w:rsidP="00035544">
      <w:pPr>
        <w:pStyle w:val="paragraphsub"/>
      </w:pPr>
      <w:r w:rsidRPr="0081146C">
        <w:tab/>
        <w:t>(i)</w:t>
      </w:r>
      <w:r w:rsidRPr="0081146C">
        <w:tab/>
        <w:t>is found in criminal proceedings to have contravened subsection</w:t>
      </w:r>
      <w:r w:rsidR="004F64A4" w:rsidRPr="0081146C">
        <w:t> </w:t>
      </w:r>
      <w:r w:rsidRPr="0081146C">
        <w:t>53(1)</w:t>
      </w:r>
      <w:r w:rsidR="0049002F" w:rsidRPr="0081146C">
        <w:t>, 74(2), (4), (6) or (8) or 76A(3), (5), (7) or (9)</w:t>
      </w:r>
      <w:r w:rsidRPr="0081146C">
        <w:t>; or</w:t>
      </w:r>
    </w:p>
    <w:p w14:paraId="3E0D885B" w14:textId="77777777" w:rsidR="00035544" w:rsidRPr="0081146C" w:rsidRDefault="00035544" w:rsidP="00035544">
      <w:pPr>
        <w:pStyle w:val="paragraphsub"/>
      </w:pPr>
      <w:r w:rsidRPr="0081146C">
        <w:tab/>
        <w:t>(ii)</w:t>
      </w:r>
      <w:r w:rsidRPr="0081146C">
        <w:tab/>
        <w:t xml:space="preserve">is found in </w:t>
      </w:r>
      <w:r w:rsidR="003B7E15" w:rsidRPr="0081146C">
        <w:t>section 1</w:t>
      </w:r>
      <w:r w:rsidRPr="0081146C">
        <w:t xml:space="preserve">75 proceedings to have contravened </w:t>
      </w:r>
      <w:r w:rsidR="00ED238A" w:rsidRPr="0081146C">
        <w:t>an infringement notice provision</w:t>
      </w:r>
      <w:r w:rsidRPr="0081146C">
        <w:t>.</w:t>
      </w:r>
    </w:p>
    <w:p w14:paraId="2834CE3C" w14:textId="77777777" w:rsidR="00035544" w:rsidRPr="0081146C" w:rsidRDefault="00CA78AA" w:rsidP="00AE2DA2">
      <w:pPr>
        <w:pStyle w:val="ActHead3"/>
        <w:pageBreakBefore/>
      </w:pPr>
      <w:bookmarkStart w:id="600" w:name="_Toc185416039"/>
      <w:r w:rsidRPr="0081146C">
        <w:rPr>
          <w:rStyle w:val="CharDivNo"/>
        </w:rPr>
        <w:t>Division 4</w:t>
      </w:r>
      <w:r w:rsidR="00035544" w:rsidRPr="0081146C">
        <w:t>—</w:t>
      </w:r>
      <w:r w:rsidR="00035544" w:rsidRPr="0081146C">
        <w:rPr>
          <w:rStyle w:val="CharDivText"/>
        </w:rPr>
        <w:t>Monitoring of compliance</w:t>
      </w:r>
      <w:bookmarkEnd w:id="600"/>
    </w:p>
    <w:p w14:paraId="0CD89463" w14:textId="77777777" w:rsidR="00035544" w:rsidRPr="0081146C" w:rsidRDefault="00035544" w:rsidP="00035544">
      <w:pPr>
        <w:pStyle w:val="ActHead5"/>
      </w:pPr>
      <w:bookmarkStart w:id="601" w:name="_Toc185416040"/>
      <w:r w:rsidRPr="0081146C">
        <w:rPr>
          <w:rStyle w:val="CharSectno"/>
        </w:rPr>
        <w:t>190</w:t>
      </w:r>
      <w:r w:rsidRPr="0081146C">
        <w:t xml:space="preserve">  Monitoring of compliance</w:t>
      </w:r>
      <w:bookmarkEnd w:id="601"/>
    </w:p>
    <w:p w14:paraId="6BC16378" w14:textId="77777777" w:rsidR="00035544" w:rsidRPr="0081146C" w:rsidRDefault="00035544" w:rsidP="00035544">
      <w:pPr>
        <w:pStyle w:val="subsection"/>
      </w:pPr>
      <w:r w:rsidRPr="0081146C">
        <w:tab/>
        <w:t>(1)</w:t>
      </w:r>
      <w:r w:rsidRPr="0081146C">
        <w:tab/>
        <w:t>The AUSTRAC CEO is to monitor, and report to the Minister on, compliance by reporting entities with their obligations under this Act, the regulations and the AML/CTF Rules.</w:t>
      </w:r>
    </w:p>
    <w:p w14:paraId="7511D3B3" w14:textId="77777777" w:rsidR="00035544" w:rsidRPr="0081146C" w:rsidRDefault="00035544" w:rsidP="00035544">
      <w:pPr>
        <w:pStyle w:val="subsection"/>
      </w:pPr>
      <w:r w:rsidRPr="0081146C">
        <w:tab/>
        <w:t>(2)</w:t>
      </w:r>
      <w:r w:rsidRPr="0081146C">
        <w:tab/>
        <w:t>If:</w:t>
      </w:r>
    </w:p>
    <w:p w14:paraId="47F36374" w14:textId="77777777" w:rsidR="00035544" w:rsidRPr="0081146C" w:rsidRDefault="00035544" w:rsidP="00035544">
      <w:pPr>
        <w:pStyle w:val="paragraph"/>
      </w:pPr>
      <w:r w:rsidRPr="0081146C">
        <w:tab/>
        <w:t>(a)</w:t>
      </w:r>
      <w:r w:rsidRPr="0081146C">
        <w:tab/>
        <w:t>the AUSTRAC CEO has reasonable grounds to believe that a reporting entity has breached any of its obligations under this Act, the regulations or the AML/CTF Rules; and</w:t>
      </w:r>
    </w:p>
    <w:p w14:paraId="5F3B227E" w14:textId="77777777" w:rsidR="00035544" w:rsidRPr="0081146C" w:rsidRDefault="00035544" w:rsidP="00035544">
      <w:pPr>
        <w:pStyle w:val="paragraph"/>
      </w:pPr>
      <w:r w:rsidRPr="0081146C">
        <w:tab/>
        <w:t>(b)</w:t>
      </w:r>
      <w:r w:rsidRPr="0081146C">
        <w:tab/>
        <w:t>the AUSTRAC CEO is satisfied that the breach is relevant to the performance of the functions, or the exercise of the powers, of an Australian government body; and</w:t>
      </w:r>
    </w:p>
    <w:p w14:paraId="7AA7354E" w14:textId="77777777" w:rsidR="00035544" w:rsidRPr="0081146C" w:rsidRDefault="00035544" w:rsidP="00035544">
      <w:pPr>
        <w:pStyle w:val="paragraph"/>
      </w:pPr>
      <w:r w:rsidRPr="0081146C">
        <w:tab/>
        <w:t>(c)</w:t>
      </w:r>
      <w:r w:rsidRPr="0081146C">
        <w:tab/>
        <w:t>the AUSTRAC CEO has given the Minister a report about the breach;</w:t>
      </w:r>
    </w:p>
    <w:p w14:paraId="7BB4E300" w14:textId="77777777" w:rsidR="00035544" w:rsidRPr="0081146C" w:rsidRDefault="00035544" w:rsidP="00035544">
      <w:pPr>
        <w:pStyle w:val="subsection2"/>
      </w:pPr>
      <w:r w:rsidRPr="0081146C">
        <w:t>the AUSTRAC CEO may give the body a copy of that report.</w:t>
      </w:r>
    </w:p>
    <w:p w14:paraId="657565F8" w14:textId="77777777" w:rsidR="00987583" w:rsidRPr="0081146C" w:rsidRDefault="00987583" w:rsidP="00987583">
      <w:pPr>
        <w:pStyle w:val="subsection"/>
      </w:pPr>
      <w:r w:rsidRPr="0081146C">
        <w:tab/>
        <w:t>(2A)</w:t>
      </w:r>
      <w:r w:rsidRPr="0081146C">
        <w:tab/>
      </w:r>
      <w:r w:rsidR="004F64A4" w:rsidRPr="0081146C">
        <w:t>Subsection (</w:t>
      </w:r>
      <w:r w:rsidRPr="0081146C">
        <w:t>1) does not require the AUSTRAC CEO to monitor, and report individually upon, each reporting entity that is registered under Part</w:t>
      </w:r>
      <w:r w:rsidR="004F64A4" w:rsidRPr="0081146C">
        <w:t> </w:t>
      </w:r>
      <w:r w:rsidRPr="0081146C">
        <w:t>6 of this Act, but the AUSTRAC CEO must monitor and report generally upon those reporting entities.</w:t>
      </w:r>
    </w:p>
    <w:p w14:paraId="63D5B561" w14:textId="77777777" w:rsidR="00035544" w:rsidRPr="0081146C" w:rsidRDefault="00035544" w:rsidP="00035544">
      <w:pPr>
        <w:pStyle w:val="subsection"/>
      </w:pPr>
      <w:r w:rsidRPr="0081146C">
        <w:tab/>
        <w:t>(3)</w:t>
      </w:r>
      <w:r w:rsidRPr="0081146C">
        <w:tab/>
        <w:t>An action, suit or proceeding (whether criminal or civil) does not lie against:</w:t>
      </w:r>
    </w:p>
    <w:p w14:paraId="189C45B9" w14:textId="77777777" w:rsidR="00035544" w:rsidRPr="0081146C" w:rsidRDefault="00035544" w:rsidP="00035544">
      <w:pPr>
        <w:pStyle w:val="paragraph"/>
      </w:pPr>
      <w:r w:rsidRPr="0081146C">
        <w:tab/>
        <w:t>(a)</w:t>
      </w:r>
      <w:r w:rsidRPr="0081146C">
        <w:tab/>
        <w:t>the Commonwealth; or</w:t>
      </w:r>
    </w:p>
    <w:p w14:paraId="3E2B8ADF" w14:textId="77777777" w:rsidR="00035544" w:rsidRPr="0081146C" w:rsidRDefault="00035544" w:rsidP="00035544">
      <w:pPr>
        <w:pStyle w:val="paragraph"/>
      </w:pPr>
      <w:r w:rsidRPr="0081146C">
        <w:tab/>
        <w:t>(b)</w:t>
      </w:r>
      <w:r w:rsidRPr="0081146C">
        <w:tab/>
        <w:t>the AUSTRAC CEO; or</w:t>
      </w:r>
    </w:p>
    <w:p w14:paraId="277B5D7D" w14:textId="77777777" w:rsidR="00035544" w:rsidRPr="0081146C" w:rsidRDefault="00035544" w:rsidP="00035544">
      <w:pPr>
        <w:pStyle w:val="paragraph"/>
      </w:pPr>
      <w:r w:rsidRPr="0081146C">
        <w:tab/>
        <w:t>(c)</w:t>
      </w:r>
      <w:r w:rsidRPr="0081146C">
        <w:tab/>
        <w:t>a member of the staff of AUSTRAC;</w:t>
      </w:r>
    </w:p>
    <w:p w14:paraId="42BE3B08" w14:textId="77777777" w:rsidR="00035544" w:rsidRPr="0081146C" w:rsidRDefault="00035544" w:rsidP="00035544">
      <w:pPr>
        <w:pStyle w:val="subsection2"/>
      </w:pPr>
      <w:r w:rsidRPr="0081146C">
        <w:t>in relation to any action taken under this section by way of:</w:t>
      </w:r>
    </w:p>
    <w:p w14:paraId="16EB8BB5" w14:textId="77777777" w:rsidR="00035544" w:rsidRPr="0081146C" w:rsidRDefault="00035544" w:rsidP="00035544">
      <w:pPr>
        <w:pStyle w:val="paragraph"/>
      </w:pPr>
      <w:r w:rsidRPr="0081146C">
        <w:tab/>
        <w:t>(d)</w:t>
      </w:r>
      <w:r w:rsidRPr="0081146C">
        <w:tab/>
        <w:t>the giving of a report; or</w:t>
      </w:r>
    </w:p>
    <w:p w14:paraId="655B6483" w14:textId="77777777" w:rsidR="00035544" w:rsidRPr="0081146C" w:rsidRDefault="00035544" w:rsidP="00035544">
      <w:pPr>
        <w:pStyle w:val="paragraph"/>
      </w:pPr>
      <w:r w:rsidRPr="0081146C">
        <w:tab/>
        <w:t>(e)</w:t>
      </w:r>
      <w:r w:rsidRPr="0081146C">
        <w:tab/>
        <w:t>the giving of a copy of a report.</w:t>
      </w:r>
    </w:p>
    <w:p w14:paraId="7E2BD38C" w14:textId="77777777" w:rsidR="00035544" w:rsidRPr="0081146C" w:rsidRDefault="00035544" w:rsidP="00035544">
      <w:pPr>
        <w:pStyle w:val="subsection"/>
      </w:pPr>
      <w:r w:rsidRPr="0081146C">
        <w:tab/>
        <w:t>(4)</w:t>
      </w:r>
      <w:r w:rsidRPr="0081146C">
        <w:tab/>
      </w:r>
      <w:r w:rsidR="004F64A4" w:rsidRPr="0081146C">
        <w:t>Subsection (</w:t>
      </w:r>
      <w:r w:rsidRPr="0081146C">
        <w:t xml:space="preserve">2) does not limit </w:t>
      </w:r>
      <w:r w:rsidR="003B7E15" w:rsidRPr="0081146C">
        <w:t>section 1</w:t>
      </w:r>
      <w:r w:rsidR="00BA74EA" w:rsidRPr="0081146C">
        <w:t>25</w:t>
      </w:r>
      <w:r w:rsidRPr="0081146C">
        <w:t>.</w:t>
      </w:r>
    </w:p>
    <w:p w14:paraId="725F9984" w14:textId="77777777" w:rsidR="00035544" w:rsidRPr="0081146C" w:rsidRDefault="00CA78AA" w:rsidP="00AE2DA2">
      <w:pPr>
        <w:pStyle w:val="ActHead3"/>
        <w:pageBreakBefore/>
      </w:pPr>
      <w:bookmarkStart w:id="602" w:name="_Toc185416041"/>
      <w:r w:rsidRPr="0081146C">
        <w:rPr>
          <w:rStyle w:val="CharDivNo"/>
        </w:rPr>
        <w:t>Division 5</w:t>
      </w:r>
      <w:r w:rsidR="00035544" w:rsidRPr="0081146C">
        <w:t>—</w:t>
      </w:r>
      <w:r w:rsidR="00035544" w:rsidRPr="0081146C">
        <w:rPr>
          <w:rStyle w:val="CharDivText"/>
        </w:rPr>
        <w:t>Remedial directions</w:t>
      </w:r>
      <w:bookmarkEnd w:id="602"/>
    </w:p>
    <w:p w14:paraId="5891604D" w14:textId="77777777" w:rsidR="00035544" w:rsidRPr="0081146C" w:rsidRDefault="00035544" w:rsidP="00035544">
      <w:pPr>
        <w:pStyle w:val="ActHead5"/>
      </w:pPr>
      <w:bookmarkStart w:id="603" w:name="_Toc185416042"/>
      <w:r w:rsidRPr="0081146C">
        <w:rPr>
          <w:rStyle w:val="CharSectno"/>
        </w:rPr>
        <w:t>191</w:t>
      </w:r>
      <w:r w:rsidRPr="0081146C">
        <w:t xml:space="preserve">  Remedial directions</w:t>
      </w:r>
      <w:bookmarkEnd w:id="603"/>
    </w:p>
    <w:p w14:paraId="5C2853D8" w14:textId="77777777" w:rsidR="00035544" w:rsidRPr="0081146C" w:rsidRDefault="00035544" w:rsidP="00035544">
      <w:pPr>
        <w:pStyle w:val="subsection"/>
      </w:pPr>
      <w:r w:rsidRPr="0081146C">
        <w:tab/>
        <w:t>(1)</w:t>
      </w:r>
      <w:r w:rsidRPr="0081146C">
        <w:tab/>
        <w:t xml:space="preserve">This section applies if the AUSTRAC CEO is satisfied that a reporting entity has contravened, or is contravening, a civil penalty provision (other than </w:t>
      </w:r>
      <w:r w:rsidR="004F64A4" w:rsidRPr="0081146C">
        <w:t>subsection (</w:t>
      </w:r>
      <w:r w:rsidRPr="0081146C">
        <w:t>4)).</w:t>
      </w:r>
    </w:p>
    <w:p w14:paraId="12257890" w14:textId="77777777" w:rsidR="0049002F" w:rsidRPr="0081146C" w:rsidRDefault="0049002F" w:rsidP="0049002F">
      <w:pPr>
        <w:pStyle w:val="subsection"/>
      </w:pPr>
      <w:r w:rsidRPr="0081146C">
        <w:tab/>
        <w:t>(2)</w:t>
      </w:r>
      <w:r w:rsidRPr="0081146C">
        <w:tab/>
        <w:t>The AUSTRAC CEO may give the reporting entity a written direction requiring the reporting entity to do one or both of the following:</w:t>
      </w:r>
    </w:p>
    <w:p w14:paraId="428EDFCA" w14:textId="77777777" w:rsidR="0049002F" w:rsidRPr="0081146C" w:rsidRDefault="0049002F" w:rsidP="0049002F">
      <w:pPr>
        <w:pStyle w:val="paragraph"/>
      </w:pPr>
      <w:r w:rsidRPr="0081146C">
        <w:tab/>
        <w:t>(a)</w:t>
      </w:r>
      <w:r w:rsidRPr="0081146C">
        <w:tab/>
        <w:t>to take specified action directed towards ensuring that the reporting entity does not contravene the civil penalty provision, or is unlikely to contravene the civil penalty provision, in the future;</w:t>
      </w:r>
    </w:p>
    <w:p w14:paraId="7E2C1A0D" w14:textId="25CB8755" w:rsidR="0049002F" w:rsidRPr="0081146C" w:rsidRDefault="0049002F" w:rsidP="0049002F">
      <w:pPr>
        <w:pStyle w:val="paragraph"/>
      </w:pPr>
      <w:r w:rsidRPr="0081146C">
        <w:tab/>
        <w:t>(b)</w:t>
      </w:r>
      <w:r w:rsidRPr="0081146C">
        <w:tab/>
        <w:t>in the case of a contravention of subsection</w:t>
      </w:r>
      <w:r w:rsidR="004F64A4" w:rsidRPr="0081146C">
        <w:t> </w:t>
      </w:r>
      <w:r w:rsidRPr="0081146C">
        <w:t xml:space="preserve">43(2), </w:t>
      </w:r>
      <w:r w:rsidR="00250C0B" w:rsidRPr="0081146C">
        <w:t>46(2) or (5), 46A(2)</w:t>
      </w:r>
      <w:r w:rsidRPr="0081146C">
        <w:t xml:space="preserve"> or 47(2)—to take specified action to remedy the contravention by giving the relevant report to the AUSTRAC CEO within a period specified in the direction.</w:t>
      </w:r>
    </w:p>
    <w:p w14:paraId="7CF06479" w14:textId="77777777" w:rsidR="00035544" w:rsidRPr="0081146C" w:rsidRDefault="00035544" w:rsidP="00035544">
      <w:pPr>
        <w:pStyle w:val="subsection"/>
      </w:pPr>
      <w:r w:rsidRPr="0081146C">
        <w:tab/>
        <w:t>(3)</w:t>
      </w:r>
      <w:r w:rsidRPr="0081146C">
        <w:tab/>
        <w:t xml:space="preserve">The following are examples of the kinds of direction that may be given to a reporting entity under </w:t>
      </w:r>
      <w:r w:rsidR="004F64A4" w:rsidRPr="0081146C">
        <w:t>paragraph (</w:t>
      </w:r>
      <w:r w:rsidR="0049002F" w:rsidRPr="0081146C">
        <w:t>2)(a)</w:t>
      </w:r>
      <w:r w:rsidRPr="0081146C">
        <w:t>:</w:t>
      </w:r>
    </w:p>
    <w:p w14:paraId="2D4B6A9F" w14:textId="77777777" w:rsidR="00035544" w:rsidRPr="0081146C" w:rsidRDefault="00035544" w:rsidP="00035544">
      <w:pPr>
        <w:pStyle w:val="paragraph"/>
      </w:pPr>
      <w:r w:rsidRPr="0081146C">
        <w:tab/>
        <w:t>(a)</w:t>
      </w:r>
      <w:r w:rsidRPr="0081146C">
        <w:tab/>
        <w:t>a direction that the reporting entity implement effective administrative systems for monitoring compliance with a civil penalty provision;</w:t>
      </w:r>
    </w:p>
    <w:p w14:paraId="4146288F" w14:textId="77777777" w:rsidR="00035544" w:rsidRPr="0081146C" w:rsidRDefault="00035544" w:rsidP="00035544">
      <w:pPr>
        <w:pStyle w:val="paragraph"/>
      </w:pPr>
      <w:r w:rsidRPr="0081146C">
        <w:tab/>
        <w:t>(b)</w:t>
      </w:r>
      <w:r w:rsidRPr="0081146C">
        <w:tab/>
        <w:t>a direction that the reporting entity implement a system designed to give the reporting entity’s officers, employees and agents a reasonable knowledge and understanding of the requirements of a civil penalty provision, in so far as those requirements affect the officers, employees or agents concerned.</w:t>
      </w:r>
    </w:p>
    <w:p w14:paraId="3B8EC4C6" w14:textId="77777777" w:rsidR="0049002F" w:rsidRPr="0081146C" w:rsidRDefault="0049002F" w:rsidP="0049002F">
      <w:pPr>
        <w:pStyle w:val="subsection"/>
      </w:pPr>
      <w:r w:rsidRPr="0081146C">
        <w:tab/>
        <w:t>(3A)</w:t>
      </w:r>
      <w:r w:rsidRPr="0081146C">
        <w:tab/>
        <w:t>The AUSTRAC CEO:</w:t>
      </w:r>
    </w:p>
    <w:p w14:paraId="6F1FBD10" w14:textId="77777777" w:rsidR="0049002F" w:rsidRPr="0081146C" w:rsidRDefault="0049002F" w:rsidP="0049002F">
      <w:pPr>
        <w:pStyle w:val="paragraph"/>
      </w:pPr>
      <w:r w:rsidRPr="0081146C">
        <w:tab/>
        <w:t>(a)</w:t>
      </w:r>
      <w:r w:rsidRPr="0081146C">
        <w:tab/>
        <w:t xml:space="preserve">must not act under </w:t>
      </w:r>
      <w:r w:rsidR="004F64A4" w:rsidRPr="0081146C">
        <w:t>paragraph (</w:t>
      </w:r>
      <w:r w:rsidRPr="0081146C">
        <w:t>2)(b) if it appears to the AUSTRAC CEO that the contravention occurred more than 24 months before the day on which a direction would be issued; and</w:t>
      </w:r>
    </w:p>
    <w:p w14:paraId="2FA5068D" w14:textId="77777777" w:rsidR="0049002F" w:rsidRPr="0081146C" w:rsidRDefault="0049002F" w:rsidP="0049002F">
      <w:pPr>
        <w:pStyle w:val="paragraph"/>
      </w:pPr>
      <w:r w:rsidRPr="0081146C">
        <w:tab/>
        <w:t>(b)</w:t>
      </w:r>
      <w:r w:rsidRPr="0081146C">
        <w:tab/>
        <w:t xml:space="preserve">must not act under </w:t>
      </w:r>
      <w:r w:rsidR="004F64A4" w:rsidRPr="0081146C">
        <w:t>paragraph (</w:t>
      </w:r>
      <w:r w:rsidRPr="0081146C">
        <w:t>2)(b) unless the AUSTRAC CEO has:</w:t>
      </w:r>
    </w:p>
    <w:p w14:paraId="68F90CE3" w14:textId="77777777" w:rsidR="0049002F" w:rsidRPr="0081146C" w:rsidRDefault="0049002F" w:rsidP="0049002F">
      <w:pPr>
        <w:pStyle w:val="paragraphsub"/>
      </w:pPr>
      <w:r w:rsidRPr="0081146C">
        <w:tab/>
        <w:t>(i)</w:t>
      </w:r>
      <w:r w:rsidRPr="0081146C">
        <w:tab/>
        <w:t>assessed the risks that have arisen in view of the contravention; and</w:t>
      </w:r>
    </w:p>
    <w:p w14:paraId="35704D1D" w14:textId="77777777" w:rsidR="0049002F" w:rsidRPr="0081146C" w:rsidRDefault="0049002F" w:rsidP="0049002F">
      <w:pPr>
        <w:pStyle w:val="paragraphsub"/>
      </w:pPr>
      <w:r w:rsidRPr="0081146C">
        <w:tab/>
        <w:t>(ii)</w:t>
      </w:r>
      <w:r w:rsidRPr="0081146C">
        <w:tab/>
        <w:t>determined that giving a direction under that paragraph is an appropriate and proportionate response in the circumstances.</w:t>
      </w:r>
    </w:p>
    <w:p w14:paraId="304B138C" w14:textId="77777777" w:rsidR="00035544" w:rsidRPr="0081146C" w:rsidRDefault="00035544" w:rsidP="00035544">
      <w:pPr>
        <w:pStyle w:val="subsection"/>
      </w:pPr>
      <w:r w:rsidRPr="0081146C">
        <w:tab/>
        <w:t>(4)</w:t>
      </w:r>
      <w:r w:rsidRPr="0081146C">
        <w:tab/>
        <w:t xml:space="preserve">A reporting entity must not contravene a direction under </w:t>
      </w:r>
      <w:r w:rsidR="004F64A4" w:rsidRPr="0081146C">
        <w:t>subsection (</w:t>
      </w:r>
      <w:r w:rsidRPr="0081146C">
        <w:t>2).</w:t>
      </w:r>
    </w:p>
    <w:p w14:paraId="4B39BCAC" w14:textId="77777777" w:rsidR="00035544" w:rsidRPr="0081146C" w:rsidRDefault="00035544" w:rsidP="00035544">
      <w:pPr>
        <w:pStyle w:val="SubsectionHead"/>
      </w:pPr>
      <w:r w:rsidRPr="0081146C">
        <w:t>Civil penalty</w:t>
      </w:r>
    </w:p>
    <w:p w14:paraId="0107F206" w14:textId="77777777" w:rsidR="00035544" w:rsidRPr="0081146C" w:rsidRDefault="00035544" w:rsidP="00035544">
      <w:pPr>
        <w:pStyle w:val="subsection"/>
      </w:pPr>
      <w:r w:rsidRPr="0081146C">
        <w:tab/>
        <w:t>(5)</w:t>
      </w:r>
      <w:r w:rsidRPr="0081146C">
        <w:tab/>
      </w:r>
      <w:r w:rsidR="004F64A4" w:rsidRPr="0081146C">
        <w:t>Subsection (</w:t>
      </w:r>
      <w:r w:rsidRPr="0081146C">
        <w:t>4) is a civil penalty provision.</w:t>
      </w:r>
    </w:p>
    <w:p w14:paraId="28DC73FF" w14:textId="77777777" w:rsidR="00035544" w:rsidRPr="0081146C" w:rsidRDefault="00035544" w:rsidP="00035544">
      <w:pPr>
        <w:pStyle w:val="SubsectionHead"/>
      </w:pPr>
      <w:r w:rsidRPr="0081146C">
        <w:t>Remedial direction is not a legislative instrument</w:t>
      </w:r>
    </w:p>
    <w:p w14:paraId="2C5AD0BC" w14:textId="77777777" w:rsidR="00035544" w:rsidRPr="0081146C" w:rsidRDefault="00035544" w:rsidP="00035544">
      <w:pPr>
        <w:pStyle w:val="subsection"/>
      </w:pPr>
      <w:r w:rsidRPr="0081146C">
        <w:tab/>
        <w:t>(6)</w:t>
      </w:r>
      <w:r w:rsidRPr="0081146C">
        <w:tab/>
        <w:t xml:space="preserve">A direction under </w:t>
      </w:r>
      <w:r w:rsidR="004F64A4" w:rsidRPr="0081146C">
        <w:t>subsection (</w:t>
      </w:r>
      <w:r w:rsidRPr="0081146C">
        <w:t>2) is not a legislative instrument.</w:t>
      </w:r>
    </w:p>
    <w:p w14:paraId="33068C22" w14:textId="77777777" w:rsidR="00035544" w:rsidRPr="0081146C" w:rsidRDefault="003A364D" w:rsidP="00AE2DA2">
      <w:pPr>
        <w:pStyle w:val="ActHead3"/>
        <w:pageBreakBefore/>
      </w:pPr>
      <w:bookmarkStart w:id="604" w:name="_Toc185416043"/>
      <w:r w:rsidRPr="0081146C">
        <w:rPr>
          <w:rStyle w:val="CharDivNo"/>
        </w:rPr>
        <w:t>Division 6</w:t>
      </w:r>
      <w:r w:rsidR="00035544" w:rsidRPr="0081146C">
        <w:t>—</w:t>
      </w:r>
      <w:r w:rsidR="00035544" w:rsidRPr="0081146C">
        <w:rPr>
          <w:rStyle w:val="CharDivText"/>
        </w:rPr>
        <w:t>Injunctions</w:t>
      </w:r>
      <w:bookmarkEnd w:id="604"/>
    </w:p>
    <w:p w14:paraId="1D3ACFA7" w14:textId="77777777" w:rsidR="00035544" w:rsidRPr="0081146C" w:rsidRDefault="00035544" w:rsidP="00035544">
      <w:pPr>
        <w:pStyle w:val="ActHead5"/>
      </w:pPr>
      <w:bookmarkStart w:id="605" w:name="_Toc185416044"/>
      <w:r w:rsidRPr="0081146C">
        <w:rPr>
          <w:rStyle w:val="CharSectno"/>
        </w:rPr>
        <w:t>192</w:t>
      </w:r>
      <w:r w:rsidRPr="0081146C">
        <w:t xml:space="preserve">  Injunctions</w:t>
      </w:r>
      <w:bookmarkEnd w:id="605"/>
    </w:p>
    <w:p w14:paraId="743D0CF3" w14:textId="77777777" w:rsidR="00035544" w:rsidRPr="0081146C" w:rsidRDefault="00035544" w:rsidP="00035544">
      <w:pPr>
        <w:pStyle w:val="SubsectionHead"/>
      </w:pPr>
      <w:r w:rsidRPr="0081146C">
        <w:t>Restraining injunctions</w:t>
      </w:r>
    </w:p>
    <w:p w14:paraId="6526AF36" w14:textId="77777777" w:rsidR="00035544" w:rsidRPr="0081146C" w:rsidRDefault="00035544" w:rsidP="00035544">
      <w:pPr>
        <w:pStyle w:val="subsection"/>
      </w:pPr>
      <w:r w:rsidRPr="0081146C">
        <w:tab/>
        <w:t>(1)</w:t>
      </w:r>
      <w:r w:rsidRPr="0081146C">
        <w:tab/>
        <w:t>If a person has engaged, is engaging or is proposing to engage, in any conduct in contravention of a civil penalty provision, the Federal Court may, on the application of the AUSTRAC CEO, grant an injunction:</w:t>
      </w:r>
    </w:p>
    <w:p w14:paraId="181CA6A0" w14:textId="77777777" w:rsidR="00035544" w:rsidRPr="0081146C" w:rsidRDefault="00035544" w:rsidP="00035544">
      <w:pPr>
        <w:pStyle w:val="paragraph"/>
      </w:pPr>
      <w:r w:rsidRPr="0081146C">
        <w:tab/>
        <w:t>(a)</w:t>
      </w:r>
      <w:r w:rsidRPr="0081146C">
        <w:tab/>
        <w:t>restraining the person from engaging in the conduct; and</w:t>
      </w:r>
    </w:p>
    <w:p w14:paraId="1E311335" w14:textId="77777777" w:rsidR="00035544" w:rsidRPr="0081146C" w:rsidRDefault="00035544" w:rsidP="00035544">
      <w:pPr>
        <w:pStyle w:val="paragraph"/>
      </w:pPr>
      <w:r w:rsidRPr="0081146C">
        <w:tab/>
        <w:t>(b)</w:t>
      </w:r>
      <w:r w:rsidRPr="0081146C">
        <w:tab/>
        <w:t>if, in the Court’s opinion, it is desirable to do so—requiring the person to do something.</w:t>
      </w:r>
    </w:p>
    <w:p w14:paraId="5BBA8BE1" w14:textId="77777777" w:rsidR="00035544" w:rsidRPr="0081146C" w:rsidRDefault="00035544" w:rsidP="00035544">
      <w:pPr>
        <w:pStyle w:val="SubsectionHead"/>
      </w:pPr>
      <w:r w:rsidRPr="0081146C">
        <w:t>Performance injunctions</w:t>
      </w:r>
    </w:p>
    <w:p w14:paraId="1E951659" w14:textId="77777777" w:rsidR="00035544" w:rsidRPr="0081146C" w:rsidRDefault="00035544" w:rsidP="00035544">
      <w:pPr>
        <w:pStyle w:val="subsection"/>
      </w:pPr>
      <w:r w:rsidRPr="0081146C">
        <w:tab/>
        <w:t>(2)</w:t>
      </w:r>
      <w:r w:rsidRPr="0081146C">
        <w:tab/>
        <w:t>If:</w:t>
      </w:r>
    </w:p>
    <w:p w14:paraId="5887257A" w14:textId="77777777" w:rsidR="00035544" w:rsidRPr="0081146C" w:rsidRDefault="00035544" w:rsidP="00035544">
      <w:pPr>
        <w:pStyle w:val="paragraph"/>
      </w:pPr>
      <w:r w:rsidRPr="0081146C">
        <w:tab/>
        <w:t>(a)</w:t>
      </w:r>
      <w:r w:rsidRPr="0081146C">
        <w:tab/>
        <w:t>a person has refused or failed, or is refusing or failing, or is proposing to refuse or fail, to do an act or thing; and</w:t>
      </w:r>
    </w:p>
    <w:p w14:paraId="53B5AEA8" w14:textId="77777777" w:rsidR="00035544" w:rsidRPr="0081146C" w:rsidRDefault="00035544" w:rsidP="00035544">
      <w:pPr>
        <w:pStyle w:val="paragraph"/>
      </w:pPr>
      <w:r w:rsidRPr="0081146C">
        <w:tab/>
        <w:t>(b)</w:t>
      </w:r>
      <w:r w:rsidRPr="0081146C">
        <w:tab/>
        <w:t>the refusal or failure was, is or would be a contravention of a civil penalty provision;</w:t>
      </w:r>
    </w:p>
    <w:p w14:paraId="7BFA4E1A" w14:textId="77777777" w:rsidR="00035544" w:rsidRPr="0081146C" w:rsidRDefault="00035544" w:rsidP="00035544">
      <w:pPr>
        <w:pStyle w:val="subsection2"/>
      </w:pPr>
      <w:r w:rsidRPr="0081146C">
        <w:t>the Federal Court may, on the application of the AUSTRAC CEO, grant an injunction requiring the person to do that act or thing.</w:t>
      </w:r>
    </w:p>
    <w:p w14:paraId="4C932AF0" w14:textId="77777777" w:rsidR="00035544" w:rsidRPr="0081146C" w:rsidRDefault="00035544" w:rsidP="00035544">
      <w:pPr>
        <w:pStyle w:val="ActHead5"/>
      </w:pPr>
      <w:bookmarkStart w:id="606" w:name="_Toc185416045"/>
      <w:r w:rsidRPr="0081146C">
        <w:rPr>
          <w:rStyle w:val="CharSectno"/>
        </w:rPr>
        <w:t>193</w:t>
      </w:r>
      <w:r w:rsidRPr="0081146C">
        <w:t xml:space="preserve">  Interim injunctions</w:t>
      </w:r>
      <w:bookmarkEnd w:id="606"/>
    </w:p>
    <w:p w14:paraId="44E31DD1" w14:textId="77777777" w:rsidR="00035544" w:rsidRPr="0081146C" w:rsidRDefault="00035544" w:rsidP="00035544">
      <w:pPr>
        <w:pStyle w:val="SubsectionHead"/>
      </w:pPr>
      <w:r w:rsidRPr="0081146C">
        <w:t>Grant of interim injunction</w:t>
      </w:r>
    </w:p>
    <w:p w14:paraId="57FBB297" w14:textId="77777777" w:rsidR="00035544" w:rsidRPr="0081146C" w:rsidRDefault="00035544" w:rsidP="00035544">
      <w:pPr>
        <w:pStyle w:val="subsection"/>
      </w:pPr>
      <w:r w:rsidRPr="0081146C">
        <w:tab/>
        <w:t>(1)</w:t>
      </w:r>
      <w:r w:rsidRPr="0081146C">
        <w:tab/>
        <w:t xml:space="preserve">If an application is made to the Federal Court for an injunction under </w:t>
      </w:r>
      <w:r w:rsidR="003B7E15" w:rsidRPr="0081146C">
        <w:t>section 1</w:t>
      </w:r>
      <w:r w:rsidRPr="0081146C">
        <w:t>92, the Court may, before considering the application, grant an interim injunction restraining a person from engaging in conduct of a kind mentioned in that section.</w:t>
      </w:r>
    </w:p>
    <w:p w14:paraId="6DFF389F" w14:textId="77777777" w:rsidR="00035544" w:rsidRPr="0081146C" w:rsidRDefault="00035544" w:rsidP="00035544">
      <w:pPr>
        <w:pStyle w:val="SubsectionHead"/>
      </w:pPr>
      <w:r w:rsidRPr="0081146C">
        <w:t>No undertakings as to damages</w:t>
      </w:r>
    </w:p>
    <w:p w14:paraId="732C2FEF" w14:textId="77777777" w:rsidR="00035544" w:rsidRPr="0081146C" w:rsidRDefault="00035544" w:rsidP="00035544">
      <w:pPr>
        <w:pStyle w:val="subsection"/>
      </w:pPr>
      <w:r w:rsidRPr="0081146C">
        <w:tab/>
        <w:t>(2)</w:t>
      </w:r>
      <w:r w:rsidRPr="0081146C">
        <w:tab/>
        <w:t xml:space="preserve">The Federal Court is not to require an applicant for an injunction under </w:t>
      </w:r>
      <w:r w:rsidR="003B7E15" w:rsidRPr="0081146C">
        <w:t>section 1</w:t>
      </w:r>
      <w:r w:rsidRPr="0081146C">
        <w:t>92, as a condition of granting an interim injunction, to give any undertakings as to damages.</w:t>
      </w:r>
    </w:p>
    <w:p w14:paraId="0137CD8D" w14:textId="77777777" w:rsidR="00035544" w:rsidRPr="0081146C" w:rsidRDefault="00035544" w:rsidP="00035544">
      <w:pPr>
        <w:pStyle w:val="ActHead5"/>
      </w:pPr>
      <w:bookmarkStart w:id="607" w:name="_Toc185416046"/>
      <w:r w:rsidRPr="0081146C">
        <w:rPr>
          <w:rStyle w:val="CharSectno"/>
        </w:rPr>
        <w:t>194</w:t>
      </w:r>
      <w:r w:rsidRPr="0081146C">
        <w:t xml:space="preserve">  Discharge etc. of injunctions</w:t>
      </w:r>
      <w:bookmarkEnd w:id="607"/>
    </w:p>
    <w:p w14:paraId="54D55916" w14:textId="77777777" w:rsidR="00035544" w:rsidRPr="0081146C" w:rsidRDefault="00035544" w:rsidP="00035544">
      <w:pPr>
        <w:pStyle w:val="subsection"/>
      </w:pPr>
      <w:r w:rsidRPr="0081146C">
        <w:tab/>
      </w:r>
      <w:r w:rsidRPr="0081146C">
        <w:tab/>
        <w:t>The Federal Court may discharge or vary an injunction granted under this Division.</w:t>
      </w:r>
    </w:p>
    <w:p w14:paraId="17C78A0C" w14:textId="77777777" w:rsidR="00035544" w:rsidRPr="0081146C" w:rsidRDefault="00035544" w:rsidP="00035544">
      <w:pPr>
        <w:pStyle w:val="ActHead5"/>
      </w:pPr>
      <w:bookmarkStart w:id="608" w:name="_Toc185416047"/>
      <w:r w:rsidRPr="0081146C">
        <w:rPr>
          <w:rStyle w:val="CharSectno"/>
        </w:rPr>
        <w:t>195</w:t>
      </w:r>
      <w:r w:rsidRPr="0081146C">
        <w:t xml:space="preserve">  Certain limits on granting injunctions not to apply</w:t>
      </w:r>
      <w:bookmarkEnd w:id="608"/>
    </w:p>
    <w:p w14:paraId="5D07A043" w14:textId="77777777" w:rsidR="00035544" w:rsidRPr="0081146C" w:rsidRDefault="00035544" w:rsidP="00035544">
      <w:pPr>
        <w:pStyle w:val="SubsectionHead"/>
      </w:pPr>
      <w:r w:rsidRPr="0081146C">
        <w:t>Restraining injunctions</w:t>
      </w:r>
    </w:p>
    <w:p w14:paraId="089C0322" w14:textId="77777777" w:rsidR="00035544" w:rsidRPr="0081146C" w:rsidRDefault="00035544" w:rsidP="00035544">
      <w:pPr>
        <w:pStyle w:val="subsection"/>
      </w:pPr>
      <w:r w:rsidRPr="0081146C">
        <w:tab/>
        <w:t>(1)</w:t>
      </w:r>
      <w:r w:rsidRPr="0081146C">
        <w:tab/>
        <w:t>The power of the Federal Court under this Division to grant an injunction restraining a person from engaging in conduct of a particular kind may be exercised:</w:t>
      </w:r>
    </w:p>
    <w:p w14:paraId="6430EC31" w14:textId="77777777" w:rsidR="00035544" w:rsidRPr="0081146C" w:rsidRDefault="00035544" w:rsidP="00035544">
      <w:pPr>
        <w:pStyle w:val="paragraph"/>
      </w:pPr>
      <w:r w:rsidRPr="0081146C">
        <w:tab/>
        <w:t>(a)</w:t>
      </w:r>
      <w:r w:rsidRPr="0081146C">
        <w:tab/>
        <w:t>if the Court is satisfied that the person has engaged in conduct of that kind—whether or not it appears to the Court that the person intends to engage again, or to continue to engage, in conduct of that kind; or</w:t>
      </w:r>
    </w:p>
    <w:p w14:paraId="43E20086" w14:textId="77777777" w:rsidR="00035544" w:rsidRPr="0081146C" w:rsidRDefault="00035544" w:rsidP="00035544">
      <w:pPr>
        <w:pStyle w:val="paragraph"/>
      </w:pPr>
      <w:r w:rsidRPr="0081146C">
        <w:tab/>
        <w:t>(b)</w:t>
      </w:r>
      <w:r w:rsidRPr="0081146C">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14:paraId="503ADDA9" w14:textId="77777777" w:rsidR="00035544" w:rsidRPr="0081146C" w:rsidRDefault="00035544" w:rsidP="00035544">
      <w:pPr>
        <w:pStyle w:val="SubsectionHead"/>
      </w:pPr>
      <w:r w:rsidRPr="0081146C">
        <w:t>Performance injunctions</w:t>
      </w:r>
    </w:p>
    <w:p w14:paraId="7D567315" w14:textId="77777777" w:rsidR="00035544" w:rsidRPr="0081146C" w:rsidRDefault="00035544" w:rsidP="00035544">
      <w:pPr>
        <w:pStyle w:val="subsection"/>
      </w:pPr>
      <w:r w:rsidRPr="0081146C">
        <w:tab/>
        <w:t>(2)</w:t>
      </w:r>
      <w:r w:rsidRPr="0081146C">
        <w:tab/>
        <w:t>The power of the Federal Court to grant an injunction requiring a person to do an act or thing may be exercised:</w:t>
      </w:r>
    </w:p>
    <w:p w14:paraId="7889F2E6" w14:textId="77777777" w:rsidR="00035544" w:rsidRPr="0081146C" w:rsidRDefault="00035544" w:rsidP="00035544">
      <w:pPr>
        <w:pStyle w:val="paragraph"/>
      </w:pPr>
      <w:r w:rsidRPr="0081146C">
        <w:tab/>
        <w:t>(a)</w:t>
      </w:r>
      <w:r w:rsidRPr="0081146C">
        <w:tab/>
        <w:t>if the Court is satisfied that the person has refused or failed to do that act or thing—whether or not it appears to the Court that the person intends to refuse or fail again, or to continue to refuse or fail, to do that act or thing; or</w:t>
      </w:r>
    </w:p>
    <w:p w14:paraId="5F384E93" w14:textId="77777777" w:rsidR="00035544" w:rsidRPr="0081146C" w:rsidRDefault="00035544" w:rsidP="00035544">
      <w:pPr>
        <w:pStyle w:val="paragraph"/>
      </w:pPr>
      <w:r w:rsidRPr="0081146C">
        <w:tab/>
        <w:t>(b)</w:t>
      </w:r>
      <w:r w:rsidRPr="0081146C">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14:paraId="0E2B4256" w14:textId="77777777" w:rsidR="00035544" w:rsidRPr="0081146C" w:rsidRDefault="00035544" w:rsidP="00035544">
      <w:pPr>
        <w:pStyle w:val="ActHead5"/>
      </w:pPr>
      <w:bookmarkStart w:id="609" w:name="_Toc185416048"/>
      <w:r w:rsidRPr="0081146C">
        <w:rPr>
          <w:rStyle w:val="CharSectno"/>
        </w:rPr>
        <w:t>196</w:t>
      </w:r>
      <w:r w:rsidRPr="0081146C">
        <w:t xml:space="preserve">  Other powers of the Federal Court unaffected</w:t>
      </w:r>
      <w:bookmarkEnd w:id="609"/>
    </w:p>
    <w:p w14:paraId="2C9C840E" w14:textId="77777777" w:rsidR="00035544" w:rsidRPr="0081146C" w:rsidRDefault="00035544" w:rsidP="00035544">
      <w:pPr>
        <w:pStyle w:val="subsection"/>
      </w:pPr>
      <w:r w:rsidRPr="0081146C">
        <w:tab/>
      </w:r>
      <w:r w:rsidRPr="0081146C">
        <w:tab/>
        <w:t>The powers conferred on the Federal Court under this Division are in addition to, and not instead of, any other powers of the Court, whether conferred by this Act or otherwise.</w:t>
      </w:r>
    </w:p>
    <w:p w14:paraId="0B82EA60" w14:textId="77777777" w:rsidR="00035544" w:rsidRPr="0081146C" w:rsidRDefault="00CA78AA" w:rsidP="00AE2DA2">
      <w:pPr>
        <w:pStyle w:val="ActHead3"/>
        <w:pageBreakBefore/>
      </w:pPr>
      <w:bookmarkStart w:id="610" w:name="_Toc185416049"/>
      <w:r w:rsidRPr="0081146C">
        <w:rPr>
          <w:rStyle w:val="CharDivNo"/>
        </w:rPr>
        <w:t>Division 7</w:t>
      </w:r>
      <w:r w:rsidR="00035544" w:rsidRPr="0081146C">
        <w:t>—</w:t>
      </w:r>
      <w:r w:rsidR="00035544" w:rsidRPr="0081146C">
        <w:rPr>
          <w:rStyle w:val="CharDivText"/>
        </w:rPr>
        <w:t>Enforceable undertakings</w:t>
      </w:r>
      <w:bookmarkEnd w:id="610"/>
    </w:p>
    <w:p w14:paraId="38661DD2" w14:textId="77777777" w:rsidR="00035544" w:rsidRPr="0081146C" w:rsidRDefault="00035544" w:rsidP="00035544">
      <w:pPr>
        <w:pStyle w:val="ActHead5"/>
      </w:pPr>
      <w:bookmarkStart w:id="611" w:name="_Toc185416050"/>
      <w:r w:rsidRPr="0081146C">
        <w:rPr>
          <w:rStyle w:val="CharSectno"/>
        </w:rPr>
        <w:t>197</w:t>
      </w:r>
      <w:r w:rsidRPr="0081146C">
        <w:t xml:space="preserve">  Acceptance of undertakings</w:t>
      </w:r>
      <w:bookmarkEnd w:id="611"/>
    </w:p>
    <w:p w14:paraId="4092DCED" w14:textId="77777777" w:rsidR="00035544" w:rsidRPr="0081146C" w:rsidRDefault="00035544" w:rsidP="00035544">
      <w:pPr>
        <w:pStyle w:val="subsection"/>
      </w:pPr>
      <w:r w:rsidRPr="0081146C">
        <w:tab/>
        <w:t>(1)</w:t>
      </w:r>
      <w:r w:rsidRPr="0081146C">
        <w:tab/>
        <w:t>The AUSTRAC CEO may accept any of the following undertakings:</w:t>
      </w:r>
    </w:p>
    <w:p w14:paraId="5D324F8E" w14:textId="77777777" w:rsidR="00035544" w:rsidRPr="0081146C" w:rsidRDefault="00035544" w:rsidP="00035544">
      <w:pPr>
        <w:pStyle w:val="paragraph"/>
      </w:pPr>
      <w:r w:rsidRPr="0081146C">
        <w:tab/>
        <w:t>(a)</w:t>
      </w:r>
      <w:r w:rsidRPr="0081146C">
        <w:tab/>
        <w:t>a written undertaking given by a person that the person will, in order to comply with this Act, the regulations or the AML/CTF Rules, take specified action;</w:t>
      </w:r>
    </w:p>
    <w:p w14:paraId="6E22E428" w14:textId="77777777" w:rsidR="00035544" w:rsidRPr="0081146C" w:rsidRDefault="00035544" w:rsidP="00035544">
      <w:pPr>
        <w:pStyle w:val="paragraph"/>
      </w:pPr>
      <w:r w:rsidRPr="0081146C">
        <w:tab/>
        <w:t>(b)</w:t>
      </w:r>
      <w:r w:rsidRPr="0081146C">
        <w:tab/>
        <w:t>a written undertaking given by a person that the person will, in order to comply with this Act, the regulations or the AML/CTF Rules, refrain from taking specified action;</w:t>
      </w:r>
    </w:p>
    <w:p w14:paraId="4B97D01C" w14:textId="77777777" w:rsidR="00035544" w:rsidRPr="0081146C" w:rsidRDefault="00035544" w:rsidP="00035544">
      <w:pPr>
        <w:pStyle w:val="paragraph"/>
      </w:pPr>
      <w:r w:rsidRPr="0081146C">
        <w:tab/>
        <w:t>(c)</w:t>
      </w:r>
      <w:r w:rsidRPr="0081146C">
        <w:tab/>
        <w:t>a written undertaking given by a person that the person will take specified action directed towards ensuring that the person does not contravene this Act, the regulations or the AML/CTF Rules, or is unlikely to contravene this Act, the regulations or the AML/CTF Rules, in the future.</w:t>
      </w:r>
    </w:p>
    <w:p w14:paraId="1A17AC7F" w14:textId="77777777" w:rsidR="00035544" w:rsidRPr="0081146C" w:rsidRDefault="00035544" w:rsidP="00035544">
      <w:pPr>
        <w:pStyle w:val="subsection"/>
      </w:pPr>
      <w:r w:rsidRPr="0081146C">
        <w:tab/>
        <w:t>(2)</w:t>
      </w:r>
      <w:r w:rsidRPr="0081146C">
        <w:tab/>
        <w:t>The undertaking must be expressed to be an undertaking under this section.</w:t>
      </w:r>
    </w:p>
    <w:p w14:paraId="19415450" w14:textId="77777777" w:rsidR="00035544" w:rsidRPr="0081146C" w:rsidRDefault="00035544" w:rsidP="00035544">
      <w:pPr>
        <w:pStyle w:val="subsection"/>
      </w:pPr>
      <w:r w:rsidRPr="0081146C">
        <w:tab/>
        <w:t>(3)</w:t>
      </w:r>
      <w:r w:rsidRPr="0081146C">
        <w:tab/>
        <w:t>The person may withdraw or vary the undertaking at any time, but only with the consent of the AUSTRAC CEO.</w:t>
      </w:r>
    </w:p>
    <w:p w14:paraId="7A4C422C" w14:textId="77777777" w:rsidR="00035544" w:rsidRPr="0081146C" w:rsidRDefault="00035544" w:rsidP="00035544">
      <w:pPr>
        <w:pStyle w:val="subsection"/>
      </w:pPr>
      <w:r w:rsidRPr="0081146C">
        <w:tab/>
        <w:t>(4)</w:t>
      </w:r>
      <w:r w:rsidRPr="0081146C">
        <w:tab/>
        <w:t>The AUSTRAC CEO may, by written notice given to the person, cancel the undertaking.</w:t>
      </w:r>
    </w:p>
    <w:p w14:paraId="5A938C44" w14:textId="77777777" w:rsidR="003930D9" w:rsidRPr="0081146C" w:rsidRDefault="003930D9" w:rsidP="003930D9">
      <w:pPr>
        <w:pStyle w:val="subsection"/>
      </w:pPr>
      <w:r w:rsidRPr="0081146C">
        <w:tab/>
        <w:t>(5)</w:t>
      </w:r>
      <w:r w:rsidRPr="0081146C">
        <w:tab/>
        <w:t xml:space="preserve">The AUSTRAC CEO may publish a copy of the undertaking on AUSTRAC’s </w:t>
      </w:r>
      <w:r w:rsidR="0016480F" w:rsidRPr="0081146C">
        <w:t>website</w:t>
      </w:r>
      <w:r w:rsidRPr="0081146C">
        <w:t>, but the AUSTRAC CEO must delete from the copy information that the AUSTRAC CEO is satisfied:</w:t>
      </w:r>
    </w:p>
    <w:p w14:paraId="6978F753" w14:textId="77777777" w:rsidR="003930D9" w:rsidRPr="0081146C" w:rsidRDefault="003930D9" w:rsidP="003930D9">
      <w:pPr>
        <w:pStyle w:val="paragraph"/>
      </w:pPr>
      <w:r w:rsidRPr="0081146C">
        <w:tab/>
        <w:t>(a)</w:t>
      </w:r>
      <w:r w:rsidRPr="0081146C">
        <w:tab/>
        <w:t>is commercial in confidence; or</w:t>
      </w:r>
    </w:p>
    <w:p w14:paraId="60B51733" w14:textId="77777777" w:rsidR="003930D9" w:rsidRPr="0081146C" w:rsidRDefault="003930D9" w:rsidP="003930D9">
      <w:pPr>
        <w:pStyle w:val="paragraph"/>
      </w:pPr>
      <w:r w:rsidRPr="0081146C">
        <w:tab/>
        <w:t>(b)</w:t>
      </w:r>
      <w:r w:rsidRPr="0081146C">
        <w:tab/>
        <w:t>should not be released because it would be against the public interest to do so; or</w:t>
      </w:r>
    </w:p>
    <w:p w14:paraId="1E47D685" w14:textId="77777777" w:rsidR="003930D9" w:rsidRPr="0081146C" w:rsidRDefault="003930D9" w:rsidP="003930D9">
      <w:pPr>
        <w:pStyle w:val="paragraph"/>
      </w:pPr>
      <w:r w:rsidRPr="0081146C">
        <w:tab/>
        <w:t>(c)</w:t>
      </w:r>
      <w:r w:rsidRPr="0081146C">
        <w:tab/>
        <w:t>consists of personal details of an individual.</w:t>
      </w:r>
    </w:p>
    <w:p w14:paraId="44FD81BC" w14:textId="77777777" w:rsidR="003930D9" w:rsidRPr="0081146C" w:rsidRDefault="003930D9" w:rsidP="003930D9">
      <w:pPr>
        <w:pStyle w:val="subsection"/>
      </w:pPr>
      <w:r w:rsidRPr="0081146C">
        <w:tab/>
        <w:t>(6)</w:t>
      </w:r>
      <w:r w:rsidRPr="0081146C">
        <w:tab/>
        <w:t>If:</w:t>
      </w:r>
    </w:p>
    <w:p w14:paraId="4C66E5D5" w14:textId="77777777" w:rsidR="003930D9" w:rsidRPr="0081146C" w:rsidRDefault="003930D9" w:rsidP="003930D9">
      <w:pPr>
        <w:pStyle w:val="paragraph"/>
      </w:pPr>
      <w:r w:rsidRPr="0081146C">
        <w:tab/>
        <w:t>(a)</w:t>
      </w:r>
      <w:r w:rsidRPr="0081146C">
        <w:tab/>
        <w:t xml:space="preserve">the AUSTRAC CEO publishes a copy of the undertaking on AUSTRAC’s </w:t>
      </w:r>
      <w:r w:rsidR="0016480F" w:rsidRPr="0081146C">
        <w:t>website</w:t>
      </w:r>
      <w:r w:rsidRPr="0081146C">
        <w:t>; and</w:t>
      </w:r>
    </w:p>
    <w:p w14:paraId="228C02BC" w14:textId="77777777" w:rsidR="003930D9" w:rsidRPr="0081146C" w:rsidRDefault="003930D9" w:rsidP="003930D9">
      <w:pPr>
        <w:pStyle w:val="paragraph"/>
      </w:pPr>
      <w:r w:rsidRPr="0081146C">
        <w:tab/>
        <w:t>(b)</w:t>
      </w:r>
      <w:r w:rsidRPr="0081146C">
        <w:tab/>
        <w:t>the copy has information deleted from it;</w:t>
      </w:r>
    </w:p>
    <w:p w14:paraId="70519E6A" w14:textId="77777777" w:rsidR="003930D9" w:rsidRPr="0081146C" w:rsidRDefault="003930D9" w:rsidP="003930D9">
      <w:pPr>
        <w:pStyle w:val="subsection2"/>
      </w:pPr>
      <w:r w:rsidRPr="0081146C">
        <w:t>the copy must include a note stating that information has been deleted.</w:t>
      </w:r>
    </w:p>
    <w:p w14:paraId="06374A96" w14:textId="77777777" w:rsidR="00035544" w:rsidRPr="0081146C" w:rsidRDefault="00035544" w:rsidP="00035544">
      <w:pPr>
        <w:pStyle w:val="ActHead5"/>
      </w:pPr>
      <w:bookmarkStart w:id="612" w:name="_Toc185416051"/>
      <w:r w:rsidRPr="0081146C">
        <w:rPr>
          <w:rStyle w:val="CharSectno"/>
        </w:rPr>
        <w:t>198</w:t>
      </w:r>
      <w:r w:rsidRPr="0081146C">
        <w:t xml:space="preserve">  Enforcement of undertakings</w:t>
      </w:r>
      <w:bookmarkEnd w:id="612"/>
    </w:p>
    <w:p w14:paraId="12351C8F" w14:textId="77777777" w:rsidR="00035544" w:rsidRPr="0081146C" w:rsidRDefault="00035544" w:rsidP="00035544">
      <w:pPr>
        <w:pStyle w:val="subsection"/>
      </w:pPr>
      <w:r w:rsidRPr="0081146C">
        <w:tab/>
        <w:t>(1)</w:t>
      </w:r>
      <w:r w:rsidRPr="0081146C">
        <w:tab/>
        <w:t>If:</w:t>
      </w:r>
    </w:p>
    <w:p w14:paraId="1A95590B" w14:textId="77777777" w:rsidR="00035544" w:rsidRPr="0081146C" w:rsidRDefault="00035544" w:rsidP="00035544">
      <w:pPr>
        <w:pStyle w:val="paragraph"/>
      </w:pPr>
      <w:r w:rsidRPr="0081146C">
        <w:tab/>
        <w:t>(a)</w:t>
      </w:r>
      <w:r w:rsidRPr="0081146C">
        <w:tab/>
        <w:t xml:space="preserve">a person has given an undertaking under </w:t>
      </w:r>
      <w:r w:rsidR="003B7E15" w:rsidRPr="0081146C">
        <w:t>section 1</w:t>
      </w:r>
      <w:r w:rsidRPr="0081146C">
        <w:t>97; and</w:t>
      </w:r>
    </w:p>
    <w:p w14:paraId="6E85AC39" w14:textId="77777777" w:rsidR="00035544" w:rsidRPr="0081146C" w:rsidRDefault="00035544" w:rsidP="00035544">
      <w:pPr>
        <w:pStyle w:val="paragraph"/>
      </w:pPr>
      <w:r w:rsidRPr="0081146C">
        <w:tab/>
        <w:t>(b)</w:t>
      </w:r>
      <w:r w:rsidRPr="0081146C">
        <w:tab/>
        <w:t>the undertaking has not been withdrawn or cancelled; and</w:t>
      </w:r>
    </w:p>
    <w:p w14:paraId="192CED83" w14:textId="77777777" w:rsidR="00035544" w:rsidRPr="0081146C" w:rsidRDefault="00035544" w:rsidP="00035544">
      <w:pPr>
        <w:pStyle w:val="paragraph"/>
      </w:pPr>
      <w:r w:rsidRPr="0081146C">
        <w:tab/>
        <w:t>(c)</w:t>
      </w:r>
      <w:r w:rsidRPr="0081146C">
        <w:tab/>
        <w:t>the AUSTRAC CEO considers that the person has breached the undertaking;</w:t>
      </w:r>
    </w:p>
    <w:p w14:paraId="6BA07628" w14:textId="77777777" w:rsidR="00035544" w:rsidRPr="0081146C" w:rsidRDefault="00035544" w:rsidP="00035544">
      <w:pPr>
        <w:pStyle w:val="subsection2"/>
      </w:pPr>
      <w:r w:rsidRPr="0081146C">
        <w:t xml:space="preserve">the AUSTRAC CEO may apply to the Federal Court for an order under </w:t>
      </w:r>
      <w:r w:rsidR="004F64A4" w:rsidRPr="0081146C">
        <w:t>subsection (</w:t>
      </w:r>
      <w:r w:rsidRPr="0081146C">
        <w:t>2).</w:t>
      </w:r>
    </w:p>
    <w:p w14:paraId="05E1C5E2" w14:textId="77777777" w:rsidR="00035544" w:rsidRPr="0081146C" w:rsidRDefault="00035544" w:rsidP="00035544">
      <w:pPr>
        <w:pStyle w:val="subsection"/>
      </w:pPr>
      <w:r w:rsidRPr="0081146C">
        <w:tab/>
        <w:t>(2)</w:t>
      </w:r>
      <w:r w:rsidRPr="0081146C">
        <w:tab/>
        <w:t>If the Federal Court is satisfied that the person has breached the undertaking, the Court may make any or all of the following orders:</w:t>
      </w:r>
    </w:p>
    <w:p w14:paraId="41713190" w14:textId="77777777" w:rsidR="00035544" w:rsidRPr="0081146C" w:rsidRDefault="00035544" w:rsidP="00035544">
      <w:pPr>
        <w:pStyle w:val="paragraph"/>
      </w:pPr>
      <w:r w:rsidRPr="0081146C">
        <w:tab/>
        <w:t>(a)</w:t>
      </w:r>
      <w:r w:rsidRPr="0081146C">
        <w:tab/>
        <w:t>an order directing the person to comply with the undertaking;</w:t>
      </w:r>
    </w:p>
    <w:p w14:paraId="2E873F93" w14:textId="77777777" w:rsidR="00035544" w:rsidRPr="0081146C" w:rsidRDefault="00035544" w:rsidP="00035544">
      <w:pPr>
        <w:pStyle w:val="paragraph"/>
      </w:pPr>
      <w:r w:rsidRPr="0081146C">
        <w:tab/>
        <w:t>(b)</w:t>
      </w:r>
      <w:r w:rsidRPr="0081146C">
        <w:tab/>
        <w:t>an order directing the person to pay to the Commonwealth an amount up to the amount of any financial benefit that the person has obtained directly or indirectly and that is reasonably attributable to the breach;</w:t>
      </w:r>
    </w:p>
    <w:p w14:paraId="159EB136" w14:textId="77777777" w:rsidR="00035544" w:rsidRPr="0081146C" w:rsidRDefault="00035544" w:rsidP="00035544">
      <w:pPr>
        <w:pStyle w:val="paragraph"/>
      </w:pPr>
      <w:r w:rsidRPr="0081146C">
        <w:tab/>
        <w:t>(c)</w:t>
      </w:r>
      <w:r w:rsidRPr="0081146C">
        <w:tab/>
        <w:t>any order that the Court considers appropriate directing the person to compensate any other person who has suffered loss or damage as a result of the breach;</w:t>
      </w:r>
    </w:p>
    <w:p w14:paraId="0401310C" w14:textId="77777777" w:rsidR="00035544" w:rsidRPr="0081146C" w:rsidRDefault="00035544" w:rsidP="00035544">
      <w:pPr>
        <w:pStyle w:val="paragraph"/>
      </w:pPr>
      <w:r w:rsidRPr="0081146C">
        <w:tab/>
        <w:t>(d)</w:t>
      </w:r>
      <w:r w:rsidRPr="0081146C">
        <w:tab/>
        <w:t>any other order that the Court considers appropriate.</w:t>
      </w:r>
    </w:p>
    <w:p w14:paraId="3CC35753" w14:textId="77777777" w:rsidR="0095413C" w:rsidRPr="0081146C" w:rsidRDefault="0095413C" w:rsidP="001F63E9">
      <w:pPr>
        <w:pStyle w:val="ActHead3"/>
        <w:pageBreakBefore/>
      </w:pPr>
      <w:bookmarkStart w:id="613" w:name="_Toc185416052"/>
      <w:r w:rsidRPr="0081146C">
        <w:rPr>
          <w:rStyle w:val="CharDivNo"/>
        </w:rPr>
        <w:t>Division 8</w:t>
      </w:r>
      <w:r w:rsidRPr="0081146C">
        <w:t>—</w:t>
      </w:r>
      <w:r w:rsidRPr="0081146C">
        <w:rPr>
          <w:rStyle w:val="CharDivText"/>
        </w:rPr>
        <w:t>Powers of questioning, search and arrest for cross</w:t>
      </w:r>
      <w:r w:rsidR="003B7E15" w:rsidRPr="0081146C">
        <w:rPr>
          <w:rStyle w:val="CharDivText"/>
        </w:rPr>
        <w:noBreakHyphen/>
      </w:r>
      <w:r w:rsidRPr="0081146C">
        <w:rPr>
          <w:rStyle w:val="CharDivText"/>
        </w:rPr>
        <w:t>border movements of monetary instruments</w:t>
      </w:r>
      <w:bookmarkEnd w:id="613"/>
    </w:p>
    <w:p w14:paraId="2CF9ED4F" w14:textId="77777777" w:rsidR="0095413C" w:rsidRPr="0081146C" w:rsidRDefault="0095413C" w:rsidP="0095413C">
      <w:pPr>
        <w:pStyle w:val="ActHead5"/>
        <w:rPr>
          <w:b w:val="0"/>
        </w:rPr>
      </w:pPr>
      <w:bookmarkStart w:id="614" w:name="_Toc185416053"/>
      <w:r w:rsidRPr="0081146C">
        <w:rPr>
          <w:rStyle w:val="CharSectno"/>
        </w:rPr>
        <w:t>199</w:t>
      </w:r>
      <w:r w:rsidRPr="0081146C">
        <w:t xml:space="preserve">  Questioning and search powers in relation to monetary instruments</w:t>
      </w:r>
      <w:bookmarkEnd w:id="614"/>
    </w:p>
    <w:p w14:paraId="0B11C798" w14:textId="77777777" w:rsidR="00035544" w:rsidRPr="0081146C" w:rsidRDefault="00035544" w:rsidP="00035544">
      <w:pPr>
        <w:pStyle w:val="SubsectionHead"/>
      </w:pPr>
      <w:r w:rsidRPr="0081146C">
        <w:t>Person leaving Australia</w:t>
      </w:r>
    </w:p>
    <w:p w14:paraId="4422C82B" w14:textId="77777777" w:rsidR="00035544" w:rsidRPr="0081146C" w:rsidRDefault="00035544" w:rsidP="00035544">
      <w:pPr>
        <w:pStyle w:val="subsection"/>
      </w:pPr>
      <w:r w:rsidRPr="0081146C">
        <w:tab/>
        <w:t>(1)</w:t>
      </w:r>
      <w:r w:rsidRPr="0081146C">
        <w:tab/>
        <w:t>A person who is:</w:t>
      </w:r>
    </w:p>
    <w:p w14:paraId="0565EB12" w14:textId="77777777" w:rsidR="00035544" w:rsidRPr="0081146C" w:rsidRDefault="00035544" w:rsidP="00035544">
      <w:pPr>
        <w:pStyle w:val="paragraph"/>
      </w:pPr>
      <w:r w:rsidRPr="0081146C">
        <w:tab/>
        <w:t>(a)</w:t>
      </w:r>
      <w:r w:rsidRPr="0081146C">
        <w:tab/>
        <w:t>about to leave Australia; or</w:t>
      </w:r>
    </w:p>
    <w:p w14:paraId="31F7D606" w14:textId="77777777" w:rsidR="00035544" w:rsidRPr="0081146C" w:rsidRDefault="00035544" w:rsidP="00035544">
      <w:pPr>
        <w:pStyle w:val="paragraph"/>
      </w:pPr>
      <w:r w:rsidRPr="0081146C">
        <w:tab/>
        <w:t>(b)</w:t>
      </w:r>
      <w:r w:rsidRPr="0081146C">
        <w:tab/>
        <w:t>in an embarkation area for the purpose of leaving Australia;</w:t>
      </w:r>
    </w:p>
    <w:p w14:paraId="0BDA7EC6" w14:textId="77777777" w:rsidR="00035544" w:rsidRPr="0081146C" w:rsidRDefault="00035544" w:rsidP="00035544">
      <w:pPr>
        <w:pStyle w:val="subsection2"/>
      </w:pPr>
      <w:r w:rsidRPr="0081146C">
        <w:t>must, if required to do so by a police officer or a customs officer:</w:t>
      </w:r>
    </w:p>
    <w:p w14:paraId="583E1632" w14:textId="77777777" w:rsidR="00035544" w:rsidRPr="0081146C" w:rsidRDefault="00035544" w:rsidP="00035544">
      <w:pPr>
        <w:pStyle w:val="paragraph"/>
      </w:pPr>
      <w:r w:rsidRPr="0081146C">
        <w:tab/>
        <w:t>(c)</w:t>
      </w:r>
      <w:r w:rsidRPr="0081146C">
        <w:tab/>
        <w:t xml:space="preserve">declare whether or not the person has with him or her any </w:t>
      </w:r>
      <w:r w:rsidR="0095413C" w:rsidRPr="0081146C">
        <w:t>monetary instruments</w:t>
      </w:r>
      <w:r w:rsidRPr="0081146C">
        <w:t>; and</w:t>
      </w:r>
    </w:p>
    <w:p w14:paraId="60E652B4" w14:textId="77777777" w:rsidR="00035544" w:rsidRPr="0081146C" w:rsidRDefault="00035544" w:rsidP="00035544">
      <w:pPr>
        <w:pStyle w:val="paragraph"/>
      </w:pPr>
      <w:r w:rsidRPr="0081146C">
        <w:tab/>
        <w:t>(d)</w:t>
      </w:r>
      <w:r w:rsidRPr="0081146C">
        <w:tab/>
        <w:t xml:space="preserve">declare the </w:t>
      </w:r>
      <w:r w:rsidR="0095413C" w:rsidRPr="0081146C">
        <w:t>sum of the monetary instrument amounts for the monetary instruments</w:t>
      </w:r>
      <w:r w:rsidRPr="0081146C">
        <w:t xml:space="preserve"> that the person has with him or her; and</w:t>
      </w:r>
    </w:p>
    <w:p w14:paraId="7EFFBBB9" w14:textId="77777777" w:rsidR="00035544" w:rsidRPr="0081146C" w:rsidRDefault="00035544" w:rsidP="00035544">
      <w:pPr>
        <w:pStyle w:val="paragraph"/>
      </w:pPr>
      <w:r w:rsidRPr="0081146C">
        <w:tab/>
        <w:t>(e)</w:t>
      </w:r>
      <w:r w:rsidRPr="0081146C">
        <w:tab/>
        <w:t>declare whether or not, to the best of the person’s knowledge and belief, a report under section</w:t>
      </w:r>
      <w:r w:rsidR="004F64A4" w:rsidRPr="0081146C">
        <w:t> </w:t>
      </w:r>
      <w:r w:rsidRPr="0081146C">
        <w:t xml:space="preserve">53 has been given in respect of any </w:t>
      </w:r>
      <w:r w:rsidR="0095413C" w:rsidRPr="0081146C">
        <w:t>monetary instruments</w:t>
      </w:r>
      <w:r w:rsidRPr="0081146C">
        <w:t xml:space="preserve"> that the person has with him or her; and</w:t>
      </w:r>
    </w:p>
    <w:p w14:paraId="33D19D79" w14:textId="77777777" w:rsidR="00035544" w:rsidRPr="0081146C" w:rsidRDefault="00035544" w:rsidP="00035544">
      <w:pPr>
        <w:pStyle w:val="paragraph"/>
      </w:pPr>
      <w:r w:rsidRPr="0081146C">
        <w:tab/>
        <w:t>(f)</w:t>
      </w:r>
      <w:r w:rsidRPr="0081146C">
        <w:tab/>
        <w:t xml:space="preserve">produce to the officer any </w:t>
      </w:r>
      <w:r w:rsidR="0095413C" w:rsidRPr="0081146C">
        <w:t>monetary instruments</w:t>
      </w:r>
      <w:r w:rsidRPr="0081146C">
        <w:t xml:space="preserve"> that the person has with him or her.</w:t>
      </w:r>
    </w:p>
    <w:p w14:paraId="0B92E8C7" w14:textId="77777777" w:rsidR="00035544" w:rsidRPr="0081146C" w:rsidRDefault="00035544" w:rsidP="00035544">
      <w:pPr>
        <w:pStyle w:val="SubsectionHead"/>
      </w:pPr>
      <w:r w:rsidRPr="0081146C">
        <w:t>Person arriving in Australia</w:t>
      </w:r>
    </w:p>
    <w:p w14:paraId="1DF8C827" w14:textId="77777777" w:rsidR="00035544" w:rsidRPr="0081146C" w:rsidRDefault="00035544" w:rsidP="00035544">
      <w:pPr>
        <w:pStyle w:val="subsection"/>
      </w:pPr>
      <w:r w:rsidRPr="0081146C">
        <w:tab/>
        <w:t>(2)</w:t>
      </w:r>
      <w:r w:rsidRPr="0081146C">
        <w:tab/>
        <w:t>A person who arrives in Australia must, if required to do so by a police officer or a customs officer:</w:t>
      </w:r>
    </w:p>
    <w:p w14:paraId="6C2339EF" w14:textId="77777777" w:rsidR="00035544" w:rsidRPr="0081146C" w:rsidRDefault="00035544" w:rsidP="00035544">
      <w:pPr>
        <w:pStyle w:val="paragraph"/>
      </w:pPr>
      <w:r w:rsidRPr="0081146C">
        <w:tab/>
        <w:t>(a)</w:t>
      </w:r>
      <w:r w:rsidRPr="0081146C">
        <w:tab/>
        <w:t xml:space="preserve">declare whether or not the person has with him or her any </w:t>
      </w:r>
      <w:r w:rsidR="0095413C" w:rsidRPr="0081146C">
        <w:t>monetary instruments</w:t>
      </w:r>
      <w:r w:rsidRPr="0081146C">
        <w:t>; and</w:t>
      </w:r>
    </w:p>
    <w:p w14:paraId="1E7287C1" w14:textId="77777777" w:rsidR="00035544" w:rsidRPr="0081146C" w:rsidRDefault="00035544" w:rsidP="00035544">
      <w:pPr>
        <w:pStyle w:val="paragraph"/>
      </w:pPr>
      <w:r w:rsidRPr="0081146C">
        <w:tab/>
        <w:t>(b)</w:t>
      </w:r>
      <w:r w:rsidRPr="0081146C">
        <w:tab/>
        <w:t xml:space="preserve">declare the </w:t>
      </w:r>
      <w:r w:rsidR="0095413C" w:rsidRPr="0081146C">
        <w:t>sum of the monetary instrument amounts for the monetary instruments</w:t>
      </w:r>
      <w:r w:rsidRPr="0081146C">
        <w:t xml:space="preserve"> that the person has with him or her; and</w:t>
      </w:r>
    </w:p>
    <w:p w14:paraId="2ACEA964" w14:textId="77777777" w:rsidR="00035544" w:rsidRPr="0081146C" w:rsidRDefault="00035544" w:rsidP="00035544">
      <w:pPr>
        <w:pStyle w:val="paragraph"/>
      </w:pPr>
      <w:r w:rsidRPr="0081146C">
        <w:tab/>
        <w:t>(c)</w:t>
      </w:r>
      <w:r w:rsidRPr="0081146C">
        <w:tab/>
        <w:t>declare whether or not, to the best of the person’s knowledge and belief, a report under section</w:t>
      </w:r>
      <w:r w:rsidR="004F64A4" w:rsidRPr="0081146C">
        <w:t> </w:t>
      </w:r>
      <w:r w:rsidRPr="0081146C">
        <w:t xml:space="preserve">53 has been given in respect of any </w:t>
      </w:r>
      <w:r w:rsidR="0095413C" w:rsidRPr="0081146C">
        <w:t>monetary instruments</w:t>
      </w:r>
      <w:r w:rsidRPr="0081146C">
        <w:t xml:space="preserve"> that the person has with him or her; and</w:t>
      </w:r>
    </w:p>
    <w:p w14:paraId="55453698" w14:textId="77777777" w:rsidR="00035544" w:rsidRPr="0081146C" w:rsidRDefault="00035544" w:rsidP="00035544">
      <w:pPr>
        <w:pStyle w:val="paragraph"/>
      </w:pPr>
      <w:r w:rsidRPr="0081146C">
        <w:tab/>
        <w:t>(d)</w:t>
      </w:r>
      <w:r w:rsidRPr="0081146C">
        <w:tab/>
        <w:t xml:space="preserve">produce to the officer any </w:t>
      </w:r>
      <w:r w:rsidR="0095413C" w:rsidRPr="0081146C">
        <w:t>monetary instruments</w:t>
      </w:r>
      <w:r w:rsidRPr="0081146C">
        <w:t xml:space="preserve"> that the person has with him or her.</w:t>
      </w:r>
    </w:p>
    <w:p w14:paraId="5B4C5A2E" w14:textId="77777777" w:rsidR="000E1888" w:rsidRPr="0081146C" w:rsidRDefault="000E1888" w:rsidP="000E1888">
      <w:pPr>
        <w:pStyle w:val="SubsectionHead"/>
      </w:pPr>
      <w:r w:rsidRPr="0081146C">
        <w:t>Officer may copy bearer negotiable instruments</w:t>
      </w:r>
    </w:p>
    <w:p w14:paraId="1B2C854F" w14:textId="77777777" w:rsidR="000E1888" w:rsidRPr="0081146C" w:rsidRDefault="000E1888" w:rsidP="000E1888">
      <w:pPr>
        <w:pStyle w:val="subsection"/>
      </w:pPr>
      <w:r w:rsidRPr="0081146C">
        <w:tab/>
        <w:t>(2AA)</w:t>
      </w:r>
      <w:r w:rsidRPr="0081146C">
        <w:tab/>
        <w:t>If a person produces to a police officer or a customs officer under paragraph (1)(f) or (2)(d):</w:t>
      </w:r>
    </w:p>
    <w:p w14:paraId="1602DF13" w14:textId="77777777" w:rsidR="000E1888" w:rsidRPr="0081146C" w:rsidRDefault="000E1888" w:rsidP="000E1888">
      <w:pPr>
        <w:pStyle w:val="paragraph"/>
      </w:pPr>
      <w:r w:rsidRPr="0081146C">
        <w:tab/>
        <w:t>(a)</w:t>
      </w:r>
      <w:r w:rsidRPr="0081146C">
        <w:tab/>
        <w:t>a bearer negotiable instrument; or</w:t>
      </w:r>
    </w:p>
    <w:p w14:paraId="0734984C" w14:textId="77777777" w:rsidR="000E1888" w:rsidRPr="0081146C" w:rsidRDefault="000E1888" w:rsidP="000E1888">
      <w:pPr>
        <w:pStyle w:val="paragraph"/>
      </w:pPr>
      <w:r w:rsidRPr="0081146C">
        <w:tab/>
        <w:t>(b)</w:t>
      </w:r>
      <w:r w:rsidRPr="0081146C">
        <w:tab/>
        <w:t xml:space="preserve">a thing prescribed by the AML/CTF Rules for the purposes of paragraph (c) of the definition of </w:t>
      </w:r>
      <w:r w:rsidRPr="0081146C">
        <w:rPr>
          <w:b/>
          <w:i/>
        </w:rPr>
        <w:t xml:space="preserve">monetary instrument </w:t>
      </w:r>
      <w:r w:rsidRPr="0081146C">
        <w:t>in section 5 that is able to be copied;</w:t>
      </w:r>
    </w:p>
    <w:p w14:paraId="07C35E86" w14:textId="77777777" w:rsidR="000E1888" w:rsidRPr="0081146C" w:rsidRDefault="000E1888" w:rsidP="000E1888">
      <w:pPr>
        <w:pStyle w:val="subsection2"/>
      </w:pPr>
      <w:r w:rsidRPr="0081146C">
        <w:t>the officer may make a copy of the instrument or thing. Once copied, the officer must return the instrument or thing to the person.</w:t>
      </w:r>
    </w:p>
    <w:p w14:paraId="6D0DF605" w14:textId="77777777" w:rsidR="000E1888" w:rsidRPr="0081146C" w:rsidRDefault="000E1888" w:rsidP="000E1888">
      <w:pPr>
        <w:pStyle w:val="SubsectionHead"/>
      </w:pPr>
      <w:r w:rsidRPr="0081146C">
        <w:t>Person leaving or arriving in Australia—seizing monetary instrument</w:t>
      </w:r>
    </w:p>
    <w:p w14:paraId="4BA418A0" w14:textId="77777777" w:rsidR="0049002F" w:rsidRPr="0081146C" w:rsidRDefault="0049002F" w:rsidP="0049002F">
      <w:pPr>
        <w:pStyle w:val="subsection"/>
      </w:pPr>
      <w:r w:rsidRPr="0081146C">
        <w:tab/>
        <w:t>(2A)</w:t>
      </w:r>
      <w:r w:rsidRPr="0081146C">
        <w:tab/>
        <w:t xml:space="preserve">A police officer or a customs officer may </w:t>
      </w:r>
      <w:r w:rsidR="000E1888" w:rsidRPr="0081146C">
        <w:t>seize a monetary instrument</w:t>
      </w:r>
      <w:r w:rsidRPr="0081146C">
        <w:t xml:space="preserve"> produced to the officer under </w:t>
      </w:r>
      <w:r w:rsidR="004F64A4" w:rsidRPr="0081146C">
        <w:t>paragraph (</w:t>
      </w:r>
      <w:r w:rsidRPr="0081146C">
        <w:t>1)(f) or (2)(d) if:</w:t>
      </w:r>
    </w:p>
    <w:p w14:paraId="715180DF" w14:textId="77777777" w:rsidR="0049002F" w:rsidRPr="0081146C" w:rsidRDefault="0049002F" w:rsidP="0049002F">
      <w:pPr>
        <w:pStyle w:val="paragraph"/>
      </w:pPr>
      <w:r w:rsidRPr="0081146C">
        <w:tab/>
        <w:t>(a)</w:t>
      </w:r>
      <w:r w:rsidRPr="0081146C">
        <w:tab/>
        <w:t xml:space="preserve">the police officer or customs officer has reasonable grounds to suspect that the </w:t>
      </w:r>
      <w:r w:rsidR="000E1888" w:rsidRPr="0081146C">
        <w:t>monetary instrument</w:t>
      </w:r>
      <w:r w:rsidRPr="0081146C">
        <w:t xml:space="preserve"> may afford evidence as to the commission of an offence against section</w:t>
      </w:r>
      <w:r w:rsidR="004F64A4" w:rsidRPr="0081146C">
        <w:t> </w:t>
      </w:r>
      <w:r w:rsidRPr="0081146C">
        <w:t>53; or</w:t>
      </w:r>
    </w:p>
    <w:p w14:paraId="5EC9E78A" w14:textId="77777777" w:rsidR="0049002F" w:rsidRPr="0081146C" w:rsidRDefault="0049002F" w:rsidP="0049002F">
      <w:pPr>
        <w:pStyle w:val="paragraph"/>
      </w:pPr>
      <w:r w:rsidRPr="0081146C">
        <w:tab/>
        <w:t>(b)</w:t>
      </w:r>
      <w:r w:rsidRPr="0081146C">
        <w:tab/>
        <w:t xml:space="preserve">the police officer or customs officer has reasonable grounds to suspect that the </w:t>
      </w:r>
      <w:r w:rsidR="000E1888" w:rsidRPr="0081146C">
        <w:t>monetary instrument</w:t>
      </w:r>
      <w:r w:rsidRPr="0081146C">
        <w:t xml:space="preserve"> may be of interest under </w:t>
      </w:r>
      <w:r w:rsidR="004F64A4" w:rsidRPr="0081146C">
        <w:t>subsection (</w:t>
      </w:r>
      <w:r w:rsidRPr="0081146C">
        <w:t>14).</w:t>
      </w:r>
    </w:p>
    <w:p w14:paraId="02C49525" w14:textId="77777777" w:rsidR="0049002F" w:rsidRPr="0081146C" w:rsidRDefault="0049002F" w:rsidP="0049002F">
      <w:pPr>
        <w:pStyle w:val="SubsectionHead"/>
      </w:pPr>
      <w:r w:rsidRPr="0081146C">
        <w:t>Powers of examination and search</w:t>
      </w:r>
    </w:p>
    <w:p w14:paraId="4A9A5128" w14:textId="77777777" w:rsidR="0049002F" w:rsidRPr="0081146C" w:rsidRDefault="0049002F" w:rsidP="0049002F">
      <w:pPr>
        <w:pStyle w:val="subsection"/>
      </w:pPr>
      <w:r w:rsidRPr="0081146C">
        <w:tab/>
        <w:t>(3)</w:t>
      </w:r>
      <w:r w:rsidRPr="0081146C">
        <w:tab/>
        <w:t>A police officer or a customs officer may, with such assistance as is reasonable and necessary, examine an article which a person has with him or her if:</w:t>
      </w:r>
    </w:p>
    <w:p w14:paraId="1D284586" w14:textId="77777777" w:rsidR="0049002F" w:rsidRPr="0081146C" w:rsidRDefault="0049002F" w:rsidP="0049002F">
      <w:pPr>
        <w:pStyle w:val="paragraph"/>
      </w:pPr>
      <w:r w:rsidRPr="0081146C">
        <w:tab/>
        <w:t>(a)</w:t>
      </w:r>
      <w:r w:rsidRPr="0081146C">
        <w:tab/>
        <w:t>the person:</w:t>
      </w:r>
    </w:p>
    <w:p w14:paraId="2CFFF5EE" w14:textId="77777777" w:rsidR="0049002F" w:rsidRPr="0081146C" w:rsidRDefault="0049002F" w:rsidP="0049002F">
      <w:pPr>
        <w:pStyle w:val="paragraphsub"/>
      </w:pPr>
      <w:r w:rsidRPr="0081146C">
        <w:tab/>
        <w:t>(i)</w:t>
      </w:r>
      <w:r w:rsidRPr="0081146C">
        <w:tab/>
        <w:t>is about to leave Australia or has arrived in Australia; or</w:t>
      </w:r>
    </w:p>
    <w:p w14:paraId="728A738A" w14:textId="77777777" w:rsidR="0049002F" w:rsidRPr="0081146C" w:rsidRDefault="0049002F" w:rsidP="0049002F">
      <w:pPr>
        <w:pStyle w:val="paragraphsub"/>
      </w:pPr>
      <w:r w:rsidRPr="0081146C">
        <w:tab/>
        <w:t>(ii)</w:t>
      </w:r>
      <w:r w:rsidRPr="0081146C">
        <w:tab/>
        <w:t>is about to board or leave, or has boarded or left, any ship or aircraft; and</w:t>
      </w:r>
    </w:p>
    <w:p w14:paraId="447F6B4B" w14:textId="77777777" w:rsidR="0049002F" w:rsidRPr="0081146C" w:rsidRDefault="0049002F" w:rsidP="0049002F">
      <w:pPr>
        <w:pStyle w:val="paragraph"/>
      </w:pPr>
      <w:r w:rsidRPr="0081146C">
        <w:tab/>
        <w:t>(b)</w:t>
      </w:r>
      <w:r w:rsidRPr="0081146C">
        <w:tab/>
        <w:t>either:</w:t>
      </w:r>
    </w:p>
    <w:p w14:paraId="67440751" w14:textId="77777777" w:rsidR="0049002F" w:rsidRPr="0081146C" w:rsidRDefault="0049002F" w:rsidP="0049002F">
      <w:pPr>
        <w:pStyle w:val="paragraphsub"/>
      </w:pPr>
      <w:r w:rsidRPr="0081146C">
        <w:tab/>
        <w:t>(i)</w:t>
      </w:r>
      <w:r w:rsidRPr="0081146C">
        <w:tab/>
        <w:t xml:space="preserve">the officer is seeking to find out whether the person has with him or her any </w:t>
      </w:r>
      <w:r w:rsidR="000E1888" w:rsidRPr="0081146C">
        <w:t>monetary instrument</w:t>
      </w:r>
      <w:r w:rsidRPr="0081146C">
        <w:t xml:space="preserve"> in respect of which a report under section</w:t>
      </w:r>
      <w:r w:rsidR="004F64A4" w:rsidRPr="0081146C">
        <w:t> </w:t>
      </w:r>
      <w:r w:rsidRPr="0081146C">
        <w:t>53 is required; or</w:t>
      </w:r>
    </w:p>
    <w:p w14:paraId="37D99DEB" w14:textId="77777777" w:rsidR="0049002F" w:rsidRPr="0081146C" w:rsidRDefault="0049002F" w:rsidP="0049002F">
      <w:pPr>
        <w:pStyle w:val="paragraphsub"/>
      </w:pPr>
      <w:r w:rsidRPr="0081146C">
        <w:tab/>
        <w:t>(ii)</w:t>
      </w:r>
      <w:r w:rsidRPr="0081146C">
        <w:tab/>
        <w:t xml:space="preserve">the officer has reasonable grounds to suspect that the person has with him or her any </w:t>
      </w:r>
      <w:r w:rsidR="000E1888" w:rsidRPr="0081146C">
        <w:t>monetary instrument</w:t>
      </w:r>
      <w:r w:rsidRPr="0081146C">
        <w:t xml:space="preserve"> that may be of interest under </w:t>
      </w:r>
      <w:r w:rsidR="004F64A4" w:rsidRPr="0081146C">
        <w:t>subsection (</w:t>
      </w:r>
      <w:r w:rsidRPr="0081146C">
        <w:t>14).</w:t>
      </w:r>
    </w:p>
    <w:p w14:paraId="328C2500" w14:textId="77777777" w:rsidR="00035544" w:rsidRPr="0081146C" w:rsidRDefault="00035544" w:rsidP="00035544">
      <w:pPr>
        <w:pStyle w:val="subsection"/>
      </w:pPr>
      <w:r w:rsidRPr="0081146C">
        <w:tab/>
        <w:t>(4)</w:t>
      </w:r>
      <w:r w:rsidRPr="0081146C">
        <w:tab/>
        <w:t>Either:</w:t>
      </w:r>
    </w:p>
    <w:p w14:paraId="457448AB" w14:textId="77777777" w:rsidR="00035544" w:rsidRPr="0081146C" w:rsidRDefault="00035544" w:rsidP="00035544">
      <w:pPr>
        <w:pStyle w:val="paragraph"/>
      </w:pPr>
      <w:r w:rsidRPr="0081146C">
        <w:tab/>
        <w:t>(a)</w:t>
      </w:r>
      <w:r w:rsidRPr="0081146C">
        <w:tab/>
        <w:t>a police officer; or</w:t>
      </w:r>
    </w:p>
    <w:p w14:paraId="19148F88" w14:textId="77777777" w:rsidR="00035544" w:rsidRPr="0081146C" w:rsidRDefault="00035544" w:rsidP="00035544">
      <w:pPr>
        <w:pStyle w:val="paragraph"/>
      </w:pPr>
      <w:r w:rsidRPr="0081146C">
        <w:tab/>
        <w:t>(b)</w:t>
      </w:r>
      <w:r w:rsidRPr="0081146C">
        <w:tab/>
        <w:t>a customs officer in respect of whom a declaration under section</w:t>
      </w:r>
      <w:r w:rsidR="004F64A4" w:rsidRPr="0081146C">
        <w:t> </w:t>
      </w:r>
      <w:r w:rsidRPr="0081146C">
        <w:t xml:space="preserve">219ZA of the </w:t>
      </w:r>
      <w:r w:rsidRPr="0081146C">
        <w:rPr>
          <w:i/>
        </w:rPr>
        <w:t xml:space="preserve">Customs Act 1901 </w:t>
      </w:r>
      <w:r w:rsidRPr="0081146C">
        <w:t>is in force;</w:t>
      </w:r>
    </w:p>
    <w:p w14:paraId="44D30BDA" w14:textId="77777777" w:rsidR="00035544" w:rsidRPr="0081146C" w:rsidRDefault="00035544" w:rsidP="00035544">
      <w:pPr>
        <w:pStyle w:val="subsection2"/>
      </w:pPr>
      <w:r w:rsidRPr="0081146C">
        <w:t>may, with such assistance as is reasonable and necessary, search a person so long as:</w:t>
      </w:r>
    </w:p>
    <w:p w14:paraId="6F7A93EB" w14:textId="77777777" w:rsidR="00035544" w:rsidRPr="0081146C" w:rsidRDefault="00035544" w:rsidP="00035544">
      <w:pPr>
        <w:pStyle w:val="paragraph"/>
      </w:pPr>
      <w:r w:rsidRPr="0081146C">
        <w:tab/>
        <w:t>(c)</w:t>
      </w:r>
      <w:r w:rsidRPr="0081146C">
        <w:tab/>
        <w:t>any of the following subparagraphs applies:</w:t>
      </w:r>
    </w:p>
    <w:p w14:paraId="4C898386" w14:textId="77777777" w:rsidR="00035544" w:rsidRPr="0081146C" w:rsidRDefault="00035544" w:rsidP="00035544">
      <w:pPr>
        <w:pStyle w:val="paragraphsub"/>
      </w:pPr>
      <w:r w:rsidRPr="0081146C">
        <w:tab/>
        <w:t>(i)</w:t>
      </w:r>
      <w:r w:rsidRPr="0081146C">
        <w:tab/>
        <w:t>the person is about to leave Australia;</w:t>
      </w:r>
    </w:p>
    <w:p w14:paraId="52878DE9" w14:textId="77777777" w:rsidR="00035544" w:rsidRPr="0081146C" w:rsidRDefault="00035544" w:rsidP="00035544">
      <w:pPr>
        <w:pStyle w:val="paragraphsub"/>
      </w:pPr>
      <w:r w:rsidRPr="0081146C">
        <w:tab/>
        <w:t>(ii)</w:t>
      </w:r>
      <w:r w:rsidRPr="0081146C">
        <w:tab/>
        <w:t>the person has arrived in Australia;</w:t>
      </w:r>
    </w:p>
    <w:p w14:paraId="355C0281" w14:textId="77777777" w:rsidR="00035544" w:rsidRPr="0081146C" w:rsidRDefault="00035544" w:rsidP="00035544">
      <w:pPr>
        <w:pStyle w:val="paragraphsub"/>
      </w:pPr>
      <w:r w:rsidRPr="0081146C">
        <w:tab/>
        <w:t>(iii)</w:t>
      </w:r>
      <w:r w:rsidRPr="0081146C">
        <w:tab/>
        <w:t>the person is about to board or leave a ship or aircraft;</w:t>
      </w:r>
    </w:p>
    <w:p w14:paraId="25D8E70E" w14:textId="77777777" w:rsidR="00035544" w:rsidRPr="0081146C" w:rsidRDefault="00035544" w:rsidP="00035544">
      <w:pPr>
        <w:pStyle w:val="paragraphsub"/>
      </w:pPr>
      <w:r w:rsidRPr="0081146C">
        <w:tab/>
        <w:t>(iv)</w:t>
      </w:r>
      <w:r w:rsidRPr="0081146C">
        <w:tab/>
        <w:t>the person has boarded or left a ship or aircraft; and</w:t>
      </w:r>
    </w:p>
    <w:p w14:paraId="0D24D5E9" w14:textId="77777777" w:rsidR="0049002F" w:rsidRPr="0081146C" w:rsidRDefault="0049002F" w:rsidP="0049002F">
      <w:pPr>
        <w:pStyle w:val="paragraph"/>
      </w:pPr>
      <w:r w:rsidRPr="0081146C">
        <w:tab/>
        <w:t>(d)</w:t>
      </w:r>
      <w:r w:rsidRPr="0081146C">
        <w:tab/>
        <w:t>the officer has reasonable grounds to suspect that there is on the person, or in clothing being worn by the person:</w:t>
      </w:r>
    </w:p>
    <w:p w14:paraId="592F0C9B" w14:textId="77777777" w:rsidR="0049002F" w:rsidRPr="0081146C" w:rsidRDefault="0049002F" w:rsidP="0049002F">
      <w:pPr>
        <w:pStyle w:val="paragraphsub"/>
      </w:pPr>
      <w:r w:rsidRPr="0081146C">
        <w:tab/>
        <w:t>(i)</w:t>
      </w:r>
      <w:r w:rsidRPr="0081146C">
        <w:tab/>
      </w:r>
      <w:r w:rsidR="000E1888" w:rsidRPr="0081146C">
        <w:t>a monetary instrument</w:t>
      </w:r>
      <w:r w:rsidRPr="0081146C">
        <w:t xml:space="preserve"> in respect of which a report under section</w:t>
      </w:r>
      <w:r w:rsidR="004F64A4" w:rsidRPr="0081146C">
        <w:t> </w:t>
      </w:r>
      <w:r w:rsidRPr="0081146C">
        <w:t>53 is required; or</w:t>
      </w:r>
    </w:p>
    <w:p w14:paraId="7D0382A7" w14:textId="77777777" w:rsidR="0049002F" w:rsidRPr="0081146C" w:rsidRDefault="0049002F" w:rsidP="0049002F">
      <w:pPr>
        <w:pStyle w:val="paragraphsub"/>
      </w:pPr>
      <w:r w:rsidRPr="0081146C">
        <w:tab/>
        <w:t>(ii)</w:t>
      </w:r>
      <w:r w:rsidRPr="0081146C">
        <w:tab/>
      </w:r>
      <w:r w:rsidR="000E1888" w:rsidRPr="0081146C">
        <w:t>a monetary instrument</w:t>
      </w:r>
      <w:r w:rsidRPr="0081146C">
        <w:t xml:space="preserve"> that may be of interest under </w:t>
      </w:r>
      <w:r w:rsidR="004F64A4" w:rsidRPr="0081146C">
        <w:t>subsection (</w:t>
      </w:r>
      <w:r w:rsidRPr="0081146C">
        <w:t>14).</w:t>
      </w:r>
    </w:p>
    <w:p w14:paraId="0AB83389" w14:textId="77777777" w:rsidR="0049002F" w:rsidRPr="0081146C" w:rsidRDefault="0049002F" w:rsidP="0049002F">
      <w:pPr>
        <w:pStyle w:val="subsection"/>
      </w:pPr>
      <w:r w:rsidRPr="0081146C">
        <w:tab/>
        <w:t>(5)</w:t>
      </w:r>
      <w:r w:rsidRPr="0081146C">
        <w:tab/>
        <w:t xml:space="preserve">A police officer or a customs officer may </w:t>
      </w:r>
      <w:r w:rsidR="000E1888" w:rsidRPr="0081146C">
        <w:t>seize a monetary instrument</w:t>
      </w:r>
      <w:r w:rsidRPr="0081146C">
        <w:t xml:space="preserve"> found in the course of an examination or search under </w:t>
      </w:r>
      <w:r w:rsidR="004F64A4" w:rsidRPr="0081146C">
        <w:t>subsection (</w:t>
      </w:r>
      <w:r w:rsidRPr="0081146C">
        <w:t>3) or (4) if:</w:t>
      </w:r>
    </w:p>
    <w:p w14:paraId="579DD3C7" w14:textId="77777777" w:rsidR="0049002F" w:rsidRPr="0081146C" w:rsidRDefault="0049002F" w:rsidP="0049002F">
      <w:pPr>
        <w:pStyle w:val="paragraph"/>
      </w:pPr>
      <w:r w:rsidRPr="0081146C">
        <w:tab/>
        <w:t>(a)</w:t>
      </w:r>
      <w:r w:rsidRPr="0081146C">
        <w:tab/>
        <w:t xml:space="preserve">the police officer or customs officer has reasonable grounds to suspect that the </w:t>
      </w:r>
      <w:r w:rsidR="000E1888" w:rsidRPr="0081146C">
        <w:t>monetary instrument</w:t>
      </w:r>
      <w:r w:rsidRPr="0081146C">
        <w:t xml:space="preserve"> may afford evidence as to the commission of an offence against section</w:t>
      </w:r>
      <w:r w:rsidR="004F64A4" w:rsidRPr="0081146C">
        <w:t> </w:t>
      </w:r>
      <w:r w:rsidRPr="0081146C">
        <w:t>53; or</w:t>
      </w:r>
    </w:p>
    <w:p w14:paraId="5CD25E4B" w14:textId="77777777" w:rsidR="0049002F" w:rsidRPr="0081146C" w:rsidRDefault="0049002F" w:rsidP="0049002F">
      <w:pPr>
        <w:pStyle w:val="paragraph"/>
      </w:pPr>
      <w:r w:rsidRPr="0081146C">
        <w:tab/>
        <w:t>(b)</w:t>
      </w:r>
      <w:r w:rsidRPr="0081146C">
        <w:tab/>
        <w:t xml:space="preserve">the police officer or customs officer has reasonable grounds to suspect that the </w:t>
      </w:r>
      <w:r w:rsidR="000E1888" w:rsidRPr="0081146C">
        <w:t>monetary instrument</w:t>
      </w:r>
      <w:r w:rsidRPr="0081146C">
        <w:t xml:space="preserve"> may be of interest under </w:t>
      </w:r>
      <w:r w:rsidR="004F64A4" w:rsidRPr="0081146C">
        <w:t>subsection (</w:t>
      </w:r>
      <w:r w:rsidRPr="0081146C">
        <w:t>14).</w:t>
      </w:r>
    </w:p>
    <w:p w14:paraId="0D785DC2" w14:textId="77777777" w:rsidR="00035544" w:rsidRPr="0081146C" w:rsidRDefault="00035544" w:rsidP="00035544">
      <w:pPr>
        <w:pStyle w:val="subsection"/>
      </w:pPr>
      <w:r w:rsidRPr="0081146C">
        <w:tab/>
        <w:t>(6)</w:t>
      </w:r>
      <w:r w:rsidRPr="0081146C">
        <w:tab/>
        <w:t xml:space="preserve">A person must not be searched under </w:t>
      </w:r>
      <w:r w:rsidR="004F64A4" w:rsidRPr="0081146C">
        <w:t>subsection (</w:t>
      </w:r>
      <w:r w:rsidRPr="0081146C">
        <w:t>4) except by a person of the same sex.</w:t>
      </w:r>
    </w:p>
    <w:p w14:paraId="5DB18E47" w14:textId="77777777" w:rsidR="00035544" w:rsidRPr="0081146C" w:rsidRDefault="00035544" w:rsidP="00035544">
      <w:pPr>
        <w:pStyle w:val="SubsectionHead"/>
      </w:pPr>
      <w:r w:rsidRPr="0081146C">
        <w:t>Boarding of ships and aircraft</w:t>
      </w:r>
    </w:p>
    <w:p w14:paraId="7FAC1979" w14:textId="77777777" w:rsidR="00035544" w:rsidRPr="0081146C" w:rsidRDefault="00035544" w:rsidP="00035544">
      <w:pPr>
        <w:pStyle w:val="subsection"/>
      </w:pPr>
      <w:r w:rsidRPr="0081146C">
        <w:tab/>
        <w:t>(7)</w:t>
      </w:r>
      <w:r w:rsidRPr="0081146C">
        <w:tab/>
        <w:t xml:space="preserve">A police officer or a customs officer, and any person assisting a police officer or customs officer, may board a ship or aircraft for the purpose of exercising the powers conferred by </w:t>
      </w:r>
      <w:r w:rsidR="004F64A4" w:rsidRPr="0081146C">
        <w:t>subsection (</w:t>
      </w:r>
      <w:r w:rsidRPr="0081146C">
        <w:t>1), (2), (3) or (4).</w:t>
      </w:r>
    </w:p>
    <w:p w14:paraId="085A3571" w14:textId="77777777" w:rsidR="0049002F" w:rsidRPr="0081146C" w:rsidRDefault="0049002F" w:rsidP="0049002F">
      <w:pPr>
        <w:pStyle w:val="subsection"/>
      </w:pPr>
      <w:r w:rsidRPr="0081146C">
        <w:tab/>
        <w:t>(8)</w:t>
      </w:r>
      <w:r w:rsidRPr="0081146C">
        <w:tab/>
        <w:t>A police officer or a customs officer may, with such assistance as is reasonable and necessary:</w:t>
      </w:r>
    </w:p>
    <w:p w14:paraId="07C0D48B" w14:textId="77777777" w:rsidR="0049002F" w:rsidRPr="0081146C" w:rsidRDefault="0049002F" w:rsidP="0049002F">
      <w:pPr>
        <w:pStyle w:val="paragraph"/>
      </w:pPr>
      <w:r w:rsidRPr="0081146C">
        <w:tab/>
        <w:t>(a)</w:t>
      </w:r>
      <w:r w:rsidRPr="0081146C">
        <w:tab/>
        <w:t>board a ship or aircraft; or</w:t>
      </w:r>
    </w:p>
    <w:p w14:paraId="0BA69D95" w14:textId="77777777" w:rsidR="0049002F" w:rsidRPr="0081146C" w:rsidRDefault="0049002F" w:rsidP="0049002F">
      <w:pPr>
        <w:pStyle w:val="paragraph"/>
      </w:pPr>
      <w:r w:rsidRPr="0081146C">
        <w:tab/>
        <w:t>(b)</w:t>
      </w:r>
      <w:r w:rsidRPr="0081146C">
        <w:tab/>
        <w:t>examine or search the ship or aircraft, and any goods found on the ship or aircraft;</w:t>
      </w:r>
    </w:p>
    <w:p w14:paraId="11F822BE" w14:textId="77777777" w:rsidR="0049002F" w:rsidRPr="0081146C" w:rsidRDefault="0049002F" w:rsidP="0049002F">
      <w:pPr>
        <w:pStyle w:val="subsection2"/>
      </w:pPr>
      <w:r w:rsidRPr="0081146C">
        <w:t>for the purpose of finding out whether there is at or in the place, or in the goods:</w:t>
      </w:r>
    </w:p>
    <w:p w14:paraId="77597CAE" w14:textId="77777777" w:rsidR="0049002F" w:rsidRPr="0081146C" w:rsidRDefault="0049002F" w:rsidP="0049002F">
      <w:pPr>
        <w:pStyle w:val="paragraph"/>
      </w:pPr>
      <w:r w:rsidRPr="0081146C">
        <w:tab/>
        <w:t>(c)</w:t>
      </w:r>
      <w:r w:rsidRPr="0081146C">
        <w:tab/>
        <w:t xml:space="preserve">any </w:t>
      </w:r>
      <w:r w:rsidR="000E1888" w:rsidRPr="0081146C">
        <w:t>monetary instrument</w:t>
      </w:r>
      <w:r w:rsidRPr="0081146C">
        <w:t xml:space="preserve"> in respect of which a report under section</w:t>
      </w:r>
      <w:r w:rsidR="004F64A4" w:rsidRPr="0081146C">
        <w:t> </w:t>
      </w:r>
      <w:r w:rsidRPr="0081146C">
        <w:t>53 is required; or</w:t>
      </w:r>
    </w:p>
    <w:p w14:paraId="3F111F1D" w14:textId="77777777" w:rsidR="0049002F" w:rsidRPr="0081146C" w:rsidRDefault="0049002F" w:rsidP="0049002F">
      <w:pPr>
        <w:pStyle w:val="paragraph"/>
      </w:pPr>
      <w:r w:rsidRPr="0081146C">
        <w:tab/>
        <w:t>(d)</w:t>
      </w:r>
      <w:r w:rsidRPr="0081146C">
        <w:tab/>
        <w:t xml:space="preserve">any </w:t>
      </w:r>
      <w:r w:rsidR="000E1888" w:rsidRPr="0081146C">
        <w:t>monetary instrument</w:t>
      </w:r>
      <w:r w:rsidRPr="0081146C">
        <w:t xml:space="preserve"> that may be of interest under </w:t>
      </w:r>
      <w:r w:rsidR="004F64A4" w:rsidRPr="0081146C">
        <w:t>subsection (</w:t>
      </w:r>
      <w:r w:rsidRPr="0081146C">
        <w:t>14).</w:t>
      </w:r>
    </w:p>
    <w:p w14:paraId="0EE377C6" w14:textId="77777777" w:rsidR="0049002F" w:rsidRPr="0081146C" w:rsidRDefault="0049002F" w:rsidP="0049002F">
      <w:pPr>
        <w:pStyle w:val="SubsectionHead"/>
      </w:pPr>
      <w:r w:rsidRPr="0081146C">
        <w:t>Entry to eligible places</w:t>
      </w:r>
    </w:p>
    <w:p w14:paraId="4776B169" w14:textId="77777777" w:rsidR="0049002F" w:rsidRPr="0081146C" w:rsidRDefault="0049002F" w:rsidP="0049002F">
      <w:pPr>
        <w:pStyle w:val="subsection"/>
      </w:pPr>
      <w:r w:rsidRPr="0081146C">
        <w:tab/>
        <w:t>(9)</w:t>
      </w:r>
      <w:r w:rsidRPr="0081146C">
        <w:tab/>
        <w:t>A police officer or a customs officer may, with such assistance as is reasonable and necessary:</w:t>
      </w:r>
    </w:p>
    <w:p w14:paraId="2F80D1C0" w14:textId="77777777" w:rsidR="0049002F" w:rsidRPr="0081146C" w:rsidRDefault="0049002F" w:rsidP="0049002F">
      <w:pPr>
        <w:pStyle w:val="paragraph"/>
      </w:pPr>
      <w:r w:rsidRPr="0081146C">
        <w:tab/>
        <w:t>(a)</w:t>
      </w:r>
      <w:r w:rsidRPr="0081146C">
        <w:tab/>
        <w:t>go onto or enter any eligible place; and</w:t>
      </w:r>
    </w:p>
    <w:p w14:paraId="7BFB8CF6" w14:textId="77777777" w:rsidR="0049002F" w:rsidRPr="0081146C" w:rsidRDefault="0049002F" w:rsidP="0049002F">
      <w:pPr>
        <w:pStyle w:val="paragraph"/>
      </w:pPr>
      <w:r w:rsidRPr="0081146C">
        <w:tab/>
        <w:t>(b)</w:t>
      </w:r>
      <w:r w:rsidRPr="0081146C">
        <w:tab/>
        <w:t>examine the place, and any goods found at or in it;</w:t>
      </w:r>
    </w:p>
    <w:p w14:paraId="7C5BADE1" w14:textId="77777777" w:rsidR="0049002F" w:rsidRPr="0081146C" w:rsidRDefault="0049002F" w:rsidP="0049002F">
      <w:pPr>
        <w:pStyle w:val="subsection2"/>
      </w:pPr>
      <w:r w:rsidRPr="0081146C">
        <w:t>for the purpose of finding out whether there is at or in the place, or in the goods:</w:t>
      </w:r>
    </w:p>
    <w:p w14:paraId="642A7BF5" w14:textId="77777777" w:rsidR="0049002F" w:rsidRPr="0081146C" w:rsidRDefault="0049002F" w:rsidP="0049002F">
      <w:pPr>
        <w:pStyle w:val="paragraph"/>
      </w:pPr>
      <w:r w:rsidRPr="0081146C">
        <w:tab/>
        <w:t>(c)</w:t>
      </w:r>
      <w:r w:rsidRPr="0081146C">
        <w:tab/>
        <w:t xml:space="preserve">any </w:t>
      </w:r>
      <w:r w:rsidR="000E1888" w:rsidRPr="0081146C">
        <w:t>monetary instrument</w:t>
      </w:r>
      <w:r w:rsidRPr="0081146C">
        <w:t xml:space="preserve"> in respect of which a report under section</w:t>
      </w:r>
      <w:r w:rsidR="004F64A4" w:rsidRPr="0081146C">
        <w:t> </w:t>
      </w:r>
      <w:r w:rsidRPr="0081146C">
        <w:t>53 is required; or</w:t>
      </w:r>
    </w:p>
    <w:p w14:paraId="4CE26382" w14:textId="77777777" w:rsidR="0049002F" w:rsidRPr="0081146C" w:rsidRDefault="0049002F" w:rsidP="0049002F">
      <w:pPr>
        <w:pStyle w:val="paragraph"/>
      </w:pPr>
      <w:r w:rsidRPr="0081146C">
        <w:tab/>
        <w:t>(d)</w:t>
      </w:r>
      <w:r w:rsidRPr="0081146C">
        <w:tab/>
        <w:t xml:space="preserve">any </w:t>
      </w:r>
      <w:r w:rsidR="000E1888" w:rsidRPr="0081146C">
        <w:t>monetary instrument</w:t>
      </w:r>
      <w:r w:rsidRPr="0081146C">
        <w:t xml:space="preserve"> that may be of interest under </w:t>
      </w:r>
      <w:r w:rsidR="004F64A4" w:rsidRPr="0081146C">
        <w:t>subsection (</w:t>
      </w:r>
      <w:r w:rsidRPr="0081146C">
        <w:t>14).</w:t>
      </w:r>
    </w:p>
    <w:p w14:paraId="24105595" w14:textId="77777777" w:rsidR="0049002F" w:rsidRPr="0081146C" w:rsidRDefault="0049002F" w:rsidP="0049002F">
      <w:pPr>
        <w:pStyle w:val="SubsectionHead"/>
      </w:pPr>
      <w:r w:rsidRPr="0081146C">
        <w:t>Seizure</w:t>
      </w:r>
    </w:p>
    <w:p w14:paraId="21B0096D" w14:textId="77777777" w:rsidR="0049002F" w:rsidRPr="0081146C" w:rsidRDefault="0049002F" w:rsidP="0049002F">
      <w:pPr>
        <w:pStyle w:val="subsection"/>
      </w:pPr>
      <w:r w:rsidRPr="0081146C">
        <w:tab/>
        <w:t>(10)</w:t>
      </w:r>
      <w:r w:rsidRPr="0081146C">
        <w:tab/>
        <w:t xml:space="preserve">A police officer or a customs officer may </w:t>
      </w:r>
      <w:r w:rsidR="000E1888" w:rsidRPr="0081146C">
        <w:t>seize a monetary instrument</w:t>
      </w:r>
      <w:r w:rsidRPr="0081146C">
        <w:t xml:space="preserve"> found in the course of an examination or search under </w:t>
      </w:r>
      <w:r w:rsidR="004F64A4" w:rsidRPr="0081146C">
        <w:t>subsection (</w:t>
      </w:r>
      <w:r w:rsidRPr="0081146C">
        <w:t>8) or (9) if:</w:t>
      </w:r>
    </w:p>
    <w:p w14:paraId="79665B55" w14:textId="77777777" w:rsidR="0049002F" w:rsidRPr="0081146C" w:rsidRDefault="0049002F" w:rsidP="0049002F">
      <w:pPr>
        <w:pStyle w:val="paragraph"/>
      </w:pPr>
      <w:r w:rsidRPr="0081146C">
        <w:tab/>
        <w:t>(a)</w:t>
      </w:r>
      <w:r w:rsidRPr="0081146C">
        <w:tab/>
        <w:t xml:space="preserve">the police officer or customs officer has reasonable grounds to suspect that the </w:t>
      </w:r>
      <w:r w:rsidR="000E1888" w:rsidRPr="0081146C">
        <w:t>monetary instrument</w:t>
      </w:r>
      <w:r w:rsidRPr="0081146C">
        <w:t xml:space="preserve"> may afford evidence as to the commission of an offence against section</w:t>
      </w:r>
      <w:r w:rsidR="004F64A4" w:rsidRPr="0081146C">
        <w:t> </w:t>
      </w:r>
      <w:r w:rsidRPr="0081146C">
        <w:t>53; or</w:t>
      </w:r>
    </w:p>
    <w:p w14:paraId="66CAC9AE" w14:textId="77777777" w:rsidR="0049002F" w:rsidRPr="0081146C" w:rsidRDefault="0049002F" w:rsidP="0049002F">
      <w:pPr>
        <w:pStyle w:val="paragraph"/>
      </w:pPr>
      <w:r w:rsidRPr="0081146C">
        <w:tab/>
        <w:t>(b)</w:t>
      </w:r>
      <w:r w:rsidRPr="0081146C">
        <w:tab/>
        <w:t xml:space="preserve">the police officer or customs officer has reasonable grounds to suspect that the </w:t>
      </w:r>
      <w:r w:rsidR="000E1888" w:rsidRPr="0081146C">
        <w:t>monetary instrument</w:t>
      </w:r>
      <w:r w:rsidRPr="0081146C">
        <w:t xml:space="preserve"> may be of interest under </w:t>
      </w:r>
      <w:r w:rsidR="004F64A4" w:rsidRPr="0081146C">
        <w:t>subsection (</w:t>
      </w:r>
      <w:r w:rsidRPr="0081146C">
        <w:t>14).</w:t>
      </w:r>
    </w:p>
    <w:p w14:paraId="0CA81784" w14:textId="77777777" w:rsidR="00035544" w:rsidRPr="0081146C" w:rsidRDefault="00035544" w:rsidP="00035544">
      <w:pPr>
        <w:pStyle w:val="SubsectionHead"/>
      </w:pPr>
      <w:r w:rsidRPr="0081146C">
        <w:t>Offence</w:t>
      </w:r>
    </w:p>
    <w:p w14:paraId="279AEDBC" w14:textId="77777777" w:rsidR="00035544" w:rsidRPr="0081146C" w:rsidRDefault="00035544" w:rsidP="00035544">
      <w:pPr>
        <w:pStyle w:val="subsection"/>
      </w:pPr>
      <w:r w:rsidRPr="0081146C">
        <w:tab/>
        <w:t>(11)</w:t>
      </w:r>
      <w:r w:rsidRPr="0081146C">
        <w:tab/>
        <w:t>A person commits an offence if:</w:t>
      </w:r>
    </w:p>
    <w:p w14:paraId="7D9F0369" w14:textId="77777777" w:rsidR="00035544" w:rsidRPr="0081146C" w:rsidRDefault="00035544" w:rsidP="00035544">
      <w:pPr>
        <w:pStyle w:val="paragraph"/>
      </w:pPr>
      <w:r w:rsidRPr="0081146C">
        <w:tab/>
        <w:t>(a)</w:t>
      </w:r>
      <w:r w:rsidRPr="0081146C">
        <w:tab/>
        <w:t xml:space="preserve">the person is subject to a requirement under </w:t>
      </w:r>
      <w:r w:rsidR="004F64A4" w:rsidRPr="0081146C">
        <w:t>subsection (</w:t>
      </w:r>
      <w:r w:rsidRPr="0081146C">
        <w:t>1) or (2); and</w:t>
      </w:r>
    </w:p>
    <w:p w14:paraId="5852C33C" w14:textId="77777777" w:rsidR="00035544" w:rsidRPr="0081146C" w:rsidRDefault="00035544" w:rsidP="00035544">
      <w:pPr>
        <w:pStyle w:val="paragraph"/>
      </w:pPr>
      <w:r w:rsidRPr="0081146C">
        <w:tab/>
        <w:t>(b)</w:t>
      </w:r>
      <w:r w:rsidRPr="0081146C">
        <w:tab/>
        <w:t>the person engages in conduct; and</w:t>
      </w:r>
    </w:p>
    <w:p w14:paraId="7A18CACE" w14:textId="77777777" w:rsidR="00035544" w:rsidRPr="0081146C" w:rsidRDefault="00035544" w:rsidP="00035544">
      <w:pPr>
        <w:pStyle w:val="paragraph"/>
      </w:pPr>
      <w:r w:rsidRPr="0081146C">
        <w:tab/>
        <w:t>(c)</w:t>
      </w:r>
      <w:r w:rsidRPr="0081146C">
        <w:tab/>
        <w:t>the person’s conduct breaches the requirement.</w:t>
      </w:r>
    </w:p>
    <w:p w14:paraId="24294443" w14:textId="77777777" w:rsidR="00035544" w:rsidRPr="0081146C" w:rsidRDefault="00035544" w:rsidP="00035544">
      <w:pPr>
        <w:pStyle w:val="Penalty"/>
      </w:pPr>
      <w:r w:rsidRPr="0081146C">
        <w:t>Penalty for contravention of this subsection: Imprisonment for 1 year or 60 penalty units, or both.</w:t>
      </w:r>
    </w:p>
    <w:p w14:paraId="5E2C88E4" w14:textId="77777777" w:rsidR="0049002F" w:rsidRPr="0081146C" w:rsidRDefault="0049002F" w:rsidP="0049002F">
      <w:pPr>
        <w:pStyle w:val="SubsectionHead"/>
        <w:rPr>
          <w:i w:val="0"/>
        </w:rPr>
      </w:pPr>
      <w:r w:rsidRPr="0081146C">
        <w:t>Civil penalty</w:t>
      </w:r>
    </w:p>
    <w:p w14:paraId="6D8C88C3" w14:textId="77777777" w:rsidR="0049002F" w:rsidRPr="0081146C" w:rsidRDefault="0049002F" w:rsidP="0049002F">
      <w:pPr>
        <w:pStyle w:val="subsection"/>
      </w:pPr>
      <w:r w:rsidRPr="0081146C">
        <w:tab/>
        <w:t>(12)</w:t>
      </w:r>
      <w:r w:rsidRPr="0081146C">
        <w:tab/>
        <w:t xml:space="preserve">If a person is subject to a requirement under </w:t>
      </w:r>
      <w:r w:rsidR="004F64A4" w:rsidRPr="0081146C">
        <w:t>subsection (</w:t>
      </w:r>
      <w:r w:rsidRPr="0081146C">
        <w:t>1) or (2), the person must not engage in conduct that breaches the requirement.</w:t>
      </w:r>
    </w:p>
    <w:p w14:paraId="43679D4C" w14:textId="77777777" w:rsidR="0049002F" w:rsidRPr="0081146C" w:rsidRDefault="0049002F" w:rsidP="0049002F">
      <w:pPr>
        <w:pStyle w:val="subsection"/>
      </w:pPr>
      <w:r w:rsidRPr="0081146C">
        <w:tab/>
        <w:t>(13)</w:t>
      </w:r>
      <w:r w:rsidRPr="0081146C">
        <w:tab/>
      </w:r>
      <w:r w:rsidR="004F64A4" w:rsidRPr="0081146C">
        <w:t>Subsection (</w:t>
      </w:r>
      <w:r w:rsidRPr="0081146C">
        <w:t>12) is a civil penalty provision.</w:t>
      </w:r>
    </w:p>
    <w:p w14:paraId="790A3B35" w14:textId="77777777" w:rsidR="000E1888" w:rsidRPr="0081146C" w:rsidRDefault="000E1888" w:rsidP="000E1888">
      <w:pPr>
        <w:pStyle w:val="SubsectionHead"/>
      </w:pPr>
      <w:r w:rsidRPr="0081146C">
        <w:t>Monetary instrument of interest</w:t>
      </w:r>
    </w:p>
    <w:p w14:paraId="188E4EDA" w14:textId="77777777" w:rsidR="0049002F" w:rsidRPr="0081146C" w:rsidRDefault="0049002F" w:rsidP="0049002F">
      <w:pPr>
        <w:pStyle w:val="subsection"/>
      </w:pPr>
      <w:r w:rsidRPr="0081146C">
        <w:tab/>
        <w:t>(14)</w:t>
      </w:r>
      <w:r w:rsidRPr="0081146C">
        <w:tab/>
        <w:t xml:space="preserve">For the purposes of this section, </w:t>
      </w:r>
      <w:r w:rsidR="000E1888" w:rsidRPr="0081146C">
        <w:t>a monetary instrument may be of interest if the monetary instrument</w:t>
      </w:r>
      <w:r w:rsidRPr="0081146C">
        <w:t>:</w:t>
      </w:r>
    </w:p>
    <w:p w14:paraId="2673B892" w14:textId="77777777" w:rsidR="0049002F" w:rsidRPr="0081146C" w:rsidRDefault="0049002F" w:rsidP="0049002F">
      <w:pPr>
        <w:pStyle w:val="paragraph"/>
      </w:pPr>
      <w:r w:rsidRPr="0081146C">
        <w:tab/>
        <w:t>(a)</w:t>
      </w:r>
      <w:r w:rsidRPr="0081146C">
        <w:tab/>
        <w:t>may be relevant to the investigation of, or prosecution of a person for, an offence against a law of the Commonwealth or of a State or Territory; or</w:t>
      </w:r>
    </w:p>
    <w:p w14:paraId="407C756E" w14:textId="77777777" w:rsidR="0049002F" w:rsidRPr="0081146C" w:rsidRDefault="0049002F" w:rsidP="0049002F">
      <w:pPr>
        <w:pStyle w:val="paragraph"/>
      </w:pPr>
      <w:r w:rsidRPr="0081146C">
        <w:tab/>
        <w:t>(b)</w:t>
      </w:r>
      <w:r w:rsidRPr="0081146C">
        <w:tab/>
        <w:t xml:space="preserve">may be of assistance in the enforcement of the </w:t>
      </w:r>
      <w:r w:rsidRPr="0081146C">
        <w:rPr>
          <w:i/>
        </w:rPr>
        <w:t>Proceeds of Crime Act 2002</w:t>
      </w:r>
      <w:r w:rsidRPr="0081146C">
        <w:t xml:space="preserve"> or regulations under that Act; or</w:t>
      </w:r>
    </w:p>
    <w:p w14:paraId="01B1E63D" w14:textId="77777777" w:rsidR="0049002F" w:rsidRPr="0081146C" w:rsidRDefault="0049002F" w:rsidP="0049002F">
      <w:pPr>
        <w:pStyle w:val="paragraph"/>
      </w:pPr>
      <w:r w:rsidRPr="0081146C">
        <w:tab/>
        <w:t>(c)</w:t>
      </w:r>
      <w:r w:rsidRPr="0081146C">
        <w:tab/>
        <w:t xml:space="preserve">may be of assistance in the enforcement of a law of a State or Territory that corresponds to the </w:t>
      </w:r>
      <w:r w:rsidRPr="0081146C">
        <w:rPr>
          <w:i/>
        </w:rPr>
        <w:t>Proceeds of Crime Act 2002</w:t>
      </w:r>
      <w:r w:rsidRPr="0081146C">
        <w:t xml:space="preserve"> or regulations under that Act.</w:t>
      </w:r>
    </w:p>
    <w:p w14:paraId="20DA6D81" w14:textId="77777777" w:rsidR="00035544" w:rsidRPr="0081146C" w:rsidRDefault="00035544" w:rsidP="00C5505A">
      <w:pPr>
        <w:pStyle w:val="ActHead5"/>
      </w:pPr>
      <w:bookmarkStart w:id="615" w:name="_Toc185416054"/>
      <w:r w:rsidRPr="0081146C">
        <w:rPr>
          <w:rStyle w:val="CharSectno"/>
        </w:rPr>
        <w:t>201</w:t>
      </w:r>
      <w:r w:rsidRPr="0081146C">
        <w:t xml:space="preserve">  Arrest without warrant</w:t>
      </w:r>
      <w:bookmarkEnd w:id="615"/>
    </w:p>
    <w:p w14:paraId="76A7C24F" w14:textId="77777777" w:rsidR="00035544" w:rsidRPr="0081146C" w:rsidRDefault="00035544" w:rsidP="00C5505A">
      <w:pPr>
        <w:pStyle w:val="subsection"/>
        <w:keepNext/>
        <w:keepLines/>
      </w:pPr>
      <w:r w:rsidRPr="0081146C">
        <w:tab/>
        <w:t>(1)</w:t>
      </w:r>
      <w:r w:rsidRPr="0081146C">
        <w:tab/>
        <w:t>If a police officer or a customs officer has reasonable grounds to believe that a person has committed an offence against subsection</w:t>
      </w:r>
      <w:r w:rsidR="004F64A4" w:rsidRPr="0081146C">
        <w:t> </w:t>
      </w:r>
      <w:r w:rsidRPr="0081146C">
        <w:t>53(1), the officer may arrest the person without warrant.</w:t>
      </w:r>
    </w:p>
    <w:p w14:paraId="1CD63661" w14:textId="77777777" w:rsidR="00035544" w:rsidRPr="0081146C" w:rsidRDefault="00035544" w:rsidP="00035544">
      <w:pPr>
        <w:pStyle w:val="subsection"/>
      </w:pPr>
      <w:r w:rsidRPr="0081146C">
        <w:tab/>
        <w:t>(2)</w:t>
      </w:r>
      <w:r w:rsidRPr="0081146C">
        <w:tab/>
        <w:t>If a police officer or a customs officer has reasonable grounds to believe that a person has assaulted any police officer or customs officer in the execution of that officer’s duties under this Division, the first</w:t>
      </w:r>
      <w:r w:rsidR="003B7E15" w:rsidRPr="0081146C">
        <w:noBreakHyphen/>
      </w:r>
      <w:r w:rsidRPr="0081146C">
        <w:t>mentioned officer may arrest the person without warrant.</w:t>
      </w:r>
    </w:p>
    <w:p w14:paraId="60F0ED72" w14:textId="77777777" w:rsidR="00035544" w:rsidRPr="0081146C" w:rsidRDefault="00035544" w:rsidP="00035544">
      <w:pPr>
        <w:pStyle w:val="subsection"/>
      </w:pPr>
      <w:r w:rsidRPr="0081146C">
        <w:tab/>
        <w:t>(3)</w:t>
      </w:r>
      <w:r w:rsidRPr="0081146C">
        <w:tab/>
        <w:t>A person commits an offence if:</w:t>
      </w:r>
    </w:p>
    <w:p w14:paraId="15D20FD3" w14:textId="77777777" w:rsidR="00035544" w:rsidRPr="0081146C" w:rsidRDefault="00035544" w:rsidP="00035544">
      <w:pPr>
        <w:pStyle w:val="paragraph"/>
      </w:pPr>
      <w:r w:rsidRPr="0081146C">
        <w:tab/>
        <w:t>(a)</w:t>
      </w:r>
      <w:r w:rsidRPr="0081146C">
        <w:tab/>
        <w:t>the person engages in conduct; and</w:t>
      </w:r>
    </w:p>
    <w:p w14:paraId="36B5CA39" w14:textId="77777777" w:rsidR="00035544" w:rsidRPr="0081146C" w:rsidRDefault="00035544" w:rsidP="00035544">
      <w:pPr>
        <w:pStyle w:val="paragraph"/>
      </w:pPr>
      <w:r w:rsidRPr="0081146C">
        <w:tab/>
        <w:t>(b)</w:t>
      </w:r>
      <w:r w:rsidRPr="0081146C">
        <w:tab/>
        <w:t>the conduct resists, obstructs or prevents the arrest of a person under this section.</w:t>
      </w:r>
    </w:p>
    <w:p w14:paraId="771BCBDD" w14:textId="77777777" w:rsidR="00035544" w:rsidRPr="0081146C" w:rsidRDefault="00035544" w:rsidP="00035544">
      <w:pPr>
        <w:pStyle w:val="Penalty"/>
      </w:pPr>
      <w:r w:rsidRPr="0081146C">
        <w:t>Penalty:</w:t>
      </w:r>
      <w:r w:rsidRPr="0081146C">
        <w:tab/>
        <w:t>10 penalty units.</w:t>
      </w:r>
    </w:p>
    <w:p w14:paraId="0068D15A" w14:textId="77777777" w:rsidR="00035544" w:rsidRPr="0081146C" w:rsidRDefault="00035544" w:rsidP="00035544">
      <w:pPr>
        <w:pStyle w:val="subsection"/>
      </w:pPr>
      <w:r w:rsidRPr="0081146C">
        <w:tab/>
        <w:t>(4)</w:t>
      </w:r>
      <w:r w:rsidRPr="0081146C">
        <w:tab/>
      </w:r>
      <w:r w:rsidR="004F64A4" w:rsidRPr="0081146C">
        <w:t>Subsection (</w:t>
      </w:r>
      <w:r w:rsidRPr="0081146C">
        <w:t>3) does not apply if the person has a reasonable excuse.</w:t>
      </w:r>
    </w:p>
    <w:p w14:paraId="50342B1B"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4) (see sub</w:t>
      </w:r>
      <w:r w:rsidR="003B7E15" w:rsidRPr="0081146C">
        <w:t>section 1</w:t>
      </w:r>
      <w:r w:rsidRPr="0081146C">
        <w:t xml:space="preserve">3.3(3) of the </w:t>
      </w:r>
      <w:r w:rsidRPr="0081146C">
        <w:rPr>
          <w:i/>
        </w:rPr>
        <w:t>Criminal Code</w:t>
      </w:r>
      <w:r w:rsidRPr="0081146C">
        <w:t>).</w:t>
      </w:r>
    </w:p>
    <w:p w14:paraId="7C669A9A" w14:textId="77777777" w:rsidR="00035544" w:rsidRPr="0081146C" w:rsidRDefault="00035544" w:rsidP="00AE2DA2">
      <w:pPr>
        <w:pStyle w:val="ActHead3"/>
        <w:pageBreakBefore/>
      </w:pPr>
      <w:bookmarkStart w:id="616" w:name="_Toc185416055"/>
      <w:r w:rsidRPr="0081146C">
        <w:rPr>
          <w:rStyle w:val="CharDivNo"/>
        </w:rPr>
        <w:t>Division</w:t>
      </w:r>
      <w:r w:rsidR="004F64A4" w:rsidRPr="0081146C">
        <w:rPr>
          <w:rStyle w:val="CharDivNo"/>
        </w:rPr>
        <w:t> </w:t>
      </w:r>
      <w:r w:rsidRPr="0081146C">
        <w:rPr>
          <w:rStyle w:val="CharDivNo"/>
        </w:rPr>
        <w:t>9</w:t>
      </w:r>
      <w:r w:rsidRPr="0081146C">
        <w:t>—</w:t>
      </w:r>
      <w:r w:rsidRPr="0081146C">
        <w:rPr>
          <w:rStyle w:val="CharDivText"/>
        </w:rPr>
        <w:t>Notices to reporting entities</w:t>
      </w:r>
      <w:bookmarkEnd w:id="616"/>
    </w:p>
    <w:p w14:paraId="0745EE79" w14:textId="77777777" w:rsidR="00035544" w:rsidRPr="0081146C" w:rsidRDefault="00035544" w:rsidP="00035544">
      <w:pPr>
        <w:pStyle w:val="ActHead5"/>
      </w:pPr>
      <w:bookmarkStart w:id="617" w:name="_Toc185416056"/>
      <w:r w:rsidRPr="0081146C">
        <w:rPr>
          <w:rStyle w:val="CharSectno"/>
        </w:rPr>
        <w:t>202</w:t>
      </w:r>
      <w:r w:rsidRPr="0081146C">
        <w:t xml:space="preserve">  Notices to reporting entities</w:t>
      </w:r>
      <w:bookmarkEnd w:id="617"/>
    </w:p>
    <w:p w14:paraId="20DA5A6C" w14:textId="77777777" w:rsidR="00035544" w:rsidRPr="0081146C" w:rsidRDefault="00035544" w:rsidP="00035544">
      <w:pPr>
        <w:pStyle w:val="subsection"/>
      </w:pPr>
      <w:r w:rsidRPr="0081146C">
        <w:tab/>
        <w:t>(1)</w:t>
      </w:r>
      <w:r w:rsidRPr="0081146C">
        <w:tab/>
        <w:t>Each of the following persons is authorised to give notices under this section:</w:t>
      </w:r>
    </w:p>
    <w:p w14:paraId="73CB9921" w14:textId="77777777" w:rsidR="00035544" w:rsidRPr="0081146C" w:rsidRDefault="00035544" w:rsidP="00035544">
      <w:pPr>
        <w:pStyle w:val="paragraph"/>
      </w:pPr>
      <w:r w:rsidRPr="0081146C">
        <w:tab/>
        <w:t>(a)</w:t>
      </w:r>
      <w:r w:rsidRPr="0081146C">
        <w:tab/>
        <w:t>the AUSTRAC CEO;</w:t>
      </w:r>
    </w:p>
    <w:p w14:paraId="64BE7428" w14:textId="77777777" w:rsidR="00035544" w:rsidRPr="0081146C" w:rsidRDefault="00035544" w:rsidP="00035544">
      <w:pPr>
        <w:pStyle w:val="paragraph"/>
      </w:pPr>
      <w:r w:rsidRPr="0081146C">
        <w:tab/>
        <w:t>(b)</w:t>
      </w:r>
      <w:r w:rsidRPr="0081146C">
        <w:tab/>
        <w:t>an authorised officer;</w:t>
      </w:r>
    </w:p>
    <w:p w14:paraId="797B1565" w14:textId="77777777" w:rsidR="00035544" w:rsidRPr="0081146C" w:rsidRDefault="00035544" w:rsidP="00035544">
      <w:pPr>
        <w:pStyle w:val="paragraph"/>
      </w:pPr>
      <w:r w:rsidRPr="0081146C">
        <w:tab/>
        <w:t>(c)</w:t>
      </w:r>
      <w:r w:rsidRPr="0081146C">
        <w:tab/>
        <w:t>the Commissioner of the Australian Federal Police;</w:t>
      </w:r>
    </w:p>
    <w:p w14:paraId="01F0AEFE" w14:textId="77777777" w:rsidR="00035544" w:rsidRPr="0081146C" w:rsidRDefault="00035544" w:rsidP="00035544">
      <w:pPr>
        <w:pStyle w:val="paragraph"/>
      </w:pPr>
      <w:r w:rsidRPr="0081146C">
        <w:tab/>
        <w:t>(d)</w:t>
      </w:r>
      <w:r w:rsidRPr="0081146C">
        <w:tab/>
        <w:t>a Deputy Commissioner of the Australian Federal Police;</w:t>
      </w:r>
    </w:p>
    <w:p w14:paraId="0975FDF3" w14:textId="77777777" w:rsidR="00035544" w:rsidRPr="0081146C" w:rsidRDefault="00035544" w:rsidP="00035544">
      <w:pPr>
        <w:pStyle w:val="paragraph"/>
      </w:pPr>
      <w:r w:rsidRPr="0081146C">
        <w:tab/>
        <w:t>(e)</w:t>
      </w:r>
      <w:r w:rsidRPr="0081146C">
        <w:tab/>
        <w:t xml:space="preserve">a senior executive AFP employee (within the meaning of the </w:t>
      </w:r>
      <w:r w:rsidRPr="0081146C">
        <w:rPr>
          <w:i/>
        </w:rPr>
        <w:t>Australian Federal Police Act 1979</w:t>
      </w:r>
      <w:r w:rsidRPr="0081146C">
        <w:t>) who is:</w:t>
      </w:r>
    </w:p>
    <w:p w14:paraId="0E9C052F" w14:textId="77777777" w:rsidR="00035544" w:rsidRPr="0081146C" w:rsidRDefault="00035544" w:rsidP="00035544">
      <w:pPr>
        <w:pStyle w:val="paragraphsub"/>
      </w:pPr>
      <w:r w:rsidRPr="0081146C">
        <w:tab/>
        <w:t>(i)</w:t>
      </w:r>
      <w:r w:rsidRPr="0081146C">
        <w:tab/>
        <w:t>a member of the Australian Federal Police; and</w:t>
      </w:r>
    </w:p>
    <w:p w14:paraId="127FA57F" w14:textId="77777777" w:rsidR="00035544" w:rsidRPr="0081146C" w:rsidRDefault="00035544" w:rsidP="00035544">
      <w:pPr>
        <w:pStyle w:val="paragraphsub"/>
      </w:pPr>
      <w:r w:rsidRPr="0081146C">
        <w:tab/>
        <w:t>(ii)</w:t>
      </w:r>
      <w:r w:rsidRPr="0081146C">
        <w:tab/>
        <w:t>authorised in writing by the Commissioner of the Australian Federal Police for the purposes of this section;</w:t>
      </w:r>
    </w:p>
    <w:p w14:paraId="45FCC407" w14:textId="77777777" w:rsidR="00035544" w:rsidRPr="0081146C" w:rsidRDefault="00035544" w:rsidP="00035544">
      <w:pPr>
        <w:pStyle w:val="paragraph"/>
      </w:pPr>
      <w:r w:rsidRPr="0081146C">
        <w:tab/>
        <w:t>(f)</w:t>
      </w:r>
      <w:r w:rsidRPr="0081146C">
        <w:tab/>
        <w:t>the Chief Executive Officer of the Australian Crime Commission;</w:t>
      </w:r>
    </w:p>
    <w:p w14:paraId="0CF91C4C" w14:textId="77777777" w:rsidR="00035544" w:rsidRPr="0081146C" w:rsidRDefault="00035544" w:rsidP="00035544">
      <w:pPr>
        <w:pStyle w:val="paragraph"/>
      </w:pPr>
      <w:r w:rsidRPr="0081146C">
        <w:tab/>
        <w:t>(g)</w:t>
      </w:r>
      <w:r w:rsidRPr="0081146C">
        <w:tab/>
        <w:t>an examiner of the Australian Crime Commission;</w:t>
      </w:r>
    </w:p>
    <w:p w14:paraId="4BBF4003" w14:textId="77777777" w:rsidR="00035544" w:rsidRPr="0081146C" w:rsidRDefault="00035544" w:rsidP="00035544">
      <w:pPr>
        <w:pStyle w:val="paragraph"/>
      </w:pPr>
      <w:r w:rsidRPr="0081146C">
        <w:tab/>
        <w:t>(h)</w:t>
      </w:r>
      <w:r w:rsidRPr="0081146C">
        <w:tab/>
        <w:t xml:space="preserve">an approved examiner (within the meaning of the </w:t>
      </w:r>
      <w:r w:rsidRPr="0081146C">
        <w:rPr>
          <w:i/>
        </w:rPr>
        <w:t>Proceeds of Crime Act 2002</w:t>
      </w:r>
      <w:r w:rsidRPr="0081146C">
        <w:t>).</w:t>
      </w:r>
    </w:p>
    <w:p w14:paraId="030799F8" w14:textId="77777777" w:rsidR="00035544" w:rsidRPr="0081146C" w:rsidRDefault="00035544" w:rsidP="00035544">
      <w:pPr>
        <w:pStyle w:val="subsection"/>
      </w:pPr>
      <w:r w:rsidRPr="0081146C">
        <w:tab/>
        <w:t>(2)</w:t>
      </w:r>
      <w:r w:rsidRPr="0081146C">
        <w:tab/>
        <w:t xml:space="preserve">If a person authorised by </w:t>
      </w:r>
      <w:r w:rsidR="004F64A4" w:rsidRPr="0081146C">
        <w:t>subsection (</w:t>
      </w:r>
      <w:r w:rsidRPr="0081146C">
        <w:t>1) believes on reasonable grounds that another person is a reporting entity, the authorised person may give a written notice to the other person requiring the other person to give the authorised person any information, or produce to the authorised person any documents, relevant to any or all of the following:</w:t>
      </w:r>
    </w:p>
    <w:p w14:paraId="55AA81A1" w14:textId="77777777" w:rsidR="00035544" w:rsidRPr="0081146C" w:rsidRDefault="00035544" w:rsidP="00035544">
      <w:pPr>
        <w:pStyle w:val="paragraph"/>
      </w:pPr>
      <w:r w:rsidRPr="0081146C">
        <w:tab/>
        <w:t>(a)</w:t>
      </w:r>
      <w:r w:rsidRPr="0081146C">
        <w:tab/>
        <w:t>determining whether the other person provides designated services at or through a permanent establishment of the other person in Australia;</w:t>
      </w:r>
    </w:p>
    <w:p w14:paraId="093BE2B9" w14:textId="77777777" w:rsidR="00035544" w:rsidRPr="0081146C" w:rsidRDefault="00035544" w:rsidP="00035544">
      <w:pPr>
        <w:pStyle w:val="paragraph"/>
      </w:pPr>
      <w:r w:rsidRPr="0081146C">
        <w:tab/>
        <w:t>(b)</w:t>
      </w:r>
      <w:r w:rsidRPr="0081146C">
        <w:tab/>
        <w:t>ascertaining details relating to any permanent establishment in Australia at or through which the other person provides designated services;</w:t>
      </w:r>
    </w:p>
    <w:p w14:paraId="59758688" w14:textId="77777777" w:rsidR="00035544" w:rsidRPr="0081146C" w:rsidRDefault="00035544" w:rsidP="00035544">
      <w:pPr>
        <w:pStyle w:val="paragraph"/>
      </w:pPr>
      <w:r w:rsidRPr="0081146C">
        <w:tab/>
        <w:t>(c)</w:t>
      </w:r>
      <w:r w:rsidRPr="0081146C">
        <w:tab/>
        <w:t>ascertaining details relating to designated services provided by the other person at or through a permanent establishment of the other person in Australia.</w:t>
      </w:r>
    </w:p>
    <w:p w14:paraId="0CB6F982" w14:textId="77777777" w:rsidR="00035544" w:rsidRPr="0081146C" w:rsidRDefault="00035544" w:rsidP="00035544">
      <w:pPr>
        <w:pStyle w:val="subsection"/>
      </w:pPr>
      <w:r w:rsidRPr="0081146C">
        <w:tab/>
        <w:t>(3)</w:t>
      </w:r>
      <w:r w:rsidRPr="0081146C">
        <w:tab/>
        <w:t xml:space="preserve">A person must not give a notice under </w:t>
      </w:r>
      <w:r w:rsidR="004F64A4" w:rsidRPr="0081146C">
        <w:t>subsection (</w:t>
      </w:r>
      <w:r w:rsidRPr="0081146C">
        <w:t>2) unless the person reasonably believes that giving the notice is required:</w:t>
      </w:r>
    </w:p>
    <w:p w14:paraId="628EAB7E" w14:textId="77777777" w:rsidR="00035544" w:rsidRPr="0081146C" w:rsidRDefault="00035544" w:rsidP="00035544">
      <w:pPr>
        <w:pStyle w:val="paragraph"/>
      </w:pPr>
      <w:r w:rsidRPr="0081146C">
        <w:tab/>
        <w:t>(a)</w:t>
      </w:r>
      <w:r w:rsidRPr="0081146C">
        <w:tab/>
        <w:t>to determine whether to take any action under this Act; or</w:t>
      </w:r>
    </w:p>
    <w:p w14:paraId="1655F49E" w14:textId="77777777" w:rsidR="00035544" w:rsidRPr="0081146C" w:rsidRDefault="00035544" w:rsidP="00035544">
      <w:pPr>
        <w:pStyle w:val="paragraph"/>
      </w:pPr>
      <w:r w:rsidRPr="0081146C">
        <w:tab/>
        <w:t>(b)</w:t>
      </w:r>
      <w:r w:rsidRPr="0081146C">
        <w:tab/>
        <w:t>in relation to proceedings under this Act.</w:t>
      </w:r>
    </w:p>
    <w:p w14:paraId="7A95FDD4" w14:textId="77777777" w:rsidR="00035544" w:rsidRPr="0081146C" w:rsidRDefault="00035544" w:rsidP="00035544">
      <w:pPr>
        <w:pStyle w:val="subsection"/>
      </w:pPr>
      <w:r w:rsidRPr="0081146C">
        <w:tab/>
        <w:t>(4)</w:t>
      </w:r>
      <w:r w:rsidRPr="0081146C">
        <w:tab/>
        <w:t xml:space="preserve">A person must comply with a notice given to the person under </w:t>
      </w:r>
      <w:r w:rsidR="004F64A4" w:rsidRPr="0081146C">
        <w:t>subsection (</w:t>
      </w:r>
      <w:r w:rsidRPr="0081146C">
        <w:t>2).</w:t>
      </w:r>
    </w:p>
    <w:p w14:paraId="44025E78" w14:textId="77777777" w:rsidR="002F4208" w:rsidRPr="0081146C" w:rsidRDefault="002F4208" w:rsidP="002F4208">
      <w:pPr>
        <w:pStyle w:val="subsection"/>
      </w:pPr>
      <w:r w:rsidRPr="0081146C">
        <w:tab/>
        <w:t>(5)</w:t>
      </w:r>
      <w:r w:rsidRPr="0081146C">
        <w:tab/>
        <w:t>If:</w:t>
      </w:r>
    </w:p>
    <w:p w14:paraId="29EEEDB9" w14:textId="77777777" w:rsidR="002F4208" w:rsidRPr="0081146C" w:rsidRDefault="002F4208" w:rsidP="002F4208">
      <w:pPr>
        <w:pStyle w:val="paragraph"/>
      </w:pPr>
      <w:r w:rsidRPr="0081146C">
        <w:tab/>
        <w:t>(a)</w:t>
      </w:r>
      <w:r w:rsidRPr="0081146C">
        <w:tab/>
        <w:t>a person is given a notice under subsection (2) in relation to information or a document; and</w:t>
      </w:r>
    </w:p>
    <w:p w14:paraId="4E229AAA" w14:textId="77777777" w:rsidR="002F4208" w:rsidRPr="0081146C" w:rsidRDefault="002F4208" w:rsidP="002F4208">
      <w:pPr>
        <w:pStyle w:val="paragraph"/>
      </w:pPr>
      <w:r w:rsidRPr="0081146C">
        <w:tab/>
        <w:t>(b)</w:t>
      </w:r>
      <w:r w:rsidRPr="0081146C">
        <w:tab/>
        <w:t>the person reasonably believes that the information or document is privileged from being given or produced on the ground of legal professional privilege;</w:t>
      </w:r>
    </w:p>
    <w:p w14:paraId="20943809" w14:textId="77777777" w:rsidR="002F4208" w:rsidRPr="0081146C" w:rsidRDefault="002F4208" w:rsidP="002F4208">
      <w:pPr>
        <w:pStyle w:val="subsection2"/>
      </w:pPr>
      <w:r w:rsidRPr="0081146C">
        <w:t>the person must give the AUSTRAC CEO an LPP form in relation to the information or document within the period specified in the notice.</w:t>
      </w:r>
    </w:p>
    <w:p w14:paraId="713687A9" w14:textId="77777777" w:rsidR="002F4208" w:rsidRPr="0081146C" w:rsidRDefault="002F4208" w:rsidP="002F4208">
      <w:pPr>
        <w:pStyle w:val="subsection"/>
      </w:pPr>
      <w:r w:rsidRPr="0081146C">
        <w:tab/>
        <w:t>(6)</w:t>
      </w:r>
      <w:r w:rsidRPr="0081146C">
        <w:tab/>
        <w:t>Subsection (5) is a civil penalty provision.</w:t>
      </w:r>
    </w:p>
    <w:p w14:paraId="53FF48CB" w14:textId="77777777" w:rsidR="002F4208" w:rsidRPr="0081146C" w:rsidRDefault="002F4208" w:rsidP="002F4208">
      <w:pPr>
        <w:pStyle w:val="notetext"/>
      </w:pPr>
      <w:r w:rsidRPr="0081146C">
        <w:t>Note:</w:t>
      </w:r>
      <w:r w:rsidRPr="0081146C">
        <w:tab/>
        <w:t>For other provisions dealing with legal professional privilege, see sections 242 and 242A.</w:t>
      </w:r>
    </w:p>
    <w:p w14:paraId="6737A334" w14:textId="77777777" w:rsidR="00035544" w:rsidRPr="0081146C" w:rsidRDefault="00035544" w:rsidP="00035544">
      <w:pPr>
        <w:pStyle w:val="ActHead5"/>
      </w:pPr>
      <w:bookmarkStart w:id="618" w:name="_Toc185416057"/>
      <w:r w:rsidRPr="0081146C">
        <w:rPr>
          <w:rStyle w:val="CharSectno"/>
        </w:rPr>
        <w:t>203</w:t>
      </w:r>
      <w:r w:rsidRPr="0081146C">
        <w:t xml:space="preserve">  Contents of notices to reporting entities</w:t>
      </w:r>
      <w:bookmarkEnd w:id="618"/>
    </w:p>
    <w:p w14:paraId="5C7CDF06" w14:textId="77777777" w:rsidR="00035544" w:rsidRPr="0081146C" w:rsidRDefault="00035544" w:rsidP="00035544">
      <w:pPr>
        <w:pStyle w:val="subsection"/>
      </w:pPr>
      <w:r w:rsidRPr="0081146C">
        <w:tab/>
      </w:r>
      <w:r w:rsidRPr="0081146C">
        <w:tab/>
        <w:t>A notice given by a person to another person under subsection</w:t>
      </w:r>
      <w:r w:rsidR="004F64A4" w:rsidRPr="0081146C">
        <w:t> </w:t>
      </w:r>
      <w:r w:rsidRPr="0081146C">
        <w:t>202(2) must:</w:t>
      </w:r>
    </w:p>
    <w:p w14:paraId="3D84E0EA" w14:textId="77777777" w:rsidR="00035544" w:rsidRPr="0081146C" w:rsidRDefault="00035544" w:rsidP="00035544">
      <w:pPr>
        <w:pStyle w:val="paragraph"/>
      </w:pPr>
      <w:r w:rsidRPr="0081146C">
        <w:tab/>
        <w:t>(a)</w:t>
      </w:r>
      <w:r w:rsidRPr="0081146C">
        <w:tab/>
        <w:t>state that the first</w:t>
      </w:r>
      <w:r w:rsidR="003B7E15" w:rsidRPr="0081146C">
        <w:noBreakHyphen/>
      </w:r>
      <w:r w:rsidRPr="0081146C">
        <w:t>mentioned person believes that the notice is required:</w:t>
      </w:r>
    </w:p>
    <w:p w14:paraId="2DB554E3" w14:textId="77777777" w:rsidR="00035544" w:rsidRPr="0081146C" w:rsidRDefault="00035544" w:rsidP="00035544">
      <w:pPr>
        <w:pStyle w:val="paragraphsub"/>
      </w:pPr>
      <w:r w:rsidRPr="0081146C">
        <w:tab/>
        <w:t>(i)</w:t>
      </w:r>
      <w:r w:rsidRPr="0081146C">
        <w:tab/>
        <w:t>to determine whether to take any action under this Act; or</w:t>
      </w:r>
    </w:p>
    <w:p w14:paraId="2086672D" w14:textId="77777777" w:rsidR="00035544" w:rsidRPr="0081146C" w:rsidRDefault="00035544" w:rsidP="00035544">
      <w:pPr>
        <w:pStyle w:val="paragraphsub"/>
      </w:pPr>
      <w:r w:rsidRPr="0081146C">
        <w:tab/>
        <w:t>(ii)</w:t>
      </w:r>
      <w:r w:rsidRPr="0081146C">
        <w:tab/>
        <w:t>in relation to proceedings under this Act;</w:t>
      </w:r>
    </w:p>
    <w:p w14:paraId="5F30F39A" w14:textId="77777777" w:rsidR="00035544" w:rsidRPr="0081146C" w:rsidRDefault="00035544" w:rsidP="00035544">
      <w:pPr>
        <w:pStyle w:val="paragraph"/>
      </w:pPr>
      <w:r w:rsidRPr="0081146C">
        <w:tab/>
      </w:r>
      <w:r w:rsidRPr="0081146C">
        <w:tab/>
        <w:t>(as the case requires); and</w:t>
      </w:r>
    </w:p>
    <w:p w14:paraId="73FE3502" w14:textId="77777777" w:rsidR="00035544" w:rsidRPr="0081146C" w:rsidRDefault="00035544" w:rsidP="00035544">
      <w:pPr>
        <w:pStyle w:val="paragraph"/>
      </w:pPr>
      <w:r w:rsidRPr="0081146C">
        <w:tab/>
        <w:t>(b)</w:t>
      </w:r>
      <w:r w:rsidRPr="0081146C">
        <w:tab/>
        <w:t>specify the name of the other person; and</w:t>
      </w:r>
    </w:p>
    <w:p w14:paraId="7A44744D" w14:textId="77777777" w:rsidR="00035544" w:rsidRPr="0081146C" w:rsidRDefault="00035544" w:rsidP="00035544">
      <w:pPr>
        <w:pStyle w:val="paragraph"/>
      </w:pPr>
      <w:r w:rsidRPr="0081146C">
        <w:tab/>
        <w:t>(c)</w:t>
      </w:r>
      <w:r w:rsidRPr="0081146C">
        <w:tab/>
        <w:t>specify the kind of information or documents required to be given or produced; and</w:t>
      </w:r>
    </w:p>
    <w:p w14:paraId="2F2EA170" w14:textId="77777777" w:rsidR="00035544" w:rsidRPr="0081146C" w:rsidRDefault="00035544" w:rsidP="00035544">
      <w:pPr>
        <w:pStyle w:val="paragraph"/>
      </w:pPr>
      <w:r w:rsidRPr="0081146C">
        <w:tab/>
        <w:t>(d)</w:t>
      </w:r>
      <w:r w:rsidRPr="0081146C">
        <w:tab/>
        <w:t>specify the form and manner in which that information or those documents are to be given or produced; and</w:t>
      </w:r>
    </w:p>
    <w:p w14:paraId="2AF41C15" w14:textId="77777777" w:rsidR="003F702A" w:rsidRPr="0081146C" w:rsidRDefault="003F702A" w:rsidP="003F702A">
      <w:pPr>
        <w:pStyle w:val="paragraph"/>
      </w:pPr>
      <w:r w:rsidRPr="0081146C">
        <w:tab/>
        <w:t>(e)</w:t>
      </w:r>
      <w:r w:rsidRPr="0081146C">
        <w:tab/>
        <w:t>specify the period within which the information or documents must be given or produced; and</w:t>
      </w:r>
    </w:p>
    <w:p w14:paraId="49DD9162" w14:textId="77777777" w:rsidR="002F4208" w:rsidRPr="0081146C" w:rsidRDefault="002F4208" w:rsidP="002F4208">
      <w:pPr>
        <w:pStyle w:val="paragraph"/>
      </w:pPr>
      <w:r w:rsidRPr="0081146C">
        <w:tab/>
        <w:t>(ea)</w:t>
      </w:r>
      <w:r w:rsidRPr="0081146C">
        <w:tab/>
        <w:t>set out the effect of subsections 202(5) and (6) (information or documents privileged from being given or produced on the ground of legal professional privilege); and</w:t>
      </w:r>
    </w:p>
    <w:p w14:paraId="71E615A9" w14:textId="77777777" w:rsidR="00035544" w:rsidRPr="0081146C" w:rsidRDefault="00035544" w:rsidP="00035544">
      <w:pPr>
        <w:pStyle w:val="paragraph"/>
      </w:pPr>
      <w:r w:rsidRPr="0081146C">
        <w:tab/>
        <w:t>(f)</w:t>
      </w:r>
      <w:r w:rsidRPr="0081146C">
        <w:tab/>
        <w:t>set out the effect of section</w:t>
      </w:r>
      <w:r w:rsidR="004F64A4" w:rsidRPr="0081146C">
        <w:t> </w:t>
      </w:r>
      <w:r w:rsidRPr="0081146C">
        <w:t>204 (breaching a requirement under a notice); and</w:t>
      </w:r>
    </w:p>
    <w:p w14:paraId="22D9F1E7" w14:textId="77777777" w:rsidR="00035544" w:rsidRPr="0081146C" w:rsidRDefault="00035544" w:rsidP="00035544">
      <w:pPr>
        <w:pStyle w:val="paragraph"/>
      </w:pPr>
      <w:r w:rsidRPr="0081146C">
        <w:tab/>
        <w:t>(g)</w:t>
      </w:r>
      <w:r w:rsidRPr="0081146C">
        <w:tab/>
        <w:t>if the notice specifies that information about the notice must not be disclosed—set out the effect of section</w:t>
      </w:r>
      <w:r w:rsidR="004F64A4" w:rsidRPr="0081146C">
        <w:t> </w:t>
      </w:r>
      <w:r w:rsidRPr="0081146C">
        <w:t>207 (disclosing existence or nature of a notice).</w:t>
      </w:r>
    </w:p>
    <w:p w14:paraId="1E21E7FD" w14:textId="77777777" w:rsidR="00035544" w:rsidRPr="0081146C" w:rsidRDefault="00035544" w:rsidP="00035544">
      <w:pPr>
        <w:pStyle w:val="ActHead5"/>
      </w:pPr>
      <w:bookmarkStart w:id="619" w:name="_Toc185416058"/>
      <w:r w:rsidRPr="0081146C">
        <w:rPr>
          <w:rStyle w:val="CharSectno"/>
        </w:rPr>
        <w:t>204</w:t>
      </w:r>
      <w:r w:rsidRPr="0081146C">
        <w:t xml:space="preserve">  Breaching a notice requirement</w:t>
      </w:r>
      <w:bookmarkEnd w:id="619"/>
    </w:p>
    <w:p w14:paraId="15CD89D0" w14:textId="77777777" w:rsidR="00035544" w:rsidRPr="0081146C" w:rsidRDefault="00035544" w:rsidP="00035544">
      <w:pPr>
        <w:pStyle w:val="subsection"/>
      </w:pPr>
      <w:r w:rsidRPr="0081146C">
        <w:tab/>
      </w:r>
      <w:r w:rsidRPr="0081146C">
        <w:tab/>
        <w:t>A person commits an offence if:</w:t>
      </w:r>
    </w:p>
    <w:p w14:paraId="092CAD2F" w14:textId="77777777" w:rsidR="00035544" w:rsidRPr="0081146C" w:rsidRDefault="00035544" w:rsidP="00035544">
      <w:pPr>
        <w:pStyle w:val="paragraph"/>
      </w:pPr>
      <w:r w:rsidRPr="0081146C">
        <w:tab/>
        <w:t>(a)</w:t>
      </w:r>
      <w:r w:rsidRPr="0081146C">
        <w:tab/>
        <w:t>the person is subject to a requirement under subsection</w:t>
      </w:r>
      <w:r w:rsidR="004F64A4" w:rsidRPr="0081146C">
        <w:t> </w:t>
      </w:r>
      <w:r w:rsidRPr="0081146C">
        <w:t>202(4); and</w:t>
      </w:r>
    </w:p>
    <w:p w14:paraId="11FC9588" w14:textId="77777777" w:rsidR="00035544" w:rsidRPr="0081146C" w:rsidRDefault="00035544" w:rsidP="00035544">
      <w:pPr>
        <w:pStyle w:val="paragraph"/>
      </w:pPr>
      <w:r w:rsidRPr="0081146C">
        <w:tab/>
        <w:t>(b)</w:t>
      </w:r>
      <w:r w:rsidRPr="0081146C">
        <w:tab/>
        <w:t>the person engages in conduct; and</w:t>
      </w:r>
    </w:p>
    <w:p w14:paraId="22013163" w14:textId="77777777" w:rsidR="00035544" w:rsidRPr="0081146C" w:rsidRDefault="00035544" w:rsidP="00035544">
      <w:pPr>
        <w:pStyle w:val="paragraph"/>
      </w:pPr>
      <w:r w:rsidRPr="0081146C">
        <w:tab/>
        <w:t>(c)</w:t>
      </w:r>
      <w:r w:rsidRPr="0081146C">
        <w:tab/>
        <w:t>the person’s conduct breaches the requirement.</w:t>
      </w:r>
    </w:p>
    <w:p w14:paraId="22D07889" w14:textId="77777777" w:rsidR="00035544" w:rsidRPr="0081146C" w:rsidRDefault="00035544" w:rsidP="00035544">
      <w:pPr>
        <w:pStyle w:val="Penalty"/>
      </w:pPr>
      <w:r w:rsidRPr="0081146C">
        <w:t>Penalty:</w:t>
      </w:r>
      <w:r w:rsidRPr="0081146C">
        <w:tab/>
        <w:t>Imprisonment for 6 months or 30 penalty units, or both.</w:t>
      </w:r>
    </w:p>
    <w:p w14:paraId="32ACE3E1" w14:textId="77777777" w:rsidR="00035544" w:rsidRPr="0081146C" w:rsidRDefault="00035544" w:rsidP="00035544">
      <w:pPr>
        <w:pStyle w:val="ActHead5"/>
      </w:pPr>
      <w:bookmarkStart w:id="620" w:name="_Toc185416059"/>
      <w:r w:rsidRPr="0081146C">
        <w:rPr>
          <w:rStyle w:val="CharSectno"/>
        </w:rPr>
        <w:t>205</w:t>
      </w:r>
      <w:r w:rsidRPr="0081146C">
        <w:t xml:space="preserve">  Self</w:t>
      </w:r>
      <w:r w:rsidR="003B7E15" w:rsidRPr="0081146C">
        <w:noBreakHyphen/>
      </w:r>
      <w:r w:rsidRPr="0081146C">
        <w:t>incrimination</w:t>
      </w:r>
      <w:bookmarkEnd w:id="620"/>
    </w:p>
    <w:p w14:paraId="2DAF0CDA" w14:textId="77777777" w:rsidR="00035544" w:rsidRPr="0081146C" w:rsidRDefault="00035544" w:rsidP="00035544">
      <w:pPr>
        <w:pStyle w:val="subsection"/>
      </w:pPr>
      <w:r w:rsidRPr="0081146C">
        <w:tab/>
        <w:t>(1)</w:t>
      </w:r>
      <w:r w:rsidRPr="0081146C">
        <w:tab/>
        <w:t>A person is not excused from giving information or producing a document under section</w:t>
      </w:r>
      <w:r w:rsidR="004F64A4" w:rsidRPr="0081146C">
        <w:t> </w:t>
      </w:r>
      <w:r w:rsidRPr="0081146C">
        <w:t>202 on the ground that the information or the production of the document might tend to incriminate the person or expose the person to a penalty.</w:t>
      </w:r>
    </w:p>
    <w:p w14:paraId="2F8CC011" w14:textId="77777777" w:rsidR="00035544" w:rsidRPr="0081146C" w:rsidRDefault="00035544" w:rsidP="00035544">
      <w:pPr>
        <w:pStyle w:val="subsection"/>
      </w:pPr>
      <w:r w:rsidRPr="0081146C">
        <w:tab/>
        <w:t>(2)</w:t>
      </w:r>
      <w:r w:rsidRPr="0081146C">
        <w:tab/>
        <w:t>However:</w:t>
      </w:r>
    </w:p>
    <w:p w14:paraId="45B120D8" w14:textId="77777777" w:rsidR="00035544" w:rsidRPr="0081146C" w:rsidRDefault="00035544" w:rsidP="00035544">
      <w:pPr>
        <w:pStyle w:val="paragraph"/>
      </w:pPr>
      <w:r w:rsidRPr="0081146C">
        <w:tab/>
        <w:t>(a)</w:t>
      </w:r>
      <w:r w:rsidRPr="0081146C">
        <w:tab/>
        <w:t>the information given or the document produced; or</w:t>
      </w:r>
    </w:p>
    <w:p w14:paraId="3745E20D" w14:textId="77777777" w:rsidR="00035544" w:rsidRPr="0081146C" w:rsidRDefault="00035544" w:rsidP="00035544">
      <w:pPr>
        <w:pStyle w:val="paragraph"/>
      </w:pPr>
      <w:r w:rsidRPr="0081146C">
        <w:tab/>
        <w:t>(b)</w:t>
      </w:r>
      <w:r w:rsidRPr="0081146C">
        <w:tab/>
        <w:t>giving the information or producing the document;</w:t>
      </w:r>
    </w:p>
    <w:p w14:paraId="0EFDCF90" w14:textId="77777777" w:rsidR="00035544" w:rsidRPr="0081146C" w:rsidRDefault="00035544" w:rsidP="00035544">
      <w:pPr>
        <w:pStyle w:val="subsection2"/>
      </w:pPr>
      <w:r w:rsidRPr="0081146C">
        <w:t>is not admissible in evidence against the person:</w:t>
      </w:r>
    </w:p>
    <w:p w14:paraId="3A107BB0" w14:textId="77777777" w:rsidR="00035544" w:rsidRPr="0081146C" w:rsidRDefault="00035544" w:rsidP="00035544">
      <w:pPr>
        <w:pStyle w:val="paragraph"/>
      </w:pPr>
      <w:r w:rsidRPr="0081146C">
        <w:tab/>
        <w:t>(c)</w:t>
      </w:r>
      <w:r w:rsidRPr="0081146C">
        <w:tab/>
        <w:t>in civil proceedings other than:</w:t>
      </w:r>
    </w:p>
    <w:p w14:paraId="2565E781" w14:textId="77777777" w:rsidR="00035544" w:rsidRPr="0081146C" w:rsidRDefault="00035544" w:rsidP="00035544">
      <w:pPr>
        <w:pStyle w:val="paragraphsub"/>
      </w:pPr>
      <w:r w:rsidRPr="0081146C">
        <w:tab/>
        <w:t>(i)</w:t>
      </w:r>
      <w:r w:rsidRPr="0081146C">
        <w:tab/>
        <w:t>proceedings under this Act; or</w:t>
      </w:r>
    </w:p>
    <w:p w14:paraId="516F0E2A" w14:textId="77777777" w:rsidR="00035544" w:rsidRPr="0081146C" w:rsidRDefault="00035544" w:rsidP="00035544">
      <w:pPr>
        <w:pStyle w:val="paragraphsub"/>
      </w:pPr>
      <w:r w:rsidRPr="0081146C">
        <w:tab/>
        <w:t>(ii)</w:t>
      </w:r>
      <w:r w:rsidRPr="0081146C">
        <w:tab/>
        <w:t xml:space="preserve">proceedings under the </w:t>
      </w:r>
      <w:r w:rsidRPr="0081146C">
        <w:rPr>
          <w:i/>
        </w:rPr>
        <w:t>Proceeds of Crime Act 2002</w:t>
      </w:r>
      <w:r w:rsidRPr="0081146C">
        <w:t xml:space="preserve"> that relate to this Act; or</w:t>
      </w:r>
    </w:p>
    <w:p w14:paraId="2C7F33FB" w14:textId="77777777" w:rsidR="00035544" w:rsidRPr="0081146C" w:rsidRDefault="00035544" w:rsidP="00035544">
      <w:pPr>
        <w:pStyle w:val="paragraph"/>
      </w:pPr>
      <w:r w:rsidRPr="0081146C">
        <w:tab/>
        <w:t>(d)</w:t>
      </w:r>
      <w:r w:rsidRPr="0081146C">
        <w:tab/>
        <w:t>in criminal proceedings other than:</w:t>
      </w:r>
    </w:p>
    <w:p w14:paraId="26F9EC0B" w14:textId="77777777" w:rsidR="00035544" w:rsidRPr="0081146C" w:rsidRDefault="00035544" w:rsidP="00035544">
      <w:pPr>
        <w:pStyle w:val="paragraphsub"/>
      </w:pPr>
      <w:r w:rsidRPr="0081146C">
        <w:tab/>
        <w:t>(i)</w:t>
      </w:r>
      <w:r w:rsidRPr="0081146C">
        <w:tab/>
        <w:t>proceedings for an offence against this Act; or</w:t>
      </w:r>
    </w:p>
    <w:p w14:paraId="5CE11CE3" w14:textId="77777777" w:rsidR="00035544" w:rsidRPr="0081146C" w:rsidRDefault="00035544" w:rsidP="00035544">
      <w:pPr>
        <w:pStyle w:val="paragraphsub"/>
      </w:pPr>
      <w:r w:rsidRPr="0081146C">
        <w:tab/>
        <w:t>(ii)</w:t>
      </w:r>
      <w:r w:rsidRPr="0081146C">
        <w:tab/>
        <w:t xml:space="preserve">proceedings for an offence against the </w:t>
      </w:r>
      <w:r w:rsidRPr="0081146C">
        <w:rPr>
          <w:i/>
        </w:rPr>
        <w:t>Criminal Code</w:t>
      </w:r>
      <w:r w:rsidRPr="0081146C">
        <w:t xml:space="preserve"> that relates to this Act.</w:t>
      </w:r>
    </w:p>
    <w:p w14:paraId="431E27D3" w14:textId="77777777" w:rsidR="00035544" w:rsidRPr="0081146C" w:rsidRDefault="00035544" w:rsidP="00035544">
      <w:pPr>
        <w:pStyle w:val="ActHead5"/>
      </w:pPr>
      <w:bookmarkStart w:id="621" w:name="_Toc185416060"/>
      <w:r w:rsidRPr="0081146C">
        <w:rPr>
          <w:rStyle w:val="CharSectno"/>
        </w:rPr>
        <w:t>206</w:t>
      </w:r>
      <w:r w:rsidRPr="0081146C">
        <w:t xml:space="preserve">  </w:t>
      </w:r>
      <w:r w:rsidR="00CA78AA" w:rsidRPr="0081146C">
        <w:t>Division 4</w:t>
      </w:r>
      <w:r w:rsidRPr="0081146C">
        <w:t>00 and Chapter</w:t>
      </w:r>
      <w:r w:rsidR="004F64A4" w:rsidRPr="0081146C">
        <w:t> </w:t>
      </w:r>
      <w:r w:rsidRPr="0081146C">
        <w:t xml:space="preserve">5 of the </w:t>
      </w:r>
      <w:r w:rsidRPr="0081146C">
        <w:rPr>
          <w:i/>
        </w:rPr>
        <w:t>Criminal Code</w:t>
      </w:r>
      <w:bookmarkEnd w:id="621"/>
    </w:p>
    <w:p w14:paraId="76EAB10D" w14:textId="77777777" w:rsidR="00035544" w:rsidRPr="0081146C" w:rsidRDefault="00035544" w:rsidP="00C5505A">
      <w:pPr>
        <w:pStyle w:val="subsection"/>
      </w:pPr>
      <w:r w:rsidRPr="0081146C">
        <w:tab/>
      </w:r>
      <w:r w:rsidRPr="0081146C">
        <w:tab/>
        <w:t>If a person, or an officer, employee or agent of a person, provides information under a notice under subsection</w:t>
      </w:r>
      <w:r w:rsidR="004F64A4" w:rsidRPr="0081146C">
        <w:t> </w:t>
      </w:r>
      <w:r w:rsidRPr="0081146C">
        <w:t xml:space="preserve">202(2), the person, officer, employee or agent is taken, for the purposes of </w:t>
      </w:r>
      <w:r w:rsidR="00CA78AA" w:rsidRPr="0081146C">
        <w:t>Division 4</w:t>
      </w:r>
      <w:r w:rsidRPr="0081146C">
        <w:t>00 and Chapter</w:t>
      </w:r>
      <w:r w:rsidR="004F64A4" w:rsidRPr="0081146C">
        <w:t> </w:t>
      </w:r>
      <w:r w:rsidRPr="0081146C">
        <w:t xml:space="preserve">5 of the </w:t>
      </w:r>
      <w:r w:rsidRPr="0081146C">
        <w:rPr>
          <w:i/>
        </w:rPr>
        <w:t>Criminal Code</w:t>
      </w:r>
      <w:r w:rsidRPr="0081146C">
        <w:t>, not to have been in possession of that information at any time.</w:t>
      </w:r>
    </w:p>
    <w:p w14:paraId="2497330A" w14:textId="77777777" w:rsidR="00035544" w:rsidRPr="0081146C" w:rsidRDefault="00035544" w:rsidP="00035544">
      <w:pPr>
        <w:pStyle w:val="ActHead5"/>
      </w:pPr>
      <w:bookmarkStart w:id="622" w:name="_Toc185416061"/>
      <w:r w:rsidRPr="0081146C">
        <w:rPr>
          <w:rStyle w:val="CharSectno"/>
        </w:rPr>
        <w:t>207</w:t>
      </w:r>
      <w:r w:rsidRPr="0081146C">
        <w:t xml:space="preserve">  Disclosing existence or nature of notice</w:t>
      </w:r>
      <w:bookmarkEnd w:id="622"/>
    </w:p>
    <w:p w14:paraId="578DCF16" w14:textId="77777777" w:rsidR="00035544" w:rsidRPr="0081146C" w:rsidRDefault="00035544" w:rsidP="00035544">
      <w:pPr>
        <w:pStyle w:val="subsection"/>
      </w:pPr>
      <w:r w:rsidRPr="0081146C">
        <w:tab/>
        <w:t>(1)</w:t>
      </w:r>
      <w:r w:rsidRPr="0081146C">
        <w:tab/>
        <w:t>A person commits an offence if:</w:t>
      </w:r>
    </w:p>
    <w:p w14:paraId="764E71A1" w14:textId="77777777" w:rsidR="00035544" w:rsidRPr="0081146C" w:rsidRDefault="00035544" w:rsidP="00035544">
      <w:pPr>
        <w:pStyle w:val="paragraph"/>
      </w:pPr>
      <w:r w:rsidRPr="0081146C">
        <w:tab/>
        <w:t>(a)</w:t>
      </w:r>
      <w:r w:rsidRPr="0081146C">
        <w:tab/>
        <w:t>the person is given a notice under subsection</w:t>
      </w:r>
      <w:r w:rsidR="004F64A4" w:rsidRPr="0081146C">
        <w:t> </w:t>
      </w:r>
      <w:r w:rsidRPr="0081146C">
        <w:t>202(2); and</w:t>
      </w:r>
    </w:p>
    <w:p w14:paraId="3A6A2A3F" w14:textId="77777777" w:rsidR="00035544" w:rsidRPr="0081146C" w:rsidRDefault="00035544" w:rsidP="00035544">
      <w:pPr>
        <w:pStyle w:val="paragraph"/>
      </w:pPr>
      <w:r w:rsidRPr="0081146C">
        <w:tab/>
        <w:t>(b)</w:t>
      </w:r>
      <w:r w:rsidRPr="0081146C">
        <w:tab/>
        <w:t>the notice specifies that information about the notice must not be disclosed; and</w:t>
      </w:r>
    </w:p>
    <w:p w14:paraId="15E37700" w14:textId="77777777" w:rsidR="00035544" w:rsidRPr="0081146C" w:rsidRDefault="00035544" w:rsidP="00035544">
      <w:pPr>
        <w:pStyle w:val="paragraph"/>
      </w:pPr>
      <w:r w:rsidRPr="0081146C">
        <w:tab/>
        <w:t>(c)</w:t>
      </w:r>
      <w:r w:rsidRPr="0081146C">
        <w:tab/>
        <w:t>the person discloses the existence or nature of the notice.</w:t>
      </w:r>
    </w:p>
    <w:p w14:paraId="5258F2BF" w14:textId="77777777" w:rsidR="00035544" w:rsidRPr="0081146C" w:rsidRDefault="00035544" w:rsidP="00035544">
      <w:pPr>
        <w:pStyle w:val="Penalty"/>
      </w:pPr>
      <w:r w:rsidRPr="0081146C">
        <w:t>Penalty:</w:t>
      </w:r>
      <w:r w:rsidRPr="0081146C">
        <w:tab/>
        <w:t>Imprisonment for 2 years or 120 penalty units, or both.</w:t>
      </w:r>
    </w:p>
    <w:p w14:paraId="3965689F" w14:textId="77777777" w:rsidR="00035544" w:rsidRPr="0081146C" w:rsidRDefault="00035544" w:rsidP="00035544">
      <w:pPr>
        <w:pStyle w:val="subsection"/>
      </w:pPr>
      <w:r w:rsidRPr="0081146C">
        <w:tab/>
        <w:t>(2)</w:t>
      </w:r>
      <w:r w:rsidRPr="0081146C">
        <w:tab/>
      </w:r>
      <w:r w:rsidR="004F64A4" w:rsidRPr="0081146C">
        <w:t>Subsection (</w:t>
      </w:r>
      <w:r w:rsidRPr="0081146C">
        <w:t>1) does not apply to the disclosure of information by a reporting entity if the disclosure is to a legal practitioner (however described) for the purpose of obtaining legal advice.</w:t>
      </w:r>
    </w:p>
    <w:p w14:paraId="026B706F"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2) (see sub</w:t>
      </w:r>
      <w:r w:rsidR="003B7E15" w:rsidRPr="0081146C">
        <w:t>section 1</w:t>
      </w:r>
      <w:r w:rsidRPr="0081146C">
        <w:t xml:space="preserve">3.3(3) of the </w:t>
      </w:r>
      <w:r w:rsidRPr="0081146C">
        <w:rPr>
          <w:i/>
        </w:rPr>
        <w:t>Criminal Code</w:t>
      </w:r>
      <w:r w:rsidRPr="0081146C">
        <w:t>).</w:t>
      </w:r>
    </w:p>
    <w:p w14:paraId="6EC50F8A" w14:textId="77777777" w:rsidR="00035544" w:rsidRPr="0081146C" w:rsidRDefault="00035544" w:rsidP="00035544">
      <w:pPr>
        <w:pStyle w:val="subsection"/>
      </w:pPr>
      <w:r w:rsidRPr="0081146C">
        <w:tab/>
        <w:t>(3)</w:t>
      </w:r>
      <w:r w:rsidRPr="0081146C">
        <w:tab/>
      </w:r>
      <w:r w:rsidR="004F64A4" w:rsidRPr="0081146C">
        <w:t>Subsection (</w:t>
      </w:r>
      <w:r w:rsidRPr="0081146C">
        <w:t>1) does not apply to the disclosure of information by a reporting entity if:</w:t>
      </w:r>
    </w:p>
    <w:p w14:paraId="18F20A56" w14:textId="14707116" w:rsidR="00035544" w:rsidRPr="0081146C" w:rsidRDefault="00035544" w:rsidP="00035544">
      <w:pPr>
        <w:pStyle w:val="paragraph"/>
      </w:pPr>
      <w:r w:rsidRPr="0081146C">
        <w:tab/>
        <w:t>(a)</w:t>
      </w:r>
      <w:r w:rsidRPr="0081146C">
        <w:tab/>
        <w:t xml:space="preserve">the reporting entity is a member of a </w:t>
      </w:r>
      <w:r w:rsidR="009B278E" w:rsidRPr="0081146C">
        <w:t>reporting group</w:t>
      </w:r>
      <w:r w:rsidRPr="0081146C">
        <w:t>; and</w:t>
      </w:r>
    </w:p>
    <w:p w14:paraId="188350B3" w14:textId="42DEC404" w:rsidR="00035544" w:rsidRPr="0081146C" w:rsidRDefault="00035544" w:rsidP="00035544">
      <w:pPr>
        <w:pStyle w:val="paragraph"/>
      </w:pPr>
      <w:r w:rsidRPr="0081146C">
        <w:tab/>
        <w:t>(b)</w:t>
      </w:r>
      <w:r w:rsidRPr="0081146C">
        <w:tab/>
        <w:t xml:space="preserve">the disclosure is made to another member of the </w:t>
      </w:r>
      <w:r w:rsidR="005518CA" w:rsidRPr="0081146C">
        <w:t>reporting group</w:t>
      </w:r>
      <w:r w:rsidRPr="0081146C">
        <w:t>.</w:t>
      </w:r>
    </w:p>
    <w:p w14:paraId="00BB9323" w14:textId="77777777" w:rsidR="00035544" w:rsidRPr="0081146C" w:rsidRDefault="00035544" w:rsidP="00035544">
      <w:pPr>
        <w:pStyle w:val="notetext"/>
      </w:pPr>
      <w:r w:rsidRPr="0081146C">
        <w:t>Note:</w:t>
      </w:r>
      <w:r w:rsidRPr="0081146C">
        <w:tab/>
        <w:t xml:space="preserve">A defendant bears an evidential burden in relation to the matter in </w:t>
      </w:r>
      <w:r w:rsidR="004F64A4" w:rsidRPr="0081146C">
        <w:t>subsection (</w:t>
      </w:r>
      <w:r w:rsidRPr="0081146C">
        <w:t>3) (see sub</w:t>
      </w:r>
      <w:r w:rsidR="003B7E15" w:rsidRPr="0081146C">
        <w:t>section 1</w:t>
      </w:r>
      <w:r w:rsidRPr="0081146C">
        <w:t xml:space="preserve">3.3(3) of the </w:t>
      </w:r>
      <w:r w:rsidRPr="0081146C">
        <w:rPr>
          <w:i/>
        </w:rPr>
        <w:t>Criminal Code</w:t>
      </w:r>
      <w:r w:rsidRPr="0081146C">
        <w:t>).</w:t>
      </w:r>
    </w:p>
    <w:p w14:paraId="37084A5B" w14:textId="77777777" w:rsidR="00035544" w:rsidRPr="0081146C" w:rsidRDefault="00CA78AA" w:rsidP="00AE2DA2">
      <w:pPr>
        <w:pStyle w:val="ActHead2"/>
        <w:pageBreakBefore/>
      </w:pPr>
      <w:bookmarkStart w:id="623" w:name="_Toc185416062"/>
      <w:r w:rsidRPr="0081146C">
        <w:rPr>
          <w:rStyle w:val="CharPartNo"/>
        </w:rPr>
        <w:t>Part 1</w:t>
      </w:r>
      <w:r w:rsidR="00035544" w:rsidRPr="0081146C">
        <w:rPr>
          <w:rStyle w:val="CharPartNo"/>
        </w:rPr>
        <w:t>6</w:t>
      </w:r>
      <w:r w:rsidR="00035544" w:rsidRPr="0081146C">
        <w:t>—</w:t>
      </w:r>
      <w:r w:rsidR="00035544" w:rsidRPr="0081146C">
        <w:rPr>
          <w:rStyle w:val="CharPartText"/>
        </w:rPr>
        <w:t>Administration</w:t>
      </w:r>
      <w:bookmarkEnd w:id="623"/>
    </w:p>
    <w:p w14:paraId="54195814" w14:textId="77777777" w:rsidR="00035544" w:rsidRPr="0081146C" w:rsidRDefault="00CA78AA" w:rsidP="00035544">
      <w:pPr>
        <w:pStyle w:val="ActHead3"/>
      </w:pPr>
      <w:bookmarkStart w:id="624" w:name="_Toc185416063"/>
      <w:r w:rsidRPr="0081146C">
        <w:rPr>
          <w:rStyle w:val="CharDivNo"/>
        </w:rPr>
        <w:t>Division 1</w:t>
      </w:r>
      <w:r w:rsidR="00035544" w:rsidRPr="0081146C">
        <w:t>—</w:t>
      </w:r>
      <w:r w:rsidR="00035544" w:rsidRPr="0081146C">
        <w:rPr>
          <w:rStyle w:val="CharDivText"/>
        </w:rPr>
        <w:t>Introduction</w:t>
      </w:r>
      <w:bookmarkEnd w:id="624"/>
    </w:p>
    <w:p w14:paraId="6B54E675" w14:textId="77777777" w:rsidR="00035544" w:rsidRPr="0081146C" w:rsidRDefault="00035544" w:rsidP="00035544">
      <w:pPr>
        <w:pStyle w:val="ActHead5"/>
      </w:pPr>
      <w:bookmarkStart w:id="625" w:name="_Toc185416064"/>
      <w:r w:rsidRPr="0081146C">
        <w:rPr>
          <w:rStyle w:val="CharSectno"/>
        </w:rPr>
        <w:t>208</w:t>
      </w:r>
      <w:r w:rsidRPr="0081146C">
        <w:t xml:space="preserve">  Simplified outline</w:t>
      </w:r>
      <w:bookmarkEnd w:id="625"/>
    </w:p>
    <w:p w14:paraId="331A05A0" w14:textId="77777777" w:rsidR="00035544" w:rsidRPr="0081146C" w:rsidRDefault="00035544" w:rsidP="00035544">
      <w:pPr>
        <w:pStyle w:val="subsection"/>
      </w:pPr>
      <w:r w:rsidRPr="0081146C">
        <w:tab/>
      </w:r>
      <w:r w:rsidRPr="0081146C">
        <w:tab/>
        <w:t>The following is a simplified outline of this Part:</w:t>
      </w:r>
    </w:p>
    <w:p w14:paraId="08568CFE" w14:textId="77777777" w:rsidR="00035544" w:rsidRPr="0081146C" w:rsidRDefault="00035544" w:rsidP="000806D3">
      <w:pPr>
        <w:pStyle w:val="SOBullet"/>
      </w:pPr>
      <w:r w:rsidRPr="0081146C">
        <w:t>•</w:t>
      </w:r>
      <w:r w:rsidRPr="0081146C">
        <w:tab/>
        <w:t>AUSTRAC is continued in existence.</w:t>
      </w:r>
    </w:p>
    <w:p w14:paraId="7B6B92C9" w14:textId="77777777" w:rsidR="00035544" w:rsidRPr="0081146C" w:rsidRDefault="00035544" w:rsidP="000806D3">
      <w:pPr>
        <w:pStyle w:val="SOBullet"/>
      </w:pPr>
      <w:r w:rsidRPr="0081146C">
        <w:t>•</w:t>
      </w:r>
      <w:r w:rsidRPr="0081146C">
        <w:tab/>
        <w:t>There is to be a Chief Executive Officer of AUSTRAC.</w:t>
      </w:r>
    </w:p>
    <w:p w14:paraId="68EB10CB" w14:textId="77777777" w:rsidR="00035544" w:rsidRPr="0081146C" w:rsidRDefault="00035544" w:rsidP="000806D3">
      <w:pPr>
        <w:pStyle w:val="SOBullet"/>
      </w:pPr>
      <w:r w:rsidRPr="0081146C">
        <w:t>•</w:t>
      </w:r>
      <w:r w:rsidRPr="0081146C">
        <w:tab/>
        <w:t xml:space="preserve">The AUSTRAC CEO’s functions include the compilation and analysis of </w:t>
      </w:r>
      <w:r w:rsidR="00BA74EA" w:rsidRPr="0081146C">
        <w:t>AUSTRAC information</w:t>
      </w:r>
      <w:r w:rsidRPr="0081146C">
        <w:t>.</w:t>
      </w:r>
    </w:p>
    <w:p w14:paraId="1CF02B9E" w14:textId="77777777" w:rsidR="005D71C3" w:rsidRPr="0081146C" w:rsidRDefault="005D71C3" w:rsidP="000806D3">
      <w:pPr>
        <w:pStyle w:val="SOBullet"/>
      </w:pPr>
      <w:r w:rsidRPr="0081146C">
        <w:t>•</w:t>
      </w:r>
      <w:r w:rsidRPr="0081146C">
        <w:tab/>
        <w:t>The AUSTRAC CEO may arrange for the use of computer programs for any purposes for which the AUSTRAC CEO may take certain administrative action under this Act, the AML/CTF Rules or other instruments made under this Act.</w:t>
      </w:r>
    </w:p>
    <w:p w14:paraId="44C60724" w14:textId="77777777" w:rsidR="00035544" w:rsidRPr="0081146C" w:rsidRDefault="00035544" w:rsidP="000806D3">
      <w:pPr>
        <w:pStyle w:val="SOBullet"/>
      </w:pPr>
      <w:r w:rsidRPr="0081146C">
        <w:t>•</w:t>
      </w:r>
      <w:r w:rsidRPr="0081146C">
        <w:tab/>
        <w:t>The AUSTRAC CEO may make AML/CTF Rules.</w:t>
      </w:r>
    </w:p>
    <w:p w14:paraId="7C0CD980" w14:textId="77777777" w:rsidR="00035544" w:rsidRPr="0081146C" w:rsidRDefault="00CA78AA" w:rsidP="00AE2DA2">
      <w:pPr>
        <w:pStyle w:val="ActHead3"/>
        <w:pageBreakBefore/>
      </w:pPr>
      <w:bookmarkStart w:id="626" w:name="_Toc185416065"/>
      <w:r w:rsidRPr="0081146C">
        <w:rPr>
          <w:rStyle w:val="CharDivNo"/>
        </w:rPr>
        <w:t>Division 2</w:t>
      </w:r>
      <w:r w:rsidR="00035544" w:rsidRPr="0081146C">
        <w:t>—</w:t>
      </w:r>
      <w:r w:rsidR="00035544" w:rsidRPr="0081146C">
        <w:rPr>
          <w:rStyle w:val="CharDivText"/>
        </w:rPr>
        <w:t>Establishment and function of AUSTRAC</w:t>
      </w:r>
      <w:bookmarkEnd w:id="626"/>
    </w:p>
    <w:p w14:paraId="1400F325" w14:textId="77777777" w:rsidR="00035544" w:rsidRPr="0081146C" w:rsidRDefault="00035544" w:rsidP="00035544">
      <w:pPr>
        <w:pStyle w:val="ActHead5"/>
      </w:pPr>
      <w:bookmarkStart w:id="627" w:name="_Toc185416066"/>
      <w:r w:rsidRPr="0081146C">
        <w:rPr>
          <w:rStyle w:val="CharSectno"/>
        </w:rPr>
        <w:t>209</w:t>
      </w:r>
      <w:r w:rsidRPr="0081146C">
        <w:t xml:space="preserve">  Establishment of AUSTRAC</w:t>
      </w:r>
      <w:bookmarkEnd w:id="627"/>
    </w:p>
    <w:p w14:paraId="037C9ECC" w14:textId="7E5F8B47" w:rsidR="00035544" w:rsidRPr="0081146C" w:rsidRDefault="00035544" w:rsidP="00035544">
      <w:pPr>
        <w:pStyle w:val="subsection"/>
      </w:pPr>
      <w:r w:rsidRPr="0081146C">
        <w:tab/>
        <w:t>(1)</w:t>
      </w:r>
      <w:r w:rsidRPr="0081146C">
        <w:tab/>
        <w:t xml:space="preserve">The Australian Transaction Reports and Analysis Centre established under the </w:t>
      </w:r>
      <w:r w:rsidR="007A2342" w:rsidRPr="0081146C">
        <w:t>repealed</w:t>
      </w:r>
      <w:r w:rsidR="007A2342" w:rsidRPr="0081146C">
        <w:rPr>
          <w:i/>
        </w:rPr>
        <w:t xml:space="preserve"> </w:t>
      </w:r>
      <w:r w:rsidRPr="0081146C">
        <w:rPr>
          <w:i/>
        </w:rPr>
        <w:t>Financial Transaction Reports Act 1988</w:t>
      </w:r>
      <w:r w:rsidRPr="0081146C">
        <w:t xml:space="preserve"> continues in existence by force of this subsection, under and subject to the provisions of this Act.</w:t>
      </w:r>
    </w:p>
    <w:p w14:paraId="5EE4AF1B" w14:textId="77777777" w:rsidR="00035544" w:rsidRPr="0081146C" w:rsidRDefault="00035544" w:rsidP="00035544">
      <w:pPr>
        <w:pStyle w:val="subsection"/>
      </w:pPr>
      <w:r w:rsidRPr="0081146C">
        <w:tab/>
        <w:t>(2)</w:t>
      </w:r>
      <w:r w:rsidRPr="0081146C">
        <w:tab/>
        <w:t>The Australian Transaction Reports and Analysis Centre may also be known as AUSTRAC.</w:t>
      </w:r>
    </w:p>
    <w:p w14:paraId="061E8517" w14:textId="77777777" w:rsidR="00035544" w:rsidRPr="0081146C" w:rsidRDefault="00035544" w:rsidP="00035544">
      <w:pPr>
        <w:pStyle w:val="subsection"/>
      </w:pPr>
      <w:r w:rsidRPr="0081146C">
        <w:tab/>
        <w:t>(3)</w:t>
      </w:r>
      <w:r w:rsidRPr="0081146C">
        <w:tab/>
        <w:t>AUSTRAC consists of:</w:t>
      </w:r>
    </w:p>
    <w:p w14:paraId="5BE47482" w14:textId="77777777" w:rsidR="00035544" w:rsidRPr="0081146C" w:rsidRDefault="00035544" w:rsidP="00035544">
      <w:pPr>
        <w:pStyle w:val="paragraph"/>
      </w:pPr>
      <w:r w:rsidRPr="0081146C">
        <w:tab/>
        <w:t>(a)</w:t>
      </w:r>
      <w:r w:rsidRPr="0081146C">
        <w:tab/>
        <w:t>the AUSTRAC CEO; and</w:t>
      </w:r>
    </w:p>
    <w:p w14:paraId="66567F0F" w14:textId="77777777" w:rsidR="00035544" w:rsidRPr="0081146C" w:rsidRDefault="00035544" w:rsidP="00035544">
      <w:pPr>
        <w:pStyle w:val="paragraph"/>
      </w:pPr>
      <w:r w:rsidRPr="0081146C">
        <w:tab/>
        <w:t>(b)</w:t>
      </w:r>
      <w:r w:rsidRPr="0081146C">
        <w:tab/>
        <w:t>the staff of AUSTRAC.</w:t>
      </w:r>
    </w:p>
    <w:p w14:paraId="1F554881" w14:textId="77777777" w:rsidR="00035544" w:rsidRPr="0081146C" w:rsidRDefault="00035544" w:rsidP="00035544">
      <w:pPr>
        <w:pStyle w:val="notetext"/>
      </w:pPr>
      <w:r w:rsidRPr="0081146C">
        <w:t>Note:</w:t>
      </w:r>
      <w:r w:rsidRPr="0081146C">
        <w:tab/>
        <w:t>AUSTRAC does not have a legal identity separate from the Commonwealth.</w:t>
      </w:r>
    </w:p>
    <w:p w14:paraId="25CB3F7A" w14:textId="77777777" w:rsidR="008A1047" w:rsidRPr="0081146C" w:rsidRDefault="008A1047" w:rsidP="008A1047">
      <w:pPr>
        <w:pStyle w:val="subsection"/>
      </w:pPr>
      <w:r w:rsidRPr="0081146C">
        <w:tab/>
        <w:t>(4)</w:t>
      </w:r>
      <w:r w:rsidRPr="0081146C">
        <w:tab/>
        <w:t xml:space="preserve">For the purposes of the finance law (within the meaning of the </w:t>
      </w:r>
      <w:r w:rsidRPr="0081146C">
        <w:rPr>
          <w:i/>
        </w:rPr>
        <w:t>Public Governance, Performance and Accountability Act 2013</w:t>
      </w:r>
      <w:r w:rsidRPr="0081146C">
        <w:t>):</w:t>
      </w:r>
    </w:p>
    <w:p w14:paraId="014EF128" w14:textId="77777777" w:rsidR="008A1047" w:rsidRPr="0081146C" w:rsidRDefault="008A1047" w:rsidP="008A1047">
      <w:pPr>
        <w:pStyle w:val="paragraph"/>
      </w:pPr>
      <w:r w:rsidRPr="0081146C">
        <w:tab/>
        <w:t>(a)</w:t>
      </w:r>
      <w:r w:rsidRPr="0081146C">
        <w:tab/>
        <w:t>AUSTRAC is a listed entity; and</w:t>
      </w:r>
    </w:p>
    <w:p w14:paraId="4C864A19" w14:textId="77777777" w:rsidR="008A1047" w:rsidRPr="0081146C" w:rsidRDefault="008A1047" w:rsidP="008A1047">
      <w:pPr>
        <w:pStyle w:val="paragraph"/>
      </w:pPr>
      <w:r w:rsidRPr="0081146C">
        <w:tab/>
        <w:t>(b)</w:t>
      </w:r>
      <w:r w:rsidRPr="0081146C">
        <w:tab/>
        <w:t>the AUSTRAC CEO is the accountable authority of AUSTRAC; and</w:t>
      </w:r>
    </w:p>
    <w:p w14:paraId="56D56E42" w14:textId="77777777" w:rsidR="008A1047" w:rsidRPr="0081146C" w:rsidRDefault="008A1047" w:rsidP="008A1047">
      <w:pPr>
        <w:pStyle w:val="paragraph"/>
      </w:pPr>
      <w:r w:rsidRPr="0081146C">
        <w:tab/>
        <w:t>(c)</w:t>
      </w:r>
      <w:r w:rsidRPr="0081146C">
        <w:tab/>
        <w:t>the following persons are officials of AUSTRAC:</w:t>
      </w:r>
    </w:p>
    <w:p w14:paraId="54F3C2BA" w14:textId="77777777" w:rsidR="008A1047" w:rsidRPr="0081146C" w:rsidRDefault="008A1047" w:rsidP="008A1047">
      <w:pPr>
        <w:pStyle w:val="paragraphsub"/>
      </w:pPr>
      <w:r w:rsidRPr="0081146C">
        <w:tab/>
        <w:t>(i)</w:t>
      </w:r>
      <w:r w:rsidRPr="0081146C">
        <w:tab/>
        <w:t>the AUSTRAC CEO;</w:t>
      </w:r>
    </w:p>
    <w:p w14:paraId="268230DD" w14:textId="77777777" w:rsidR="008A1047" w:rsidRPr="0081146C" w:rsidRDefault="008A1047" w:rsidP="008A1047">
      <w:pPr>
        <w:pStyle w:val="paragraphsub"/>
      </w:pPr>
      <w:r w:rsidRPr="0081146C">
        <w:tab/>
        <w:t>(ii)</w:t>
      </w:r>
      <w:r w:rsidRPr="0081146C">
        <w:tab/>
        <w:t>the staff of AUSTRAC referred to in section</w:t>
      </w:r>
      <w:r w:rsidR="004F64A4" w:rsidRPr="0081146C">
        <w:t> </w:t>
      </w:r>
      <w:r w:rsidRPr="0081146C">
        <w:t>224;</w:t>
      </w:r>
    </w:p>
    <w:p w14:paraId="6B995936" w14:textId="77777777" w:rsidR="008A1047" w:rsidRPr="0081146C" w:rsidRDefault="008A1047" w:rsidP="008A1047">
      <w:pPr>
        <w:pStyle w:val="paragraphsub"/>
      </w:pPr>
      <w:r w:rsidRPr="0081146C">
        <w:tab/>
        <w:t>(iii)</w:t>
      </w:r>
      <w:r w:rsidRPr="0081146C">
        <w:tab/>
        <w:t>consultants engaged under subsection</w:t>
      </w:r>
      <w:r w:rsidR="004F64A4" w:rsidRPr="0081146C">
        <w:t> </w:t>
      </w:r>
      <w:r w:rsidRPr="0081146C">
        <w:t>225(1);</w:t>
      </w:r>
    </w:p>
    <w:p w14:paraId="75005F08" w14:textId="77777777" w:rsidR="008A1047" w:rsidRPr="0081146C" w:rsidRDefault="008A1047" w:rsidP="008A1047">
      <w:pPr>
        <w:pStyle w:val="paragraphsub"/>
      </w:pPr>
      <w:r w:rsidRPr="0081146C">
        <w:tab/>
        <w:t>(iv)</w:t>
      </w:r>
      <w:r w:rsidRPr="0081146C">
        <w:tab/>
        <w:t>persons whose services are made available to the AUSTRAC CEO under subsection</w:t>
      </w:r>
      <w:r w:rsidR="004F64A4" w:rsidRPr="0081146C">
        <w:t> </w:t>
      </w:r>
      <w:r w:rsidRPr="0081146C">
        <w:t>225(3); and</w:t>
      </w:r>
    </w:p>
    <w:p w14:paraId="2A4A9DD5" w14:textId="77777777" w:rsidR="008A1047" w:rsidRPr="0081146C" w:rsidRDefault="008A1047" w:rsidP="008A1047">
      <w:pPr>
        <w:pStyle w:val="paragraph"/>
      </w:pPr>
      <w:r w:rsidRPr="0081146C">
        <w:tab/>
        <w:t>(d)</w:t>
      </w:r>
      <w:r w:rsidRPr="0081146C">
        <w:tab/>
        <w:t>the purposes of AUSTRAC include:</w:t>
      </w:r>
    </w:p>
    <w:p w14:paraId="0B95CBD3" w14:textId="77777777" w:rsidR="008A1047" w:rsidRPr="0081146C" w:rsidRDefault="008A1047" w:rsidP="008A1047">
      <w:pPr>
        <w:pStyle w:val="paragraphsub"/>
      </w:pPr>
      <w:r w:rsidRPr="0081146C">
        <w:tab/>
        <w:t>(i)</w:t>
      </w:r>
      <w:r w:rsidRPr="0081146C">
        <w:tab/>
        <w:t>the function of AUSTRAC referred to in section</w:t>
      </w:r>
      <w:r w:rsidR="004F64A4" w:rsidRPr="0081146C">
        <w:t> </w:t>
      </w:r>
      <w:r w:rsidRPr="0081146C">
        <w:t>210; and</w:t>
      </w:r>
    </w:p>
    <w:p w14:paraId="0CB91028" w14:textId="77777777" w:rsidR="008A1047" w:rsidRPr="0081146C" w:rsidRDefault="008A1047" w:rsidP="008A1047">
      <w:pPr>
        <w:pStyle w:val="paragraphsub"/>
      </w:pPr>
      <w:r w:rsidRPr="0081146C">
        <w:tab/>
        <w:t>(ii)</w:t>
      </w:r>
      <w:r w:rsidRPr="0081146C">
        <w:tab/>
        <w:t>the functions of the AUSTRAC CEO referred to in section</w:t>
      </w:r>
      <w:r w:rsidR="004F64A4" w:rsidRPr="0081146C">
        <w:t> </w:t>
      </w:r>
      <w:r w:rsidRPr="0081146C">
        <w:t>212.</w:t>
      </w:r>
    </w:p>
    <w:p w14:paraId="32AD9258" w14:textId="77777777" w:rsidR="00035544" w:rsidRPr="0081146C" w:rsidRDefault="00035544" w:rsidP="00035544">
      <w:pPr>
        <w:pStyle w:val="ActHead5"/>
      </w:pPr>
      <w:bookmarkStart w:id="628" w:name="_Toc185416067"/>
      <w:r w:rsidRPr="0081146C">
        <w:rPr>
          <w:rStyle w:val="CharSectno"/>
        </w:rPr>
        <w:t>210</w:t>
      </w:r>
      <w:r w:rsidRPr="0081146C">
        <w:t xml:space="preserve">  Function of AUSTRAC</w:t>
      </w:r>
      <w:bookmarkEnd w:id="628"/>
    </w:p>
    <w:p w14:paraId="47D3FC35" w14:textId="77777777" w:rsidR="00035544" w:rsidRPr="0081146C" w:rsidRDefault="00035544" w:rsidP="00035544">
      <w:pPr>
        <w:pStyle w:val="subsection"/>
      </w:pPr>
      <w:r w:rsidRPr="0081146C">
        <w:tab/>
      </w:r>
      <w:r w:rsidRPr="0081146C">
        <w:tab/>
        <w:t>The function of AUSTRAC is to assist the AUSTRAC CEO in the performance of the AUSTRAC CEO’s functions.</w:t>
      </w:r>
    </w:p>
    <w:p w14:paraId="2A7F469C" w14:textId="77777777" w:rsidR="00035544" w:rsidRPr="0081146C" w:rsidRDefault="00CA78AA" w:rsidP="00AE2DA2">
      <w:pPr>
        <w:pStyle w:val="ActHead3"/>
        <w:pageBreakBefore/>
      </w:pPr>
      <w:bookmarkStart w:id="629" w:name="_Toc185416068"/>
      <w:r w:rsidRPr="0081146C">
        <w:rPr>
          <w:rStyle w:val="CharDivNo"/>
        </w:rPr>
        <w:t>Division 3</w:t>
      </w:r>
      <w:r w:rsidR="00035544" w:rsidRPr="0081146C">
        <w:t>—</w:t>
      </w:r>
      <w:r w:rsidR="00035544" w:rsidRPr="0081146C">
        <w:rPr>
          <w:rStyle w:val="CharDivText"/>
        </w:rPr>
        <w:t>Chief Executive Officer of AUSTRAC</w:t>
      </w:r>
      <w:bookmarkEnd w:id="629"/>
    </w:p>
    <w:p w14:paraId="6FC4A1D7" w14:textId="77777777" w:rsidR="00035544" w:rsidRPr="0081146C" w:rsidRDefault="00035544" w:rsidP="00035544">
      <w:pPr>
        <w:pStyle w:val="ActHead4"/>
      </w:pPr>
      <w:bookmarkStart w:id="630" w:name="_Toc185416069"/>
      <w:r w:rsidRPr="0081146C">
        <w:rPr>
          <w:rStyle w:val="CharSubdNo"/>
        </w:rPr>
        <w:t>Subdivision A</w:t>
      </w:r>
      <w:r w:rsidRPr="0081146C">
        <w:t>—</w:t>
      </w:r>
      <w:r w:rsidRPr="0081146C">
        <w:rPr>
          <w:rStyle w:val="CharSubdText"/>
        </w:rPr>
        <w:t>Office and functions of the AUSTRAC CEO</w:t>
      </w:r>
      <w:bookmarkEnd w:id="630"/>
    </w:p>
    <w:p w14:paraId="6581A6C5" w14:textId="77777777" w:rsidR="00035544" w:rsidRPr="0081146C" w:rsidRDefault="00035544" w:rsidP="00035544">
      <w:pPr>
        <w:pStyle w:val="ActHead5"/>
      </w:pPr>
      <w:bookmarkStart w:id="631" w:name="_Toc185416070"/>
      <w:r w:rsidRPr="0081146C">
        <w:rPr>
          <w:rStyle w:val="CharSectno"/>
        </w:rPr>
        <w:t>211</w:t>
      </w:r>
      <w:r w:rsidRPr="0081146C">
        <w:t xml:space="preserve">  AUSTRAC CEO</w:t>
      </w:r>
      <w:bookmarkEnd w:id="631"/>
    </w:p>
    <w:p w14:paraId="39E7C289" w14:textId="77777777" w:rsidR="00035544" w:rsidRPr="0081146C" w:rsidRDefault="00035544" w:rsidP="00035544">
      <w:pPr>
        <w:pStyle w:val="subsection"/>
      </w:pPr>
      <w:r w:rsidRPr="0081146C">
        <w:tab/>
        <w:t>(1)</w:t>
      </w:r>
      <w:r w:rsidRPr="0081146C">
        <w:tab/>
        <w:t>There is to be a Chief Executive Officer of AUSTRAC.</w:t>
      </w:r>
    </w:p>
    <w:p w14:paraId="0B1EDBFD" w14:textId="77777777" w:rsidR="00035544" w:rsidRPr="0081146C" w:rsidRDefault="00035544" w:rsidP="00035544">
      <w:pPr>
        <w:pStyle w:val="subsection"/>
      </w:pPr>
      <w:r w:rsidRPr="0081146C">
        <w:tab/>
        <w:t>(2)</w:t>
      </w:r>
      <w:r w:rsidRPr="0081146C">
        <w:tab/>
        <w:t>The Chief Executive Officer of AUSTRAC may also be known as the AUSTRAC CEO.</w:t>
      </w:r>
    </w:p>
    <w:p w14:paraId="39EA20B3" w14:textId="222100E4" w:rsidR="00035544" w:rsidRPr="0081146C" w:rsidRDefault="00035544" w:rsidP="00035544">
      <w:pPr>
        <w:pStyle w:val="subsection"/>
      </w:pPr>
      <w:r w:rsidRPr="0081146C">
        <w:tab/>
        <w:t>(3)</w:t>
      </w:r>
      <w:r w:rsidRPr="0081146C">
        <w:tab/>
        <w:t xml:space="preserve">The office of Chief Executive Officer of AUSTRAC is, for all purposes, a continuation under that name of the office of Director of AUSTRAC established under the </w:t>
      </w:r>
      <w:r w:rsidR="007A2342" w:rsidRPr="0081146C">
        <w:t>repealed</w:t>
      </w:r>
      <w:r w:rsidR="007A2342" w:rsidRPr="0081146C">
        <w:rPr>
          <w:i/>
        </w:rPr>
        <w:t xml:space="preserve"> </w:t>
      </w:r>
      <w:r w:rsidRPr="0081146C">
        <w:rPr>
          <w:i/>
        </w:rPr>
        <w:t>Financial Transaction Reports Act 1988</w:t>
      </w:r>
      <w:r w:rsidRPr="0081146C">
        <w:t>.</w:t>
      </w:r>
    </w:p>
    <w:p w14:paraId="65F537CF" w14:textId="77777777" w:rsidR="00035544" w:rsidRPr="0081146C" w:rsidRDefault="00035544" w:rsidP="00035544">
      <w:pPr>
        <w:pStyle w:val="subsection"/>
      </w:pPr>
      <w:r w:rsidRPr="0081146C">
        <w:tab/>
        <w:t>(4)</w:t>
      </w:r>
      <w:r w:rsidRPr="0081146C">
        <w:tab/>
        <w:t>To avoid doubt, a reference in a law of the Commonwealth to the AUSTRAC CEO must, in relation to matters that occurred before the commencement of this section, be construed as a reference to the Director of AUSTRAC.</w:t>
      </w:r>
    </w:p>
    <w:p w14:paraId="0B6AF6AA" w14:textId="77777777" w:rsidR="00035544" w:rsidRPr="0081146C" w:rsidRDefault="00035544" w:rsidP="00035544">
      <w:pPr>
        <w:pStyle w:val="notetext"/>
      </w:pPr>
      <w:r w:rsidRPr="0081146C">
        <w:t>Note:</w:t>
      </w:r>
      <w:r w:rsidRPr="0081146C">
        <w:tab/>
        <w:t>See also section</w:t>
      </w:r>
      <w:r w:rsidR="004F64A4" w:rsidRPr="0081146C">
        <w:t> </w:t>
      </w:r>
      <w:r w:rsidRPr="0081146C">
        <w:t xml:space="preserve">25B of the </w:t>
      </w:r>
      <w:r w:rsidRPr="0081146C">
        <w:rPr>
          <w:i/>
        </w:rPr>
        <w:t>Acts Interpretation Act 1901</w:t>
      </w:r>
      <w:r w:rsidRPr="0081146C">
        <w:t>.</w:t>
      </w:r>
    </w:p>
    <w:p w14:paraId="218591E8" w14:textId="77777777" w:rsidR="00035544" w:rsidRPr="0081146C" w:rsidRDefault="00035544" w:rsidP="00035544">
      <w:pPr>
        <w:pStyle w:val="ActHead5"/>
      </w:pPr>
      <w:bookmarkStart w:id="632" w:name="_Toc185416071"/>
      <w:r w:rsidRPr="0081146C">
        <w:rPr>
          <w:rStyle w:val="CharSectno"/>
        </w:rPr>
        <w:t>212</w:t>
      </w:r>
      <w:r w:rsidRPr="0081146C">
        <w:t xml:space="preserve">  Functions of the AUSTRAC CEO</w:t>
      </w:r>
      <w:bookmarkEnd w:id="632"/>
    </w:p>
    <w:p w14:paraId="1C3B22F6" w14:textId="77777777" w:rsidR="00035544" w:rsidRPr="0081146C" w:rsidRDefault="00035544" w:rsidP="00035544">
      <w:pPr>
        <w:pStyle w:val="subsection"/>
      </w:pPr>
      <w:r w:rsidRPr="0081146C">
        <w:tab/>
        <w:t>(1)</w:t>
      </w:r>
      <w:r w:rsidRPr="0081146C">
        <w:tab/>
        <w:t>The functions of the AUSTRAC CEO are:</w:t>
      </w:r>
    </w:p>
    <w:p w14:paraId="23B8FB41" w14:textId="77777777" w:rsidR="00035544" w:rsidRPr="0081146C" w:rsidRDefault="00035544" w:rsidP="00035544">
      <w:pPr>
        <w:pStyle w:val="paragraph"/>
      </w:pPr>
      <w:r w:rsidRPr="0081146C">
        <w:tab/>
        <w:t>(a)</w:t>
      </w:r>
      <w:r w:rsidRPr="0081146C">
        <w:tab/>
        <w:t xml:space="preserve">to retain, compile, analyse and disseminate </w:t>
      </w:r>
      <w:r w:rsidR="0049002F" w:rsidRPr="0081146C">
        <w:t>AUSTRAC information</w:t>
      </w:r>
      <w:r w:rsidRPr="0081146C">
        <w:t>; and</w:t>
      </w:r>
    </w:p>
    <w:p w14:paraId="0A8BB5D2" w14:textId="77777777" w:rsidR="0049002F" w:rsidRPr="0081146C" w:rsidRDefault="0049002F" w:rsidP="0049002F">
      <w:pPr>
        <w:pStyle w:val="paragraph"/>
      </w:pPr>
      <w:r w:rsidRPr="0081146C">
        <w:tab/>
        <w:t>(aa)</w:t>
      </w:r>
      <w:r w:rsidRPr="0081146C">
        <w:tab/>
        <w:t>to provide access to, and to share, AUSTRAC information to support domestic and international efforts to combat money laundering and terrorism financing and other serious crimes; and</w:t>
      </w:r>
    </w:p>
    <w:p w14:paraId="2CCAFE86" w14:textId="77777777" w:rsidR="00035544" w:rsidRPr="0081146C" w:rsidRDefault="00035544" w:rsidP="00035544">
      <w:pPr>
        <w:pStyle w:val="paragraph"/>
      </w:pPr>
      <w:r w:rsidRPr="0081146C">
        <w:tab/>
        <w:t>(b)</w:t>
      </w:r>
      <w:r w:rsidRPr="0081146C">
        <w:tab/>
        <w:t xml:space="preserve">to provide advice and assistance, in relation to AUSTRAC information, to the persons and agencies who are authorised to access AUSTRAC information under </w:t>
      </w:r>
      <w:r w:rsidR="00CA78AA" w:rsidRPr="0081146C">
        <w:t>Part 1</w:t>
      </w:r>
      <w:r w:rsidRPr="0081146C">
        <w:t>1; and</w:t>
      </w:r>
    </w:p>
    <w:p w14:paraId="02932E3B" w14:textId="77777777" w:rsidR="00035544" w:rsidRPr="0081146C" w:rsidRDefault="00035544" w:rsidP="00035544">
      <w:pPr>
        <w:pStyle w:val="paragraph"/>
      </w:pPr>
      <w:r w:rsidRPr="0081146C">
        <w:tab/>
        <w:t>(c)</w:t>
      </w:r>
      <w:r w:rsidRPr="0081146C">
        <w:tab/>
        <w:t>to advise and assist reporting entities in relation to their obligations under this Act, the regulations and the AML/CTF Rules; and</w:t>
      </w:r>
    </w:p>
    <w:p w14:paraId="63612EDA" w14:textId="77777777" w:rsidR="00035544" w:rsidRPr="0081146C" w:rsidRDefault="00035544" w:rsidP="00035544">
      <w:pPr>
        <w:pStyle w:val="paragraph"/>
      </w:pPr>
      <w:r w:rsidRPr="0081146C">
        <w:tab/>
        <w:t>(d)</w:t>
      </w:r>
      <w:r w:rsidRPr="0081146C">
        <w:tab/>
        <w:t>to advise and assist the representatives of reporting entities in relation to compliance by reporting entities with this Act, the regulations and the AML/CTF Rules; and</w:t>
      </w:r>
    </w:p>
    <w:p w14:paraId="224F3B7D" w14:textId="77777777" w:rsidR="0049002F" w:rsidRPr="0081146C" w:rsidRDefault="0049002F" w:rsidP="0049002F">
      <w:pPr>
        <w:pStyle w:val="paragraph"/>
      </w:pPr>
      <w:r w:rsidRPr="0081146C">
        <w:tab/>
        <w:t>(da)</w:t>
      </w:r>
      <w:r w:rsidRPr="0081146C">
        <w:tab/>
        <w:t>to facilitate gaining access on a timely basis to the financial, administrative and law enforcement information that the AUSTRAC CEO requires to properly undertake the AUSTRAC CEO’s financial intelligence functions; and</w:t>
      </w:r>
    </w:p>
    <w:p w14:paraId="54A9F02B" w14:textId="77777777" w:rsidR="00BA74EA" w:rsidRPr="0081146C" w:rsidRDefault="00BA74EA" w:rsidP="00BA74EA">
      <w:pPr>
        <w:pStyle w:val="paragraph"/>
      </w:pPr>
      <w:r w:rsidRPr="0081146C">
        <w:tab/>
        <w:t>(db)</w:t>
      </w:r>
      <w:r w:rsidRPr="0081146C">
        <w:tab/>
        <w:t>to establish such task forces as the AUSTRAC CEO considers appropriate; and</w:t>
      </w:r>
    </w:p>
    <w:p w14:paraId="166F7F96" w14:textId="77777777" w:rsidR="00035544" w:rsidRPr="0081146C" w:rsidRDefault="00035544" w:rsidP="00035544">
      <w:pPr>
        <w:pStyle w:val="paragraph"/>
      </w:pPr>
      <w:r w:rsidRPr="0081146C">
        <w:tab/>
        <w:t>(e)</w:t>
      </w:r>
      <w:r w:rsidRPr="0081146C">
        <w:tab/>
        <w:t>to promote compliance with this Act, the regulations and the AML/CTF Rules; and</w:t>
      </w:r>
    </w:p>
    <w:p w14:paraId="4E7E486D" w14:textId="77777777" w:rsidR="00E90E09" w:rsidRPr="0081146C" w:rsidRDefault="00E90E09" w:rsidP="00E90E09">
      <w:pPr>
        <w:pStyle w:val="paragraph"/>
      </w:pPr>
      <w:r w:rsidRPr="0081146C">
        <w:tab/>
        <w:t>(ea)</w:t>
      </w:r>
      <w:r w:rsidRPr="0081146C">
        <w:tab/>
        <w:t>to assist in the development of government policy or to assist academic research; and</w:t>
      </w:r>
    </w:p>
    <w:p w14:paraId="5DAD5A82" w14:textId="77777777" w:rsidR="00035544" w:rsidRPr="0081146C" w:rsidRDefault="00035544" w:rsidP="00035544">
      <w:pPr>
        <w:pStyle w:val="paragraph"/>
      </w:pPr>
      <w:r w:rsidRPr="0081146C">
        <w:tab/>
        <w:t>(f)</w:t>
      </w:r>
      <w:r w:rsidRPr="0081146C">
        <w:tab/>
        <w:t>such other functions as are conferred on the AUSTRAC CEO by or under:</w:t>
      </w:r>
    </w:p>
    <w:p w14:paraId="5E76100E" w14:textId="77777777" w:rsidR="00035544" w:rsidRPr="0081146C" w:rsidRDefault="00035544" w:rsidP="00035544">
      <w:pPr>
        <w:pStyle w:val="paragraphsub"/>
      </w:pPr>
      <w:r w:rsidRPr="0081146C">
        <w:tab/>
        <w:t>(i)</w:t>
      </w:r>
      <w:r w:rsidRPr="0081146C">
        <w:tab/>
        <w:t>this Act; or</w:t>
      </w:r>
    </w:p>
    <w:p w14:paraId="7252D953" w14:textId="77777777" w:rsidR="00035544" w:rsidRPr="0081146C" w:rsidRDefault="00035544" w:rsidP="00035544">
      <w:pPr>
        <w:pStyle w:val="paragraphsub"/>
      </w:pPr>
      <w:r w:rsidRPr="0081146C">
        <w:tab/>
        <w:t>(ii)</w:t>
      </w:r>
      <w:r w:rsidRPr="0081146C">
        <w:tab/>
        <w:t>the regulations; or</w:t>
      </w:r>
    </w:p>
    <w:p w14:paraId="6F684919" w14:textId="77777777" w:rsidR="00035544" w:rsidRPr="0081146C" w:rsidRDefault="00035544" w:rsidP="00035544">
      <w:pPr>
        <w:pStyle w:val="paragraphsub"/>
      </w:pPr>
      <w:r w:rsidRPr="0081146C">
        <w:tab/>
        <w:t>(iii)</w:t>
      </w:r>
      <w:r w:rsidRPr="0081146C">
        <w:tab/>
        <w:t>any other law of the Commonwealth</w:t>
      </w:r>
      <w:r w:rsidR="00CE2E1E" w:rsidRPr="0081146C">
        <w:t>; and</w:t>
      </w:r>
    </w:p>
    <w:p w14:paraId="0EC93F58" w14:textId="77777777" w:rsidR="00CE2E1E" w:rsidRPr="0081146C" w:rsidRDefault="00CE2E1E" w:rsidP="00CE2E1E">
      <w:pPr>
        <w:pStyle w:val="paragraph"/>
      </w:pPr>
      <w:r w:rsidRPr="0081146C">
        <w:tab/>
        <w:t>(g)</w:t>
      </w:r>
      <w:r w:rsidRPr="0081146C">
        <w:tab/>
        <w:t>to do anything that is incidental or conducive to the performance of a function referred to in a preceding paragraph.</w:t>
      </w:r>
    </w:p>
    <w:p w14:paraId="598FBECD" w14:textId="77777777" w:rsidR="00035544" w:rsidRPr="0081146C" w:rsidRDefault="00035544" w:rsidP="00035544">
      <w:pPr>
        <w:pStyle w:val="notetext"/>
      </w:pPr>
      <w:r w:rsidRPr="0081146C">
        <w:t>Note:</w:t>
      </w:r>
      <w:r w:rsidRPr="0081146C">
        <w:tab/>
        <w:t>The AUSTRAC CEO’s other functions include:</w:t>
      </w:r>
    </w:p>
    <w:p w14:paraId="7A97A246" w14:textId="77777777" w:rsidR="00035544" w:rsidRPr="0081146C" w:rsidRDefault="00035544" w:rsidP="00E21948">
      <w:pPr>
        <w:pStyle w:val="notepara"/>
      </w:pPr>
      <w:r w:rsidRPr="0081146C">
        <w:t>(a)</w:t>
      </w:r>
      <w:r w:rsidRPr="0081146C">
        <w:tab/>
        <w:t xml:space="preserve">monitoring compliance with this Act, the regulations and the AML/CTF Rules (see </w:t>
      </w:r>
      <w:r w:rsidR="003B7E15" w:rsidRPr="0081146C">
        <w:t>section 1</w:t>
      </w:r>
      <w:r w:rsidRPr="0081146C">
        <w:t>90); and</w:t>
      </w:r>
    </w:p>
    <w:p w14:paraId="26395589" w14:textId="77777777" w:rsidR="00035544" w:rsidRPr="0081146C" w:rsidRDefault="00035544" w:rsidP="00E21948">
      <w:pPr>
        <w:pStyle w:val="notepara"/>
      </w:pPr>
      <w:r w:rsidRPr="0081146C">
        <w:t>(b)</w:t>
      </w:r>
      <w:r w:rsidRPr="0081146C">
        <w:tab/>
        <w:t>making AML/CTF Rules (see section</w:t>
      </w:r>
      <w:r w:rsidR="004F64A4" w:rsidRPr="0081146C">
        <w:t> </w:t>
      </w:r>
      <w:r w:rsidRPr="0081146C">
        <w:t>229).</w:t>
      </w:r>
    </w:p>
    <w:p w14:paraId="00933739" w14:textId="77777777" w:rsidR="00035544" w:rsidRPr="0081146C" w:rsidRDefault="00035544" w:rsidP="00035544">
      <w:pPr>
        <w:pStyle w:val="subsection"/>
      </w:pPr>
      <w:r w:rsidRPr="0081146C">
        <w:tab/>
        <w:t>(2)</w:t>
      </w:r>
      <w:r w:rsidRPr="0081146C">
        <w:tab/>
        <w:t>In performing the AUSTRAC CEO’s functions, the AUSTRAC CEO must:</w:t>
      </w:r>
    </w:p>
    <w:p w14:paraId="2ABA4001" w14:textId="77777777" w:rsidR="00035544" w:rsidRPr="0081146C" w:rsidRDefault="00035544" w:rsidP="00035544">
      <w:pPr>
        <w:pStyle w:val="paragraph"/>
      </w:pPr>
      <w:r w:rsidRPr="0081146C">
        <w:tab/>
        <w:t>(a)</w:t>
      </w:r>
      <w:r w:rsidRPr="0081146C">
        <w:tab/>
        <w:t>consult with the following:</w:t>
      </w:r>
    </w:p>
    <w:p w14:paraId="463625FB" w14:textId="77777777" w:rsidR="00035544" w:rsidRPr="0081146C" w:rsidRDefault="00035544" w:rsidP="00035544">
      <w:pPr>
        <w:pStyle w:val="paragraphsub"/>
      </w:pPr>
      <w:r w:rsidRPr="0081146C">
        <w:tab/>
        <w:t>(i)</w:t>
      </w:r>
      <w:r w:rsidRPr="0081146C">
        <w:tab/>
        <w:t>reporting entities or the representatives of reporting entities;</w:t>
      </w:r>
    </w:p>
    <w:p w14:paraId="265BD554" w14:textId="77777777" w:rsidR="00035544" w:rsidRPr="0081146C" w:rsidRDefault="00035544" w:rsidP="00035544">
      <w:pPr>
        <w:pStyle w:val="paragraphsub"/>
      </w:pPr>
      <w:r w:rsidRPr="0081146C">
        <w:tab/>
        <w:t>(ii)</w:t>
      </w:r>
      <w:r w:rsidRPr="0081146C">
        <w:tab/>
        <w:t>the Commissioner of the Australian Federal Police;</w:t>
      </w:r>
    </w:p>
    <w:p w14:paraId="2C13D015" w14:textId="77777777" w:rsidR="00035544" w:rsidRPr="0081146C" w:rsidRDefault="00035544" w:rsidP="00035544">
      <w:pPr>
        <w:pStyle w:val="paragraphsub"/>
      </w:pPr>
      <w:r w:rsidRPr="0081146C">
        <w:tab/>
        <w:t>(iii)</w:t>
      </w:r>
      <w:r w:rsidRPr="0081146C">
        <w:tab/>
        <w:t>the Chief Executive Officer of the Australian Crime Commission;</w:t>
      </w:r>
    </w:p>
    <w:p w14:paraId="0F2283EF" w14:textId="77777777" w:rsidR="00035544" w:rsidRPr="0081146C" w:rsidRDefault="00035544" w:rsidP="00035544">
      <w:pPr>
        <w:pStyle w:val="paragraphsub"/>
      </w:pPr>
      <w:r w:rsidRPr="0081146C">
        <w:tab/>
        <w:t>(iv)</w:t>
      </w:r>
      <w:r w:rsidRPr="0081146C">
        <w:tab/>
        <w:t>the Commissioner of Taxation;</w:t>
      </w:r>
    </w:p>
    <w:p w14:paraId="3A2C142F" w14:textId="77777777" w:rsidR="00035544" w:rsidRPr="0081146C" w:rsidRDefault="00035544" w:rsidP="00035544">
      <w:pPr>
        <w:pStyle w:val="paragraphsub"/>
      </w:pPr>
      <w:r w:rsidRPr="0081146C">
        <w:tab/>
        <w:t>(v)</w:t>
      </w:r>
      <w:r w:rsidRPr="0081146C">
        <w:tab/>
        <w:t xml:space="preserve">the </w:t>
      </w:r>
      <w:r w:rsidR="00147F95" w:rsidRPr="0081146C">
        <w:t>Comptroller</w:t>
      </w:r>
      <w:r w:rsidR="003B7E15" w:rsidRPr="0081146C">
        <w:noBreakHyphen/>
      </w:r>
      <w:r w:rsidR="00147F95" w:rsidRPr="0081146C">
        <w:t>General of Customs</w:t>
      </w:r>
      <w:r w:rsidRPr="0081146C">
        <w:t>;</w:t>
      </w:r>
    </w:p>
    <w:p w14:paraId="480F16EE" w14:textId="77777777" w:rsidR="00035544" w:rsidRPr="0081146C" w:rsidRDefault="00035544" w:rsidP="00035544">
      <w:pPr>
        <w:pStyle w:val="paragraphsub"/>
      </w:pPr>
      <w:r w:rsidRPr="0081146C">
        <w:tab/>
        <w:t>(vi)</w:t>
      </w:r>
      <w:r w:rsidRPr="0081146C">
        <w:tab/>
        <w:t>the</w:t>
      </w:r>
      <w:r w:rsidR="00C40AF8" w:rsidRPr="0081146C">
        <w:t xml:space="preserve"> Information Commissioner in relation to matters that relate to the privacy functions (within the meaning of the </w:t>
      </w:r>
      <w:r w:rsidR="00C40AF8" w:rsidRPr="0081146C">
        <w:rPr>
          <w:i/>
        </w:rPr>
        <w:t>Australian Information Commissioner Act 2010</w:t>
      </w:r>
      <w:r w:rsidR="00C40AF8" w:rsidRPr="0081146C">
        <w:t>)</w:t>
      </w:r>
      <w:r w:rsidRPr="0081146C">
        <w:t>; and</w:t>
      </w:r>
    </w:p>
    <w:p w14:paraId="05EF89B9" w14:textId="77777777" w:rsidR="00035544" w:rsidRPr="0081146C" w:rsidRDefault="00035544" w:rsidP="00035544">
      <w:pPr>
        <w:pStyle w:val="paragraph"/>
      </w:pPr>
      <w:r w:rsidRPr="0081146C">
        <w:tab/>
        <w:t>(b)</w:t>
      </w:r>
      <w:r w:rsidRPr="0081146C">
        <w:tab/>
        <w:t>take into account any comments made in the course of those consultations.</w:t>
      </w:r>
    </w:p>
    <w:p w14:paraId="518328D7" w14:textId="77777777" w:rsidR="00035544" w:rsidRPr="0081146C" w:rsidRDefault="00035544" w:rsidP="00035544">
      <w:pPr>
        <w:pStyle w:val="subsection"/>
      </w:pPr>
      <w:r w:rsidRPr="0081146C">
        <w:tab/>
        <w:t>(3)</w:t>
      </w:r>
      <w:r w:rsidRPr="0081146C">
        <w:tab/>
        <w:t>In performing the AUSTRAC CEO’s functions under this Act, the AUSTRAC CEO must have regard to the following:</w:t>
      </w:r>
    </w:p>
    <w:p w14:paraId="2FC2A782" w14:textId="77777777" w:rsidR="00035544" w:rsidRPr="0081146C" w:rsidRDefault="00035544" w:rsidP="00035544">
      <w:pPr>
        <w:pStyle w:val="paragraph"/>
      </w:pPr>
      <w:r w:rsidRPr="0081146C">
        <w:tab/>
        <w:t>(a)</w:t>
      </w:r>
      <w:r w:rsidRPr="0081146C">
        <w:tab/>
        <w:t>the integrity of the financial system;</w:t>
      </w:r>
    </w:p>
    <w:p w14:paraId="59A0F32D" w14:textId="77777777" w:rsidR="00035544" w:rsidRPr="0081146C" w:rsidRDefault="00035544" w:rsidP="00035544">
      <w:pPr>
        <w:pStyle w:val="paragraph"/>
      </w:pPr>
      <w:r w:rsidRPr="0081146C">
        <w:tab/>
        <w:t>(b)</w:t>
      </w:r>
      <w:r w:rsidRPr="0081146C">
        <w:tab/>
        <w:t>crime reduction;</w:t>
      </w:r>
    </w:p>
    <w:p w14:paraId="0E9DF418" w14:textId="77777777" w:rsidR="00035544" w:rsidRPr="0081146C" w:rsidRDefault="00035544" w:rsidP="00035544">
      <w:pPr>
        <w:pStyle w:val="paragraph"/>
      </w:pPr>
      <w:r w:rsidRPr="0081146C">
        <w:tab/>
        <w:t>(c)</w:t>
      </w:r>
      <w:r w:rsidRPr="0081146C">
        <w:tab/>
        <w:t>the desirability of ensuring that regulatory considerations are addressed in a way that does not impose unnecessary financial and administrative burdens on reporting entities;</w:t>
      </w:r>
    </w:p>
    <w:p w14:paraId="5CAA0207" w14:textId="77777777" w:rsidR="00035544" w:rsidRPr="0081146C" w:rsidRDefault="00035544" w:rsidP="00035544">
      <w:pPr>
        <w:pStyle w:val="paragraph"/>
      </w:pPr>
      <w:r w:rsidRPr="0081146C">
        <w:tab/>
        <w:t>(d)</w:t>
      </w:r>
      <w:r w:rsidRPr="0081146C">
        <w:tab/>
        <w:t>the desirability of adopting a risk</w:t>
      </w:r>
      <w:r w:rsidR="003B7E15" w:rsidRPr="0081146C">
        <w:noBreakHyphen/>
      </w:r>
      <w:r w:rsidRPr="0081146C">
        <w:t>based approach;</w:t>
      </w:r>
    </w:p>
    <w:p w14:paraId="011CA10F" w14:textId="77777777" w:rsidR="00035544" w:rsidRPr="0081146C" w:rsidRDefault="00035544" w:rsidP="00035544">
      <w:pPr>
        <w:pStyle w:val="paragraph"/>
      </w:pPr>
      <w:r w:rsidRPr="0081146C">
        <w:tab/>
        <w:t>(e)</w:t>
      </w:r>
      <w:r w:rsidRPr="0081146C">
        <w:tab/>
        <w:t>competitive neutrality;</w:t>
      </w:r>
    </w:p>
    <w:p w14:paraId="425B801C" w14:textId="77777777" w:rsidR="00035544" w:rsidRPr="0081146C" w:rsidRDefault="00035544" w:rsidP="00035544">
      <w:pPr>
        <w:pStyle w:val="paragraph"/>
      </w:pPr>
      <w:r w:rsidRPr="0081146C">
        <w:tab/>
        <w:t>(f)</w:t>
      </w:r>
      <w:r w:rsidRPr="0081146C">
        <w:tab/>
        <w:t>competition;</w:t>
      </w:r>
    </w:p>
    <w:p w14:paraId="4B4E8CD6" w14:textId="77777777" w:rsidR="00035544" w:rsidRPr="0081146C" w:rsidRDefault="00035544" w:rsidP="00035544">
      <w:pPr>
        <w:pStyle w:val="paragraph"/>
      </w:pPr>
      <w:r w:rsidRPr="0081146C">
        <w:tab/>
        <w:t>(g)</w:t>
      </w:r>
      <w:r w:rsidRPr="0081146C">
        <w:tab/>
        <w:t>economic efficiency;</w:t>
      </w:r>
    </w:p>
    <w:p w14:paraId="1F7DCACE" w14:textId="77777777" w:rsidR="00035544" w:rsidRPr="0081146C" w:rsidRDefault="00035544" w:rsidP="00035544">
      <w:pPr>
        <w:pStyle w:val="paragraph"/>
      </w:pPr>
      <w:r w:rsidRPr="0081146C">
        <w:tab/>
        <w:t>(h)</w:t>
      </w:r>
      <w:r w:rsidRPr="0081146C">
        <w:tab/>
        <w:t>privacy;</w:t>
      </w:r>
    </w:p>
    <w:p w14:paraId="37DA0B3E" w14:textId="77777777" w:rsidR="00035544" w:rsidRPr="0081146C" w:rsidRDefault="00035544" w:rsidP="00035544">
      <w:pPr>
        <w:pStyle w:val="paragraph"/>
      </w:pPr>
      <w:r w:rsidRPr="0081146C">
        <w:tab/>
        <w:t>(i)</w:t>
      </w:r>
      <w:r w:rsidRPr="0081146C">
        <w:tab/>
        <w:t>such other matters (if any) as the AUSTRAC CEO considers relevant.</w:t>
      </w:r>
    </w:p>
    <w:p w14:paraId="42EE0B29" w14:textId="77777777" w:rsidR="0049002F" w:rsidRPr="0081146C" w:rsidRDefault="0049002F" w:rsidP="0049002F">
      <w:pPr>
        <w:pStyle w:val="subsection"/>
      </w:pPr>
      <w:r w:rsidRPr="0081146C">
        <w:tab/>
        <w:t>(3A)</w:t>
      </w:r>
      <w:r w:rsidRPr="0081146C">
        <w:tab/>
        <w:t>In considering an exemption or modification under or in relation to the operation of this Act that could reasonably be expected to have an impact on the risk associated with money laundering or the financing of terrorism as that risk applies to a designated service, the AUSTRAC CEO must be satisfied that the risk associated with the proposed exemption or modification is low.</w:t>
      </w:r>
    </w:p>
    <w:p w14:paraId="412F023B" w14:textId="77777777" w:rsidR="00035544" w:rsidRPr="0081146C" w:rsidRDefault="00035544" w:rsidP="00035544">
      <w:pPr>
        <w:pStyle w:val="subsection"/>
      </w:pPr>
      <w:r w:rsidRPr="0081146C">
        <w:tab/>
        <w:t>(4)</w:t>
      </w:r>
      <w:r w:rsidRPr="0081146C">
        <w:tab/>
        <w:t>In performing the AUSTRAC CEO’s functions under this Act, the AUSTRAC CEO must have regard to:</w:t>
      </w:r>
    </w:p>
    <w:p w14:paraId="43755F36" w14:textId="77777777" w:rsidR="00035544" w:rsidRPr="0081146C" w:rsidRDefault="00035544" w:rsidP="00035544">
      <w:pPr>
        <w:pStyle w:val="paragraph"/>
      </w:pPr>
      <w:r w:rsidRPr="0081146C">
        <w:tab/>
        <w:t>(a)</w:t>
      </w:r>
      <w:r w:rsidRPr="0081146C">
        <w:tab/>
        <w:t>any relevant FATF Recommendations; and</w:t>
      </w:r>
    </w:p>
    <w:p w14:paraId="08D262ED" w14:textId="77777777" w:rsidR="00035544" w:rsidRPr="0081146C" w:rsidRDefault="00035544" w:rsidP="00035544">
      <w:pPr>
        <w:pStyle w:val="paragraph"/>
      </w:pPr>
      <w:r w:rsidRPr="0081146C">
        <w:tab/>
        <w:t>(b)</w:t>
      </w:r>
      <w:r w:rsidRPr="0081146C">
        <w:tab/>
        <w:t>any relevant Conventions mentioned in subsection</w:t>
      </w:r>
      <w:r w:rsidR="004F64A4" w:rsidRPr="0081146C">
        <w:t> </w:t>
      </w:r>
      <w:r w:rsidRPr="0081146C">
        <w:t>3(3); and</w:t>
      </w:r>
    </w:p>
    <w:p w14:paraId="0A29DC71" w14:textId="77777777" w:rsidR="00035544" w:rsidRPr="0081146C" w:rsidRDefault="00035544" w:rsidP="00035544">
      <w:pPr>
        <w:pStyle w:val="paragraph"/>
      </w:pPr>
      <w:r w:rsidRPr="0081146C">
        <w:tab/>
        <w:t>(c)</w:t>
      </w:r>
      <w:r w:rsidRPr="0081146C">
        <w:tab/>
        <w:t>any relevant Resolutions mentioned in subsection</w:t>
      </w:r>
      <w:r w:rsidR="004F64A4" w:rsidRPr="0081146C">
        <w:t> </w:t>
      </w:r>
      <w:r w:rsidRPr="0081146C">
        <w:t>3(3).</w:t>
      </w:r>
    </w:p>
    <w:p w14:paraId="02FA9353" w14:textId="77777777" w:rsidR="00035544" w:rsidRPr="0081146C" w:rsidRDefault="00035544" w:rsidP="00035544">
      <w:pPr>
        <w:pStyle w:val="subsection"/>
      </w:pPr>
      <w:r w:rsidRPr="0081146C">
        <w:tab/>
        <w:t>(5)</w:t>
      </w:r>
      <w:r w:rsidRPr="0081146C">
        <w:tab/>
        <w:t xml:space="preserve">Any failure to comply with the requirements of </w:t>
      </w:r>
      <w:r w:rsidR="004F64A4" w:rsidRPr="0081146C">
        <w:t>subsection (</w:t>
      </w:r>
      <w:r w:rsidRPr="0081146C">
        <w:t>2), (3)</w:t>
      </w:r>
      <w:r w:rsidR="0049002F" w:rsidRPr="0081146C">
        <w:t>, (3A)</w:t>
      </w:r>
      <w:r w:rsidRPr="0081146C">
        <w:t xml:space="preserve"> or (4) in relation to the performance of a function of the AUSTRAC CEO does not affect the validity of the performance of the function.</w:t>
      </w:r>
    </w:p>
    <w:p w14:paraId="61F29A70" w14:textId="77777777" w:rsidR="00035544" w:rsidRPr="0081146C" w:rsidRDefault="00035544" w:rsidP="00035544">
      <w:pPr>
        <w:pStyle w:val="subsection"/>
      </w:pPr>
      <w:r w:rsidRPr="0081146C">
        <w:tab/>
        <w:t>(6)</w:t>
      </w:r>
      <w:r w:rsidRPr="0081146C">
        <w:tab/>
      </w:r>
      <w:r w:rsidR="004F64A4" w:rsidRPr="0081146C">
        <w:t>Subsection (</w:t>
      </w:r>
      <w:r w:rsidRPr="0081146C">
        <w:t>5) does not apply in determining the constitutional validity of the performance of the AUSTRAC CEO’s functions.</w:t>
      </w:r>
    </w:p>
    <w:p w14:paraId="331B98E0" w14:textId="77777777" w:rsidR="00035544" w:rsidRPr="0081146C" w:rsidRDefault="00035544" w:rsidP="00035544">
      <w:pPr>
        <w:pStyle w:val="ActHead5"/>
      </w:pPr>
      <w:bookmarkStart w:id="633" w:name="_Toc185416072"/>
      <w:r w:rsidRPr="0081146C">
        <w:rPr>
          <w:rStyle w:val="CharSectno"/>
        </w:rPr>
        <w:t>213</w:t>
      </w:r>
      <w:r w:rsidRPr="0081146C">
        <w:t xml:space="preserve">  Policy principles</w:t>
      </w:r>
      <w:bookmarkEnd w:id="633"/>
    </w:p>
    <w:p w14:paraId="44C4A038" w14:textId="77777777" w:rsidR="00035544" w:rsidRPr="0081146C" w:rsidRDefault="00035544" w:rsidP="00035544">
      <w:pPr>
        <w:pStyle w:val="subsection"/>
      </w:pPr>
      <w:r w:rsidRPr="0081146C">
        <w:tab/>
        <w:t>(1)</w:t>
      </w:r>
      <w:r w:rsidRPr="0081146C">
        <w:tab/>
        <w:t>The Minister may give written policy principles to the AUSTRAC CEO about the performance of the AUSTRAC CEO’s functions.</w:t>
      </w:r>
    </w:p>
    <w:p w14:paraId="46434BD3" w14:textId="77777777" w:rsidR="00035544" w:rsidRPr="0081146C" w:rsidRDefault="00035544" w:rsidP="00035544">
      <w:pPr>
        <w:pStyle w:val="subsection"/>
      </w:pPr>
      <w:r w:rsidRPr="0081146C">
        <w:tab/>
        <w:t>(2)</w:t>
      </w:r>
      <w:r w:rsidRPr="0081146C">
        <w:tab/>
        <w:t>The Minister must cause a copy of the policy principles to be tabled in each House of the Parliament within 15 sitting days of that House after the day on which they were given to the AUSTRAC CEO.</w:t>
      </w:r>
    </w:p>
    <w:p w14:paraId="1EC0C26F" w14:textId="77777777" w:rsidR="00035544" w:rsidRPr="0081146C" w:rsidRDefault="00035544" w:rsidP="00035544">
      <w:pPr>
        <w:pStyle w:val="subsection"/>
      </w:pPr>
      <w:r w:rsidRPr="0081146C">
        <w:tab/>
        <w:t>(3)</w:t>
      </w:r>
      <w:r w:rsidRPr="0081146C">
        <w:tab/>
        <w:t>The AUSTRAC CEO must comply with the policy principles (if any) when performing the AUSTRAC CEO’s functions.</w:t>
      </w:r>
    </w:p>
    <w:p w14:paraId="63EFDB90" w14:textId="77777777" w:rsidR="00035544" w:rsidRPr="0081146C" w:rsidRDefault="00035544" w:rsidP="00035544">
      <w:pPr>
        <w:pStyle w:val="subsection"/>
      </w:pPr>
      <w:r w:rsidRPr="0081146C">
        <w:tab/>
        <w:t>(4)</w:t>
      </w:r>
      <w:r w:rsidRPr="0081146C">
        <w:tab/>
        <w:t>Policy principles are not legislative instruments.</w:t>
      </w:r>
    </w:p>
    <w:p w14:paraId="03C708D8" w14:textId="77777777" w:rsidR="00035544" w:rsidRPr="0081146C" w:rsidRDefault="00035544" w:rsidP="00035544">
      <w:pPr>
        <w:pStyle w:val="ActHead4"/>
      </w:pPr>
      <w:bookmarkStart w:id="634" w:name="_Toc185416073"/>
      <w:r w:rsidRPr="0081146C">
        <w:rPr>
          <w:rStyle w:val="CharSubdNo"/>
        </w:rPr>
        <w:t>Subdivision B</w:t>
      </w:r>
      <w:r w:rsidRPr="0081146C">
        <w:t>—</w:t>
      </w:r>
      <w:r w:rsidRPr="0081146C">
        <w:rPr>
          <w:rStyle w:val="CharSubdText"/>
        </w:rPr>
        <w:t>Appointment of the AUSTRAC CEO etc.</w:t>
      </w:r>
      <w:bookmarkEnd w:id="634"/>
    </w:p>
    <w:p w14:paraId="05AAFEAB" w14:textId="77777777" w:rsidR="00035544" w:rsidRPr="0081146C" w:rsidRDefault="00035544" w:rsidP="00035544">
      <w:pPr>
        <w:pStyle w:val="ActHead5"/>
      </w:pPr>
      <w:bookmarkStart w:id="635" w:name="_Toc185416074"/>
      <w:r w:rsidRPr="0081146C">
        <w:rPr>
          <w:rStyle w:val="CharSectno"/>
        </w:rPr>
        <w:t>214</w:t>
      </w:r>
      <w:r w:rsidRPr="0081146C">
        <w:t xml:space="preserve">  Appointment of the AUSTRAC CEO etc.</w:t>
      </w:r>
      <w:bookmarkEnd w:id="635"/>
    </w:p>
    <w:p w14:paraId="0BF8A271" w14:textId="77777777" w:rsidR="00035544" w:rsidRPr="0081146C" w:rsidRDefault="00035544" w:rsidP="00035544">
      <w:pPr>
        <w:pStyle w:val="subsection"/>
      </w:pPr>
      <w:r w:rsidRPr="0081146C">
        <w:tab/>
        <w:t>(1)</w:t>
      </w:r>
      <w:r w:rsidRPr="0081146C">
        <w:tab/>
        <w:t>The AUSTRAC CEO is to be appointed by the Minister by written instrument.</w:t>
      </w:r>
    </w:p>
    <w:p w14:paraId="5C7C84FE" w14:textId="77777777" w:rsidR="00035544" w:rsidRPr="0081146C" w:rsidRDefault="00035544" w:rsidP="00035544">
      <w:pPr>
        <w:pStyle w:val="subsection"/>
      </w:pPr>
      <w:r w:rsidRPr="0081146C">
        <w:tab/>
        <w:t>(2)</w:t>
      </w:r>
      <w:r w:rsidRPr="0081146C">
        <w:tab/>
        <w:t>The AUSTRAC CEO is to be appointed on a full</w:t>
      </w:r>
      <w:r w:rsidR="003B7E15" w:rsidRPr="0081146C">
        <w:noBreakHyphen/>
      </w:r>
      <w:r w:rsidRPr="0081146C">
        <w:t>time basis.</w:t>
      </w:r>
    </w:p>
    <w:p w14:paraId="3006EA1A" w14:textId="77777777" w:rsidR="00035544" w:rsidRPr="0081146C" w:rsidRDefault="00035544" w:rsidP="00035544">
      <w:pPr>
        <w:pStyle w:val="subsection"/>
      </w:pPr>
      <w:r w:rsidRPr="0081146C">
        <w:tab/>
        <w:t>(3)</w:t>
      </w:r>
      <w:r w:rsidRPr="0081146C">
        <w:tab/>
        <w:t>The AUSTRAC CEO holds office for the period specified in the instrument of appointment. The period must not exceed 5 years.</w:t>
      </w:r>
    </w:p>
    <w:p w14:paraId="144FBB85" w14:textId="77777777" w:rsidR="004824AE" w:rsidRPr="0081146C" w:rsidRDefault="004824AE" w:rsidP="004824AE">
      <w:pPr>
        <w:pStyle w:val="notetext"/>
      </w:pPr>
      <w:r w:rsidRPr="0081146C">
        <w:t>Note:</w:t>
      </w:r>
      <w:r w:rsidRPr="0081146C">
        <w:tab/>
        <w:t>The AUSTRAC CEO may be reappointed: see section</w:t>
      </w:r>
      <w:r w:rsidR="004F64A4" w:rsidRPr="0081146C">
        <w:t> </w:t>
      </w:r>
      <w:r w:rsidRPr="0081146C">
        <w:t xml:space="preserve">33AA of the </w:t>
      </w:r>
      <w:r w:rsidRPr="0081146C">
        <w:rPr>
          <w:i/>
        </w:rPr>
        <w:t>Acts Interpretation Act 1901</w:t>
      </w:r>
      <w:r w:rsidRPr="0081146C">
        <w:t>.</w:t>
      </w:r>
    </w:p>
    <w:p w14:paraId="51D98926" w14:textId="77777777" w:rsidR="00035544" w:rsidRPr="0081146C" w:rsidRDefault="00035544" w:rsidP="00035544">
      <w:pPr>
        <w:pStyle w:val="ActHead5"/>
      </w:pPr>
      <w:bookmarkStart w:id="636" w:name="_Toc185416075"/>
      <w:r w:rsidRPr="0081146C">
        <w:rPr>
          <w:rStyle w:val="CharSectno"/>
        </w:rPr>
        <w:t>215</w:t>
      </w:r>
      <w:r w:rsidRPr="0081146C">
        <w:t xml:space="preserve">  Remuneration and allowances of the AUSTRAC CEO</w:t>
      </w:r>
      <w:bookmarkEnd w:id="636"/>
    </w:p>
    <w:p w14:paraId="216F5A9D" w14:textId="77777777" w:rsidR="00035544" w:rsidRPr="0081146C" w:rsidRDefault="00035544" w:rsidP="00035544">
      <w:pPr>
        <w:pStyle w:val="subsection"/>
      </w:pPr>
      <w:r w:rsidRPr="0081146C">
        <w:tab/>
        <w:t>(1)</w:t>
      </w:r>
      <w:r w:rsidRPr="0081146C">
        <w:tab/>
        <w:t>The AUSTRAC CEO is to be paid the remuneration that is determined by the Remuneration Tribunal. If no determination of that remuneration by the Tribunal is in operation, the AUSTRAC CEO is to be paid the remuneration that is determined by the Minister.</w:t>
      </w:r>
    </w:p>
    <w:p w14:paraId="47F3EA6A" w14:textId="77777777" w:rsidR="00035544" w:rsidRPr="0081146C" w:rsidRDefault="00035544" w:rsidP="00035544">
      <w:pPr>
        <w:pStyle w:val="subsection"/>
      </w:pPr>
      <w:r w:rsidRPr="0081146C">
        <w:tab/>
        <w:t>(2)</w:t>
      </w:r>
      <w:r w:rsidRPr="0081146C">
        <w:tab/>
        <w:t>The AUSTRAC CEO is to be paid the allowances that are prescribed.</w:t>
      </w:r>
    </w:p>
    <w:p w14:paraId="7374B2E1" w14:textId="77777777" w:rsidR="00035544" w:rsidRPr="0081146C" w:rsidRDefault="00035544" w:rsidP="00035544">
      <w:pPr>
        <w:pStyle w:val="subsection"/>
      </w:pPr>
      <w:r w:rsidRPr="0081146C">
        <w:tab/>
        <w:t>(3)</w:t>
      </w:r>
      <w:r w:rsidRPr="0081146C">
        <w:tab/>
        <w:t xml:space="preserve">This section has effect subject to the </w:t>
      </w:r>
      <w:r w:rsidRPr="0081146C">
        <w:rPr>
          <w:i/>
        </w:rPr>
        <w:t>Remuneration Tribunal Act 1973</w:t>
      </w:r>
      <w:r w:rsidRPr="0081146C">
        <w:t>.</w:t>
      </w:r>
    </w:p>
    <w:p w14:paraId="5EFF61CA" w14:textId="77777777" w:rsidR="00035544" w:rsidRPr="0081146C" w:rsidRDefault="00035544" w:rsidP="00035544">
      <w:pPr>
        <w:pStyle w:val="ActHead5"/>
      </w:pPr>
      <w:bookmarkStart w:id="637" w:name="_Toc185416076"/>
      <w:r w:rsidRPr="0081146C">
        <w:rPr>
          <w:rStyle w:val="CharSectno"/>
        </w:rPr>
        <w:t>216</w:t>
      </w:r>
      <w:r w:rsidRPr="0081146C">
        <w:t xml:space="preserve">  Leave of absence of the AUSTRAC CEO</w:t>
      </w:r>
      <w:bookmarkEnd w:id="637"/>
    </w:p>
    <w:p w14:paraId="06576C8F" w14:textId="77777777" w:rsidR="00035544" w:rsidRPr="0081146C" w:rsidRDefault="00035544" w:rsidP="00035544">
      <w:pPr>
        <w:pStyle w:val="subsection"/>
      </w:pPr>
      <w:r w:rsidRPr="0081146C">
        <w:tab/>
        <w:t>(1)</w:t>
      </w:r>
      <w:r w:rsidRPr="0081146C">
        <w:tab/>
        <w:t>The AUSTRAC CEO has the recreation leave entitlements that are determined by the Remuneration Tribunal.</w:t>
      </w:r>
    </w:p>
    <w:p w14:paraId="62EC6C2F" w14:textId="77777777" w:rsidR="00035544" w:rsidRPr="0081146C" w:rsidRDefault="00035544" w:rsidP="00035544">
      <w:pPr>
        <w:pStyle w:val="subsection"/>
      </w:pPr>
      <w:r w:rsidRPr="0081146C">
        <w:tab/>
        <w:t>(2)</w:t>
      </w:r>
      <w:r w:rsidRPr="0081146C">
        <w:tab/>
        <w:t>The Minister may grant the AUSTRAC CEO leave of absence, other than recreation leave, on the terms and conditions as to remuneration or otherwise that the Minister determines.</w:t>
      </w:r>
    </w:p>
    <w:p w14:paraId="22FF36CB" w14:textId="77777777" w:rsidR="00035544" w:rsidRPr="0081146C" w:rsidRDefault="00035544" w:rsidP="00035544">
      <w:pPr>
        <w:pStyle w:val="ActHead5"/>
      </w:pPr>
      <w:bookmarkStart w:id="638" w:name="_Toc185416077"/>
      <w:r w:rsidRPr="0081146C">
        <w:rPr>
          <w:rStyle w:val="CharSectno"/>
        </w:rPr>
        <w:t>217</w:t>
      </w:r>
      <w:r w:rsidRPr="0081146C">
        <w:t xml:space="preserve">  Resignation of the AUSTRAC CEO</w:t>
      </w:r>
      <w:bookmarkEnd w:id="638"/>
    </w:p>
    <w:p w14:paraId="33E5DCEB" w14:textId="77777777" w:rsidR="00035544" w:rsidRPr="0081146C" w:rsidRDefault="00035544" w:rsidP="00035544">
      <w:pPr>
        <w:pStyle w:val="subsection"/>
      </w:pPr>
      <w:r w:rsidRPr="0081146C">
        <w:tab/>
      </w:r>
      <w:r w:rsidRPr="0081146C">
        <w:tab/>
        <w:t>The AUSTRAC CEO may resign his or her appointment by giving the Minister a written resignation.</w:t>
      </w:r>
    </w:p>
    <w:p w14:paraId="1458EEAD" w14:textId="77777777" w:rsidR="00035544" w:rsidRPr="0081146C" w:rsidRDefault="00035544" w:rsidP="00035544">
      <w:pPr>
        <w:pStyle w:val="ActHead5"/>
      </w:pPr>
      <w:bookmarkStart w:id="639" w:name="_Toc185416078"/>
      <w:r w:rsidRPr="0081146C">
        <w:rPr>
          <w:rStyle w:val="CharSectno"/>
        </w:rPr>
        <w:t>219</w:t>
      </w:r>
      <w:r w:rsidRPr="0081146C">
        <w:t xml:space="preserve">  Termination of the AUSTRAC CEO’s appointment</w:t>
      </w:r>
      <w:bookmarkEnd w:id="639"/>
    </w:p>
    <w:p w14:paraId="32C92B61" w14:textId="77777777" w:rsidR="00035544" w:rsidRPr="0081146C" w:rsidRDefault="00035544" w:rsidP="00035544">
      <w:pPr>
        <w:pStyle w:val="SubsectionHead"/>
      </w:pPr>
      <w:r w:rsidRPr="0081146C">
        <w:t>Termination</w:t>
      </w:r>
    </w:p>
    <w:p w14:paraId="6A91FB7B" w14:textId="77777777" w:rsidR="00035544" w:rsidRPr="0081146C" w:rsidRDefault="00035544" w:rsidP="00035544">
      <w:pPr>
        <w:pStyle w:val="subsection"/>
      </w:pPr>
      <w:r w:rsidRPr="0081146C">
        <w:tab/>
        <w:t>(1)</w:t>
      </w:r>
      <w:r w:rsidRPr="0081146C">
        <w:tab/>
        <w:t>The Minister may terminate the appointment of the AUSTRAC CEO for misbehaviour or physical or mental incapacity.</w:t>
      </w:r>
    </w:p>
    <w:p w14:paraId="7D699651" w14:textId="77777777" w:rsidR="00035544" w:rsidRPr="0081146C" w:rsidRDefault="00035544" w:rsidP="00035544">
      <w:pPr>
        <w:pStyle w:val="subsection"/>
      </w:pPr>
      <w:r w:rsidRPr="0081146C">
        <w:tab/>
        <w:t>(2)</w:t>
      </w:r>
      <w:r w:rsidRPr="0081146C">
        <w:tab/>
        <w:t>The Minister may terminate the appointment of the AUSTRAC CEO if:</w:t>
      </w:r>
    </w:p>
    <w:p w14:paraId="56B88C33" w14:textId="77777777" w:rsidR="00035544" w:rsidRPr="0081146C" w:rsidRDefault="00035544" w:rsidP="00035544">
      <w:pPr>
        <w:pStyle w:val="paragraph"/>
      </w:pPr>
      <w:r w:rsidRPr="0081146C">
        <w:tab/>
        <w:t>(a)</w:t>
      </w:r>
      <w:r w:rsidRPr="0081146C">
        <w:tab/>
        <w:t>the AUSTRAC CEO:</w:t>
      </w:r>
    </w:p>
    <w:p w14:paraId="00E7543A" w14:textId="77777777" w:rsidR="00035544" w:rsidRPr="0081146C" w:rsidRDefault="00035544" w:rsidP="00035544">
      <w:pPr>
        <w:pStyle w:val="paragraphsub"/>
      </w:pPr>
      <w:r w:rsidRPr="0081146C">
        <w:tab/>
        <w:t>(i)</w:t>
      </w:r>
      <w:r w:rsidRPr="0081146C">
        <w:tab/>
        <w:t>becomes bankrupt; or</w:t>
      </w:r>
    </w:p>
    <w:p w14:paraId="4596E46D" w14:textId="77777777" w:rsidR="00035544" w:rsidRPr="0081146C" w:rsidRDefault="00035544" w:rsidP="00035544">
      <w:pPr>
        <w:pStyle w:val="paragraphsub"/>
      </w:pPr>
      <w:r w:rsidRPr="0081146C">
        <w:tab/>
        <w:t>(ii)</w:t>
      </w:r>
      <w:r w:rsidRPr="0081146C">
        <w:tab/>
        <w:t>applies to take the benefit of any law for the relief of bankrupt or insolvent debtors; or</w:t>
      </w:r>
    </w:p>
    <w:p w14:paraId="48C5FBA5" w14:textId="77777777" w:rsidR="00035544" w:rsidRPr="0081146C" w:rsidRDefault="00035544" w:rsidP="00035544">
      <w:pPr>
        <w:pStyle w:val="paragraphsub"/>
      </w:pPr>
      <w:r w:rsidRPr="0081146C">
        <w:tab/>
        <w:t>(iii)</w:t>
      </w:r>
      <w:r w:rsidRPr="0081146C">
        <w:tab/>
        <w:t>compounds with his or her creditors; or</w:t>
      </w:r>
    </w:p>
    <w:p w14:paraId="6E53CA45" w14:textId="77777777" w:rsidR="00035544" w:rsidRPr="0081146C" w:rsidRDefault="00035544" w:rsidP="00035544">
      <w:pPr>
        <w:pStyle w:val="paragraphsub"/>
      </w:pPr>
      <w:r w:rsidRPr="0081146C">
        <w:tab/>
        <w:t>(iv)</w:t>
      </w:r>
      <w:r w:rsidRPr="0081146C">
        <w:tab/>
        <w:t>makes an assignment of his or her remuneration for the benefit of his or her creditors; or</w:t>
      </w:r>
    </w:p>
    <w:p w14:paraId="1F83B766" w14:textId="77777777" w:rsidR="00035544" w:rsidRPr="0081146C" w:rsidRDefault="00035544" w:rsidP="00035544">
      <w:pPr>
        <w:pStyle w:val="paragraph"/>
      </w:pPr>
      <w:r w:rsidRPr="0081146C">
        <w:tab/>
        <w:t>(b)</w:t>
      </w:r>
      <w:r w:rsidRPr="0081146C">
        <w:tab/>
        <w:t>the AUSTRAC CEO is absent from duty, except on leave of absence, for 14 consecutive days or for 28 days in any 12 months; or</w:t>
      </w:r>
    </w:p>
    <w:p w14:paraId="1B1F8120" w14:textId="77777777" w:rsidR="00035544" w:rsidRPr="0081146C" w:rsidRDefault="00035544" w:rsidP="00035544">
      <w:pPr>
        <w:pStyle w:val="paragraph"/>
      </w:pPr>
      <w:r w:rsidRPr="0081146C">
        <w:tab/>
        <w:t>(c)</w:t>
      </w:r>
      <w:r w:rsidRPr="0081146C">
        <w:tab/>
        <w:t>the AUSTRAC CEO engages, except with the Minister’s approval, in paid employment outside the duties of his or her office; or</w:t>
      </w:r>
    </w:p>
    <w:p w14:paraId="22A95D87" w14:textId="77777777" w:rsidR="00B63D5F" w:rsidRPr="0081146C" w:rsidRDefault="00B63D5F" w:rsidP="00B63D5F">
      <w:pPr>
        <w:pStyle w:val="paragraph"/>
      </w:pPr>
      <w:r w:rsidRPr="0081146C">
        <w:tab/>
        <w:t>(d)</w:t>
      </w:r>
      <w:r w:rsidRPr="0081146C">
        <w:tab/>
        <w:t>the AUSTRAC CEO fails, without reasonable excuse, to comply with section</w:t>
      </w:r>
      <w:r w:rsidR="004F64A4" w:rsidRPr="0081146C">
        <w:t> </w:t>
      </w:r>
      <w:r w:rsidRPr="0081146C">
        <w:t xml:space="preserve">29 of the </w:t>
      </w:r>
      <w:r w:rsidRPr="0081146C">
        <w:rPr>
          <w:i/>
        </w:rPr>
        <w:t>Public Governance, Performance and Accountability Act 2013</w:t>
      </w:r>
      <w:r w:rsidRPr="0081146C">
        <w:t xml:space="preserve"> (which deals with the duty to disclose interests) or rules made for the purposes of that section; or</w:t>
      </w:r>
    </w:p>
    <w:p w14:paraId="5675C0A9" w14:textId="77777777" w:rsidR="00035544" w:rsidRPr="0081146C" w:rsidRDefault="00035544" w:rsidP="00035544">
      <w:pPr>
        <w:pStyle w:val="paragraph"/>
      </w:pPr>
      <w:r w:rsidRPr="0081146C">
        <w:tab/>
        <w:t>(e)</w:t>
      </w:r>
      <w:r w:rsidRPr="0081146C">
        <w:tab/>
        <w:t>the Minister is satisfied that the performance of the AUSTRAC CEO has been unsatisfactory for a significant period.</w:t>
      </w:r>
    </w:p>
    <w:p w14:paraId="7E6CEB35" w14:textId="77777777" w:rsidR="00035544" w:rsidRPr="0081146C" w:rsidRDefault="00035544" w:rsidP="00035544">
      <w:pPr>
        <w:pStyle w:val="SubsectionHead"/>
      </w:pPr>
      <w:r w:rsidRPr="0081146C">
        <w:t>Conflict of interest</w:t>
      </w:r>
    </w:p>
    <w:p w14:paraId="33884BF6" w14:textId="77777777" w:rsidR="00035544" w:rsidRPr="0081146C" w:rsidRDefault="00035544" w:rsidP="00035544">
      <w:pPr>
        <w:pStyle w:val="subsection"/>
      </w:pPr>
      <w:r w:rsidRPr="0081146C">
        <w:tab/>
        <w:t>(3)</w:t>
      </w:r>
      <w:r w:rsidRPr="0081146C">
        <w:tab/>
        <w:t xml:space="preserve">If the Minister becomes aware, </w:t>
      </w:r>
      <w:r w:rsidR="00B63D5F" w:rsidRPr="0081146C">
        <w:t>whether because of a disclosure under section</w:t>
      </w:r>
      <w:r w:rsidR="004F64A4" w:rsidRPr="0081146C">
        <w:t> </w:t>
      </w:r>
      <w:r w:rsidR="00B63D5F" w:rsidRPr="0081146C">
        <w:t xml:space="preserve">29 of the </w:t>
      </w:r>
      <w:r w:rsidR="00B63D5F" w:rsidRPr="0081146C">
        <w:rPr>
          <w:i/>
        </w:rPr>
        <w:t>Public Governance, Performance and Accountability Act 2013</w:t>
      </w:r>
      <w:r w:rsidR="00B63D5F" w:rsidRPr="0081146C">
        <w:t xml:space="preserve"> or otherwise</w:t>
      </w:r>
      <w:r w:rsidRPr="0081146C">
        <w:t>, that the AUSTRAC CEO has an interest that could conflict with the proper performance of the AUSTRAC CEO’s duties, the Minister must make a written determination either that the interest does, or that it does not, pose a significant risk of a conflict of interest.</w:t>
      </w:r>
    </w:p>
    <w:p w14:paraId="0ED6F203" w14:textId="77777777" w:rsidR="00035544" w:rsidRPr="0081146C" w:rsidRDefault="00035544" w:rsidP="00035544">
      <w:pPr>
        <w:pStyle w:val="subsection"/>
      </w:pPr>
      <w:r w:rsidRPr="0081146C">
        <w:tab/>
        <w:t>(4)</w:t>
      </w:r>
      <w:r w:rsidRPr="0081146C">
        <w:tab/>
        <w:t>If the Minister determines that the interest poses a significant risk, the Minister must require the AUSTRAC CEO to dispose of that interest within a period specified by the Minister.</w:t>
      </w:r>
    </w:p>
    <w:p w14:paraId="670F282A" w14:textId="77777777" w:rsidR="00035544" w:rsidRPr="0081146C" w:rsidRDefault="00035544" w:rsidP="00D718C8">
      <w:pPr>
        <w:pStyle w:val="subsection"/>
        <w:keepNext/>
      </w:pPr>
      <w:r w:rsidRPr="0081146C">
        <w:tab/>
        <w:t>(5)</w:t>
      </w:r>
      <w:r w:rsidRPr="0081146C">
        <w:tab/>
        <w:t>If:</w:t>
      </w:r>
    </w:p>
    <w:p w14:paraId="4B84D39C" w14:textId="77777777" w:rsidR="00035544" w:rsidRPr="0081146C" w:rsidRDefault="00035544" w:rsidP="00035544">
      <w:pPr>
        <w:pStyle w:val="paragraph"/>
      </w:pPr>
      <w:r w:rsidRPr="0081146C">
        <w:tab/>
        <w:t>(a)</w:t>
      </w:r>
      <w:r w:rsidRPr="0081146C">
        <w:tab/>
        <w:t>the Minister requires the AUSTRAC CEO to dispose of an interest; and</w:t>
      </w:r>
    </w:p>
    <w:p w14:paraId="41B6E748" w14:textId="77777777" w:rsidR="00035544" w:rsidRPr="0081146C" w:rsidRDefault="00035544" w:rsidP="00035544">
      <w:pPr>
        <w:pStyle w:val="paragraph"/>
      </w:pPr>
      <w:r w:rsidRPr="0081146C">
        <w:tab/>
        <w:t>(b)</w:t>
      </w:r>
      <w:r w:rsidRPr="0081146C">
        <w:tab/>
        <w:t>the AUSTRAC CEO refuses or fails to comply with that requirement;</w:t>
      </w:r>
    </w:p>
    <w:p w14:paraId="20D3864E" w14:textId="77777777" w:rsidR="00035544" w:rsidRPr="0081146C" w:rsidRDefault="00035544" w:rsidP="00035544">
      <w:pPr>
        <w:pStyle w:val="subsection2"/>
      </w:pPr>
      <w:r w:rsidRPr="0081146C">
        <w:t>the Minister must terminate the appointment of the AUSTRAC CEO.</w:t>
      </w:r>
    </w:p>
    <w:p w14:paraId="6DD42D4F" w14:textId="77777777" w:rsidR="00035544" w:rsidRPr="0081146C" w:rsidRDefault="00035544" w:rsidP="00035544">
      <w:pPr>
        <w:pStyle w:val="ActHead5"/>
      </w:pPr>
      <w:bookmarkStart w:id="640" w:name="_Toc185416079"/>
      <w:r w:rsidRPr="0081146C">
        <w:rPr>
          <w:rStyle w:val="CharSectno"/>
        </w:rPr>
        <w:t>220</w:t>
      </w:r>
      <w:r w:rsidRPr="0081146C">
        <w:t xml:space="preserve">  Other terms and conditions</w:t>
      </w:r>
      <w:bookmarkEnd w:id="640"/>
    </w:p>
    <w:p w14:paraId="7FDB1AC5" w14:textId="77777777" w:rsidR="00035544" w:rsidRPr="0081146C" w:rsidRDefault="00035544" w:rsidP="00035544">
      <w:pPr>
        <w:pStyle w:val="subsection"/>
      </w:pPr>
      <w:r w:rsidRPr="0081146C">
        <w:tab/>
      </w:r>
      <w:r w:rsidRPr="0081146C">
        <w:tab/>
        <w:t>The AUSTRAC CEO holds office on the terms and conditions (if any) in relation to matters not covered by this Act that are determined by the Minister.</w:t>
      </w:r>
    </w:p>
    <w:p w14:paraId="139EE723" w14:textId="77777777" w:rsidR="00035544" w:rsidRPr="0081146C" w:rsidRDefault="00035544" w:rsidP="00035544">
      <w:pPr>
        <w:pStyle w:val="ActHead5"/>
      </w:pPr>
      <w:bookmarkStart w:id="641" w:name="_Toc185416080"/>
      <w:r w:rsidRPr="0081146C">
        <w:rPr>
          <w:rStyle w:val="CharSectno"/>
        </w:rPr>
        <w:t>221</w:t>
      </w:r>
      <w:r w:rsidRPr="0081146C">
        <w:t xml:space="preserve">  Acting appointments</w:t>
      </w:r>
      <w:bookmarkEnd w:id="641"/>
    </w:p>
    <w:p w14:paraId="5215EF06" w14:textId="77777777" w:rsidR="00035544" w:rsidRPr="0081146C" w:rsidRDefault="00035544" w:rsidP="00035544">
      <w:pPr>
        <w:pStyle w:val="subsection"/>
      </w:pPr>
      <w:r w:rsidRPr="0081146C">
        <w:tab/>
      </w:r>
      <w:r w:rsidRPr="0081146C">
        <w:tab/>
        <w:t>The Minister may appoint a person to act as the AUSTRAC CEO:</w:t>
      </w:r>
    </w:p>
    <w:p w14:paraId="2E7F93B2" w14:textId="77777777" w:rsidR="00035544" w:rsidRPr="0081146C" w:rsidRDefault="00035544" w:rsidP="00035544">
      <w:pPr>
        <w:pStyle w:val="paragraph"/>
      </w:pPr>
      <w:r w:rsidRPr="0081146C">
        <w:tab/>
        <w:t>(a)</w:t>
      </w:r>
      <w:r w:rsidRPr="0081146C">
        <w:tab/>
        <w:t>during a vacancy in the office of AUSTRAC CEO (whether or not an appointment has previously been made to the office); or</w:t>
      </w:r>
    </w:p>
    <w:p w14:paraId="6F51D752" w14:textId="77777777" w:rsidR="00035544" w:rsidRPr="0081146C" w:rsidRDefault="00035544" w:rsidP="00035544">
      <w:pPr>
        <w:pStyle w:val="paragraph"/>
      </w:pPr>
      <w:r w:rsidRPr="0081146C">
        <w:tab/>
        <w:t>(b)</w:t>
      </w:r>
      <w:r w:rsidRPr="0081146C">
        <w:tab/>
        <w:t>during any period, or during all periods, when the AUSTRAC CEO is absent from duty or from Australia, or is, for any reason, unable to perform the duties of the office.</w:t>
      </w:r>
    </w:p>
    <w:p w14:paraId="31BE65D1" w14:textId="77777777" w:rsidR="00B07383" w:rsidRPr="0081146C" w:rsidRDefault="00B07383" w:rsidP="00B07383">
      <w:pPr>
        <w:pStyle w:val="notetext"/>
      </w:pPr>
      <w:r w:rsidRPr="0081146C">
        <w:t>Note:</w:t>
      </w:r>
      <w:r w:rsidRPr="0081146C">
        <w:tab/>
        <w:t>For rules that apply to acting appointments, see section</w:t>
      </w:r>
      <w:r w:rsidR="004F64A4" w:rsidRPr="0081146C">
        <w:t> </w:t>
      </w:r>
      <w:r w:rsidRPr="0081146C">
        <w:t xml:space="preserve">33A of the </w:t>
      </w:r>
      <w:r w:rsidRPr="0081146C">
        <w:rPr>
          <w:i/>
        </w:rPr>
        <w:t>Acts Interpretation Act 1901</w:t>
      </w:r>
      <w:r w:rsidRPr="0081146C">
        <w:t>.</w:t>
      </w:r>
    </w:p>
    <w:p w14:paraId="7054D4AC" w14:textId="77777777" w:rsidR="00035544" w:rsidRPr="0081146C" w:rsidRDefault="00035544" w:rsidP="00035544">
      <w:pPr>
        <w:pStyle w:val="ActHead5"/>
      </w:pPr>
      <w:bookmarkStart w:id="642" w:name="_Toc185416081"/>
      <w:r w:rsidRPr="0081146C">
        <w:rPr>
          <w:rStyle w:val="CharSectno"/>
        </w:rPr>
        <w:t>222</w:t>
      </w:r>
      <w:r w:rsidRPr="0081146C">
        <w:t xml:space="preserve">  Delegation by the AUSTRAC CEO</w:t>
      </w:r>
      <w:bookmarkEnd w:id="642"/>
    </w:p>
    <w:p w14:paraId="016FAAD9" w14:textId="77777777" w:rsidR="00035544" w:rsidRPr="0081146C" w:rsidRDefault="00035544" w:rsidP="00035544">
      <w:pPr>
        <w:pStyle w:val="subsection"/>
      </w:pPr>
      <w:r w:rsidRPr="0081146C">
        <w:tab/>
        <w:t>(1)</w:t>
      </w:r>
      <w:r w:rsidRPr="0081146C">
        <w:tab/>
        <w:t>The AUSTRAC CEO may, by writing, delegate any or all of his or her functions or powers to a member of the staff of AUSTRAC.</w:t>
      </w:r>
    </w:p>
    <w:p w14:paraId="33F9EAB9" w14:textId="77777777" w:rsidR="00035544" w:rsidRPr="0081146C" w:rsidRDefault="00035544" w:rsidP="00035544">
      <w:pPr>
        <w:pStyle w:val="notetext"/>
      </w:pPr>
      <w:r w:rsidRPr="0081146C">
        <w:t>Note:</w:t>
      </w:r>
      <w:r w:rsidRPr="0081146C">
        <w:tab/>
        <w:t>For variation and revocation, see subsection</w:t>
      </w:r>
      <w:r w:rsidR="004F64A4" w:rsidRPr="0081146C">
        <w:t> </w:t>
      </w:r>
      <w:r w:rsidRPr="0081146C">
        <w:t xml:space="preserve">33(3) of the </w:t>
      </w:r>
      <w:r w:rsidRPr="0081146C">
        <w:rPr>
          <w:i/>
        </w:rPr>
        <w:t>Acts Interpretation Act 1901</w:t>
      </w:r>
      <w:r w:rsidRPr="0081146C">
        <w:t>.</w:t>
      </w:r>
    </w:p>
    <w:p w14:paraId="15AE9546" w14:textId="77777777" w:rsidR="00035544" w:rsidRPr="0081146C" w:rsidRDefault="00035544" w:rsidP="00035544">
      <w:pPr>
        <w:pStyle w:val="subsection"/>
      </w:pPr>
      <w:r w:rsidRPr="0081146C">
        <w:tab/>
        <w:t>(2)</w:t>
      </w:r>
      <w:r w:rsidRPr="0081146C">
        <w:tab/>
        <w:t>In performing functions and exercising powers under the delegation, the delegate must comply with any directions of the AUSTRAC CEO.</w:t>
      </w:r>
    </w:p>
    <w:p w14:paraId="65A16A25" w14:textId="77777777" w:rsidR="00035544" w:rsidRPr="0081146C" w:rsidRDefault="00035544" w:rsidP="00035544">
      <w:pPr>
        <w:pStyle w:val="notetext"/>
      </w:pPr>
      <w:r w:rsidRPr="0081146C">
        <w:t>Note:</w:t>
      </w:r>
      <w:r w:rsidRPr="0081146C">
        <w:tab/>
        <w:t>See sections</w:t>
      </w:r>
      <w:r w:rsidR="004F64A4" w:rsidRPr="0081146C">
        <w:t> </w:t>
      </w:r>
      <w:r w:rsidRPr="0081146C">
        <w:t xml:space="preserve">34AA to 34A of the </w:t>
      </w:r>
      <w:r w:rsidRPr="0081146C">
        <w:rPr>
          <w:i/>
        </w:rPr>
        <w:t>Acts Interpretation Act 1901</w:t>
      </w:r>
      <w:r w:rsidRPr="0081146C">
        <w:t>.</w:t>
      </w:r>
    </w:p>
    <w:p w14:paraId="7C71E91D" w14:textId="77777777" w:rsidR="00035544" w:rsidRPr="0081146C" w:rsidRDefault="00035544" w:rsidP="00035544">
      <w:pPr>
        <w:pStyle w:val="ActHead5"/>
      </w:pPr>
      <w:bookmarkStart w:id="643" w:name="_Toc185416082"/>
      <w:r w:rsidRPr="0081146C">
        <w:rPr>
          <w:rStyle w:val="CharSectno"/>
        </w:rPr>
        <w:t>223</w:t>
      </w:r>
      <w:r w:rsidRPr="0081146C">
        <w:t xml:space="preserve">  Secretary may require the AUSTRAC CEO to give information</w:t>
      </w:r>
      <w:bookmarkEnd w:id="643"/>
    </w:p>
    <w:p w14:paraId="3908F39F" w14:textId="77777777" w:rsidR="00035544" w:rsidRPr="0081146C" w:rsidRDefault="00035544" w:rsidP="00035544">
      <w:pPr>
        <w:pStyle w:val="SubsectionHead"/>
      </w:pPr>
      <w:r w:rsidRPr="0081146C">
        <w:t>Information</w:t>
      </w:r>
    </w:p>
    <w:p w14:paraId="2776FECB" w14:textId="77777777" w:rsidR="00035544" w:rsidRPr="0081146C" w:rsidRDefault="00035544" w:rsidP="00035544">
      <w:pPr>
        <w:pStyle w:val="subsection"/>
      </w:pPr>
      <w:r w:rsidRPr="0081146C">
        <w:tab/>
        <w:t>(1)</w:t>
      </w:r>
      <w:r w:rsidRPr="0081146C">
        <w:tab/>
        <w:t>The Secretary may, by written notice given to the AUSTRAC CEO, require the AUSTRAC CEO to:</w:t>
      </w:r>
    </w:p>
    <w:p w14:paraId="1B197808" w14:textId="77777777" w:rsidR="00035544" w:rsidRPr="0081146C" w:rsidRDefault="00035544" w:rsidP="00035544">
      <w:pPr>
        <w:pStyle w:val="paragraph"/>
      </w:pPr>
      <w:r w:rsidRPr="0081146C">
        <w:tab/>
        <w:t>(a)</w:t>
      </w:r>
      <w:r w:rsidRPr="0081146C">
        <w:tab/>
        <w:t>prepare a document setting out specified information relating to the performance of the AUSTRAC CEO’s functions; and</w:t>
      </w:r>
    </w:p>
    <w:p w14:paraId="3B1E8CEB" w14:textId="77777777" w:rsidR="00035544" w:rsidRPr="0081146C" w:rsidRDefault="00035544" w:rsidP="00035544">
      <w:pPr>
        <w:pStyle w:val="paragraph"/>
      </w:pPr>
      <w:r w:rsidRPr="0081146C">
        <w:tab/>
        <w:t>(b)</w:t>
      </w:r>
      <w:r w:rsidRPr="0081146C">
        <w:tab/>
        <w:t>give a copy of the document to the Secretary within the period specified in the notice.</w:t>
      </w:r>
    </w:p>
    <w:p w14:paraId="1E10EE30" w14:textId="77777777" w:rsidR="00035544" w:rsidRPr="0081146C" w:rsidRDefault="00035544" w:rsidP="00035544">
      <w:pPr>
        <w:pStyle w:val="SubsectionHead"/>
      </w:pPr>
      <w:r w:rsidRPr="0081146C">
        <w:t>Compliance with requirement</w:t>
      </w:r>
    </w:p>
    <w:p w14:paraId="0A8E609D" w14:textId="77777777" w:rsidR="00035544" w:rsidRPr="0081146C" w:rsidRDefault="00035544" w:rsidP="00035544">
      <w:pPr>
        <w:pStyle w:val="subsection"/>
      </w:pPr>
      <w:r w:rsidRPr="0081146C">
        <w:tab/>
        <w:t>(2)</w:t>
      </w:r>
      <w:r w:rsidRPr="0081146C">
        <w:tab/>
        <w:t xml:space="preserve">The AUSTRAC CEO must comply with a requirement under </w:t>
      </w:r>
      <w:r w:rsidR="004F64A4" w:rsidRPr="0081146C">
        <w:t>subsection (</w:t>
      </w:r>
      <w:r w:rsidRPr="0081146C">
        <w:t>1).</w:t>
      </w:r>
    </w:p>
    <w:p w14:paraId="131D0ADB" w14:textId="77777777" w:rsidR="00035544" w:rsidRPr="0081146C" w:rsidRDefault="00CA78AA" w:rsidP="00AE2DA2">
      <w:pPr>
        <w:pStyle w:val="ActHead3"/>
        <w:pageBreakBefore/>
      </w:pPr>
      <w:bookmarkStart w:id="644" w:name="_Toc185416083"/>
      <w:r w:rsidRPr="0081146C">
        <w:rPr>
          <w:rStyle w:val="CharDivNo"/>
        </w:rPr>
        <w:t>Division 4</w:t>
      </w:r>
      <w:r w:rsidR="00035544" w:rsidRPr="0081146C">
        <w:t>—</w:t>
      </w:r>
      <w:r w:rsidR="00035544" w:rsidRPr="0081146C">
        <w:rPr>
          <w:rStyle w:val="CharDivText"/>
        </w:rPr>
        <w:t>Staff of AUSTRAC etc.</w:t>
      </w:r>
      <w:bookmarkEnd w:id="644"/>
    </w:p>
    <w:p w14:paraId="5C36204A" w14:textId="77777777" w:rsidR="00035544" w:rsidRPr="0081146C" w:rsidRDefault="00035544" w:rsidP="00035544">
      <w:pPr>
        <w:pStyle w:val="ActHead5"/>
      </w:pPr>
      <w:bookmarkStart w:id="645" w:name="_Toc185416084"/>
      <w:r w:rsidRPr="0081146C">
        <w:rPr>
          <w:rStyle w:val="CharSectno"/>
        </w:rPr>
        <w:t>224</w:t>
      </w:r>
      <w:r w:rsidRPr="0081146C">
        <w:t xml:space="preserve">  Staff of AUSTRAC</w:t>
      </w:r>
      <w:bookmarkEnd w:id="645"/>
    </w:p>
    <w:p w14:paraId="2381A195" w14:textId="77777777" w:rsidR="00035544" w:rsidRPr="0081146C" w:rsidRDefault="00035544" w:rsidP="00035544">
      <w:pPr>
        <w:pStyle w:val="subsection"/>
      </w:pPr>
      <w:r w:rsidRPr="0081146C">
        <w:tab/>
        <w:t>(1)</w:t>
      </w:r>
      <w:r w:rsidRPr="0081146C">
        <w:tab/>
        <w:t xml:space="preserve">The staff of AUSTRAC are persons engaged under the </w:t>
      </w:r>
      <w:r w:rsidRPr="0081146C">
        <w:rPr>
          <w:i/>
        </w:rPr>
        <w:t>Public Service Act 1999</w:t>
      </w:r>
      <w:r w:rsidRPr="0081146C">
        <w:t>.</w:t>
      </w:r>
    </w:p>
    <w:p w14:paraId="3F209DC8" w14:textId="77777777" w:rsidR="00035544" w:rsidRPr="0081146C" w:rsidRDefault="00035544" w:rsidP="00035544">
      <w:pPr>
        <w:pStyle w:val="subsection"/>
      </w:pPr>
      <w:r w:rsidRPr="0081146C">
        <w:tab/>
        <w:t>(2)</w:t>
      </w:r>
      <w:r w:rsidRPr="0081146C">
        <w:tab/>
        <w:t xml:space="preserve">For the purposes of the </w:t>
      </w:r>
      <w:r w:rsidRPr="0081146C">
        <w:rPr>
          <w:i/>
        </w:rPr>
        <w:t>Public Service Act 1999</w:t>
      </w:r>
      <w:r w:rsidRPr="0081146C">
        <w:t>:</w:t>
      </w:r>
    </w:p>
    <w:p w14:paraId="6151D486" w14:textId="77777777" w:rsidR="00035544" w:rsidRPr="0081146C" w:rsidRDefault="00035544" w:rsidP="00035544">
      <w:pPr>
        <w:pStyle w:val="paragraph"/>
      </w:pPr>
      <w:r w:rsidRPr="0081146C">
        <w:tab/>
        <w:t>(a)</w:t>
      </w:r>
      <w:r w:rsidRPr="0081146C">
        <w:tab/>
        <w:t>the AUSTRAC CEO and the staff of AUSTRAC together constitute a Statutory Agency; and</w:t>
      </w:r>
    </w:p>
    <w:p w14:paraId="1B5314D7" w14:textId="77777777" w:rsidR="00035544" w:rsidRPr="0081146C" w:rsidRDefault="00035544" w:rsidP="00035544">
      <w:pPr>
        <w:pStyle w:val="paragraph"/>
      </w:pPr>
      <w:r w:rsidRPr="0081146C">
        <w:tab/>
        <w:t>(b)</w:t>
      </w:r>
      <w:r w:rsidRPr="0081146C">
        <w:tab/>
        <w:t>the AUSTRAC CEO is the Head of that Statutory Agency.</w:t>
      </w:r>
    </w:p>
    <w:p w14:paraId="5D532EC1" w14:textId="77777777" w:rsidR="00035544" w:rsidRPr="0081146C" w:rsidRDefault="00035544" w:rsidP="00035544">
      <w:pPr>
        <w:pStyle w:val="ActHead5"/>
      </w:pPr>
      <w:bookmarkStart w:id="646" w:name="_Toc185416085"/>
      <w:r w:rsidRPr="0081146C">
        <w:rPr>
          <w:rStyle w:val="CharSectno"/>
        </w:rPr>
        <w:t>225</w:t>
      </w:r>
      <w:r w:rsidRPr="0081146C">
        <w:t xml:space="preserve">  Consultants and persons seconded to AUSTRAC</w:t>
      </w:r>
      <w:bookmarkEnd w:id="646"/>
    </w:p>
    <w:p w14:paraId="5B359A39" w14:textId="77777777" w:rsidR="00035544" w:rsidRPr="0081146C" w:rsidRDefault="00035544" w:rsidP="00035544">
      <w:pPr>
        <w:pStyle w:val="subsection"/>
      </w:pPr>
      <w:r w:rsidRPr="0081146C">
        <w:tab/>
        <w:t>(1)</w:t>
      </w:r>
      <w:r w:rsidRPr="0081146C">
        <w:tab/>
        <w:t>The AUSTRAC CEO may, on behalf of the Commonwealth, engage consultants to perform services for AUSTRAC in connection with the performance of any of the AUSTRAC CEO’s functions.</w:t>
      </w:r>
    </w:p>
    <w:p w14:paraId="326A5D11" w14:textId="77777777" w:rsidR="00035544" w:rsidRPr="0081146C" w:rsidRDefault="00035544" w:rsidP="00035544">
      <w:pPr>
        <w:pStyle w:val="subsection"/>
      </w:pPr>
      <w:r w:rsidRPr="0081146C">
        <w:tab/>
        <w:t>(2)</w:t>
      </w:r>
      <w:r w:rsidRPr="0081146C">
        <w:tab/>
        <w:t xml:space="preserve">The terms and conditions of engagement of persons engaged under </w:t>
      </w:r>
      <w:r w:rsidR="004F64A4" w:rsidRPr="0081146C">
        <w:t>subsection (</w:t>
      </w:r>
      <w:r w:rsidRPr="0081146C">
        <w:t>1) are such as the AUSTRAC CEO determines in writing.</w:t>
      </w:r>
    </w:p>
    <w:p w14:paraId="35811F48" w14:textId="77777777" w:rsidR="00035544" w:rsidRPr="0081146C" w:rsidRDefault="00035544" w:rsidP="00035544">
      <w:pPr>
        <w:pStyle w:val="subsection"/>
      </w:pPr>
      <w:r w:rsidRPr="0081146C">
        <w:tab/>
        <w:t>(3)</w:t>
      </w:r>
      <w:r w:rsidRPr="0081146C">
        <w:tab/>
        <w:t>The AUSTRAC CEO may also be assisted:</w:t>
      </w:r>
    </w:p>
    <w:p w14:paraId="3599D949" w14:textId="77777777" w:rsidR="00035544" w:rsidRPr="0081146C" w:rsidRDefault="00035544" w:rsidP="00035544">
      <w:pPr>
        <w:pStyle w:val="paragraph"/>
      </w:pPr>
      <w:r w:rsidRPr="0081146C">
        <w:tab/>
        <w:t>(a)</w:t>
      </w:r>
      <w:r w:rsidRPr="0081146C">
        <w:tab/>
        <w:t xml:space="preserve">by officers and employees of Agencies (within the meaning of the </w:t>
      </w:r>
      <w:r w:rsidRPr="0081146C">
        <w:rPr>
          <w:i/>
        </w:rPr>
        <w:t>Public Service Act 1999</w:t>
      </w:r>
      <w:r w:rsidRPr="0081146C">
        <w:t>); or</w:t>
      </w:r>
    </w:p>
    <w:p w14:paraId="6A318DF9" w14:textId="77777777" w:rsidR="00035544" w:rsidRPr="0081146C" w:rsidRDefault="00035544" w:rsidP="00035544">
      <w:pPr>
        <w:pStyle w:val="paragraph"/>
      </w:pPr>
      <w:r w:rsidRPr="0081146C">
        <w:tab/>
        <w:t>(b)</w:t>
      </w:r>
      <w:r w:rsidRPr="0081146C">
        <w:tab/>
        <w:t>by officers and employees of authorities of the Commonwealth; or</w:t>
      </w:r>
    </w:p>
    <w:p w14:paraId="0A207C1A" w14:textId="77777777" w:rsidR="00035544" w:rsidRPr="0081146C" w:rsidRDefault="00035544" w:rsidP="00035544">
      <w:pPr>
        <w:pStyle w:val="paragraph"/>
      </w:pPr>
      <w:r w:rsidRPr="0081146C">
        <w:tab/>
        <w:t>(c)</w:t>
      </w:r>
      <w:r w:rsidRPr="0081146C">
        <w:tab/>
        <w:t>by members of the Australian Federal Police; or</w:t>
      </w:r>
    </w:p>
    <w:p w14:paraId="1B45A17A" w14:textId="77777777" w:rsidR="00035544" w:rsidRPr="0081146C" w:rsidRDefault="00035544" w:rsidP="00035544">
      <w:pPr>
        <w:pStyle w:val="paragraph"/>
      </w:pPr>
      <w:r w:rsidRPr="0081146C">
        <w:tab/>
        <w:t>(d)</w:t>
      </w:r>
      <w:r w:rsidRPr="0081146C">
        <w:tab/>
        <w:t>by officers and employees of a State or Territory; or</w:t>
      </w:r>
    </w:p>
    <w:p w14:paraId="5950895B" w14:textId="77777777" w:rsidR="00035544" w:rsidRPr="0081146C" w:rsidRDefault="00035544" w:rsidP="00035544">
      <w:pPr>
        <w:pStyle w:val="paragraph"/>
      </w:pPr>
      <w:r w:rsidRPr="0081146C">
        <w:tab/>
        <w:t>(e)</w:t>
      </w:r>
      <w:r w:rsidRPr="0081146C">
        <w:tab/>
        <w:t>by officers and employees of authorities of a State or Territory; or</w:t>
      </w:r>
    </w:p>
    <w:p w14:paraId="01B23F34" w14:textId="77777777" w:rsidR="00035544" w:rsidRPr="0081146C" w:rsidRDefault="00035544" w:rsidP="00035544">
      <w:pPr>
        <w:pStyle w:val="paragraph"/>
      </w:pPr>
      <w:r w:rsidRPr="0081146C">
        <w:tab/>
        <w:t>(f)</w:t>
      </w:r>
      <w:r w:rsidRPr="0081146C">
        <w:tab/>
        <w:t>by members of the police force or police service of a State or Territory;</w:t>
      </w:r>
      <w:r w:rsidR="00E03931" w:rsidRPr="0081146C">
        <w:t xml:space="preserve"> or</w:t>
      </w:r>
    </w:p>
    <w:p w14:paraId="2E2F6AE2" w14:textId="77777777" w:rsidR="00E03931" w:rsidRPr="0081146C" w:rsidRDefault="00E03931" w:rsidP="00E03931">
      <w:pPr>
        <w:pStyle w:val="paragraph"/>
      </w:pPr>
      <w:r w:rsidRPr="0081146C">
        <w:tab/>
        <w:t>(g)</w:t>
      </w:r>
      <w:r w:rsidRPr="0081146C">
        <w:tab/>
        <w:t>by persons with suitable qualifications and experience who are officers, or employees, of some other body or organisation (whether located within or outside Australia);</w:t>
      </w:r>
    </w:p>
    <w:p w14:paraId="6C243465" w14:textId="77777777" w:rsidR="00035544" w:rsidRPr="0081146C" w:rsidRDefault="00035544" w:rsidP="00035544">
      <w:pPr>
        <w:pStyle w:val="subsection2"/>
      </w:pPr>
      <w:r w:rsidRPr="0081146C">
        <w:t>whose services are made available to the AUSTRAC CEO in connection with the performance of any of the AUSTRAC CEO’s functions.</w:t>
      </w:r>
    </w:p>
    <w:p w14:paraId="43FB04CC" w14:textId="77777777" w:rsidR="00035544" w:rsidRPr="0081146C" w:rsidRDefault="003A364D" w:rsidP="00AE2DA2">
      <w:pPr>
        <w:pStyle w:val="ActHead3"/>
        <w:pageBreakBefore/>
      </w:pPr>
      <w:bookmarkStart w:id="647" w:name="_Toc185416086"/>
      <w:r w:rsidRPr="0081146C">
        <w:rPr>
          <w:rStyle w:val="CharDivNo"/>
        </w:rPr>
        <w:t>Division 6</w:t>
      </w:r>
      <w:r w:rsidR="00035544" w:rsidRPr="0081146C">
        <w:t>—</w:t>
      </w:r>
      <w:r w:rsidR="00035544" w:rsidRPr="0081146C">
        <w:rPr>
          <w:rStyle w:val="CharDivText"/>
        </w:rPr>
        <w:t>Directions by Minister</w:t>
      </w:r>
      <w:bookmarkEnd w:id="647"/>
    </w:p>
    <w:p w14:paraId="0FF3D490" w14:textId="77777777" w:rsidR="00035544" w:rsidRPr="0081146C" w:rsidRDefault="00035544" w:rsidP="00035544">
      <w:pPr>
        <w:pStyle w:val="ActHead5"/>
      </w:pPr>
      <w:bookmarkStart w:id="648" w:name="_Toc185416087"/>
      <w:r w:rsidRPr="0081146C">
        <w:rPr>
          <w:rStyle w:val="CharSectno"/>
        </w:rPr>
        <w:t>228</w:t>
      </w:r>
      <w:r w:rsidRPr="0081146C">
        <w:t xml:space="preserve">  Directions by Minister</w:t>
      </w:r>
      <w:bookmarkEnd w:id="648"/>
    </w:p>
    <w:p w14:paraId="182E529C" w14:textId="77777777" w:rsidR="00035544" w:rsidRPr="0081146C" w:rsidRDefault="00035544" w:rsidP="00035544">
      <w:pPr>
        <w:pStyle w:val="subsection"/>
      </w:pPr>
      <w:r w:rsidRPr="0081146C">
        <w:tab/>
        <w:t>(1)</w:t>
      </w:r>
      <w:r w:rsidRPr="0081146C">
        <w:tab/>
        <w:t>The Minister may give the AUSTRAC CEO a written direction about policies the AUSTRAC CEO should pursue, or priorities the AUSTRAC CEO should follow, in performing any of the AUSTRAC CEO’s functions.</w:t>
      </w:r>
    </w:p>
    <w:p w14:paraId="4423EA49" w14:textId="77777777" w:rsidR="00035544" w:rsidRPr="0081146C" w:rsidRDefault="00035544" w:rsidP="00035544">
      <w:pPr>
        <w:pStyle w:val="subsection"/>
      </w:pPr>
      <w:r w:rsidRPr="0081146C">
        <w:tab/>
        <w:t>(2)</w:t>
      </w:r>
      <w:r w:rsidRPr="0081146C">
        <w:tab/>
        <w:t xml:space="preserve">The Minister must not give a direction under </w:t>
      </w:r>
      <w:r w:rsidR="004F64A4" w:rsidRPr="0081146C">
        <w:t>subsection (</w:t>
      </w:r>
      <w:r w:rsidRPr="0081146C">
        <w:t>1) about a particular case.</w:t>
      </w:r>
    </w:p>
    <w:p w14:paraId="30DFD487" w14:textId="77777777" w:rsidR="00035544" w:rsidRPr="0081146C" w:rsidRDefault="00035544" w:rsidP="00035544">
      <w:pPr>
        <w:pStyle w:val="subsection"/>
      </w:pPr>
      <w:r w:rsidRPr="0081146C">
        <w:tab/>
        <w:t>(3)</w:t>
      </w:r>
      <w:r w:rsidRPr="0081146C">
        <w:tab/>
        <w:t xml:space="preserve">The AUSTRAC CEO must comply with a direction under </w:t>
      </w:r>
      <w:r w:rsidR="004F64A4" w:rsidRPr="0081146C">
        <w:t>subsection (</w:t>
      </w:r>
      <w:r w:rsidRPr="0081146C">
        <w:t>1).</w:t>
      </w:r>
    </w:p>
    <w:p w14:paraId="15E90900" w14:textId="77777777" w:rsidR="00035544" w:rsidRPr="0081146C" w:rsidRDefault="00035544" w:rsidP="00035544">
      <w:pPr>
        <w:pStyle w:val="subsection"/>
      </w:pPr>
      <w:r w:rsidRPr="0081146C">
        <w:tab/>
        <w:t>(4)</w:t>
      </w:r>
      <w:r w:rsidRPr="0081146C">
        <w:tab/>
        <w:t xml:space="preserve">A direction under </w:t>
      </w:r>
      <w:r w:rsidR="004F64A4" w:rsidRPr="0081146C">
        <w:t>subsection (</w:t>
      </w:r>
      <w:r w:rsidRPr="0081146C">
        <w:t>1) is not a legislative instrument.</w:t>
      </w:r>
    </w:p>
    <w:p w14:paraId="280B0331" w14:textId="77777777" w:rsidR="003930D9" w:rsidRPr="0081146C" w:rsidRDefault="003930D9" w:rsidP="003930D9">
      <w:pPr>
        <w:pStyle w:val="subsection"/>
      </w:pPr>
      <w:r w:rsidRPr="0081146C">
        <w:tab/>
        <w:t>(5)</w:t>
      </w:r>
      <w:r w:rsidRPr="0081146C">
        <w:tab/>
        <w:t xml:space="preserve">The Minister must cause a copy of each direction under </w:t>
      </w:r>
      <w:r w:rsidR="004F64A4" w:rsidRPr="0081146C">
        <w:t>subsection (</w:t>
      </w:r>
      <w:r w:rsidRPr="0081146C">
        <w:t>1) to be tabled in each House of the Parliament within 15 sitting days of that House after giving the direction.</w:t>
      </w:r>
    </w:p>
    <w:p w14:paraId="49863F80" w14:textId="77777777" w:rsidR="005D71C3" w:rsidRPr="0081146C" w:rsidRDefault="003A364D" w:rsidP="000806D3">
      <w:pPr>
        <w:pStyle w:val="ActHead3"/>
        <w:pageBreakBefore/>
      </w:pPr>
      <w:bookmarkStart w:id="649" w:name="_Toc185416088"/>
      <w:r w:rsidRPr="0081146C">
        <w:rPr>
          <w:rStyle w:val="CharDivNo"/>
        </w:rPr>
        <w:t>Division 6</w:t>
      </w:r>
      <w:r w:rsidR="005D71C3" w:rsidRPr="0081146C">
        <w:rPr>
          <w:rStyle w:val="CharDivNo"/>
        </w:rPr>
        <w:t>A</w:t>
      </w:r>
      <w:r w:rsidR="005D71C3" w:rsidRPr="0081146C">
        <w:t>—</w:t>
      </w:r>
      <w:r w:rsidR="005D71C3" w:rsidRPr="0081146C">
        <w:rPr>
          <w:rStyle w:val="CharDivText"/>
        </w:rPr>
        <w:t>AUSTRAC CEO may use computers to take administrative action</w:t>
      </w:r>
      <w:bookmarkEnd w:id="649"/>
    </w:p>
    <w:p w14:paraId="3E3EDD07" w14:textId="77777777" w:rsidR="005D71C3" w:rsidRPr="0081146C" w:rsidRDefault="005D71C3" w:rsidP="005D71C3">
      <w:pPr>
        <w:pStyle w:val="ActHead5"/>
      </w:pPr>
      <w:bookmarkStart w:id="650" w:name="_Toc185416089"/>
      <w:r w:rsidRPr="0081146C">
        <w:rPr>
          <w:rStyle w:val="CharSectno"/>
        </w:rPr>
        <w:t>228A</w:t>
      </w:r>
      <w:r w:rsidRPr="0081146C">
        <w:t xml:space="preserve">  AUSTRAC CEO may use computers to take administrative action</w:t>
      </w:r>
      <w:bookmarkEnd w:id="650"/>
    </w:p>
    <w:p w14:paraId="0CB232FB" w14:textId="77777777" w:rsidR="005D71C3" w:rsidRPr="0081146C" w:rsidRDefault="005D71C3" w:rsidP="005D71C3">
      <w:pPr>
        <w:pStyle w:val="subsection"/>
      </w:pPr>
      <w:r w:rsidRPr="0081146C">
        <w:tab/>
        <w:t>(1)</w:t>
      </w:r>
      <w:r w:rsidRPr="0081146C">
        <w:tab/>
        <w:t>The AUSTRAC CEO may, in writing, arrange for the use, under the AUSTRAC CEO’s control, of computer programs for any purposes for which the AUSTRAC CEO may or must take administrative action under a provision prescribed by the AML/CTF Rules for the purposes of this subsection.</w:t>
      </w:r>
    </w:p>
    <w:p w14:paraId="2B5A8E11" w14:textId="77777777" w:rsidR="005D71C3" w:rsidRPr="0081146C" w:rsidRDefault="005D71C3" w:rsidP="005D71C3">
      <w:pPr>
        <w:pStyle w:val="subsection"/>
      </w:pPr>
      <w:r w:rsidRPr="0081146C">
        <w:tab/>
        <w:t>(2)</w:t>
      </w:r>
      <w:r w:rsidRPr="0081146C">
        <w:tab/>
        <w:t>The AML/CTF Rules may prescribe a provision for the purposes of subsection (1) if the provision is any of the following:</w:t>
      </w:r>
    </w:p>
    <w:p w14:paraId="4C08F592" w14:textId="77777777" w:rsidR="005D71C3" w:rsidRPr="0081146C" w:rsidRDefault="005D71C3" w:rsidP="005D71C3">
      <w:pPr>
        <w:pStyle w:val="paragraph"/>
      </w:pPr>
      <w:r w:rsidRPr="0081146C">
        <w:tab/>
        <w:t>(a)</w:t>
      </w:r>
      <w:r w:rsidRPr="0081146C">
        <w:tab/>
        <w:t>a provision of Part 3A of this Act (Reporting Entities Roll);</w:t>
      </w:r>
    </w:p>
    <w:p w14:paraId="0EC1C240" w14:textId="77777777" w:rsidR="005D71C3" w:rsidRPr="0081146C" w:rsidRDefault="005D71C3" w:rsidP="005D71C3">
      <w:pPr>
        <w:pStyle w:val="paragraph"/>
      </w:pPr>
      <w:r w:rsidRPr="0081146C">
        <w:tab/>
        <w:t>(b)</w:t>
      </w:r>
      <w:r w:rsidRPr="0081146C">
        <w:tab/>
        <w:t>a provision of Part 6 of this Act (the Remittance Sector Register);</w:t>
      </w:r>
    </w:p>
    <w:p w14:paraId="3A45CD6B" w14:textId="312D20C0" w:rsidR="005D71C3" w:rsidRPr="0081146C" w:rsidRDefault="005D71C3" w:rsidP="005D71C3">
      <w:pPr>
        <w:pStyle w:val="paragraph"/>
      </w:pPr>
      <w:r w:rsidRPr="0081146C">
        <w:tab/>
        <w:t>(c)</w:t>
      </w:r>
      <w:r w:rsidRPr="0081146C">
        <w:tab/>
        <w:t xml:space="preserve">a provision of Part 6A of this Act (the </w:t>
      </w:r>
      <w:bookmarkStart w:id="651" w:name="_Hlk172194357"/>
      <w:r w:rsidR="00B04A45" w:rsidRPr="0081146C">
        <w:t>Virtual Asset Service Provider</w:t>
      </w:r>
      <w:bookmarkEnd w:id="651"/>
      <w:r w:rsidRPr="0081146C">
        <w:t xml:space="preserve"> Register);</w:t>
      </w:r>
    </w:p>
    <w:p w14:paraId="22E6563E" w14:textId="77777777" w:rsidR="005D71C3" w:rsidRPr="0081146C" w:rsidRDefault="005D71C3" w:rsidP="005D71C3">
      <w:pPr>
        <w:pStyle w:val="paragraph"/>
      </w:pPr>
      <w:r w:rsidRPr="0081146C">
        <w:tab/>
        <w:t>(d)</w:t>
      </w:r>
      <w:r w:rsidRPr="0081146C">
        <w:tab/>
        <w:t>a provision of the AML/CTF Rules made for the purposes of a provision of this Act mentioned in paragraph (a), (b) or (c) of this subsection;</w:t>
      </w:r>
    </w:p>
    <w:p w14:paraId="7987503A" w14:textId="77777777" w:rsidR="005D71C3" w:rsidRPr="0081146C" w:rsidRDefault="005D71C3" w:rsidP="005D71C3">
      <w:pPr>
        <w:pStyle w:val="paragraph"/>
      </w:pPr>
      <w:r w:rsidRPr="0081146C">
        <w:tab/>
        <w:t>(e)</w:t>
      </w:r>
      <w:r w:rsidRPr="0081146C">
        <w:tab/>
        <w:t>a provision of an instrument made under a provision of this Act mentioned in paragraph (a), (b) or (c) of this subsection.</w:t>
      </w:r>
    </w:p>
    <w:p w14:paraId="571DBAC1" w14:textId="77777777" w:rsidR="005D71C3" w:rsidRPr="0081146C" w:rsidRDefault="005D71C3" w:rsidP="005D71C3">
      <w:pPr>
        <w:pStyle w:val="subsection"/>
      </w:pPr>
      <w:r w:rsidRPr="0081146C">
        <w:tab/>
        <w:t>(3)</w:t>
      </w:r>
      <w:r w:rsidRPr="0081146C">
        <w:tab/>
        <w:t>The AUSTRAC CEO must take reasonable steps to ensure that administrative action taken by the operation of a computer program under such an arrangement is consistent with the objects of this Act.</w:t>
      </w:r>
    </w:p>
    <w:p w14:paraId="2A92575B" w14:textId="77777777" w:rsidR="005D71C3" w:rsidRPr="0081146C" w:rsidRDefault="005D71C3" w:rsidP="005D71C3">
      <w:pPr>
        <w:pStyle w:val="subsection"/>
      </w:pPr>
      <w:r w:rsidRPr="0081146C">
        <w:tab/>
        <w:t>(4)</w:t>
      </w:r>
      <w:r w:rsidRPr="0081146C">
        <w:tab/>
        <w:t>Administrative action taken by the operation of a computer program under such an arrangement is, for the purposes of this Act, the AML/CTF Rules and any other instrument made under this Act, taken to be administrative action taken by the AUSTRAC CEO.</w:t>
      </w:r>
    </w:p>
    <w:p w14:paraId="4B2DFE59" w14:textId="77777777" w:rsidR="005D71C3" w:rsidRPr="0081146C" w:rsidRDefault="005D71C3" w:rsidP="005D71C3">
      <w:pPr>
        <w:pStyle w:val="SubsectionHead"/>
      </w:pPr>
      <w:r w:rsidRPr="0081146C">
        <w:t>Substituted decisions</w:t>
      </w:r>
    </w:p>
    <w:p w14:paraId="3E837054" w14:textId="77777777" w:rsidR="005D71C3" w:rsidRPr="0081146C" w:rsidRDefault="005D71C3" w:rsidP="005D71C3">
      <w:pPr>
        <w:pStyle w:val="subsection"/>
      </w:pPr>
      <w:r w:rsidRPr="0081146C">
        <w:tab/>
        <w:t>(5)</w:t>
      </w:r>
      <w:r w:rsidRPr="0081146C">
        <w:tab/>
        <w:t>The AUSTRAC CEO may substitute a decision for a decision the AUSTRAC CEO is taken to have made under subsection (4) if the AUSTRAC CEO is satisfied that the decision made by the operation of the computer program is not the correct or preferable decision.</w:t>
      </w:r>
    </w:p>
    <w:p w14:paraId="537911BE" w14:textId="77777777" w:rsidR="005D71C3" w:rsidRPr="0081146C" w:rsidRDefault="005D71C3" w:rsidP="005D71C3">
      <w:pPr>
        <w:pStyle w:val="subsection"/>
      </w:pPr>
      <w:r w:rsidRPr="0081146C">
        <w:tab/>
        <w:t>(6)</w:t>
      </w:r>
      <w:r w:rsidRPr="0081146C">
        <w:tab/>
        <w:t>The AUSTRAC CEO does not have a duty to consider whether to exercise the power under subsection (5) in respect of any decision, whether the AUSTRAC CEO is requested to do so by an applicant or by any other person, or in any other circumstances.</w:t>
      </w:r>
    </w:p>
    <w:p w14:paraId="66AA8DF2" w14:textId="77777777" w:rsidR="005D71C3" w:rsidRPr="0081146C" w:rsidRDefault="005D71C3" w:rsidP="005D71C3">
      <w:pPr>
        <w:pStyle w:val="subsection"/>
      </w:pPr>
      <w:r w:rsidRPr="0081146C">
        <w:tab/>
        <w:t>(7)</w:t>
      </w:r>
      <w:r w:rsidRPr="0081146C">
        <w:tab/>
        <w:t>To avoid doubt, if:</w:t>
      </w:r>
    </w:p>
    <w:p w14:paraId="38147AA5" w14:textId="77777777" w:rsidR="005D71C3" w:rsidRPr="0081146C" w:rsidRDefault="005D71C3" w:rsidP="005D71C3">
      <w:pPr>
        <w:pStyle w:val="paragraph"/>
      </w:pPr>
      <w:r w:rsidRPr="0081146C">
        <w:tab/>
        <w:t>(a)</w:t>
      </w:r>
      <w:r w:rsidRPr="0081146C">
        <w:tab/>
        <w:t xml:space="preserve">the AUSTRAC CEO is taken under subsection (4) to have made a decision under a provision of this Act, the AML/CTF Rules or an instrument made under this Act (the </w:t>
      </w:r>
      <w:r w:rsidRPr="0081146C">
        <w:rPr>
          <w:b/>
          <w:i/>
        </w:rPr>
        <w:t>original provision</w:t>
      </w:r>
      <w:r w:rsidRPr="0081146C">
        <w:t>); and</w:t>
      </w:r>
    </w:p>
    <w:p w14:paraId="04B1DDD8" w14:textId="77777777" w:rsidR="005D71C3" w:rsidRPr="0081146C" w:rsidRDefault="005D71C3" w:rsidP="005D71C3">
      <w:pPr>
        <w:pStyle w:val="paragraph"/>
      </w:pPr>
      <w:r w:rsidRPr="0081146C">
        <w:tab/>
        <w:t>(b)</w:t>
      </w:r>
      <w:r w:rsidRPr="0081146C">
        <w:tab/>
        <w:t xml:space="preserve">the AUSTRAC CEO substitutes a decision (the </w:t>
      </w:r>
      <w:r w:rsidRPr="0081146C">
        <w:rPr>
          <w:b/>
          <w:i/>
        </w:rPr>
        <w:t>substitute decision</w:t>
      </w:r>
      <w:r w:rsidRPr="0081146C">
        <w:t>) under subsection (5) for that decision;</w:t>
      </w:r>
    </w:p>
    <w:p w14:paraId="3698490A" w14:textId="77777777" w:rsidR="005D71C3" w:rsidRPr="0081146C" w:rsidRDefault="005D71C3" w:rsidP="005D71C3">
      <w:pPr>
        <w:pStyle w:val="subsection2"/>
      </w:pPr>
      <w:r w:rsidRPr="0081146C">
        <w:t>then, for the purposes of this Act, the AML/CTF Rules and any other instrument made under this Act, the AUSTRAC CEO is taken to have made the substitute decision under the original provision.</w:t>
      </w:r>
    </w:p>
    <w:p w14:paraId="0B36C680" w14:textId="77777777" w:rsidR="005D71C3" w:rsidRPr="0081146C" w:rsidRDefault="005D71C3" w:rsidP="005D71C3">
      <w:pPr>
        <w:pStyle w:val="SubsectionHead"/>
      </w:pPr>
      <w:r w:rsidRPr="0081146C">
        <w:t>Arrangement not a legislative instrument</w:t>
      </w:r>
    </w:p>
    <w:p w14:paraId="4F69C303" w14:textId="77777777" w:rsidR="005D71C3" w:rsidRPr="0081146C" w:rsidRDefault="005D71C3" w:rsidP="005D71C3">
      <w:pPr>
        <w:pStyle w:val="subsection"/>
      </w:pPr>
      <w:r w:rsidRPr="0081146C">
        <w:tab/>
        <w:t>(8)</w:t>
      </w:r>
      <w:r w:rsidRPr="0081146C">
        <w:tab/>
        <w:t>An arrangement made under subsection (1) is not a legislative instrument.</w:t>
      </w:r>
    </w:p>
    <w:p w14:paraId="276B31DE" w14:textId="77777777" w:rsidR="005D71C3" w:rsidRPr="0081146C" w:rsidRDefault="005D71C3" w:rsidP="005D71C3">
      <w:pPr>
        <w:pStyle w:val="SubsectionHead"/>
      </w:pPr>
      <w:r w:rsidRPr="0081146C">
        <w:t xml:space="preserve">Meaning of </w:t>
      </w:r>
      <w:r w:rsidRPr="0081146C">
        <w:rPr>
          <w:b/>
        </w:rPr>
        <w:t>administrative action</w:t>
      </w:r>
    </w:p>
    <w:p w14:paraId="5664DB14" w14:textId="77777777" w:rsidR="005D71C3" w:rsidRPr="0081146C" w:rsidRDefault="005D71C3" w:rsidP="005D71C3">
      <w:pPr>
        <w:pStyle w:val="subsection"/>
      </w:pPr>
      <w:r w:rsidRPr="0081146C">
        <w:tab/>
        <w:t>(9)</w:t>
      </w:r>
      <w:r w:rsidRPr="0081146C">
        <w:tab/>
        <w:t xml:space="preserve">Each of the following constitutes taking </w:t>
      </w:r>
      <w:r w:rsidRPr="0081146C">
        <w:rPr>
          <w:b/>
          <w:i/>
        </w:rPr>
        <w:t>administrative action</w:t>
      </w:r>
      <w:r w:rsidRPr="0081146C">
        <w:t>:</w:t>
      </w:r>
    </w:p>
    <w:p w14:paraId="76356867" w14:textId="77777777" w:rsidR="005D71C3" w:rsidRPr="0081146C" w:rsidRDefault="005D71C3" w:rsidP="005D71C3">
      <w:pPr>
        <w:pStyle w:val="paragraph"/>
      </w:pPr>
      <w:r w:rsidRPr="0081146C">
        <w:tab/>
        <w:t>(a)</w:t>
      </w:r>
      <w:r w:rsidRPr="0081146C">
        <w:tab/>
        <w:t>making a decision;</w:t>
      </w:r>
    </w:p>
    <w:p w14:paraId="79F324F6" w14:textId="77777777" w:rsidR="005D71C3" w:rsidRPr="0081146C" w:rsidRDefault="005D71C3" w:rsidP="005D71C3">
      <w:pPr>
        <w:pStyle w:val="paragraph"/>
      </w:pPr>
      <w:r w:rsidRPr="0081146C">
        <w:tab/>
        <w:t>(b)</w:t>
      </w:r>
      <w:r w:rsidRPr="0081146C">
        <w:tab/>
        <w:t>exercising any power or complying with any obligation;</w:t>
      </w:r>
    </w:p>
    <w:p w14:paraId="7FDDE0C8" w14:textId="77777777" w:rsidR="005D71C3" w:rsidRPr="0081146C" w:rsidRDefault="005D71C3" w:rsidP="005D71C3">
      <w:pPr>
        <w:pStyle w:val="paragraph"/>
      </w:pPr>
      <w:r w:rsidRPr="0081146C">
        <w:tab/>
        <w:t>(c)</w:t>
      </w:r>
      <w:r w:rsidRPr="0081146C">
        <w:tab/>
        <w:t>doing anything else related to making a decision or exercising a power or complying with an obligation.</w:t>
      </w:r>
    </w:p>
    <w:p w14:paraId="7E055CC0" w14:textId="77777777" w:rsidR="00035544" w:rsidRPr="0081146C" w:rsidRDefault="00CA78AA" w:rsidP="00AE2DA2">
      <w:pPr>
        <w:pStyle w:val="ActHead3"/>
        <w:pageBreakBefore/>
      </w:pPr>
      <w:bookmarkStart w:id="652" w:name="_Toc185416090"/>
      <w:r w:rsidRPr="0081146C">
        <w:rPr>
          <w:rStyle w:val="CharDivNo"/>
        </w:rPr>
        <w:t>Division 7</w:t>
      </w:r>
      <w:r w:rsidR="00035544" w:rsidRPr="0081146C">
        <w:t>—</w:t>
      </w:r>
      <w:r w:rsidR="00035544" w:rsidRPr="0081146C">
        <w:rPr>
          <w:rStyle w:val="CharDivText"/>
        </w:rPr>
        <w:t>AML/CTF Rules</w:t>
      </w:r>
      <w:bookmarkEnd w:id="652"/>
    </w:p>
    <w:p w14:paraId="2EC43AF2" w14:textId="77777777" w:rsidR="00035544" w:rsidRPr="0081146C" w:rsidRDefault="00035544" w:rsidP="00035544">
      <w:pPr>
        <w:pStyle w:val="ActHead5"/>
      </w:pPr>
      <w:bookmarkStart w:id="653" w:name="_Toc185416091"/>
      <w:r w:rsidRPr="0081146C">
        <w:rPr>
          <w:rStyle w:val="CharSectno"/>
        </w:rPr>
        <w:t>229</w:t>
      </w:r>
      <w:r w:rsidRPr="0081146C">
        <w:t xml:space="preserve">  AML/CTF Rules</w:t>
      </w:r>
      <w:bookmarkEnd w:id="653"/>
    </w:p>
    <w:p w14:paraId="39161FDE" w14:textId="77777777" w:rsidR="00035544" w:rsidRPr="0081146C" w:rsidRDefault="00035544" w:rsidP="00035544">
      <w:pPr>
        <w:pStyle w:val="subsection"/>
      </w:pPr>
      <w:r w:rsidRPr="0081146C">
        <w:tab/>
        <w:t>(1)</w:t>
      </w:r>
      <w:r w:rsidRPr="0081146C">
        <w:tab/>
        <w:t xml:space="preserve">The AUSTRAC CEO may, by writing, make rules (the </w:t>
      </w:r>
      <w:r w:rsidRPr="0081146C">
        <w:rPr>
          <w:b/>
          <w:i/>
        </w:rPr>
        <w:t>AML/CTF Rules</w:t>
      </w:r>
      <w:r w:rsidRPr="0081146C">
        <w:t>) prescribing matters required or permitted by any other provision of this Act to be prescribed by the AML/CTF Rules.</w:t>
      </w:r>
    </w:p>
    <w:p w14:paraId="20D16C34" w14:textId="77777777" w:rsidR="00035544" w:rsidRPr="0081146C" w:rsidRDefault="00035544" w:rsidP="00035544">
      <w:pPr>
        <w:pStyle w:val="notetext"/>
      </w:pPr>
      <w:r w:rsidRPr="0081146C">
        <w:t>Note 1:</w:t>
      </w:r>
      <w:r w:rsidRPr="0081146C">
        <w:tab/>
      </w:r>
      <w:r w:rsidRPr="0081146C">
        <w:rPr>
          <w:b/>
          <w:i/>
        </w:rPr>
        <w:t>AML/CTF Rules</w:t>
      </w:r>
      <w:r w:rsidRPr="0081146C">
        <w:t xml:space="preserve"> is short for Anti</w:t>
      </w:r>
      <w:r w:rsidR="003B7E15" w:rsidRPr="0081146C">
        <w:noBreakHyphen/>
      </w:r>
      <w:r w:rsidRPr="0081146C">
        <w:t>Money Laundering/Counter</w:t>
      </w:r>
      <w:r w:rsidR="003B7E15" w:rsidRPr="0081146C">
        <w:noBreakHyphen/>
      </w:r>
      <w:r w:rsidRPr="0081146C">
        <w:t>Terrorism Financing Rules.</w:t>
      </w:r>
    </w:p>
    <w:p w14:paraId="1D30D797" w14:textId="77777777" w:rsidR="00035544" w:rsidRPr="0081146C" w:rsidRDefault="00035544" w:rsidP="00035544">
      <w:pPr>
        <w:pStyle w:val="notetext"/>
      </w:pPr>
      <w:r w:rsidRPr="0081146C">
        <w:t>Note 2:</w:t>
      </w:r>
      <w:r w:rsidRPr="0081146C">
        <w:tab/>
        <w:t>For amendment and repeal, see subsection</w:t>
      </w:r>
      <w:r w:rsidR="004F64A4" w:rsidRPr="0081146C">
        <w:t> </w:t>
      </w:r>
      <w:r w:rsidRPr="0081146C">
        <w:t xml:space="preserve">33(3) of the </w:t>
      </w:r>
      <w:r w:rsidRPr="0081146C">
        <w:rPr>
          <w:i/>
        </w:rPr>
        <w:t>Acts Interpretation Act 1901</w:t>
      </w:r>
      <w:r w:rsidRPr="0081146C">
        <w:t>.</w:t>
      </w:r>
    </w:p>
    <w:p w14:paraId="75CB8761" w14:textId="77777777" w:rsidR="00035544" w:rsidRPr="0081146C" w:rsidRDefault="00035544" w:rsidP="00035544">
      <w:pPr>
        <w:pStyle w:val="subsection"/>
      </w:pPr>
      <w:r w:rsidRPr="0081146C">
        <w:tab/>
        <w:t>(2)</w:t>
      </w:r>
      <w:r w:rsidRPr="0081146C">
        <w:tab/>
        <w:t>AML/CTF Rules are legislative instruments.</w:t>
      </w:r>
    </w:p>
    <w:p w14:paraId="1C15980A" w14:textId="77777777" w:rsidR="00035544" w:rsidRPr="0081146C" w:rsidRDefault="00035544" w:rsidP="00035544">
      <w:pPr>
        <w:pStyle w:val="SubsectionHead"/>
      </w:pPr>
      <w:r w:rsidRPr="0081146C">
        <w:t>Ministerial directions with respect to the making of AML/CTF Rules</w:t>
      </w:r>
    </w:p>
    <w:p w14:paraId="03767E98" w14:textId="77777777" w:rsidR="00035544" w:rsidRPr="0081146C" w:rsidRDefault="00035544" w:rsidP="00035544">
      <w:pPr>
        <w:pStyle w:val="subsection"/>
      </w:pPr>
      <w:r w:rsidRPr="0081146C">
        <w:tab/>
        <w:t>(3)</w:t>
      </w:r>
      <w:r w:rsidRPr="0081146C">
        <w:tab/>
        <w:t xml:space="preserve">The Minister may give the AUSTRAC CEO a written direction about the exercise of the powers conferred on the AUSTRAC CEO by </w:t>
      </w:r>
      <w:r w:rsidR="004F64A4" w:rsidRPr="0081146C">
        <w:t>subsection (</w:t>
      </w:r>
      <w:r w:rsidRPr="0081146C">
        <w:t>1).</w:t>
      </w:r>
    </w:p>
    <w:p w14:paraId="73E34137" w14:textId="77777777" w:rsidR="00035544" w:rsidRPr="0081146C" w:rsidRDefault="00035544" w:rsidP="00035544">
      <w:pPr>
        <w:pStyle w:val="subsection"/>
      </w:pPr>
      <w:r w:rsidRPr="0081146C">
        <w:tab/>
        <w:t>(4)</w:t>
      </w:r>
      <w:r w:rsidRPr="0081146C">
        <w:tab/>
        <w:t xml:space="preserve">The AUSTRAC CEO must comply with a direction under </w:t>
      </w:r>
      <w:r w:rsidR="004F64A4" w:rsidRPr="0081146C">
        <w:t>subsection (</w:t>
      </w:r>
      <w:r w:rsidRPr="0081146C">
        <w:t>3).</w:t>
      </w:r>
    </w:p>
    <w:p w14:paraId="7049DD6E" w14:textId="77777777" w:rsidR="00035544" w:rsidRPr="0081146C" w:rsidRDefault="00CA78AA" w:rsidP="00AE2DA2">
      <w:pPr>
        <w:pStyle w:val="ActHead2"/>
        <w:pageBreakBefore/>
      </w:pPr>
      <w:bookmarkStart w:id="654" w:name="_Toc185416092"/>
      <w:r w:rsidRPr="0081146C">
        <w:rPr>
          <w:rStyle w:val="CharPartNo"/>
        </w:rPr>
        <w:t>Part 1</w:t>
      </w:r>
      <w:r w:rsidR="00035544" w:rsidRPr="0081146C">
        <w:rPr>
          <w:rStyle w:val="CharPartNo"/>
        </w:rPr>
        <w:t>7</w:t>
      </w:r>
      <w:r w:rsidR="00035544" w:rsidRPr="0081146C">
        <w:t>—</w:t>
      </w:r>
      <w:r w:rsidR="00035544" w:rsidRPr="0081146C">
        <w:rPr>
          <w:rStyle w:val="CharPartText"/>
        </w:rPr>
        <w:t>Vicarious liability</w:t>
      </w:r>
      <w:bookmarkEnd w:id="654"/>
    </w:p>
    <w:p w14:paraId="5CC0A7F1" w14:textId="77777777" w:rsidR="00035544" w:rsidRPr="0081146C" w:rsidRDefault="00C72BA2" w:rsidP="00035544">
      <w:pPr>
        <w:pStyle w:val="Header"/>
      </w:pPr>
      <w:r w:rsidRPr="0081146C">
        <w:rPr>
          <w:rStyle w:val="CharDivNo"/>
        </w:rPr>
        <w:t xml:space="preserve"> </w:t>
      </w:r>
      <w:r w:rsidRPr="0081146C">
        <w:rPr>
          <w:rStyle w:val="CharDivText"/>
        </w:rPr>
        <w:t xml:space="preserve"> </w:t>
      </w:r>
    </w:p>
    <w:p w14:paraId="65F7A071" w14:textId="77777777" w:rsidR="00035544" w:rsidRPr="0081146C" w:rsidRDefault="00035544" w:rsidP="00035544">
      <w:pPr>
        <w:pStyle w:val="ActHead5"/>
      </w:pPr>
      <w:bookmarkStart w:id="655" w:name="_Toc185416093"/>
      <w:r w:rsidRPr="0081146C">
        <w:rPr>
          <w:rStyle w:val="CharSectno"/>
        </w:rPr>
        <w:t>230</w:t>
      </w:r>
      <w:r w:rsidRPr="0081146C">
        <w:t xml:space="preserve">  Simplified outline</w:t>
      </w:r>
      <w:bookmarkEnd w:id="655"/>
    </w:p>
    <w:p w14:paraId="67D2EB5C" w14:textId="77777777" w:rsidR="00035544" w:rsidRPr="0081146C" w:rsidRDefault="00035544" w:rsidP="00035544">
      <w:pPr>
        <w:pStyle w:val="subsection"/>
      </w:pPr>
      <w:r w:rsidRPr="0081146C">
        <w:tab/>
      </w:r>
      <w:r w:rsidRPr="0081146C">
        <w:tab/>
        <w:t>The following is a simplified outline of this Part:</w:t>
      </w:r>
    </w:p>
    <w:p w14:paraId="219C203C" w14:textId="77777777" w:rsidR="00035544" w:rsidRPr="0081146C" w:rsidRDefault="00035544" w:rsidP="00035544">
      <w:pPr>
        <w:pStyle w:val="BoxList"/>
      </w:pPr>
      <w:r w:rsidRPr="0081146C">
        <w:t>•</w:t>
      </w:r>
      <w:r w:rsidRPr="0081146C">
        <w:tab/>
        <w:t>This Part deals with the proof of matters that involve employees, agents etc.</w:t>
      </w:r>
    </w:p>
    <w:p w14:paraId="7D8D6247" w14:textId="77777777" w:rsidR="00035544" w:rsidRPr="0081146C" w:rsidRDefault="00035544" w:rsidP="00035544">
      <w:pPr>
        <w:pStyle w:val="ActHead5"/>
      </w:pPr>
      <w:bookmarkStart w:id="656" w:name="_Toc185416094"/>
      <w:r w:rsidRPr="0081146C">
        <w:rPr>
          <w:rStyle w:val="CharSectno"/>
        </w:rPr>
        <w:t>231</w:t>
      </w:r>
      <w:r w:rsidRPr="0081146C">
        <w:t xml:space="preserve">  Criminal liability of corporations</w:t>
      </w:r>
      <w:bookmarkEnd w:id="656"/>
    </w:p>
    <w:p w14:paraId="34003EBF" w14:textId="77777777" w:rsidR="00035544" w:rsidRPr="0081146C" w:rsidRDefault="00035544" w:rsidP="00035544">
      <w:pPr>
        <w:pStyle w:val="subsection"/>
      </w:pPr>
      <w:r w:rsidRPr="0081146C">
        <w:tab/>
      </w:r>
      <w:r w:rsidRPr="0081146C">
        <w:tab/>
        <w:t>Part</w:t>
      </w:r>
      <w:r w:rsidR="004F64A4" w:rsidRPr="0081146C">
        <w:t> </w:t>
      </w:r>
      <w:r w:rsidRPr="0081146C">
        <w:t xml:space="preserve">2.5 of the </w:t>
      </w:r>
      <w:r w:rsidRPr="0081146C">
        <w:rPr>
          <w:i/>
        </w:rPr>
        <w:t>Criminal Code</w:t>
      </w:r>
      <w:r w:rsidRPr="0081146C">
        <w:t xml:space="preserve"> has effect, in relation to an offence against this Act, as if each reference in that Part to a body corporate were a reference to a corporation.</w:t>
      </w:r>
    </w:p>
    <w:p w14:paraId="0873F018" w14:textId="77777777" w:rsidR="00035544" w:rsidRPr="0081146C" w:rsidRDefault="00035544" w:rsidP="00035544">
      <w:pPr>
        <w:pStyle w:val="ActHead5"/>
      </w:pPr>
      <w:bookmarkStart w:id="657" w:name="_Toc185416095"/>
      <w:r w:rsidRPr="0081146C">
        <w:rPr>
          <w:rStyle w:val="CharSectno"/>
        </w:rPr>
        <w:t>232</w:t>
      </w:r>
      <w:r w:rsidRPr="0081146C">
        <w:t xml:space="preserve">  Civil liability of corporations</w:t>
      </w:r>
      <w:bookmarkEnd w:id="657"/>
    </w:p>
    <w:p w14:paraId="62CE7FDD" w14:textId="77777777" w:rsidR="00035544" w:rsidRPr="0081146C" w:rsidRDefault="00035544" w:rsidP="00035544">
      <w:pPr>
        <w:pStyle w:val="SubsectionHead"/>
      </w:pPr>
      <w:r w:rsidRPr="0081146C">
        <w:t>State of mind</w:t>
      </w:r>
    </w:p>
    <w:p w14:paraId="270C3580" w14:textId="77777777" w:rsidR="00035544" w:rsidRPr="0081146C" w:rsidRDefault="00035544" w:rsidP="00035544">
      <w:pPr>
        <w:pStyle w:val="subsection"/>
      </w:pPr>
      <w:r w:rsidRPr="0081146C">
        <w:tab/>
        <w:t>(1)</w:t>
      </w:r>
      <w:r w:rsidRPr="0081146C">
        <w:tab/>
        <w:t>If, in a civil proceeding under, or arising out of, this Act in respect of conduct engaged in by a corporation, it is necessary to establish the state of mind of the corporation, it is sufficient to show that:</w:t>
      </w:r>
    </w:p>
    <w:p w14:paraId="1A6D3EC7" w14:textId="77777777" w:rsidR="00035544" w:rsidRPr="0081146C" w:rsidRDefault="00035544" w:rsidP="00035544">
      <w:pPr>
        <w:pStyle w:val="paragraph"/>
      </w:pPr>
      <w:r w:rsidRPr="0081146C">
        <w:tab/>
        <w:t>(a)</w:t>
      </w:r>
      <w:r w:rsidRPr="0081146C">
        <w:tab/>
        <w:t>a director, employee or agent of the corporation engaged in that conduct; and</w:t>
      </w:r>
    </w:p>
    <w:p w14:paraId="6C0E1283" w14:textId="77777777" w:rsidR="00035544" w:rsidRPr="0081146C" w:rsidRDefault="00035544" w:rsidP="00035544">
      <w:pPr>
        <w:pStyle w:val="paragraph"/>
      </w:pPr>
      <w:r w:rsidRPr="0081146C">
        <w:tab/>
        <w:t>(b)</w:t>
      </w:r>
      <w:r w:rsidRPr="0081146C">
        <w:tab/>
        <w:t>the director, employee or agent was, in engaging in that conduct, acting within the scope of his or her actual or apparent authority; and</w:t>
      </w:r>
    </w:p>
    <w:p w14:paraId="72E90A99" w14:textId="77777777" w:rsidR="00035544" w:rsidRPr="0081146C" w:rsidRDefault="00035544" w:rsidP="00035544">
      <w:pPr>
        <w:pStyle w:val="paragraph"/>
      </w:pPr>
      <w:r w:rsidRPr="0081146C">
        <w:tab/>
        <w:t>(c)</w:t>
      </w:r>
      <w:r w:rsidRPr="0081146C">
        <w:tab/>
        <w:t>the director, employee or agent had that state of mind.</w:t>
      </w:r>
    </w:p>
    <w:p w14:paraId="714875B5" w14:textId="77777777" w:rsidR="00035544" w:rsidRPr="0081146C" w:rsidRDefault="00035544" w:rsidP="00035544">
      <w:pPr>
        <w:pStyle w:val="SubsectionHead"/>
      </w:pPr>
      <w:r w:rsidRPr="0081146C">
        <w:t>Conduct</w:t>
      </w:r>
    </w:p>
    <w:p w14:paraId="03D890C7" w14:textId="77777777" w:rsidR="00035544" w:rsidRPr="0081146C" w:rsidRDefault="00035544" w:rsidP="00035544">
      <w:pPr>
        <w:pStyle w:val="subsection"/>
      </w:pPr>
      <w:r w:rsidRPr="0081146C">
        <w:tab/>
        <w:t>(2)</w:t>
      </w:r>
      <w:r w:rsidRPr="0081146C">
        <w:tab/>
        <w:t>If:</w:t>
      </w:r>
    </w:p>
    <w:p w14:paraId="2636C4B0" w14:textId="77777777" w:rsidR="00035544" w:rsidRPr="0081146C" w:rsidRDefault="00035544" w:rsidP="00035544">
      <w:pPr>
        <w:pStyle w:val="paragraph"/>
      </w:pPr>
      <w:r w:rsidRPr="0081146C">
        <w:tab/>
        <w:t>(a)</w:t>
      </w:r>
      <w:r w:rsidRPr="0081146C">
        <w:tab/>
        <w:t>conduct is engaged in on behalf of a corporation by a director, employee or agent of the corporation; and</w:t>
      </w:r>
    </w:p>
    <w:p w14:paraId="1E2455BA" w14:textId="77777777" w:rsidR="00035544" w:rsidRPr="0081146C" w:rsidRDefault="00035544" w:rsidP="00035544">
      <w:pPr>
        <w:pStyle w:val="paragraph"/>
      </w:pPr>
      <w:r w:rsidRPr="0081146C">
        <w:tab/>
        <w:t>(b)</w:t>
      </w:r>
      <w:r w:rsidRPr="0081146C">
        <w:tab/>
        <w:t>the conduct is within the scope of his or her actual or apparent authority;</w:t>
      </w:r>
    </w:p>
    <w:p w14:paraId="72F9867A" w14:textId="77777777" w:rsidR="00035544" w:rsidRPr="0081146C" w:rsidRDefault="00035544" w:rsidP="00035544">
      <w:pPr>
        <w:pStyle w:val="subsection2"/>
      </w:pPr>
      <w:r w:rsidRPr="0081146C">
        <w:t>the conduct is taken, for the purposes of a civil proceeding under, or arising out of, this Act, to have been engaged in by the corporation unless the corporation proves that it took reasonable precautions and exercised due diligence to avoid the conduct.</w:t>
      </w:r>
    </w:p>
    <w:p w14:paraId="69A8E237" w14:textId="77777777" w:rsidR="00035544" w:rsidRPr="0081146C" w:rsidRDefault="00035544" w:rsidP="00035544">
      <w:pPr>
        <w:pStyle w:val="ActHead5"/>
      </w:pPr>
      <w:bookmarkStart w:id="658" w:name="_Toc185416096"/>
      <w:r w:rsidRPr="0081146C">
        <w:rPr>
          <w:rStyle w:val="CharSectno"/>
        </w:rPr>
        <w:t>233</w:t>
      </w:r>
      <w:r w:rsidRPr="0081146C">
        <w:t xml:space="preserve">  Liability of persons other than corporations</w:t>
      </w:r>
      <w:bookmarkEnd w:id="658"/>
    </w:p>
    <w:p w14:paraId="0EFB4767" w14:textId="77777777" w:rsidR="00035544" w:rsidRPr="0081146C" w:rsidRDefault="00035544" w:rsidP="00035544">
      <w:pPr>
        <w:pStyle w:val="SubsectionHead"/>
      </w:pPr>
      <w:r w:rsidRPr="0081146C">
        <w:t>State of mind</w:t>
      </w:r>
    </w:p>
    <w:p w14:paraId="58EEF1B7" w14:textId="77777777" w:rsidR="00035544" w:rsidRPr="0081146C" w:rsidRDefault="00035544" w:rsidP="00035544">
      <w:pPr>
        <w:pStyle w:val="subsection"/>
      </w:pPr>
      <w:r w:rsidRPr="0081146C">
        <w:tab/>
        <w:t>(1)</w:t>
      </w:r>
      <w:r w:rsidRPr="0081146C">
        <w:tab/>
        <w:t>If, in criminal or civil proceedings under, or arising out of, this Act in respect of conduct engaged in by a person other than a corporation, it is necessary to establish the state of mind of the person, it is sufficient to show that:</w:t>
      </w:r>
    </w:p>
    <w:p w14:paraId="61BBD544" w14:textId="77777777" w:rsidR="00035544" w:rsidRPr="0081146C" w:rsidRDefault="00035544" w:rsidP="00035544">
      <w:pPr>
        <w:pStyle w:val="paragraph"/>
      </w:pPr>
      <w:r w:rsidRPr="0081146C">
        <w:tab/>
        <w:t>(a)</w:t>
      </w:r>
      <w:r w:rsidRPr="0081146C">
        <w:tab/>
        <w:t>the conduct was engaged in by an employee or agent of the person within the scope of his or her actual or apparent authority; and</w:t>
      </w:r>
    </w:p>
    <w:p w14:paraId="7DF17F18" w14:textId="77777777" w:rsidR="00035544" w:rsidRPr="0081146C" w:rsidRDefault="00035544" w:rsidP="00035544">
      <w:pPr>
        <w:pStyle w:val="paragraph"/>
      </w:pPr>
      <w:r w:rsidRPr="0081146C">
        <w:tab/>
        <w:t>(b)</w:t>
      </w:r>
      <w:r w:rsidRPr="0081146C">
        <w:tab/>
        <w:t>the employee or agent had that state of mind.</w:t>
      </w:r>
    </w:p>
    <w:p w14:paraId="34A5C36A" w14:textId="77777777" w:rsidR="00035544" w:rsidRPr="0081146C" w:rsidRDefault="00035544" w:rsidP="00035544">
      <w:pPr>
        <w:pStyle w:val="SubsectionHead"/>
      </w:pPr>
      <w:r w:rsidRPr="0081146C">
        <w:t>Conduct</w:t>
      </w:r>
    </w:p>
    <w:p w14:paraId="5646918C" w14:textId="77777777" w:rsidR="00035544" w:rsidRPr="0081146C" w:rsidRDefault="00035544" w:rsidP="00035544">
      <w:pPr>
        <w:pStyle w:val="subsection"/>
      </w:pPr>
      <w:r w:rsidRPr="0081146C">
        <w:tab/>
        <w:t>(2)</w:t>
      </w:r>
      <w:r w:rsidRPr="0081146C">
        <w:tab/>
        <w:t>If:</w:t>
      </w:r>
    </w:p>
    <w:p w14:paraId="6C4A921B" w14:textId="77777777" w:rsidR="00035544" w:rsidRPr="0081146C" w:rsidRDefault="00035544" w:rsidP="00035544">
      <w:pPr>
        <w:pStyle w:val="paragraph"/>
      </w:pPr>
      <w:r w:rsidRPr="0081146C">
        <w:tab/>
        <w:t>(a)</w:t>
      </w:r>
      <w:r w:rsidRPr="0081146C">
        <w:tab/>
        <w:t>conduct is engaged in on behalf of a person other than a corporation by an employee or agent of the person; and</w:t>
      </w:r>
    </w:p>
    <w:p w14:paraId="03D40561" w14:textId="77777777" w:rsidR="00035544" w:rsidRPr="0081146C" w:rsidRDefault="00035544" w:rsidP="00035544">
      <w:pPr>
        <w:pStyle w:val="paragraph"/>
      </w:pPr>
      <w:r w:rsidRPr="0081146C">
        <w:tab/>
        <w:t>(b)</w:t>
      </w:r>
      <w:r w:rsidRPr="0081146C">
        <w:tab/>
        <w:t>the conduct is within the employee’s or agent’s actual or apparent authority;</w:t>
      </w:r>
    </w:p>
    <w:p w14:paraId="77DF1F8B" w14:textId="77777777" w:rsidR="00035544" w:rsidRPr="0081146C" w:rsidRDefault="00035544" w:rsidP="00035544">
      <w:pPr>
        <w:pStyle w:val="subsection2"/>
      </w:pPr>
      <w:r w:rsidRPr="0081146C">
        <w:t>the conduct is taken, for the purposes of criminal or civil proceedings under, or arising out of, this Act, to have been engaged in by the person unless the person proves that the person took reasonable precautions and exercised due diligence to avoid the conduct.</w:t>
      </w:r>
    </w:p>
    <w:p w14:paraId="45CA185F" w14:textId="77777777" w:rsidR="00035544" w:rsidRPr="0081146C" w:rsidRDefault="00035544" w:rsidP="00035544">
      <w:pPr>
        <w:pStyle w:val="SubsectionHead"/>
      </w:pPr>
      <w:r w:rsidRPr="0081146C">
        <w:t>Limitation on imprisonment</w:t>
      </w:r>
    </w:p>
    <w:p w14:paraId="7515DE88" w14:textId="77777777" w:rsidR="00035544" w:rsidRPr="0081146C" w:rsidRDefault="00035544" w:rsidP="00035544">
      <w:pPr>
        <w:pStyle w:val="subsection"/>
      </w:pPr>
      <w:r w:rsidRPr="0081146C">
        <w:tab/>
        <w:t>(3)</w:t>
      </w:r>
      <w:r w:rsidRPr="0081146C">
        <w:tab/>
        <w:t>Despite any other provision of this Act, if:</w:t>
      </w:r>
    </w:p>
    <w:p w14:paraId="6307086E" w14:textId="77777777" w:rsidR="00035544" w:rsidRPr="0081146C" w:rsidRDefault="00035544" w:rsidP="00035544">
      <w:pPr>
        <w:pStyle w:val="paragraph"/>
      </w:pPr>
      <w:r w:rsidRPr="0081146C">
        <w:tab/>
        <w:t>(a)</w:t>
      </w:r>
      <w:r w:rsidRPr="0081146C">
        <w:tab/>
        <w:t>a person is convicted of an offence; and</w:t>
      </w:r>
    </w:p>
    <w:p w14:paraId="1FDB5C13" w14:textId="77777777" w:rsidR="00035544" w:rsidRPr="0081146C" w:rsidRDefault="00035544" w:rsidP="00035544">
      <w:pPr>
        <w:pStyle w:val="paragraph"/>
      </w:pPr>
      <w:r w:rsidRPr="0081146C">
        <w:tab/>
        <w:t>(b)</w:t>
      </w:r>
      <w:r w:rsidRPr="0081146C">
        <w:tab/>
        <w:t xml:space="preserve">the person would not have been convicted of the offence if </w:t>
      </w:r>
      <w:r w:rsidR="004F64A4" w:rsidRPr="0081146C">
        <w:t>subsections (</w:t>
      </w:r>
      <w:r w:rsidRPr="0081146C">
        <w:t>1) and (2) had not been in force;</w:t>
      </w:r>
    </w:p>
    <w:p w14:paraId="3D67FEE6" w14:textId="77777777" w:rsidR="00035544" w:rsidRPr="0081146C" w:rsidRDefault="00035544" w:rsidP="00035544">
      <w:pPr>
        <w:pStyle w:val="subsection2"/>
      </w:pPr>
      <w:r w:rsidRPr="0081146C">
        <w:t>the person is not liable to be punished by imprisonment for that offence.</w:t>
      </w:r>
    </w:p>
    <w:p w14:paraId="59AA87A8" w14:textId="77777777" w:rsidR="00E11B4B" w:rsidRPr="0081146C" w:rsidRDefault="00CA78AA" w:rsidP="00557923">
      <w:pPr>
        <w:pStyle w:val="ActHead2"/>
        <w:pageBreakBefore/>
      </w:pPr>
      <w:bookmarkStart w:id="659" w:name="_Toc185416097"/>
      <w:r w:rsidRPr="0081146C">
        <w:rPr>
          <w:rStyle w:val="CharPartNo"/>
        </w:rPr>
        <w:t>Part 1</w:t>
      </w:r>
      <w:r w:rsidR="00E11B4B" w:rsidRPr="0081146C">
        <w:rPr>
          <w:rStyle w:val="CharPartNo"/>
        </w:rPr>
        <w:t>7A</w:t>
      </w:r>
      <w:r w:rsidR="00E11B4B" w:rsidRPr="0081146C">
        <w:t>—</w:t>
      </w:r>
      <w:r w:rsidR="00E11B4B" w:rsidRPr="0081146C">
        <w:rPr>
          <w:rStyle w:val="CharPartText"/>
        </w:rPr>
        <w:t>Review of decisions</w:t>
      </w:r>
      <w:bookmarkEnd w:id="659"/>
    </w:p>
    <w:p w14:paraId="7E232A85" w14:textId="77777777" w:rsidR="00E11B4B" w:rsidRPr="0081146C" w:rsidRDefault="00E11B4B" w:rsidP="00E11B4B">
      <w:pPr>
        <w:pStyle w:val="Header"/>
      </w:pPr>
      <w:r w:rsidRPr="0081146C">
        <w:rPr>
          <w:rStyle w:val="CharDivNo"/>
        </w:rPr>
        <w:t xml:space="preserve"> </w:t>
      </w:r>
      <w:r w:rsidRPr="0081146C">
        <w:rPr>
          <w:rStyle w:val="CharDivText"/>
        </w:rPr>
        <w:t xml:space="preserve"> </w:t>
      </w:r>
    </w:p>
    <w:p w14:paraId="26231F23" w14:textId="77777777" w:rsidR="00E11B4B" w:rsidRPr="0081146C" w:rsidRDefault="00E11B4B" w:rsidP="00E11B4B">
      <w:pPr>
        <w:pStyle w:val="ActHead5"/>
      </w:pPr>
      <w:bookmarkStart w:id="660" w:name="_Toc185416098"/>
      <w:r w:rsidRPr="0081146C">
        <w:rPr>
          <w:rStyle w:val="CharSectno"/>
        </w:rPr>
        <w:t>233A</w:t>
      </w:r>
      <w:r w:rsidRPr="0081146C">
        <w:t xml:space="preserve">  Simplified outline</w:t>
      </w:r>
      <w:bookmarkEnd w:id="660"/>
    </w:p>
    <w:p w14:paraId="2C6E4E11" w14:textId="77777777" w:rsidR="00E11B4B" w:rsidRPr="0081146C" w:rsidRDefault="00E11B4B" w:rsidP="00E11B4B">
      <w:pPr>
        <w:pStyle w:val="subsection"/>
      </w:pPr>
      <w:r w:rsidRPr="0081146C">
        <w:tab/>
      </w:r>
      <w:r w:rsidRPr="0081146C">
        <w:tab/>
        <w:t>The following is a simplified outline of this Part:</w:t>
      </w:r>
    </w:p>
    <w:p w14:paraId="1EB5BF8A" w14:textId="77777777" w:rsidR="00E11B4B" w:rsidRPr="0081146C" w:rsidRDefault="00E11B4B" w:rsidP="004C7868">
      <w:pPr>
        <w:pStyle w:val="SOBullet"/>
      </w:pPr>
      <w:r w:rsidRPr="0081146C">
        <w:t>•</w:t>
      </w:r>
      <w:r w:rsidRPr="0081146C">
        <w:tab/>
        <w:t xml:space="preserve">Certain decisions of delegates of the AUSTRAC CEO may be reviewed by the </w:t>
      </w:r>
      <w:r w:rsidR="001E380A" w:rsidRPr="0081146C">
        <w:t>Administrative Review Tribunal</w:t>
      </w:r>
      <w:r w:rsidRPr="0081146C">
        <w:t xml:space="preserve"> following a process of internal reconsideration by the AUSTRAC CEO.</w:t>
      </w:r>
    </w:p>
    <w:p w14:paraId="3D81D10C" w14:textId="77777777" w:rsidR="00E11B4B" w:rsidRPr="0081146C" w:rsidRDefault="00E11B4B" w:rsidP="004C7868">
      <w:pPr>
        <w:pStyle w:val="SOBullet"/>
      </w:pPr>
      <w:r w:rsidRPr="0081146C">
        <w:t>•</w:t>
      </w:r>
      <w:r w:rsidRPr="0081146C">
        <w:tab/>
        <w:t xml:space="preserve">Certain decisions of the AUSTRAC CEO may be reviewed by the </w:t>
      </w:r>
      <w:r w:rsidR="001E380A" w:rsidRPr="0081146C">
        <w:t>Administrative Review Tribunal</w:t>
      </w:r>
      <w:r w:rsidRPr="0081146C">
        <w:t>.</w:t>
      </w:r>
    </w:p>
    <w:p w14:paraId="383D90E0" w14:textId="77777777" w:rsidR="00E11B4B" w:rsidRPr="0081146C" w:rsidRDefault="00E11B4B" w:rsidP="00E11B4B">
      <w:pPr>
        <w:pStyle w:val="ActHead5"/>
      </w:pPr>
      <w:bookmarkStart w:id="661" w:name="_Toc185416099"/>
      <w:r w:rsidRPr="0081146C">
        <w:rPr>
          <w:rStyle w:val="CharSectno"/>
        </w:rPr>
        <w:t>233B</w:t>
      </w:r>
      <w:r w:rsidRPr="0081146C">
        <w:t xml:space="preserve">  Reviewable decisions</w:t>
      </w:r>
      <w:bookmarkEnd w:id="661"/>
    </w:p>
    <w:p w14:paraId="2CEBC136" w14:textId="77777777" w:rsidR="00E11B4B" w:rsidRPr="0081146C" w:rsidRDefault="00E11B4B" w:rsidP="00E11B4B">
      <w:pPr>
        <w:pStyle w:val="subsection"/>
      </w:pPr>
      <w:r w:rsidRPr="0081146C">
        <w:tab/>
      </w:r>
      <w:r w:rsidRPr="0081146C">
        <w:tab/>
        <w:t xml:space="preserve">For the purposes of this Act, each of the following decisions of the AUSTRAC CEO is a </w:t>
      </w:r>
      <w:r w:rsidRPr="0081146C">
        <w:rPr>
          <w:b/>
          <w:i/>
        </w:rPr>
        <w:t>reviewable decision</w:t>
      </w:r>
      <w:r w:rsidRPr="0081146C">
        <w:t>:</w:t>
      </w:r>
    </w:p>
    <w:p w14:paraId="6B5FF44E" w14:textId="77777777" w:rsidR="00E11B4B" w:rsidRPr="0081146C" w:rsidRDefault="00E11B4B" w:rsidP="00E11B4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E11B4B" w:rsidRPr="0081146C" w14:paraId="4B38EBF8" w14:textId="77777777" w:rsidTr="00457D5F">
        <w:trPr>
          <w:tblHeader/>
        </w:trPr>
        <w:tc>
          <w:tcPr>
            <w:tcW w:w="7089" w:type="dxa"/>
            <w:gridSpan w:val="2"/>
            <w:tcBorders>
              <w:top w:val="single" w:sz="12" w:space="0" w:color="auto"/>
              <w:bottom w:val="single" w:sz="6" w:space="0" w:color="auto"/>
            </w:tcBorders>
            <w:shd w:val="clear" w:color="auto" w:fill="auto"/>
          </w:tcPr>
          <w:p w14:paraId="5B2C3D4F" w14:textId="77777777" w:rsidR="00E11B4B" w:rsidRPr="0081146C" w:rsidRDefault="00E11B4B" w:rsidP="00457D5F">
            <w:pPr>
              <w:pStyle w:val="Tabletext"/>
              <w:keepNext/>
              <w:rPr>
                <w:b/>
              </w:rPr>
            </w:pPr>
            <w:r w:rsidRPr="0081146C">
              <w:rPr>
                <w:b/>
              </w:rPr>
              <w:t>Reviewable decisions</w:t>
            </w:r>
          </w:p>
        </w:tc>
      </w:tr>
      <w:tr w:rsidR="00E11B4B" w:rsidRPr="0081146C" w14:paraId="28505D2E" w14:textId="77777777" w:rsidTr="00457D5F">
        <w:trPr>
          <w:tblHeader/>
        </w:trPr>
        <w:tc>
          <w:tcPr>
            <w:tcW w:w="714" w:type="dxa"/>
            <w:tcBorders>
              <w:top w:val="single" w:sz="6" w:space="0" w:color="auto"/>
              <w:bottom w:val="single" w:sz="12" w:space="0" w:color="auto"/>
            </w:tcBorders>
            <w:shd w:val="clear" w:color="auto" w:fill="auto"/>
          </w:tcPr>
          <w:p w14:paraId="61C174FD" w14:textId="77777777" w:rsidR="00E11B4B" w:rsidRPr="0081146C" w:rsidRDefault="00E11B4B" w:rsidP="00457D5F">
            <w:pPr>
              <w:pStyle w:val="Tabletext"/>
              <w:keepNext/>
              <w:rPr>
                <w:b/>
              </w:rPr>
            </w:pPr>
            <w:r w:rsidRPr="0081146C">
              <w:rPr>
                <w:b/>
              </w:rPr>
              <w:t>Item</w:t>
            </w:r>
          </w:p>
        </w:tc>
        <w:tc>
          <w:tcPr>
            <w:tcW w:w="6375" w:type="dxa"/>
            <w:tcBorders>
              <w:top w:val="single" w:sz="6" w:space="0" w:color="auto"/>
              <w:bottom w:val="single" w:sz="12" w:space="0" w:color="auto"/>
            </w:tcBorders>
            <w:shd w:val="clear" w:color="auto" w:fill="auto"/>
          </w:tcPr>
          <w:p w14:paraId="55B1FD54" w14:textId="77777777" w:rsidR="00E11B4B" w:rsidRPr="0081146C" w:rsidRDefault="00E11B4B" w:rsidP="00457D5F">
            <w:pPr>
              <w:pStyle w:val="Tabletext"/>
              <w:keepNext/>
              <w:rPr>
                <w:b/>
              </w:rPr>
            </w:pPr>
            <w:r w:rsidRPr="0081146C">
              <w:rPr>
                <w:b/>
              </w:rPr>
              <w:t>Decision</w:t>
            </w:r>
          </w:p>
        </w:tc>
      </w:tr>
      <w:tr w:rsidR="00E11B4B" w:rsidRPr="0081146C" w14:paraId="59B4B9C0" w14:textId="77777777" w:rsidTr="00457D5F">
        <w:tc>
          <w:tcPr>
            <w:tcW w:w="714" w:type="dxa"/>
            <w:tcBorders>
              <w:top w:val="single" w:sz="12" w:space="0" w:color="auto"/>
            </w:tcBorders>
            <w:shd w:val="clear" w:color="auto" w:fill="auto"/>
          </w:tcPr>
          <w:p w14:paraId="2E136323" w14:textId="77777777" w:rsidR="00E11B4B" w:rsidRPr="0081146C" w:rsidRDefault="00E11B4B" w:rsidP="00457D5F">
            <w:pPr>
              <w:pStyle w:val="Tabletext"/>
            </w:pPr>
            <w:r w:rsidRPr="0081146C">
              <w:t>1</w:t>
            </w:r>
          </w:p>
        </w:tc>
        <w:tc>
          <w:tcPr>
            <w:tcW w:w="6375" w:type="dxa"/>
            <w:tcBorders>
              <w:top w:val="single" w:sz="12" w:space="0" w:color="auto"/>
            </w:tcBorders>
            <w:shd w:val="clear" w:color="auto" w:fill="auto"/>
          </w:tcPr>
          <w:p w14:paraId="38CEFCBF" w14:textId="77777777" w:rsidR="00E11B4B" w:rsidRPr="0081146C" w:rsidRDefault="00E11B4B" w:rsidP="00457D5F">
            <w:pPr>
              <w:pStyle w:val="Tabletext"/>
            </w:pPr>
            <w:r w:rsidRPr="0081146C">
              <w:t>A decision under subsection</w:t>
            </w:r>
            <w:r w:rsidR="004F64A4" w:rsidRPr="0081146C">
              <w:t> </w:t>
            </w:r>
            <w:r w:rsidRPr="0081146C">
              <w:t>75B(6) or section</w:t>
            </w:r>
            <w:r w:rsidR="004F64A4" w:rsidRPr="0081146C">
              <w:t> </w:t>
            </w:r>
            <w:r w:rsidRPr="0081146C">
              <w:t>75C to refuse to register a person as:</w:t>
            </w:r>
          </w:p>
          <w:p w14:paraId="77C30CB7" w14:textId="77777777" w:rsidR="00E11B4B" w:rsidRPr="0081146C" w:rsidRDefault="00E11B4B" w:rsidP="00457D5F">
            <w:pPr>
              <w:pStyle w:val="Tablea"/>
            </w:pPr>
            <w:r w:rsidRPr="0081146C">
              <w:t>(a) a remittance network provider; or</w:t>
            </w:r>
          </w:p>
          <w:p w14:paraId="10CBC6D0" w14:textId="77777777" w:rsidR="00E11B4B" w:rsidRPr="0081146C" w:rsidRDefault="00E11B4B" w:rsidP="00457D5F">
            <w:pPr>
              <w:pStyle w:val="Tablea"/>
            </w:pPr>
            <w:r w:rsidRPr="0081146C">
              <w:t>(b) an independent remittance dealer; or</w:t>
            </w:r>
          </w:p>
          <w:p w14:paraId="7496D6A0" w14:textId="77777777" w:rsidR="00E11B4B" w:rsidRPr="0081146C" w:rsidRDefault="00E11B4B" w:rsidP="00457D5F">
            <w:pPr>
              <w:pStyle w:val="Tablea"/>
            </w:pPr>
            <w:r w:rsidRPr="0081146C">
              <w:t>(c) a remittance affiliate of a registered remittance network provider.</w:t>
            </w:r>
          </w:p>
        </w:tc>
      </w:tr>
      <w:tr w:rsidR="00E11B4B" w:rsidRPr="0081146C" w14:paraId="3F293CE0" w14:textId="77777777" w:rsidTr="00457D5F">
        <w:tc>
          <w:tcPr>
            <w:tcW w:w="714" w:type="dxa"/>
            <w:shd w:val="clear" w:color="auto" w:fill="auto"/>
          </w:tcPr>
          <w:p w14:paraId="0546DDE2" w14:textId="77777777" w:rsidR="00E11B4B" w:rsidRPr="0081146C" w:rsidRDefault="00E11B4B" w:rsidP="00457D5F">
            <w:pPr>
              <w:pStyle w:val="Tabletext"/>
            </w:pPr>
            <w:r w:rsidRPr="0081146C">
              <w:t>2</w:t>
            </w:r>
          </w:p>
        </w:tc>
        <w:tc>
          <w:tcPr>
            <w:tcW w:w="6375" w:type="dxa"/>
            <w:shd w:val="clear" w:color="auto" w:fill="auto"/>
          </w:tcPr>
          <w:p w14:paraId="0ABAE67F" w14:textId="77777777" w:rsidR="00E11B4B" w:rsidRPr="0081146C" w:rsidRDefault="00E11B4B" w:rsidP="00457D5F">
            <w:pPr>
              <w:pStyle w:val="Tabletext"/>
            </w:pPr>
            <w:r w:rsidRPr="0081146C">
              <w:t>A decision under section</w:t>
            </w:r>
            <w:r w:rsidR="004F64A4" w:rsidRPr="0081146C">
              <w:t> </w:t>
            </w:r>
            <w:r w:rsidRPr="0081146C">
              <w:t>75E to impose conditions to which a person’s registration is subject.</w:t>
            </w:r>
          </w:p>
        </w:tc>
      </w:tr>
      <w:tr w:rsidR="00E11B4B" w:rsidRPr="0081146C" w14:paraId="2B381133" w14:textId="77777777" w:rsidTr="00457D5F">
        <w:tc>
          <w:tcPr>
            <w:tcW w:w="714" w:type="dxa"/>
            <w:shd w:val="clear" w:color="auto" w:fill="auto"/>
          </w:tcPr>
          <w:p w14:paraId="2C1133B2" w14:textId="77777777" w:rsidR="00E11B4B" w:rsidRPr="0081146C" w:rsidRDefault="00E11B4B" w:rsidP="00457D5F">
            <w:pPr>
              <w:pStyle w:val="Tabletext"/>
            </w:pPr>
            <w:r w:rsidRPr="0081146C">
              <w:t>3</w:t>
            </w:r>
          </w:p>
        </w:tc>
        <w:tc>
          <w:tcPr>
            <w:tcW w:w="6375" w:type="dxa"/>
            <w:shd w:val="clear" w:color="auto" w:fill="auto"/>
          </w:tcPr>
          <w:p w14:paraId="2AF8F0BB" w14:textId="77777777" w:rsidR="00E11B4B" w:rsidRPr="0081146C" w:rsidRDefault="00E11B4B" w:rsidP="00457D5F">
            <w:pPr>
              <w:pStyle w:val="Tabletext"/>
            </w:pPr>
            <w:r w:rsidRPr="0081146C">
              <w:t>A decision under section</w:t>
            </w:r>
            <w:r w:rsidR="004F64A4" w:rsidRPr="0081146C">
              <w:t> </w:t>
            </w:r>
            <w:r w:rsidRPr="0081146C">
              <w:t>75G to cancel a person’s registration.</w:t>
            </w:r>
          </w:p>
        </w:tc>
      </w:tr>
      <w:tr w:rsidR="001A02B6" w:rsidRPr="0081146C" w14:paraId="01742E53" w14:textId="77777777" w:rsidTr="00457D5F">
        <w:tc>
          <w:tcPr>
            <w:tcW w:w="714" w:type="dxa"/>
            <w:shd w:val="clear" w:color="auto" w:fill="auto"/>
          </w:tcPr>
          <w:p w14:paraId="20F88E26" w14:textId="77777777" w:rsidR="001A02B6" w:rsidRPr="0081146C" w:rsidRDefault="001A02B6" w:rsidP="00457D5F">
            <w:pPr>
              <w:pStyle w:val="Tabletext"/>
            </w:pPr>
            <w:r w:rsidRPr="0081146C">
              <w:t>3A</w:t>
            </w:r>
          </w:p>
        </w:tc>
        <w:tc>
          <w:tcPr>
            <w:tcW w:w="6375" w:type="dxa"/>
            <w:shd w:val="clear" w:color="auto" w:fill="auto"/>
          </w:tcPr>
          <w:p w14:paraId="7A71F941" w14:textId="6A40540F" w:rsidR="001A02B6" w:rsidRPr="0081146C" w:rsidRDefault="001A02B6" w:rsidP="00457D5F">
            <w:pPr>
              <w:pStyle w:val="Tabletext"/>
            </w:pPr>
            <w:r w:rsidRPr="0081146C">
              <w:t>A decision under subsection</w:t>
            </w:r>
            <w:r w:rsidR="004F64A4" w:rsidRPr="0081146C">
              <w:t> </w:t>
            </w:r>
            <w:r w:rsidRPr="0081146C">
              <w:t>76D(4) or section</w:t>
            </w:r>
            <w:r w:rsidR="004F64A4" w:rsidRPr="0081146C">
              <w:t> </w:t>
            </w:r>
            <w:r w:rsidRPr="0081146C">
              <w:t xml:space="preserve">76E to refuse to register a person as a </w:t>
            </w:r>
            <w:r w:rsidR="00B04A45" w:rsidRPr="0081146C">
              <w:t>virtual asset service</w:t>
            </w:r>
            <w:r w:rsidRPr="0081146C">
              <w:t xml:space="preserve"> provider.</w:t>
            </w:r>
          </w:p>
        </w:tc>
      </w:tr>
      <w:tr w:rsidR="001A02B6" w:rsidRPr="0081146C" w14:paraId="7BCC2ADE" w14:textId="77777777" w:rsidTr="00457D5F">
        <w:tc>
          <w:tcPr>
            <w:tcW w:w="714" w:type="dxa"/>
            <w:shd w:val="clear" w:color="auto" w:fill="auto"/>
          </w:tcPr>
          <w:p w14:paraId="6121D56E" w14:textId="77777777" w:rsidR="001A02B6" w:rsidRPr="0081146C" w:rsidRDefault="001A02B6" w:rsidP="00457D5F">
            <w:pPr>
              <w:pStyle w:val="Tabletext"/>
            </w:pPr>
            <w:r w:rsidRPr="0081146C">
              <w:t>3B</w:t>
            </w:r>
          </w:p>
        </w:tc>
        <w:tc>
          <w:tcPr>
            <w:tcW w:w="6375" w:type="dxa"/>
            <w:shd w:val="clear" w:color="auto" w:fill="auto"/>
          </w:tcPr>
          <w:p w14:paraId="6A05CE67" w14:textId="77777777" w:rsidR="001A02B6" w:rsidRPr="0081146C" w:rsidRDefault="001A02B6" w:rsidP="00457D5F">
            <w:pPr>
              <w:pStyle w:val="Tabletext"/>
            </w:pPr>
            <w:r w:rsidRPr="0081146C">
              <w:t>A decision under section</w:t>
            </w:r>
            <w:r w:rsidR="004F64A4" w:rsidRPr="0081146C">
              <w:t> </w:t>
            </w:r>
            <w:r w:rsidRPr="0081146C">
              <w:t>76G to impose conditions to which a person’s registration is subject.</w:t>
            </w:r>
          </w:p>
        </w:tc>
      </w:tr>
      <w:tr w:rsidR="001A02B6" w:rsidRPr="0081146C" w14:paraId="1432D731" w14:textId="77777777" w:rsidTr="00457D5F">
        <w:tc>
          <w:tcPr>
            <w:tcW w:w="714" w:type="dxa"/>
            <w:shd w:val="clear" w:color="auto" w:fill="auto"/>
          </w:tcPr>
          <w:p w14:paraId="6295849A" w14:textId="77777777" w:rsidR="001A02B6" w:rsidRPr="0081146C" w:rsidRDefault="001A02B6" w:rsidP="00457D5F">
            <w:pPr>
              <w:pStyle w:val="Tabletext"/>
            </w:pPr>
            <w:r w:rsidRPr="0081146C">
              <w:t>3C</w:t>
            </w:r>
          </w:p>
        </w:tc>
        <w:tc>
          <w:tcPr>
            <w:tcW w:w="6375" w:type="dxa"/>
            <w:shd w:val="clear" w:color="auto" w:fill="auto"/>
          </w:tcPr>
          <w:p w14:paraId="1D0CEED3" w14:textId="77777777" w:rsidR="001A02B6" w:rsidRPr="0081146C" w:rsidRDefault="001A02B6" w:rsidP="00457D5F">
            <w:pPr>
              <w:pStyle w:val="Tabletext"/>
            </w:pPr>
            <w:r w:rsidRPr="0081146C">
              <w:t>A decision under section</w:t>
            </w:r>
            <w:r w:rsidR="004F64A4" w:rsidRPr="0081146C">
              <w:t> </w:t>
            </w:r>
            <w:r w:rsidRPr="0081146C">
              <w:t>76J to cancel a person’s registration.</w:t>
            </w:r>
          </w:p>
        </w:tc>
      </w:tr>
      <w:tr w:rsidR="00E11B4B" w:rsidRPr="0081146C" w14:paraId="7DA2E526" w14:textId="77777777" w:rsidTr="00457D5F">
        <w:tc>
          <w:tcPr>
            <w:tcW w:w="714" w:type="dxa"/>
            <w:shd w:val="clear" w:color="auto" w:fill="auto"/>
          </w:tcPr>
          <w:p w14:paraId="7D7631AA" w14:textId="77777777" w:rsidR="00E11B4B" w:rsidRPr="0081146C" w:rsidRDefault="00E11B4B" w:rsidP="00606538">
            <w:pPr>
              <w:pStyle w:val="Tabletext"/>
              <w:keepNext/>
            </w:pPr>
            <w:r w:rsidRPr="0081146C">
              <w:t>4</w:t>
            </w:r>
          </w:p>
        </w:tc>
        <w:tc>
          <w:tcPr>
            <w:tcW w:w="6375" w:type="dxa"/>
            <w:shd w:val="clear" w:color="auto" w:fill="auto"/>
          </w:tcPr>
          <w:p w14:paraId="3A5C2FCF" w14:textId="77777777" w:rsidR="00E11B4B" w:rsidRPr="0081146C" w:rsidRDefault="00E11B4B" w:rsidP="00606538">
            <w:pPr>
              <w:pStyle w:val="Tabletext"/>
              <w:keepNext/>
              <w:tabs>
                <w:tab w:val="left" w:pos="570"/>
              </w:tabs>
            </w:pPr>
            <w:r w:rsidRPr="0081146C">
              <w:t>A decision under sub</w:t>
            </w:r>
            <w:r w:rsidR="003B7E15" w:rsidRPr="0081146C">
              <w:t>section 1</w:t>
            </w:r>
            <w:r w:rsidRPr="0081146C">
              <w:t>61(2) to require certain things of a reporting entity.</w:t>
            </w:r>
          </w:p>
        </w:tc>
      </w:tr>
      <w:tr w:rsidR="00E11B4B" w:rsidRPr="0081146C" w14:paraId="5671A2BC" w14:textId="77777777" w:rsidTr="00457D5F">
        <w:tc>
          <w:tcPr>
            <w:tcW w:w="714" w:type="dxa"/>
            <w:tcBorders>
              <w:bottom w:val="single" w:sz="4" w:space="0" w:color="auto"/>
            </w:tcBorders>
            <w:shd w:val="clear" w:color="auto" w:fill="auto"/>
          </w:tcPr>
          <w:p w14:paraId="6D3DD18C" w14:textId="77777777" w:rsidR="00E11B4B" w:rsidRPr="0081146C" w:rsidRDefault="00E11B4B" w:rsidP="00457D5F">
            <w:pPr>
              <w:pStyle w:val="Tabletext"/>
            </w:pPr>
            <w:r w:rsidRPr="0081146C">
              <w:t>5</w:t>
            </w:r>
          </w:p>
        </w:tc>
        <w:tc>
          <w:tcPr>
            <w:tcW w:w="6375" w:type="dxa"/>
            <w:tcBorders>
              <w:bottom w:val="single" w:sz="4" w:space="0" w:color="auto"/>
            </w:tcBorders>
            <w:shd w:val="clear" w:color="auto" w:fill="auto"/>
          </w:tcPr>
          <w:p w14:paraId="779CD3AE" w14:textId="77777777" w:rsidR="00E11B4B" w:rsidRPr="0081146C" w:rsidRDefault="00E11B4B" w:rsidP="00457D5F">
            <w:pPr>
              <w:pStyle w:val="Tabletext"/>
              <w:tabs>
                <w:tab w:val="left" w:pos="570"/>
              </w:tabs>
            </w:pPr>
            <w:r w:rsidRPr="0081146C">
              <w:t>A decision under subparagraph</w:t>
            </w:r>
            <w:r w:rsidR="004F64A4" w:rsidRPr="0081146C">
              <w:t> </w:t>
            </w:r>
            <w:r w:rsidRPr="0081146C">
              <w:t>161(2)(d)(ii) not to allow a longer period.</w:t>
            </w:r>
          </w:p>
        </w:tc>
      </w:tr>
      <w:tr w:rsidR="00E11B4B" w:rsidRPr="0081146C" w14:paraId="597A197C" w14:textId="77777777" w:rsidTr="00045953">
        <w:tc>
          <w:tcPr>
            <w:tcW w:w="714" w:type="dxa"/>
            <w:shd w:val="clear" w:color="auto" w:fill="auto"/>
          </w:tcPr>
          <w:p w14:paraId="607CEF1F" w14:textId="77777777" w:rsidR="00E11B4B" w:rsidRPr="0081146C" w:rsidRDefault="00E11B4B" w:rsidP="00457D5F">
            <w:pPr>
              <w:pStyle w:val="Tabletext"/>
            </w:pPr>
            <w:r w:rsidRPr="0081146C">
              <w:t>6</w:t>
            </w:r>
          </w:p>
        </w:tc>
        <w:tc>
          <w:tcPr>
            <w:tcW w:w="6375" w:type="dxa"/>
            <w:shd w:val="clear" w:color="auto" w:fill="auto"/>
          </w:tcPr>
          <w:p w14:paraId="33EE5686" w14:textId="77777777" w:rsidR="00E11B4B" w:rsidRPr="0081146C" w:rsidRDefault="00E11B4B" w:rsidP="00457D5F">
            <w:pPr>
              <w:pStyle w:val="Tabletext"/>
              <w:tabs>
                <w:tab w:val="left" w:pos="570"/>
              </w:tabs>
            </w:pPr>
            <w:r w:rsidRPr="0081146C">
              <w:t>A decision under sub</w:t>
            </w:r>
            <w:r w:rsidR="003B7E15" w:rsidRPr="0081146C">
              <w:t>section 1</w:t>
            </w:r>
            <w:r w:rsidRPr="0081146C">
              <w:t>91(2) to give a reporting entity a direction.</w:t>
            </w:r>
          </w:p>
        </w:tc>
      </w:tr>
      <w:tr w:rsidR="001A02B6" w:rsidRPr="0081146C" w14:paraId="303F6EB2" w14:textId="77777777" w:rsidTr="00457D5F">
        <w:tc>
          <w:tcPr>
            <w:tcW w:w="714" w:type="dxa"/>
            <w:tcBorders>
              <w:bottom w:val="single" w:sz="12" w:space="0" w:color="auto"/>
            </w:tcBorders>
            <w:shd w:val="clear" w:color="auto" w:fill="auto"/>
          </w:tcPr>
          <w:p w14:paraId="3C309CD6" w14:textId="77777777" w:rsidR="001A02B6" w:rsidRPr="0081146C" w:rsidRDefault="001A02B6" w:rsidP="00457D5F">
            <w:pPr>
              <w:pStyle w:val="Tabletext"/>
            </w:pPr>
            <w:r w:rsidRPr="0081146C">
              <w:t>7</w:t>
            </w:r>
          </w:p>
        </w:tc>
        <w:tc>
          <w:tcPr>
            <w:tcW w:w="6375" w:type="dxa"/>
            <w:tcBorders>
              <w:bottom w:val="single" w:sz="12" w:space="0" w:color="auto"/>
            </w:tcBorders>
            <w:shd w:val="clear" w:color="auto" w:fill="auto"/>
          </w:tcPr>
          <w:p w14:paraId="2FFDA213" w14:textId="77777777" w:rsidR="001A02B6" w:rsidRPr="0081146C" w:rsidRDefault="001A02B6" w:rsidP="00457D5F">
            <w:pPr>
              <w:pStyle w:val="Tabletext"/>
              <w:tabs>
                <w:tab w:val="left" w:pos="570"/>
              </w:tabs>
            </w:pPr>
            <w:r w:rsidRPr="0081146C">
              <w:t>A decision that is declared by the AML/CTF Rules under paragraph</w:t>
            </w:r>
            <w:r w:rsidR="004F64A4" w:rsidRPr="0081146C">
              <w:t> </w:t>
            </w:r>
            <w:r w:rsidRPr="0081146C">
              <w:t>75H(2)(g), 75J(2)(f), 76K(2)(f) or 76L(2)(f) to be a reviewable decision for the purposes of this section.</w:t>
            </w:r>
          </w:p>
        </w:tc>
      </w:tr>
    </w:tbl>
    <w:p w14:paraId="0C867A8F" w14:textId="77777777" w:rsidR="00E11B4B" w:rsidRPr="0081146C" w:rsidRDefault="00E11B4B" w:rsidP="00E11B4B">
      <w:pPr>
        <w:pStyle w:val="ActHead5"/>
      </w:pPr>
      <w:bookmarkStart w:id="662" w:name="_Toc185416100"/>
      <w:r w:rsidRPr="0081146C">
        <w:rPr>
          <w:rStyle w:val="CharSectno"/>
        </w:rPr>
        <w:t>233C</w:t>
      </w:r>
      <w:r w:rsidRPr="0081146C">
        <w:t xml:space="preserve">  Giving notice of reviewable decisions</w:t>
      </w:r>
      <w:bookmarkEnd w:id="662"/>
    </w:p>
    <w:p w14:paraId="1E1875E6" w14:textId="77777777" w:rsidR="00E11B4B" w:rsidRPr="0081146C" w:rsidRDefault="00E11B4B" w:rsidP="00E11B4B">
      <w:pPr>
        <w:pStyle w:val="subsection"/>
      </w:pPr>
      <w:r w:rsidRPr="0081146C">
        <w:tab/>
        <w:t>(1)</w:t>
      </w:r>
      <w:r w:rsidRPr="0081146C">
        <w:tab/>
        <w:t>The AUSTRAC CEO must, as soon as practicable after a reviewable decision is made in relation to one or more persons, give a written notice to each of the persons containing:</w:t>
      </w:r>
    </w:p>
    <w:p w14:paraId="2B6FCA01" w14:textId="77777777" w:rsidR="00E11B4B" w:rsidRPr="0081146C" w:rsidRDefault="00E11B4B" w:rsidP="00E11B4B">
      <w:pPr>
        <w:pStyle w:val="paragraph"/>
      </w:pPr>
      <w:r w:rsidRPr="0081146C">
        <w:tab/>
        <w:t>(a)</w:t>
      </w:r>
      <w:r w:rsidRPr="0081146C">
        <w:tab/>
        <w:t>the terms of the decision; and</w:t>
      </w:r>
    </w:p>
    <w:p w14:paraId="7AA54CD8" w14:textId="77777777" w:rsidR="00E11B4B" w:rsidRPr="0081146C" w:rsidRDefault="00E11B4B" w:rsidP="00E11B4B">
      <w:pPr>
        <w:pStyle w:val="paragraph"/>
      </w:pPr>
      <w:r w:rsidRPr="0081146C">
        <w:tab/>
        <w:t>(b)</w:t>
      </w:r>
      <w:r w:rsidRPr="0081146C">
        <w:tab/>
        <w:t>for a decision under section</w:t>
      </w:r>
      <w:r w:rsidR="004F64A4" w:rsidRPr="0081146C">
        <w:t> </w:t>
      </w:r>
      <w:r w:rsidRPr="0081146C">
        <w:t>75G</w:t>
      </w:r>
      <w:r w:rsidR="0049002F" w:rsidRPr="0081146C">
        <w:t xml:space="preserve"> or 76J</w:t>
      </w:r>
      <w:r w:rsidRPr="0081146C">
        <w:t xml:space="preserve"> to cancel a person’s registration—the date the cancellation takes effect; and</w:t>
      </w:r>
    </w:p>
    <w:p w14:paraId="3281FB6C" w14:textId="77777777" w:rsidR="00E11B4B" w:rsidRPr="0081146C" w:rsidRDefault="00E11B4B" w:rsidP="00E11B4B">
      <w:pPr>
        <w:pStyle w:val="paragraph"/>
      </w:pPr>
      <w:r w:rsidRPr="0081146C">
        <w:tab/>
        <w:t>(c)</w:t>
      </w:r>
      <w:r w:rsidRPr="0081146C">
        <w:tab/>
        <w:t>the reasons for the decision; and</w:t>
      </w:r>
    </w:p>
    <w:p w14:paraId="3F9728F0" w14:textId="77777777" w:rsidR="00E11B4B" w:rsidRPr="0081146C" w:rsidRDefault="00E11B4B" w:rsidP="00E11B4B">
      <w:pPr>
        <w:pStyle w:val="paragraph"/>
      </w:pPr>
      <w:r w:rsidRPr="0081146C">
        <w:tab/>
        <w:t>(d)</w:t>
      </w:r>
      <w:r w:rsidRPr="0081146C">
        <w:tab/>
        <w:t>a statement setting out particulars of the persons’ right to have the decision reviewed under this Part.</w:t>
      </w:r>
    </w:p>
    <w:p w14:paraId="250A5CB3" w14:textId="77777777" w:rsidR="00E11B4B" w:rsidRPr="0081146C" w:rsidRDefault="00E11B4B" w:rsidP="00E11B4B">
      <w:pPr>
        <w:pStyle w:val="notetext"/>
      </w:pPr>
      <w:r w:rsidRPr="0081146C">
        <w:t>Note:</w:t>
      </w:r>
      <w:r w:rsidRPr="0081146C">
        <w:tab/>
        <w:t>An example of a reviewable decision made in relation to 2 persons is a decision refusing to register a person as a remittance affiliate of a registered remittance network provider, if the provider applied under subsection</w:t>
      </w:r>
      <w:r w:rsidR="004F64A4" w:rsidRPr="0081146C">
        <w:t> </w:t>
      </w:r>
      <w:r w:rsidRPr="0081146C">
        <w:t>75B(2) for that person to be so registered.</w:t>
      </w:r>
    </w:p>
    <w:p w14:paraId="19930CE1" w14:textId="77777777" w:rsidR="00E11B4B" w:rsidRPr="0081146C" w:rsidRDefault="00E11B4B" w:rsidP="00E11B4B">
      <w:pPr>
        <w:pStyle w:val="subsection"/>
      </w:pPr>
      <w:r w:rsidRPr="0081146C">
        <w:tab/>
        <w:t>(2)</w:t>
      </w:r>
      <w:r w:rsidRPr="0081146C">
        <w:tab/>
      </w:r>
      <w:r w:rsidR="004F64A4" w:rsidRPr="0081146C">
        <w:t>Subsection (</w:t>
      </w:r>
      <w:r w:rsidRPr="0081146C">
        <w:t xml:space="preserve">1) does not apply to reviewable decisions taken to be made because of the operation of </w:t>
      </w:r>
      <w:r w:rsidR="0049002F" w:rsidRPr="0081146C">
        <w:t>subsection</w:t>
      </w:r>
      <w:r w:rsidR="004F64A4" w:rsidRPr="0081146C">
        <w:t> </w:t>
      </w:r>
      <w:r w:rsidR="0049002F" w:rsidRPr="0081146C">
        <w:t>75B(6) or 76D(4) (about deemed refusals)</w:t>
      </w:r>
      <w:r w:rsidRPr="0081146C">
        <w:t>.</w:t>
      </w:r>
    </w:p>
    <w:p w14:paraId="3961E303" w14:textId="77777777" w:rsidR="00E11B4B" w:rsidRPr="0081146C" w:rsidRDefault="00E11B4B" w:rsidP="00E11B4B">
      <w:pPr>
        <w:pStyle w:val="ActHead5"/>
      </w:pPr>
      <w:bookmarkStart w:id="663" w:name="_Toc185416101"/>
      <w:r w:rsidRPr="0081146C">
        <w:rPr>
          <w:rStyle w:val="CharSectno"/>
        </w:rPr>
        <w:t>233D</w:t>
      </w:r>
      <w:r w:rsidRPr="0081146C">
        <w:t xml:space="preserve">  Applications for reconsideration of decisions made by delegates of the AUSTRAC CEO</w:t>
      </w:r>
      <w:bookmarkEnd w:id="663"/>
    </w:p>
    <w:p w14:paraId="7B4ECAAB" w14:textId="77777777" w:rsidR="00E11B4B" w:rsidRPr="0081146C" w:rsidRDefault="00E11B4B" w:rsidP="00E11B4B">
      <w:pPr>
        <w:pStyle w:val="subsection"/>
      </w:pPr>
      <w:r w:rsidRPr="0081146C">
        <w:tab/>
        <w:t>(1)</w:t>
      </w:r>
      <w:r w:rsidRPr="0081146C">
        <w:tab/>
        <w:t>This section applies to a reviewable decision if the decision is made by a delegate of the AUSTRAC CEO.</w:t>
      </w:r>
    </w:p>
    <w:p w14:paraId="18C2077F" w14:textId="77777777" w:rsidR="00E11B4B" w:rsidRPr="0081146C" w:rsidRDefault="00E11B4B" w:rsidP="00E11B4B">
      <w:pPr>
        <w:pStyle w:val="notetext"/>
      </w:pPr>
      <w:r w:rsidRPr="0081146C">
        <w:t>Note:</w:t>
      </w:r>
      <w:r w:rsidRPr="0081146C">
        <w:tab/>
        <w:t xml:space="preserve">Reviewable decisions made by the AUSTRAC CEO personally may be reviewed by the </w:t>
      </w:r>
      <w:r w:rsidR="00D524FF" w:rsidRPr="0081146C">
        <w:t>Administrative Review Tribunal</w:t>
      </w:r>
      <w:r w:rsidRPr="0081146C">
        <w:t xml:space="preserve"> (see paragraph</w:t>
      </w:r>
      <w:r w:rsidR="004F64A4" w:rsidRPr="0081146C">
        <w:t> </w:t>
      </w:r>
      <w:r w:rsidRPr="0081146C">
        <w:t>233F(b)).</w:t>
      </w:r>
    </w:p>
    <w:p w14:paraId="66A652E6" w14:textId="77777777" w:rsidR="00E11B4B" w:rsidRPr="0081146C" w:rsidRDefault="00E11B4B" w:rsidP="00E11B4B">
      <w:pPr>
        <w:pStyle w:val="subsection"/>
      </w:pPr>
      <w:r w:rsidRPr="0081146C">
        <w:tab/>
        <w:t>(2)</w:t>
      </w:r>
      <w:r w:rsidRPr="0081146C">
        <w:tab/>
        <w:t>A person affected by a reviewable decision who is dissatisfied with the decision may apply to the AUSTRAC CEO for the decision to be reconsidered.</w:t>
      </w:r>
    </w:p>
    <w:p w14:paraId="15C73180" w14:textId="77777777" w:rsidR="00E11B4B" w:rsidRPr="0081146C" w:rsidRDefault="00E11B4B" w:rsidP="00E11B4B">
      <w:pPr>
        <w:pStyle w:val="subsection"/>
      </w:pPr>
      <w:r w:rsidRPr="0081146C">
        <w:tab/>
        <w:t>(3)</w:t>
      </w:r>
      <w:r w:rsidRPr="0081146C">
        <w:tab/>
        <w:t>The application must:</w:t>
      </w:r>
    </w:p>
    <w:p w14:paraId="15C2BD37" w14:textId="77777777" w:rsidR="00E11B4B" w:rsidRPr="0081146C" w:rsidRDefault="00E11B4B" w:rsidP="00E11B4B">
      <w:pPr>
        <w:pStyle w:val="paragraph"/>
      </w:pPr>
      <w:r w:rsidRPr="0081146C">
        <w:tab/>
        <w:t>(a)</w:t>
      </w:r>
      <w:r w:rsidRPr="0081146C">
        <w:tab/>
        <w:t>be in the approved form; and</w:t>
      </w:r>
    </w:p>
    <w:p w14:paraId="6AE1A5EB" w14:textId="77777777" w:rsidR="00E11B4B" w:rsidRPr="0081146C" w:rsidRDefault="00E11B4B" w:rsidP="00E11B4B">
      <w:pPr>
        <w:pStyle w:val="paragraph"/>
      </w:pPr>
      <w:r w:rsidRPr="0081146C">
        <w:tab/>
        <w:t>(b)</w:t>
      </w:r>
      <w:r w:rsidRPr="0081146C">
        <w:tab/>
        <w:t>contain the information required by the AML/CTF Rules; and</w:t>
      </w:r>
    </w:p>
    <w:p w14:paraId="6DA71863" w14:textId="77777777" w:rsidR="00E11B4B" w:rsidRPr="0081146C" w:rsidRDefault="00E11B4B" w:rsidP="00E11B4B">
      <w:pPr>
        <w:pStyle w:val="paragraph"/>
      </w:pPr>
      <w:r w:rsidRPr="0081146C">
        <w:tab/>
        <w:t>(c)</w:t>
      </w:r>
      <w:r w:rsidRPr="0081146C">
        <w:tab/>
        <w:t>be made within:</w:t>
      </w:r>
    </w:p>
    <w:p w14:paraId="3E5F7D15" w14:textId="77777777" w:rsidR="00E11B4B" w:rsidRPr="0081146C" w:rsidRDefault="00E11B4B" w:rsidP="00E11B4B">
      <w:pPr>
        <w:pStyle w:val="paragraphsub"/>
      </w:pPr>
      <w:r w:rsidRPr="0081146C">
        <w:tab/>
        <w:t>(i)</w:t>
      </w:r>
      <w:r w:rsidRPr="0081146C">
        <w:tab/>
        <w:t>30 days after the applicant is informed of the decision; or</w:t>
      </w:r>
    </w:p>
    <w:p w14:paraId="704E76DA" w14:textId="77777777" w:rsidR="00E11B4B" w:rsidRPr="0081146C" w:rsidRDefault="00E11B4B" w:rsidP="00E11B4B">
      <w:pPr>
        <w:pStyle w:val="paragraphsub"/>
      </w:pPr>
      <w:r w:rsidRPr="0081146C">
        <w:tab/>
        <w:t>(ii)</w:t>
      </w:r>
      <w:r w:rsidRPr="0081146C">
        <w:tab/>
        <w:t>such longer period as the AUSTRAC CEO (whether before or after the end of the 30 day period) allows.</w:t>
      </w:r>
    </w:p>
    <w:p w14:paraId="0D327C70" w14:textId="77777777" w:rsidR="00E11B4B" w:rsidRPr="0081146C" w:rsidRDefault="00E11B4B" w:rsidP="00E11B4B">
      <w:pPr>
        <w:pStyle w:val="subsection"/>
      </w:pPr>
      <w:r w:rsidRPr="0081146C">
        <w:tab/>
        <w:t>(4)</w:t>
      </w:r>
      <w:r w:rsidRPr="0081146C">
        <w:tab/>
        <w:t>An approved form of an application may provide for verification by statutory declaration of statements in applications.</w:t>
      </w:r>
    </w:p>
    <w:p w14:paraId="64DC963F" w14:textId="77777777" w:rsidR="00E11B4B" w:rsidRPr="0081146C" w:rsidRDefault="00E11B4B" w:rsidP="00E11B4B">
      <w:pPr>
        <w:pStyle w:val="ActHead5"/>
      </w:pPr>
      <w:bookmarkStart w:id="664" w:name="_Toc185416102"/>
      <w:r w:rsidRPr="0081146C">
        <w:rPr>
          <w:rStyle w:val="CharSectno"/>
        </w:rPr>
        <w:t>233E</w:t>
      </w:r>
      <w:r w:rsidRPr="0081146C">
        <w:t xml:space="preserve">  Reconsideration of reviewable decisions</w:t>
      </w:r>
      <w:bookmarkEnd w:id="664"/>
    </w:p>
    <w:p w14:paraId="7D7CEC9D" w14:textId="77777777" w:rsidR="00E11B4B" w:rsidRPr="0081146C" w:rsidRDefault="00E11B4B" w:rsidP="00E11B4B">
      <w:pPr>
        <w:pStyle w:val="subsection"/>
      </w:pPr>
      <w:r w:rsidRPr="0081146C">
        <w:tab/>
        <w:t>(1)</w:t>
      </w:r>
      <w:r w:rsidRPr="0081146C">
        <w:tab/>
        <w:t>Upon receiving an application under section</w:t>
      </w:r>
      <w:r w:rsidR="004F64A4" w:rsidRPr="0081146C">
        <w:t> </w:t>
      </w:r>
      <w:r w:rsidRPr="0081146C">
        <w:t>233D, the AUSTRAC CEO must reconsider the reviewable decision.</w:t>
      </w:r>
    </w:p>
    <w:p w14:paraId="3C8E3B4C" w14:textId="77777777" w:rsidR="00E11B4B" w:rsidRPr="0081146C" w:rsidRDefault="00E11B4B" w:rsidP="00E11B4B">
      <w:pPr>
        <w:pStyle w:val="subsection"/>
      </w:pPr>
      <w:r w:rsidRPr="0081146C">
        <w:tab/>
        <w:t>(2)</w:t>
      </w:r>
      <w:r w:rsidRPr="0081146C">
        <w:tab/>
        <w:t>The AUSTRAC CEO must:</w:t>
      </w:r>
    </w:p>
    <w:p w14:paraId="37859A9E" w14:textId="77777777" w:rsidR="00E11B4B" w:rsidRPr="0081146C" w:rsidRDefault="00E11B4B" w:rsidP="00E11B4B">
      <w:pPr>
        <w:pStyle w:val="paragraph"/>
      </w:pPr>
      <w:r w:rsidRPr="0081146C">
        <w:tab/>
        <w:t>(a)</w:t>
      </w:r>
      <w:r w:rsidRPr="0081146C">
        <w:tab/>
        <w:t>affirm, vary or revoke the reviewable decision; and</w:t>
      </w:r>
    </w:p>
    <w:p w14:paraId="1B89683B" w14:textId="77777777" w:rsidR="00E11B4B" w:rsidRPr="0081146C" w:rsidRDefault="00E11B4B" w:rsidP="00E11B4B">
      <w:pPr>
        <w:pStyle w:val="paragraph"/>
      </w:pPr>
      <w:r w:rsidRPr="0081146C">
        <w:tab/>
        <w:t>(b)</w:t>
      </w:r>
      <w:r w:rsidRPr="0081146C">
        <w:tab/>
        <w:t>if the AUSTRAC CEO revokes the reviewable decision, make such other decision (if any) as the AUSTRAC CEO thinks appropriate.</w:t>
      </w:r>
    </w:p>
    <w:p w14:paraId="01706831" w14:textId="77777777" w:rsidR="00E11B4B" w:rsidRPr="0081146C" w:rsidRDefault="00E11B4B" w:rsidP="00E11B4B">
      <w:pPr>
        <w:pStyle w:val="subsection"/>
      </w:pPr>
      <w:r w:rsidRPr="0081146C">
        <w:tab/>
        <w:t>(3)</w:t>
      </w:r>
      <w:r w:rsidRPr="0081146C">
        <w:tab/>
        <w:t>The AUSTRAC CEO’s reconsideration must be done by the AUSTRAC CEO personally, or by a person to whom the AUSTRAC CEO’s power under this section is delegated who:</w:t>
      </w:r>
    </w:p>
    <w:p w14:paraId="5059E196" w14:textId="77777777" w:rsidR="00E11B4B" w:rsidRPr="0081146C" w:rsidRDefault="00E11B4B" w:rsidP="00E11B4B">
      <w:pPr>
        <w:pStyle w:val="paragraph"/>
      </w:pPr>
      <w:r w:rsidRPr="0081146C">
        <w:tab/>
        <w:t>(a)</w:t>
      </w:r>
      <w:r w:rsidRPr="0081146C">
        <w:tab/>
        <w:t>was not involved in making the reviewable decision; and</w:t>
      </w:r>
    </w:p>
    <w:p w14:paraId="233023C4" w14:textId="77777777" w:rsidR="00E11B4B" w:rsidRPr="0081146C" w:rsidRDefault="00E11B4B" w:rsidP="00E11B4B">
      <w:pPr>
        <w:pStyle w:val="paragraph"/>
      </w:pPr>
      <w:r w:rsidRPr="0081146C">
        <w:tab/>
        <w:t>(b)</w:t>
      </w:r>
      <w:r w:rsidRPr="0081146C">
        <w:tab/>
        <w:t>occupies a position in AUSTRAC that is senior to that occupied by any person involved in making the reviewable decision.</w:t>
      </w:r>
    </w:p>
    <w:p w14:paraId="08D8E734" w14:textId="77777777" w:rsidR="00E11B4B" w:rsidRPr="0081146C" w:rsidRDefault="00E11B4B" w:rsidP="00E11B4B">
      <w:pPr>
        <w:pStyle w:val="subsection"/>
      </w:pPr>
      <w:r w:rsidRPr="0081146C">
        <w:tab/>
        <w:t>(4)</w:t>
      </w:r>
      <w:r w:rsidRPr="0081146C">
        <w:tab/>
        <w:t xml:space="preserve">The AUSTRAC CEO must, as soon as practicable after making a decision under </w:t>
      </w:r>
      <w:r w:rsidR="004F64A4" w:rsidRPr="0081146C">
        <w:t>subsection (</w:t>
      </w:r>
      <w:r w:rsidRPr="0081146C">
        <w:t>2), give written notice to the applicant of:</w:t>
      </w:r>
    </w:p>
    <w:p w14:paraId="042A76EF" w14:textId="77777777" w:rsidR="00E11B4B" w:rsidRPr="0081146C" w:rsidRDefault="00E11B4B" w:rsidP="00E11B4B">
      <w:pPr>
        <w:pStyle w:val="paragraph"/>
      </w:pPr>
      <w:r w:rsidRPr="0081146C">
        <w:tab/>
        <w:t>(a)</w:t>
      </w:r>
      <w:r w:rsidRPr="0081146C">
        <w:tab/>
        <w:t>the decision; and</w:t>
      </w:r>
    </w:p>
    <w:p w14:paraId="6C215569" w14:textId="77777777" w:rsidR="00E11B4B" w:rsidRPr="0081146C" w:rsidRDefault="00E11B4B" w:rsidP="00E11B4B">
      <w:pPr>
        <w:pStyle w:val="paragraph"/>
      </w:pPr>
      <w:r w:rsidRPr="0081146C">
        <w:tab/>
        <w:t>(b)</w:t>
      </w:r>
      <w:r w:rsidRPr="0081146C">
        <w:tab/>
        <w:t>if the decision is to cancel a person’s registration—the date the cancellation takes effect; and</w:t>
      </w:r>
    </w:p>
    <w:p w14:paraId="55D68BE3" w14:textId="77777777" w:rsidR="00E11B4B" w:rsidRPr="0081146C" w:rsidRDefault="00E11B4B" w:rsidP="00E11B4B">
      <w:pPr>
        <w:pStyle w:val="paragraph"/>
      </w:pPr>
      <w:r w:rsidRPr="0081146C">
        <w:tab/>
        <w:t>(c)</w:t>
      </w:r>
      <w:r w:rsidRPr="0081146C">
        <w:tab/>
        <w:t>the reasons for the decision; and</w:t>
      </w:r>
    </w:p>
    <w:p w14:paraId="22C16F4A" w14:textId="77777777" w:rsidR="00E11B4B" w:rsidRPr="0081146C" w:rsidRDefault="00E11B4B" w:rsidP="00E11B4B">
      <w:pPr>
        <w:pStyle w:val="paragraph"/>
      </w:pPr>
      <w:r w:rsidRPr="0081146C">
        <w:tab/>
        <w:t>(d)</w:t>
      </w:r>
      <w:r w:rsidRPr="0081146C">
        <w:tab/>
        <w:t xml:space="preserve">a statement setting out particulars of the applicant’s right to have the decision reviewed by the </w:t>
      </w:r>
      <w:r w:rsidR="00D524FF" w:rsidRPr="0081146C">
        <w:t>Administrative Review Tribunal</w:t>
      </w:r>
      <w:r w:rsidRPr="0081146C">
        <w:t>.</w:t>
      </w:r>
    </w:p>
    <w:p w14:paraId="71D72BF8" w14:textId="77777777" w:rsidR="00E11B4B" w:rsidRPr="0081146C" w:rsidRDefault="00E11B4B" w:rsidP="00E11B4B">
      <w:pPr>
        <w:pStyle w:val="subsection"/>
      </w:pPr>
      <w:r w:rsidRPr="0081146C">
        <w:tab/>
        <w:t>(5)</w:t>
      </w:r>
      <w:r w:rsidRPr="0081146C">
        <w:tab/>
        <w:t xml:space="preserve">A decision of the AUSTRAC CEO under </w:t>
      </w:r>
      <w:r w:rsidR="004F64A4" w:rsidRPr="0081146C">
        <w:t>subsection (</w:t>
      </w:r>
      <w:r w:rsidRPr="0081146C">
        <w:t>2) has effect (except for the purposes of section</w:t>
      </w:r>
      <w:r w:rsidR="004F64A4" w:rsidRPr="0081146C">
        <w:t> </w:t>
      </w:r>
      <w:r w:rsidRPr="0081146C">
        <w:t>233B) as if it were made under the provision under which the reviewable decision was made.</w:t>
      </w:r>
    </w:p>
    <w:p w14:paraId="66BEAAE0" w14:textId="77777777" w:rsidR="00E11B4B" w:rsidRPr="0081146C" w:rsidRDefault="00E11B4B" w:rsidP="00E11B4B">
      <w:pPr>
        <w:pStyle w:val="ActHead5"/>
      </w:pPr>
      <w:bookmarkStart w:id="665" w:name="_Toc185416103"/>
      <w:r w:rsidRPr="0081146C">
        <w:rPr>
          <w:rStyle w:val="CharSectno"/>
        </w:rPr>
        <w:t>233F</w:t>
      </w:r>
      <w:r w:rsidRPr="0081146C">
        <w:t xml:space="preserve">  Review by the </w:t>
      </w:r>
      <w:r w:rsidR="00D524FF" w:rsidRPr="0081146C">
        <w:t>Administrative Review Tribunal</w:t>
      </w:r>
      <w:bookmarkEnd w:id="665"/>
    </w:p>
    <w:p w14:paraId="3BAE2EDD" w14:textId="77777777" w:rsidR="00E11B4B" w:rsidRPr="0081146C" w:rsidRDefault="00E11B4B" w:rsidP="00E11B4B">
      <w:pPr>
        <w:pStyle w:val="subsection"/>
      </w:pPr>
      <w:r w:rsidRPr="0081146C">
        <w:tab/>
      </w:r>
      <w:r w:rsidRPr="0081146C">
        <w:tab/>
        <w:t xml:space="preserve">An application may be made to the </w:t>
      </w:r>
      <w:r w:rsidR="00D524FF" w:rsidRPr="0081146C">
        <w:t>Administrative Review Tribunal</w:t>
      </w:r>
      <w:r w:rsidRPr="0081146C">
        <w:t xml:space="preserve"> for review of:</w:t>
      </w:r>
    </w:p>
    <w:p w14:paraId="2448A5CF" w14:textId="77777777" w:rsidR="00E11B4B" w:rsidRPr="0081146C" w:rsidRDefault="00E11B4B" w:rsidP="00E11B4B">
      <w:pPr>
        <w:pStyle w:val="paragraph"/>
      </w:pPr>
      <w:r w:rsidRPr="0081146C">
        <w:tab/>
        <w:t>(a)</w:t>
      </w:r>
      <w:r w:rsidRPr="0081146C">
        <w:tab/>
        <w:t>a decision of the AUSTRAC CEO under subsection</w:t>
      </w:r>
      <w:r w:rsidR="004F64A4" w:rsidRPr="0081146C">
        <w:t> </w:t>
      </w:r>
      <w:r w:rsidRPr="0081146C">
        <w:t>233E(2); or</w:t>
      </w:r>
    </w:p>
    <w:p w14:paraId="120DC1A8" w14:textId="77777777" w:rsidR="00E11B4B" w:rsidRPr="0081146C" w:rsidRDefault="00E11B4B" w:rsidP="00E11B4B">
      <w:pPr>
        <w:pStyle w:val="paragraph"/>
      </w:pPr>
      <w:r w:rsidRPr="0081146C">
        <w:tab/>
        <w:t>(b)</w:t>
      </w:r>
      <w:r w:rsidRPr="0081146C">
        <w:tab/>
        <w:t>a reviewable decision made by the AUSTRAC CEO personally.</w:t>
      </w:r>
    </w:p>
    <w:p w14:paraId="34CAFA23" w14:textId="77777777" w:rsidR="00E11B4B" w:rsidRPr="0081146C" w:rsidRDefault="00E11B4B" w:rsidP="00E11B4B">
      <w:pPr>
        <w:pStyle w:val="ActHead5"/>
      </w:pPr>
      <w:bookmarkStart w:id="666" w:name="_Toc185416104"/>
      <w:r w:rsidRPr="0081146C">
        <w:rPr>
          <w:rStyle w:val="CharSectno"/>
        </w:rPr>
        <w:t>233G</w:t>
      </w:r>
      <w:r w:rsidRPr="0081146C">
        <w:t xml:space="preserve">  Failure to comply does not affect validity</w:t>
      </w:r>
      <w:bookmarkEnd w:id="666"/>
    </w:p>
    <w:p w14:paraId="69EADBB7" w14:textId="77777777" w:rsidR="00E11B4B" w:rsidRPr="0081146C" w:rsidRDefault="00E11B4B" w:rsidP="00E11B4B">
      <w:pPr>
        <w:pStyle w:val="subsection"/>
      </w:pPr>
      <w:r w:rsidRPr="0081146C">
        <w:tab/>
      </w:r>
      <w:r w:rsidRPr="0081146C">
        <w:tab/>
        <w:t>A failure to comply with subsection</w:t>
      </w:r>
      <w:r w:rsidR="004F64A4" w:rsidRPr="0081146C">
        <w:t> </w:t>
      </w:r>
      <w:r w:rsidRPr="0081146C">
        <w:t>233C(1) or 233E(4) (about giving notice) in relation to a decision does not affect the validity of the decision.</w:t>
      </w:r>
    </w:p>
    <w:p w14:paraId="4FFB49DC" w14:textId="77777777" w:rsidR="00064C94" w:rsidRPr="0081146C" w:rsidRDefault="00064C94" w:rsidP="002F3747">
      <w:pPr>
        <w:pStyle w:val="ActHead2"/>
        <w:pageBreakBefore/>
      </w:pPr>
      <w:bookmarkStart w:id="667" w:name="_Toc176444501"/>
      <w:bookmarkStart w:id="668" w:name="_Toc184034122"/>
      <w:bookmarkStart w:id="669" w:name="_Toc185416105"/>
      <w:r w:rsidRPr="0081146C">
        <w:rPr>
          <w:rStyle w:val="CharPartNo"/>
        </w:rPr>
        <w:t>Part 17B</w:t>
      </w:r>
      <w:r w:rsidRPr="0081146C">
        <w:t>—</w:t>
      </w:r>
      <w:r w:rsidRPr="0081146C">
        <w:rPr>
          <w:rStyle w:val="CharPartText"/>
        </w:rPr>
        <w:t>Exemptions</w:t>
      </w:r>
      <w:bookmarkEnd w:id="667"/>
      <w:bookmarkEnd w:id="668"/>
      <w:bookmarkEnd w:id="669"/>
    </w:p>
    <w:p w14:paraId="764D5F60" w14:textId="77777777" w:rsidR="00064C94" w:rsidRPr="0081146C" w:rsidRDefault="00064C94" w:rsidP="00064C94">
      <w:pPr>
        <w:pStyle w:val="Header"/>
      </w:pPr>
      <w:r w:rsidRPr="0081146C">
        <w:rPr>
          <w:rStyle w:val="CharDivNo"/>
        </w:rPr>
        <w:t xml:space="preserve"> </w:t>
      </w:r>
      <w:r w:rsidRPr="0081146C">
        <w:rPr>
          <w:rStyle w:val="CharDivText"/>
        </w:rPr>
        <w:t xml:space="preserve"> </w:t>
      </w:r>
    </w:p>
    <w:p w14:paraId="1150D9A4" w14:textId="77777777" w:rsidR="00064C94" w:rsidRPr="0081146C" w:rsidRDefault="00064C94" w:rsidP="00064C94">
      <w:pPr>
        <w:pStyle w:val="ActHead5"/>
      </w:pPr>
      <w:bookmarkStart w:id="670" w:name="_Toc176444502"/>
      <w:bookmarkStart w:id="671" w:name="_Toc184034123"/>
      <w:bookmarkStart w:id="672" w:name="_Toc185416106"/>
      <w:r w:rsidRPr="0081146C">
        <w:rPr>
          <w:rStyle w:val="CharSectno"/>
        </w:rPr>
        <w:t>233H</w:t>
      </w:r>
      <w:r w:rsidRPr="0081146C">
        <w:t xml:space="preserve">  Simplified outline</w:t>
      </w:r>
      <w:bookmarkEnd w:id="670"/>
      <w:bookmarkEnd w:id="671"/>
      <w:bookmarkEnd w:id="672"/>
    </w:p>
    <w:p w14:paraId="65BA347A" w14:textId="77777777" w:rsidR="00064C94" w:rsidRPr="0081146C" w:rsidRDefault="00064C94" w:rsidP="00064C94">
      <w:pPr>
        <w:pStyle w:val="subsection"/>
      </w:pPr>
      <w:r w:rsidRPr="0081146C">
        <w:tab/>
      </w:r>
      <w:r w:rsidRPr="0081146C">
        <w:tab/>
        <w:t>The following is a simplified outline of this Part:</w:t>
      </w:r>
    </w:p>
    <w:p w14:paraId="337C2C99" w14:textId="77777777" w:rsidR="00064C94" w:rsidRPr="0081146C" w:rsidRDefault="00064C94" w:rsidP="00064C94">
      <w:pPr>
        <w:pStyle w:val="SOBullet"/>
      </w:pPr>
      <w:r w:rsidRPr="0081146C">
        <w:t>•</w:t>
      </w:r>
      <w:r w:rsidRPr="0081146C">
        <w:tab/>
        <w:t>This Part provides that certain provisions of this Act do not apply to certain persons, or in certain circumstances.</w:t>
      </w:r>
    </w:p>
    <w:p w14:paraId="3DC7C239" w14:textId="77777777" w:rsidR="00064C94" w:rsidRPr="0081146C" w:rsidRDefault="00064C94" w:rsidP="00064C94">
      <w:pPr>
        <w:pStyle w:val="ActHead5"/>
      </w:pPr>
      <w:bookmarkStart w:id="673" w:name="_Toc176444503"/>
      <w:bookmarkStart w:id="674" w:name="_Toc184034124"/>
      <w:bookmarkStart w:id="675" w:name="_Toc185416107"/>
      <w:r w:rsidRPr="0081146C">
        <w:rPr>
          <w:rStyle w:val="CharSectno"/>
        </w:rPr>
        <w:t>233J</w:t>
      </w:r>
      <w:r w:rsidRPr="0081146C">
        <w:t xml:space="preserve">  Exemption—Reserve Bank of Australia</w:t>
      </w:r>
      <w:bookmarkEnd w:id="673"/>
      <w:bookmarkEnd w:id="674"/>
      <w:bookmarkEnd w:id="675"/>
    </w:p>
    <w:p w14:paraId="3372D9FA" w14:textId="77777777" w:rsidR="00064C94" w:rsidRPr="0081146C" w:rsidRDefault="00064C94" w:rsidP="00064C94">
      <w:pPr>
        <w:pStyle w:val="subsection"/>
      </w:pPr>
      <w:r w:rsidRPr="0081146C">
        <w:tab/>
      </w:r>
      <w:r w:rsidRPr="0081146C">
        <w:tab/>
        <w:t>The following provisions of this Act do not apply to the Reserve Bank of Australia:</w:t>
      </w:r>
    </w:p>
    <w:p w14:paraId="58211A6B" w14:textId="77777777" w:rsidR="00064C94" w:rsidRPr="0081146C" w:rsidRDefault="00064C94" w:rsidP="00064C94">
      <w:pPr>
        <w:pStyle w:val="paragraph"/>
      </w:pPr>
      <w:r w:rsidRPr="0081146C">
        <w:tab/>
        <w:t>(a)</w:t>
      </w:r>
      <w:r w:rsidRPr="0081146C">
        <w:tab/>
        <w:t>Part 1A;</w:t>
      </w:r>
    </w:p>
    <w:p w14:paraId="08FF6978" w14:textId="77777777" w:rsidR="00064C94" w:rsidRPr="0081146C" w:rsidRDefault="00064C94" w:rsidP="00064C94">
      <w:pPr>
        <w:pStyle w:val="paragraph"/>
      </w:pPr>
      <w:r w:rsidRPr="0081146C">
        <w:tab/>
        <w:t>(b)</w:t>
      </w:r>
      <w:r w:rsidRPr="0081146C">
        <w:tab/>
        <w:t>Divisions 2 to 7 (other than section 39) of Part 2;</w:t>
      </w:r>
    </w:p>
    <w:p w14:paraId="497DD7F7" w14:textId="77777777" w:rsidR="00064C94" w:rsidRPr="0081146C" w:rsidRDefault="00064C94" w:rsidP="00064C94">
      <w:pPr>
        <w:pStyle w:val="paragraph"/>
      </w:pPr>
      <w:r w:rsidRPr="0081146C">
        <w:tab/>
        <w:t>(c)</w:t>
      </w:r>
      <w:r w:rsidRPr="0081146C">
        <w:tab/>
        <w:t>Divisions 3 to 6 (other than section 49) of Part 3;</w:t>
      </w:r>
    </w:p>
    <w:p w14:paraId="7BD3017C" w14:textId="77777777" w:rsidR="00064C94" w:rsidRPr="0081146C" w:rsidRDefault="00064C94" w:rsidP="00064C94">
      <w:pPr>
        <w:pStyle w:val="paragraph"/>
      </w:pPr>
      <w:r w:rsidRPr="0081146C">
        <w:tab/>
        <w:t>(d)</w:t>
      </w:r>
      <w:r w:rsidRPr="0081146C">
        <w:tab/>
        <w:t>Parts 4, 5 and 8;</w:t>
      </w:r>
    </w:p>
    <w:p w14:paraId="68ECDB52" w14:textId="77777777" w:rsidR="00064C94" w:rsidRPr="0081146C" w:rsidRDefault="00064C94" w:rsidP="00064C94">
      <w:pPr>
        <w:pStyle w:val="paragraph"/>
      </w:pPr>
      <w:r w:rsidRPr="0081146C">
        <w:tab/>
        <w:t>(e)</w:t>
      </w:r>
      <w:r w:rsidRPr="0081146C">
        <w:tab/>
        <w:t>Divisions 3 to 6 of Part 10;</w:t>
      </w:r>
    </w:p>
    <w:p w14:paraId="61A6BA92" w14:textId="77777777" w:rsidR="00064C94" w:rsidRPr="0081146C" w:rsidRDefault="00064C94" w:rsidP="00064C94">
      <w:pPr>
        <w:pStyle w:val="paragraph"/>
      </w:pPr>
      <w:r w:rsidRPr="0081146C">
        <w:tab/>
        <w:t>(f)</w:t>
      </w:r>
      <w:r w:rsidRPr="0081146C">
        <w:tab/>
        <w:t>section 236B.</w:t>
      </w:r>
    </w:p>
    <w:p w14:paraId="54504E73" w14:textId="77777777" w:rsidR="00064C94" w:rsidRPr="0081146C" w:rsidRDefault="00064C94" w:rsidP="00064C94">
      <w:pPr>
        <w:pStyle w:val="ActHead5"/>
      </w:pPr>
      <w:bookmarkStart w:id="676" w:name="_Toc176444504"/>
      <w:bookmarkStart w:id="677" w:name="_Toc184034125"/>
      <w:bookmarkStart w:id="678" w:name="_Toc185416108"/>
      <w:r w:rsidRPr="0081146C">
        <w:rPr>
          <w:rStyle w:val="CharSectno"/>
        </w:rPr>
        <w:t>233K</w:t>
      </w:r>
      <w:r w:rsidRPr="0081146C">
        <w:t xml:space="preserve">  Exemption—operating no more than 15 gaming machines</w:t>
      </w:r>
      <w:bookmarkEnd w:id="676"/>
      <w:bookmarkEnd w:id="677"/>
      <w:bookmarkEnd w:id="678"/>
    </w:p>
    <w:p w14:paraId="27DE82B2" w14:textId="77777777" w:rsidR="00064C94" w:rsidRPr="0081146C" w:rsidRDefault="00064C94" w:rsidP="00064C94">
      <w:pPr>
        <w:pStyle w:val="SubsectionHead"/>
      </w:pPr>
      <w:r w:rsidRPr="0081146C">
        <w:t>Scope</w:t>
      </w:r>
    </w:p>
    <w:p w14:paraId="1E48B63E" w14:textId="77777777" w:rsidR="00064C94" w:rsidRPr="0081146C" w:rsidRDefault="00064C94" w:rsidP="00064C94">
      <w:pPr>
        <w:pStyle w:val="subsection"/>
      </w:pPr>
      <w:r w:rsidRPr="0081146C">
        <w:tab/>
        <w:t>(1)</w:t>
      </w:r>
      <w:r w:rsidRPr="0081146C">
        <w:tab/>
        <w:t>This section applies to a reporting entity if:</w:t>
      </w:r>
    </w:p>
    <w:p w14:paraId="66841840" w14:textId="77777777" w:rsidR="00064C94" w:rsidRPr="0081146C" w:rsidRDefault="00064C94" w:rsidP="00064C94">
      <w:pPr>
        <w:pStyle w:val="paragraph"/>
      </w:pPr>
      <w:r w:rsidRPr="0081146C">
        <w:tab/>
        <w:t>(a)</w:t>
      </w:r>
      <w:r w:rsidRPr="0081146C">
        <w:tab/>
        <w:t xml:space="preserve">the reporting entity and any related entity (within the meaning of the </w:t>
      </w:r>
      <w:r w:rsidRPr="0081146C">
        <w:rPr>
          <w:i/>
        </w:rPr>
        <w:t>Corporations Act 2001</w:t>
      </w:r>
      <w:r w:rsidRPr="0081146C">
        <w:t>) that is a reporting entity have a total entitlement under licences issued by one or more States or Territories to operate no more than 15 gaming machines; and</w:t>
      </w:r>
    </w:p>
    <w:p w14:paraId="74A34423" w14:textId="77777777" w:rsidR="00064C94" w:rsidRPr="0081146C" w:rsidRDefault="00064C94" w:rsidP="00064C94">
      <w:pPr>
        <w:pStyle w:val="paragraph"/>
      </w:pPr>
      <w:r w:rsidRPr="0081146C">
        <w:tab/>
        <w:t>(b)</w:t>
      </w:r>
      <w:r w:rsidRPr="0081146C">
        <w:tab/>
        <w:t xml:space="preserve">the reporting entity and any related entity (within the meaning of the </w:t>
      </w:r>
      <w:r w:rsidRPr="0081146C">
        <w:rPr>
          <w:i/>
        </w:rPr>
        <w:t>Corporations Act 2001</w:t>
      </w:r>
      <w:r w:rsidRPr="0081146C">
        <w:t>) that is a reporting entity only provide one or more designated services covered by any of the following:</w:t>
      </w:r>
    </w:p>
    <w:p w14:paraId="3679DA57" w14:textId="77777777" w:rsidR="00064C94" w:rsidRPr="0081146C" w:rsidRDefault="00064C94" w:rsidP="00064C94">
      <w:pPr>
        <w:pStyle w:val="paragraphsub"/>
      </w:pPr>
      <w:r w:rsidRPr="0081146C">
        <w:tab/>
        <w:t>(i)</w:t>
      </w:r>
      <w:r w:rsidRPr="0081146C">
        <w:tab/>
        <w:t>item 5 of table 3 in section 6;</w:t>
      </w:r>
    </w:p>
    <w:p w14:paraId="7BBA1D89" w14:textId="77777777" w:rsidR="00064C94" w:rsidRPr="0081146C" w:rsidRDefault="00064C94" w:rsidP="00064C94">
      <w:pPr>
        <w:pStyle w:val="paragraphsub"/>
      </w:pPr>
      <w:r w:rsidRPr="0081146C">
        <w:tab/>
        <w:t>(ii)</w:t>
      </w:r>
      <w:r w:rsidRPr="0081146C">
        <w:tab/>
        <w:t>item 6 of table 3 in section 6;</w:t>
      </w:r>
    </w:p>
    <w:p w14:paraId="2E0BFA1F" w14:textId="77777777" w:rsidR="00064C94" w:rsidRPr="0081146C" w:rsidRDefault="00064C94" w:rsidP="00064C94">
      <w:pPr>
        <w:pStyle w:val="paragraphsub"/>
      </w:pPr>
      <w:r w:rsidRPr="0081146C">
        <w:tab/>
        <w:t>(iii)</w:t>
      </w:r>
      <w:r w:rsidRPr="0081146C">
        <w:tab/>
        <w:t>item 8 of table 3 in section 6;</w:t>
      </w:r>
    </w:p>
    <w:p w14:paraId="1C8739BA" w14:textId="77777777" w:rsidR="00064C94" w:rsidRPr="0081146C" w:rsidRDefault="00064C94" w:rsidP="00064C94">
      <w:pPr>
        <w:pStyle w:val="paragraphsub"/>
      </w:pPr>
      <w:r w:rsidRPr="0081146C">
        <w:tab/>
        <w:t>(iv)</w:t>
      </w:r>
      <w:r w:rsidRPr="0081146C">
        <w:tab/>
        <w:t>item 9 of table 3 in section 6;</w:t>
      </w:r>
    </w:p>
    <w:p w14:paraId="0ABE4C78" w14:textId="77777777" w:rsidR="00064C94" w:rsidRPr="0081146C" w:rsidRDefault="00064C94" w:rsidP="00064C94">
      <w:pPr>
        <w:pStyle w:val="paragraphsub"/>
      </w:pPr>
      <w:r w:rsidRPr="0081146C">
        <w:tab/>
        <w:t>(v)</w:t>
      </w:r>
      <w:r w:rsidRPr="0081146C">
        <w:tab/>
        <w:t>item 10 of table 3 in section 6; and</w:t>
      </w:r>
    </w:p>
    <w:p w14:paraId="41885E67" w14:textId="77777777" w:rsidR="00064C94" w:rsidRPr="0081146C" w:rsidRDefault="00064C94" w:rsidP="00064C94">
      <w:pPr>
        <w:pStyle w:val="paragraph"/>
      </w:pPr>
      <w:r w:rsidRPr="0081146C">
        <w:tab/>
        <w:t>(c)</w:t>
      </w:r>
      <w:r w:rsidRPr="0081146C">
        <w:tab/>
        <w:t>the provision of any designated services referred to in subparagraph (b)(ii), (iii) or (iv) involves a game played on a gaming machine.</w:t>
      </w:r>
    </w:p>
    <w:p w14:paraId="279A61D9" w14:textId="77777777" w:rsidR="00064C94" w:rsidRPr="0081146C" w:rsidRDefault="00064C94" w:rsidP="00064C94">
      <w:pPr>
        <w:pStyle w:val="SubsectionHead"/>
      </w:pPr>
      <w:r w:rsidRPr="0081146C">
        <w:t>Exemption</w:t>
      </w:r>
    </w:p>
    <w:p w14:paraId="68A87FCC" w14:textId="77777777" w:rsidR="00064C94" w:rsidRPr="0081146C" w:rsidRDefault="00064C94" w:rsidP="00064C94">
      <w:pPr>
        <w:pStyle w:val="subsection"/>
      </w:pPr>
      <w:r w:rsidRPr="0081146C">
        <w:tab/>
        <w:t>(2)</w:t>
      </w:r>
      <w:r w:rsidRPr="0081146C">
        <w:tab/>
        <w:t>The following provisions of the Act do not apply to the reporting entity:</w:t>
      </w:r>
    </w:p>
    <w:p w14:paraId="233B9744" w14:textId="77777777" w:rsidR="00064C94" w:rsidRPr="0081146C" w:rsidRDefault="00064C94" w:rsidP="00064C94">
      <w:pPr>
        <w:pStyle w:val="paragraph"/>
      </w:pPr>
      <w:r w:rsidRPr="0081146C">
        <w:tab/>
        <w:t>(a)</w:t>
      </w:r>
      <w:r w:rsidRPr="0081146C">
        <w:tab/>
        <w:t>Part 1A;</w:t>
      </w:r>
    </w:p>
    <w:p w14:paraId="4026E398" w14:textId="77777777" w:rsidR="00064C94" w:rsidRPr="0081146C" w:rsidRDefault="00064C94" w:rsidP="00064C94">
      <w:pPr>
        <w:pStyle w:val="paragraph"/>
      </w:pPr>
      <w:r w:rsidRPr="0081146C">
        <w:tab/>
        <w:t>(b)</w:t>
      </w:r>
      <w:r w:rsidRPr="0081146C">
        <w:tab/>
        <w:t>Divisions 2 to 6 of Part 2;</w:t>
      </w:r>
    </w:p>
    <w:p w14:paraId="2EF61A88" w14:textId="77777777" w:rsidR="00064C94" w:rsidRPr="0081146C" w:rsidRDefault="00064C94" w:rsidP="00064C94">
      <w:pPr>
        <w:pStyle w:val="paragraph"/>
      </w:pPr>
      <w:r w:rsidRPr="0081146C">
        <w:tab/>
        <w:t>(c)</w:t>
      </w:r>
      <w:r w:rsidRPr="0081146C">
        <w:tab/>
        <w:t>sections 37 and 38 of Division 7 of Part 2;</w:t>
      </w:r>
    </w:p>
    <w:p w14:paraId="3264A4DB" w14:textId="77777777" w:rsidR="00064C94" w:rsidRPr="0081146C" w:rsidRDefault="00064C94" w:rsidP="00064C94">
      <w:pPr>
        <w:pStyle w:val="paragraph"/>
      </w:pPr>
      <w:r w:rsidRPr="0081146C">
        <w:tab/>
        <w:t>(d)</w:t>
      </w:r>
      <w:r w:rsidRPr="0081146C">
        <w:tab/>
        <w:t>section 43;</w:t>
      </w:r>
    </w:p>
    <w:p w14:paraId="5A152A0B" w14:textId="77777777" w:rsidR="00064C94" w:rsidRPr="0081146C" w:rsidRDefault="00064C94" w:rsidP="00064C94">
      <w:pPr>
        <w:pStyle w:val="paragraph"/>
      </w:pPr>
      <w:r w:rsidRPr="0081146C">
        <w:tab/>
        <w:t>(e)</w:t>
      </w:r>
      <w:r w:rsidRPr="0081146C">
        <w:tab/>
        <w:t>section 45;</w:t>
      </w:r>
    </w:p>
    <w:p w14:paraId="78FAC295" w14:textId="77777777" w:rsidR="00064C94" w:rsidRPr="0081146C" w:rsidRDefault="00064C94" w:rsidP="00064C94">
      <w:pPr>
        <w:pStyle w:val="paragraph"/>
      </w:pPr>
      <w:r w:rsidRPr="0081146C">
        <w:tab/>
        <w:t>(f)</w:t>
      </w:r>
      <w:r w:rsidRPr="0081146C">
        <w:tab/>
        <w:t>Division 5 of Part 3;</w:t>
      </w:r>
    </w:p>
    <w:p w14:paraId="4707BF1F" w14:textId="77777777" w:rsidR="00064C94" w:rsidRPr="0081146C" w:rsidRDefault="00064C94" w:rsidP="00064C94">
      <w:pPr>
        <w:pStyle w:val="paragraph"/>
      </w:pPr>
      <w:r w:rsidRPr="0081146C">
        <w:tab/>
        <w:t>(g)</w:t>
      </w:r>
      <w:r w:rsidRPr="0081146C">
        <w:tab/>
        <w:t>Part 5;</w:t>
      </w:r>
    </w:p>
    <w:p w14:paraId="0F3BDECF" w14:textId="77777777" w:rsidR="00064C94" w:rsidRPr="0081146C" w:rsidRDefault="00064C94" w:rsidP="00064C94">
      <w:pPr>
        <w:pStyle w:val="paragraph"/>
      </w:pPr>
      <w:r w:rsidRPr="0081146C">
        <w:tab/>
        <w:t>(h)</w:t>
      </w:r>
      <w:r w:rsidRPr="0081146C">
        <w:tab/>
        <w:t>Division 1 of Part 10;</w:t>
      </w:r>
    </w:p>
    <w:p w14:paraId="06DF56D0" w14:textId="77777777" w:rsidR="00064C94" w:rsidRPr="0081146C" w:rsidRDefault="00064C94" w:rsidP="00064C94">
      <w:pPr>
        <w:pStyle w:val="paragraph"/>
      </w:pPr>
      <w:r w:rsidRPr="0081146C">
        <w:tab/>
        <w:t>(i)</w:t>
      </w:r>
      <w:r w:rsidRPr="0081146C">
        <w:tab/>
        <w:t>sections 109 and 110;</w:t>
      </w:r>
    </w:p>
    <w:p w14:paraId="41121219" w14:textId="77777777" w:rsidR="00064C94" w:rsidRPr="0081146C" w:rsidRDefault="00064C94" w:rsidP="00064C94">
      <w:pPr>
        <w:pStyle w:val="paragraph"/>
      </w:pPr>
      <w:r w:rsidRPr="0081146C">
        <w:tab/>
        <w:t>(j)</w:t>
      </w:r>
      <w:r w:rsidRPr="0081146C">
        <w:tab/>
        <w:t>Divisions 3 to 7 of Part 10;</w:t>
      </w:r>
    </w:p>
    <w:p w14:paraId="6D4D2D2F" w14:textId="77777777" w:rsidR="00064C94" w:rsidRPr="0081146C" w:rsidRDefault="00064C94" w:rsidP="00064C94">
      <w:pPr>
        <w:pStyle w:val="paragraph"/>
      </w:pPr>
      <w:r w:rsidRPr="0081146C">
        <w:tab/>
        <w:t>(k)</w:t>
      </w:r>
      <w:r w:rsidRPr="0081146C">
        <w:tab/>
        <w:t>section 236B.</w:t>
      </w:r>
    </w:p>
    <w:p w14:paraId="71FBF4DD" w14:textId="77777777" w:rsidR="00035544" w:rsidRPr="0081146C" w:rsidRDefault="00CA78AA" w:rsidP="00AE2DA2">
      <w:pPr>
        <w:pStyle w:val="ActHead2"/>
        <w:pageBreakBefore/>
      </w:pPr>
      <w:bookmarkStart w:id="679" w:name="_Toc185416109"/>
      <w:r w:rsidRPr="0081146C">
        <w:rPr>
          <w:rStyle w:val="CharPartNo"/>
        </w:rPr>
        <w:t>Part 1</w:t>
      </w:r>
      <w:r w:rsidR="00035544" w:rsidRPr="0081146C">
        <w:rPr>
          <w:rStyle w:val="CharPartNo"/>
        </w:rPr>
        <w:t>8</w:t>
      </w:r>
      <w:r w:rsidR="00035544" w:rsidRPr="0081146C">
        <w:t>—</w:t>
      </w:r>
      <w:r w:rsidR="00035544" w:rsidRPr="0081146C">
        <w:rPr>
          <w:rStyle w:val="CharPartText"/>
        </w:rPr>
        <w:t>Miscellaneous</w:t>
      </w:r>
      <w:bookmarkEnd w:id="679"/>
    </w:p>
    <w:p w14:paraId="69EDA603" w14:textId="77777777" w:rsidR="00035544" w:rsidRPr="0081146C" w:rsidRDefault="00C72BA2" w:rsidP="00035544">
      <w:pPr>
        <w:pStyle w:val="Header"/>
      </w:pPr>
      <w:r w:rsidRPr="0081146C">
        <w:rPr>
          <w:rStyle w:val="CharDivNo"/>
        </w:rPr>
        <w:t xml:space="preserve"> </w:t>
      </w:r>
      <w:r w:rsidRPr="0081146C">
        <w:rPr>
          <w:rStyle w:val="CharDivText"/>
        </w:rPr>
        <w:t xml:space="preserve"> </w:t>
      </w:r>
    </w:p>
    <w:p w14:paraId="5D06B84D" w14:textId="77777777" w:rsidR="00035544" w:rsidRPr="0081146C" w:rsidRDefault="00035544" w:rsidP="00035544">
      <w:pPr>
        <w:pStyle w:val="ActHead5"/>
      </w:pPr>
      <w:bookmarkStart w:id="680" w:name="_Toc185416110"/>
      <w:r w:rsidRPr="0081146C">
        <w:rPr>
          <w:rStyle w:val="CharSectno"/>
        </w:rPr>
        <w:t>234</w:t>
      </w:r>
      <w:r w:rsidRPr="0081146C">
        <w:t xml:space="preserve">  Simplified outline</w:t>
      </w:r>
      <w:bookmarkEnd w:id="680"/>
    </w:p>
    <w:p w14:paraId="65D93B6F" w14:textId="77777777" w:rsidR="00035544" w:rsidRPr="0081146C" w:rsidRDefault="00035544" w:rsidP="00035544">
      <w:pPr>
        <w:pStyle w:val="subsection"/>
      </w:pPr>
      <w:r w:rsidRPr="0081146C">
        <w:tab/>
      </w:r>
      <w:r w:rsidRPr="0081146C">
        <w:tab/>
        <w:t>The following is a simplified outline of this Part:</w:t>
      </w:r>
    </w:p>
    <w:p w14:paraId="59CA0CE1" w14:textId="77777777" w:rsidR="00035544" w:rsidRPr="0081146C" w:rsidRDefault="00035544" w:rsidP="00035544">
      <w:pPr>
        <w:pStyle w:val="BoxList"/>
      </w:pPr>
      <w:r w:rsidRPr="0081146C">
        <w:t>•</w:t>
      </w:r>
      <w:r w:rsidRPr="0081146C">
        <w:tab/>
        <w:t>Proceedings do not lie against a person in relation to anything done, or omitted to be done, in compliance, or in purported compliance, with a requirement under this Act, the regulations or the AML/CTF Rules.</w:t>
      </w:r>
    </w:p>
    <w:p w14:paraId="375D01BC" w14:textId="77777777" w:rsidR="00035544" w:rsidRPr="0081146C" w:rsidRDefault="00035544" w:rsidP="00035544">
      <w:pPr>
        <w:pStyle w:val="BoxList"/>
      </w:pPr>
      <w:r w:rsidRPr="0081146C">
        <w:t>•</w:t>
      </w:r>
      <w:r w:rsidRPr="0081146C">
        <w:tab/>
        <w:t>In proceedings for a contravention of this Act or the regulations, it is a defence if the defendant proves that the defendant took reasonable precautions, and exercised due diligence, to avoid the contravention.</w:t>
      </w:r>
    </w:p>
    <w:p w14:paraId="7AFD84AA" w14:textId="77777777" w:rsidR="009B278E" w:rsidRPr="0081146C" w:rsidRDefault="009B278E" w:rsidP="009B278E">
      <w:pPr>
        <w:pStyle w:val="SOBullet"/>
      </w:pPr>
      <w:r w:rsidRPr="0081146C">
        <w:t>•</w:t>
      </w:r>
      <w:r w:rsidRPr="0081146C">
        <w:tab/>
        <w:t>There is a defence to a contravention of certain civil penalty provisions relating to the law of a foreign country preventing compliance.</w:t>
      </w:r>
    </w:p>
    <w:p w14:paraId="6AD75E99" w14:textId="77777777" w:rsidR="009B278E" w:rsidRPr="0081146C" w:rsidRDefault="009B278E" w:rsidP="009B278E">
      <w:pPr>
        <w:pStyle w:val="SOBullet"/>
      </w:pPr>
      <w:r w:rsidRPr="0081146C">
        <w:t>•</w:t>
      </w:r>
      <w:r w:rsidRPr="0081146C">
        <w:tab/>
        <w:t>Provision is made in relation to how this Act applies to reporting groups.</w:t>
      </w:r>
    </w:p>
    <w:p w14:paraId="061855A7" w14:textId="77777777" w:rsidR="00035544" w:rsidRPr="0081146C" w:rsidRDefault="00035544" w:rsidP="00035544">
      <w:pPr>
        <w:pStyle w:val="BoxList"/>
      </w:pPr>
      <w:r w:rsidRPr="0081146C">
        <w:t>•</w:t>
      </w:r>
      <w:r w:rsidRPr="0081146C">
        <w:tab/>
        <w:t>Partnerships, trusts and unincorporated associations are to be treated as persons for the purposes of this Act.</w:t>
      </w:r>
    </w:p>
    <w:p w14:paraId="6E9A9EAA" w14:textId="77777777" w:rsidR="00035544" w:rsidRPr="0081146C" w:rsidRDefault="00035544" w:rsidP="00035544">
      <w:pPr>
        <w:pStyle w:val="BoxList"/>
      </w:pPr>
      <w:r w:rsidRPr="0081146C">
        <w:t>•</w:t>
      </w:r>
      <w:r w:rsidRPr="0081146C">
        <w:tab/>
        <w:t>This Act is not intended to affect the concurrent operation of State and Territory laws.</w:t>
      </w:r>
    </w:p>
    <w:p w14:paraId="3CC5C609" w14:textId="77777777" w:rsidR="00035544" w:rsidRPr="0081146C" w:rsidRDefault="00035544" w:rsidP="00035544">
      <w:pPr>
        <w:pStyle w:val="BoxList"/>
      </w:pPr>
      <w:r w:rsidRPr="0081146C">
        <w:t>•</w:t>
      </w:r>
      <w:r w:rsidRPr="0081146C">
        <w:tab/>
        <w:t>This Act does not affect the law relating to legal professional privilege.</w:t>
      </w:r>
    </w:p>
    <w:p w14:paraId="0A4B1EDD" w14:textId="77777777" w:rsidR="00035544" w:rsidRPr="0081146C" w:rsidRDefault="00035544" w:rsidP="00035544">
      <w:pPr>
        <w:pStyle w:val="BoxList"/>
      </w:pPr>
      <w:r w:rsidRPr="0081146C">
        <w:t>•</w:t>
      </w:r>
      <w:r w:rsidRPr="0081146C">
        <w:tab/>
        <w:t>A contravention of this Act does not affect the validity of any transaction.</w:t>
      </w:r>
    </w:p>
    <w:p w14:paraId="7EEBC4B8" w14:textId="77777777" w:rsidR="00035544" w:rsidRPr="0081146C" w:rsidRDefault="00035544" w:rsidP="00035544">
      <w:pPr>
        <w:pStyle w:val="BoxList"/>
      </w:pPr>
      <w:r w:rsidRPr="0081146C">
        <w:t>•</w:t>
      </w:r>
      <w:r w:rsidRPr="0081146C">
        <w:tab/>
        <w:t>Provision is made in relation to the making of reports to the AUSTRAC CEO etc.</w:t>
      </w:r>
    </w:p>
    <w:p w14:paraId="35E6CF24" w14:textId="77777777" w:rsidR="00035544" w:rsidRPr="0081146C" w:rsidRDefault="00035544" w:rsidP="00035544">
      <w:pPr>
        <w:pStyle w:val="BoxList"/>
      </w:pPr>
      <w:r w:rsidRPr="0081146C">
        <w:t>•</w:t>
      </w:r>
      <w:r w:rsidRPr="0081146C">
        <w:tab/>
        <w:t>Provision is made in relation to the performance of non</w:t>
      </w:r>
      <w:r w:rsidR="003B7E15" w:rsidRPr="0081146C">
        <w:noBreakHyphen/>
      </w:r>
      <w:r w:rsidRPr="0081146C">
        <w:t>judicial functions by magistrates.</w:t>
      </w:r>
    </w:p>
    <w:p w14:paraId="72A55B23" w14:textId="77777777" w:rsidR="00035544" w:rsidRPr="0081146C" w:rsidRDefault="00035544" w:rsidP="00035544">
      <w:pPr>
        <w:pStyle w:val="BoxList"/>
      </w:pPr>
      <w:r w:rsidRPr="0081146C">
        <w:t>•</w:t>
      </w:r>
      <w:r w:rsidRPr="0081146C">
        <w:tab/>
        <w:t>This Act does not apply to a designated service specified in the AML/CTF Rules.</w:t>
      </w:r>
    </w:p>
    <w:p w14:paraId="4CA63D5C" w14:textId="77777777" w:rsidR="00035544" w:rsidRPr="0081146C" w:rsidRDefault="00035544" w:rsidP="00035544">
      <w:pPr>
        <w:pStyle w:val="BoxList"/>
      </w:pPr>
      <w:r w:rsidRPr="0081146C">
        <w:t>•</w:t>
      </w:r>
      <w:r w:rsidRPr="0081146C">
        <w:tab/>
        <w:t>The AUSTRAC CEO may exempt a person from this Act, or modify the application of this Act to a person.</w:t>
      </w:r>
    </w:p>
    <w:p w14:paraId="208CBEC7" w14:textId="77777777" w:rsidR="00035544" w:rsidRPr="0081146C" w:rsidRDefault="00035544" w:rsidP="00035544">
      <w:pPr>
        <w:pStyle w:val="BoxList"/>
      </w:pPr>
      <w:r w:rsidRPr="0081146C">
        <w:t>•</w:t>
      </w:r>
      <w:r w:rsidRPr="0081146C">
        <w:tab/>
        <w:t>There is to be a review of the operation of this Act.</w:t>
      </w:r>
    </w:p>
    <w:p w14:paraId="527F8F4A" w14:textId="77777777" w:rsidR="00035544" w:rsidRPr="0081146C" w:rsidRDefault="00035544" w:rsidP="00035544">
      <w:pPr>
        <w:pStyle w:val="BoxList"/>
      </w:pPr>
      <w:r w:rsidRPr="0081146C">
        <w:t>•</w:t>
      </w:r>
      <w:r w:rsidRPr="0081146C">
        <w:tab/>
        <w:t>The Governor</w:t>
      </w:r>
      <w:r w:rsidR="003B7E15" w:rsidRPr="0081146C">
        <w:noBreakHyphen/>
      </w:r>
      <w:r w:rsidRPr="0081146C">
        <w:t>General may make regulations for the purposes of this Act.</w:t>
      </w:r>
    </w:p>
    <w:p w14:paraId="02A8F02A" w14:textId="77777777" w:rsidR="00035544" w:rsidRPr="0081146C" w:rsidRDefault="00035544" w:rsidP="00035544">
      <w:pPr>
        <w:pStyle w:val="ActHead5"/>
      </w:pPr>
      <w:bookmarkStart w:id="681" w:name="_Toc185416111"/>
      <w:r w:rsidRPr="0081146C">
        <w:rPr>
          <w:rStyle w:val="CharSectno"/>
        </w:rPr>
        <w:t>235</w:t>
      </w:r>
      <w:r w:rsidRPr="0081146C">
        <w:t xml:space="preserve">  Protection from liability</w:t>
      </w:r>
      <w:bookmarkEnd w:id="681"/>
    </w:p>
    <w:p w14:paraId="26122C6A" w14:textId="77777777" w:rsidR="00035544" w:rsidRPr="0081146C" w:rsidRDefault="00035544" w:rsidP="00035544">
      <w:pPr>
        <w:pStyle w:val="subsection"/>
      </w:pPr>
      <w:r w:rsidRPr="0081146C">
        <w:tab/>
        <w:t>(1)</w:t>
      </w:r>
      <w:r w:rsidRPr="0081146C">
        <w:tab/>
        <w:t>An action, suit or proceeding (whether criminal or civil) does not lie against:</w:t>
      </w:r>
    </w:p>
    <w:p w14:paraId="223E97FB" w14:textId="77777777" w:rsidR="00035544" w:rsidRPr="0081146C" w:rsidRDefault="00035544" w:rsidP="00035544">
      <w:pPr>
        <w:pStyle w:val="paragraph"/>
      </w:pPr>
      <w:r w:rsidRPr="0081146C">
        <w:tab/>
        <w:t>(a)</w:t>
      </w:r>
      <w:r w:rsidRPr="0081146C">
        <w:tab/>
        <w:t xml:space="preserve">a person (the </w:t>
      </w:r>
      <w:r w:rsidRPr="0081146C">
        <w:rPr>
          <w:b/>
          <w:i/>
        </w:rPr>
        <w:t>first person</w:t>
      </w:r>
      <w:r w:rsidRPr="0081146C">
        <w:t>); or</w:t>
      </w:r>
    </w:p>
    <w:p w14:paraId="56594EE0" w14:textId="77777777" w:rsidR="00035544" w:rsidRPr="0081146C" w:rsidRDefault="00035544" w:rsidP="00035544">
      <w:pPr>
        <w:pStyle w:val="paragraph"/>
      </w:pPr>
      <w:r w:rsidRPr="0081146C">
        <w:tab/>
        <w:t>(b)</w:t>
      </w:r>
      <w:r w:rsidRPr="0081146C">
        <w:tab/>
        <w:t>an officer, employee or agent of the first person acting in the course of his or her office, employment or agency;</w:t>
      </w:r>
    </w:p>
    <w:p w14:paraId="3B33C749" w14:textId="77777777" w:rsidR="00035544" w:rsidRPr="0081146C" w:rsidRDefault="00035544" w:rsidP="00035544">
      <w:pPr>
        <w:pStyle w:val="subsection2"/>
      </w:pPr>
      <w:r w:rsidRPr="0081146C">
        <w:t>in relation to anything done, or omitted to be done, in good faith by the first person, officer, employee or agent:</w:t>
      </w:r>
    </w:p>
    <w:p w14:paraId="32B8BA99" w14:textId="77777777" w:rsidR="00393E03" w:rsidRPr="0081146C" w:rsidRDefault="00393E03" w:rsidP="00393E03">
      <w:pPr>
        <w:pStyle w:val="paragraph"/>
      </w:pPr>
      <w:r w:rsidRPr="0081146C">
        <w:tab/>
        <w:t>(c)</w:t>
      </w:r>
      <w:r w:rsidRPr="0081146C">
        <w:tab/>
        <w:t>in complying with subsection 28(1) or 30(1); or</w:t>
      </w:r>
    </w:p>
    <w:p w14:paraId="266D5D34" w14:textId="77777777" w:rsidR="00035544" w:rsidRPr="0081146C" w:rsidRDefault="00035544" w:rsidP="00035544">
      <w:pPr>
        <w:pStyle w:val="paragraph"/>
      </w:pPr>
      <w:r w:rsidRPr="0081146C">
        <w:tab/>
        <w:t>(d)</w:t>
      </w:r>
      <w:r w:rsidRPr="0081146C">
        <w:tab/>
        <w:t>in fulfilment, or purported fulfilment, of a requirement under this Act not to commence to provide a designated service, or not to continue to provide a designated service; or</w:t>
      </w:r>
    </w:p>
    <w:p w14:paraId="4C9D5A19" w14:textId="77777777" w:rsidR="00035544" w:rsidRPr="0081146C" w:rsidRDefault="00035544" w:rsidP="00035544">
      <w:pPr>
        <w:pStyle w:val="paragraph"/>
      </w:pPr>
      <w:r w:rsidRPr="0081146C">
        <w:tab/>
        <w:t>(e)</w:t>
      </w:r>
      <w:r w:rsidRPr="0081146C">
        <w:tab/>
        <w:t>in compliance, or in purported compliance, with any other requirement under:</w:t>
      </w:r>
    </w:p>
    <w:p w14:paraId="4B96527D" w14:textId="77777777" w:rsidR="00035544" w:rsidRPr="0081146C" w:rsidRDefault="00035544" w:rsidP="00035544">
      <w:pPr>
        <w:pStyle w:val="paragraphsub"/>
      </w:pPr>
      <w:r w:rsidRPr="0081146C">
        <w:tab/>
        <w:t>(i)</w:t>
      </w:r>
      <w:r w:rsidRPr="0081146C">
        <w:tab/>
        <w:t>this Act; or</w:t>
      </w:r>
    </w:p>
    <w:p w14:paraId="60E76458" w14:textId="77777777" w:rsidR="00035544" w:rsidRPr="0081146C" w:rsidRDefault="00035544" w:rsidP="00035544">
      <w:pPr>
        <w:pStyle w:val="paragraphsub"/>
      </w:pPr>
      <w:r w:rsidRPr="0081146C">
        <w:tab/>
        <w:t>(ii)</w:t>
      </w:r>
      <w:r w:rsidRPr="0081146C">
        <w:tab/>
        <w:t>the regulations; or</w:t>
      </w:r>
    </w:p>
    <w:p w14:paraId="28016321" w14:textId="77777777" w:rsidR="00035544" w:rsidRPr="0081146C" w:rsidRDefault="00035544" w:rsidP="00035544">
      <w:pPr>
        <w:pStyle w:val="paragraphsub"/>
      </w:pPr>
      <w:r w:rsidRPr="0081146C">
        <w:tab/>
        <w:t>(iii)</w:t>
      </w:r>
      <w:r w:rsidRPr="0081146C">
        <w:tab/>
        <w:t>the AML/CTF Rules.</w:t>
      </w:r>
    </w:p>
    <w:p w14:paraId="5844B6B0" w14:textId="77777777" w:rsidR="00035544" w:rsidRPr="0081146C" w:rsidRDefault="00035544" w:rsidP="00035544">
      <w:pPr>
        <w:pStyle w:val="subsection"/>
      </w:pPr>
      <w:r w:rsidRPr="0081146C">
        <w:tab/>
        <w:t>(2)</w:t>
      </w:r>
      <w:r w:rsidRPr="0081146C">
        <w:tab/>
      </w:r>
      <w:r w:rsidR="004F64A4" w:rsidRPr="0081146C">
        <w:t>Subsection (</w:t>
      </w:r>
      <w:r w:rsidRPr="0081146C">
        <w:t>1) does not apply to the following proceedings:</w:t>
      </w:r>
    </w:p>
    <w:p w14:paraId="5F2165A3" w14:textId="77777777" w:rsidR="00035544" w:rsidRPr="0081146C" w:rsidRDefault="00035544" w:rsidP="00035544">
      <w:pPr>
        <w:pStyle w:val="paragraph"/>
      </w:pPr>
      <w:r w:rsidRPr="0081146C">
        <w:tab/>
        <w:t>(a)</w:t>
      </w:r>
      <w:r w:rsidRPr="0081146C">
        <w:tab/>
        <w:t>criminal proceedings for an offence against this Act or the regulations;</w:t>
      </w:r>
    </w:p>
    <w:p w14:paraId="1F45070B" w14:textId="77777777" w:rsidR="00035544" w:rsidRPr="0081146C" w:rsidRDefault="00035544" w:rsidP="00035544">
      <w:pPr>
        <w:pStyle w:val="paragraph"/>
      </w:pPr>
      <w:r w:rsidRPr="0081146C">
        <w:tab/>
        <w:t>(b)</w:t>
      </w:r>
      <w:r w:rsidRPr="0081146C">
        <w:tab/>
      </w:r>
      <w:r w:rsidR="003B7E15" w:rsidRPr="0081146C">
        <w:t>section 1</w:t>
      </w:r>
      <w:r w:rsidRPr="0081146C">
        <w:t>75 proceedings for a contravention of a civil penalty provision;</w:t>
      </w:r>
    </w:p>
    <w:p w14:paraId="362BE8E5" w14:textId="77777777" w:rsidR="00035544" w:rsidRPr="0081146C" w:rsidRDefault="00035544" w:rsidP="00035544">
      <w:pPr>
        <w:pStyle w:val="paragraph"/>
      </w:pPr>
      <w:r w:rsidRPr="0081146C">
        <w:tab/>
        <w:t>(c)</w:t>
      </w:r>
      <w:r w:rsidRPr="0081146C">
        <w:tab/>
        <w:t xml:space="preserve">proceedings under the </w:t>
      </w:r>
      <w:r w:rsidRPr="0081146C">
        <w:rPr>
          <w:i/>
        </w:rPr>
        <w:t>Proceeds of Crime Act 2002</w:t>
      </w:r>
      <w:r w:rsidRPr="0081146C">
        <w:t xml:space="preserve"> that relate to this Act.</w:t>
      </w:r>
    </w:p>
    <w:p w14:paraId="4D926000" w14:textId="77777777" w:rsidR="00035544" w:rsidRPr="0081146C" w:rsidRDefault="00035544" w:rsidP="00035544">
      <w:pPr>
        <w:pStyle w:val="ActHead5"/>
      </w:pPr>
      <w:bookmarkStart w:id="682" w:name="_Toc185416112"/>
      <w:r w:rsidRPr="0081146C">
        <w:rPr>
          <w:rStyle w:val="CharSectno"/>
        </w:rPr>
        <w:t>236</w:t>
      </w:r>
      <w:r w:rsidRPr="0081146C">
        <w:t xml:space="preserve">  Defence of taking reasonable precautions, and exercising due diligence, to avoid a contravention</w:t>
      </w:r>
      <w:bookmarkEnd w:id="682"/>
    </w:p>
    <w:p w14:paraId="0379AC6E" w14:textId="77777777" w:rsidR="00035544" w:rsidRPr="0081146C" w:rsidRDefault="00035544" w:rsidP="00035544">
      <w:pPr>
        <w:pStyle w:val="SubsectionHead"/>
      </w:pPr>
      <w:r w:rsidRPr="0081146C">
        <w:t>Scope</w:t>
      </w:r>
    </w:p>
    <w:p w14:paraId="6DD8B5ED" w14:textId="77777777" w:rsidR="00035544" w:rsidRPr="0081146C" w:rsidRDefault="00035544" w:rsidP="00035544">
      <w:pPr>
        <w:pStyle w:val="subsection"/>
      </w:pPr>
      <w:r w:rsidRPr="0081146C">
        <w:tab/>
        <w:t>(1)</w:t>
      </w:r>
      <w:r w:rsidRPr="0081146C">
        <w:tab/>
        <w:t>This section applies to the following proceedings:</w:t>
      </w:r>
    </w:p>
    <w:p w14:paraId="2DC82741" w14:textId="77777777" w:rsidR="00035544" w:rsidRPr="0081146C" w:rsidRDefault="00035544" w:rsidP="00035544">
      <w:pPr>
        <w:pStyle w:val="paragraph"/>
      </w:pPr>
      <w:r w:rsidRPr="0081146C">
        <w:tab/>
        <w:t>(a)</w:t>
      </w:r>
      <w:r w:rsidRPr="0081146C">
        <w:tab/>
        <w:t>criminal proceedings for an offence against the regulations;</w:t>
      </w:r>
    </w:p>
    <w:p w14:paraId="7296C0A7" w14:textId="77777777" w:rsidR="00035544" w:rsidRPr="0081146C" w:rsidRDefault="00035544" w:rsidP="00035544">
      <w:pPr>
        <w:pStyle w:val="paragraph"/>
      </w:pPr>
      <w:r w:rsidRPr="0081146C">
        <w:tab/>
        <w:t>(b)</w:t>
      </w:r>
      <w:r w:rsidRPr="0081146C">
        <w:tab/>
      </w:r>
      <w:r w:rsidR="003B7E15" w:rsidRPr="0081146C">
        <w:t>section 1</w:t>
      </w:r>
      <w:r w:rsidRPr="0081146C">
        <w:t>75 proceedings for a contravention of a civil penalty provision;</w:t>
      </w:r>
    </w:p>
    <w:p w14:paraId="1C69B0EB" w14:textId="77777777" w:rsidR="00035544" w:rsidRPr="0081146C" w:rsidRDefault="00035544" w:rsidP="00035544">
      <w:pPr>
        <w:pStyle w:val="paragraph"/>
      </w:pPr>
      <w:r w:rsidRPr="0081146C">
        <w:tab/>
        <w:t>(c)</w:t>
      </w:r>
      <w:r w:rsidRPr="0081146C">
        <w:tab/>
        <w:t xml:space="preserve">proceedings under the </w:t>
      </w:r>
      <w:r w:rsidRPr="0081146C">
        <w:rPr>
          <w:i/>
        </w:rPr>
        <w:t>Proceeds of Crime Act 2002</w:t>
      </w:r>
      <w:r w:rsidRPr="0081146C">
        <w:t xml:space="preserve"> that relate to this Act.</w:t>
      </w:r>
    </w:p>
    <w:p w14:paraId="1DB4F0BA" w14:textId="77777777" w:rsidR="00035544" w:rsidRPr="0081146C" w:rsidRDefault="00035544" w:rsidP="00035544">
      <w:pPr>
        <w:pStyle w:val="SubsectionHead"/>
      </w:pPr>
      <w:r w:rsidRPr="0081146C">
        <w:t>Defence</w:t>
      </w:r>
    </w:p>
    <w:p w14:paraId="4183E2BE" w14:textId="77777777" w:rsidR="00035544" w:rsidRPr="0081146C" w:rsidRDefault="00035544" w:rsidP="00035544">
      <w:pPr>
        <w:pStyle w:val="subsection"/>
      </w:pPr>
      <w:r w:rsidRPr="0081146C">
        <w:tab/>
        <w:t>(2)</w:t>
      </w:r>
      <w:r w:rsidRPr="0081146C">
        <w:tab/>
        <w:t>In the proceedings, it is a defence if the defendant proves that the defendant took reasonable precautions, and exercised due diligence, to avoid the contravention in respect of which the proceedings were instituted.</w:t>
      </w:r>
    </w:p>
    <w:p w14:paraId="7B9E5E53" w14:textId="77777777" w:rsidR="00035544" w:rsidRPr="0081146C" w:rsidRDefault="00035544" w:rsidP="00035544">
      <w:pPr>
        <w:pStyle w:val="notetext"/>
      </w:pPr>
      <w:r w:rsidRPr="0081146C">
        <w:t>Note:</w:t>
      </w:r>
      <w:r w:rsidRPr="0081146C">
        <w:tab/>
        <w:t xml:space="preserve">In criminal proceedings, a defendant bears a legal burden in relation to the matters in </w:t>
      </w:r>
      <w:r w:rsidR="004F64A4" w:rsidRPr="0081146C">
        <w:t>subsection (</w:t>
      </w:r>
      <w:r w:rsidRPr="0081146C">
        <w:t xml:space="preserve">2)—see </w:t>
      </w:r>
      <w:r w:rsidR="003B7E15" w:rsidRPr="0081146C">
        <w:t>section 1</w:t>
      </w:r>
      <w:r w:rsidRPr="0081146C">
        <w:t xml:space="preserve">3.4 of the </w:t>
      </w:r>
      <w:r w:rsidRPr="0081146C">
        <w:rPr>
          <w:i/>
        </w:rPr>
        <w:t>Criminal Code</w:t>
      </w:r>
      <w:r w:rsidRPr="0081146C">
        <w:t>.</w:t>
      </w:r>
    </w:p>
    <w:p w14:paraId="41E7482C" w14:textId="77777777" w:rsidR="009B278E" w:rsidRPr="0081146C" w:rsidRDefault="009B278E" w:rsidP="009B278E">
      <w:pPr>
        <w:pStyle w:val="ActHead5"/>
      </w:pPr>
      <w:bookmarkStart w:id="683" w:name="_Toc176444379"/>
      <w:bookmarkStart w:id="684" w:name="_Toc184034000"/>
      <w:bookmarkStart w:id="685" w:name="_Toc185416113"/>
      <w:r w:rsidRPr="0081146C">
        <w:rPr>
          <w:rStyle w:val="CharSectno"/>
        </w:rPr>
        <w:t>236A</w:t>
      </w:r>
      <w:r w:rsidRPr="0081146C">
        <w:t xml:space="preserve">  Defence of law of foreign country preventing compliance</w:t>
      </w:r>
      <w:bookmarkEnd w:id="683"/>
      <w:bookmarkEnd w:id="684"/>
      <w:bookmarkEnd w:id="685"/>
    </w:p>
    <w:p w14:paraId="60C88956" w14:textId="77777777" w:rsidR="009B278E" w:rsidRPr="0081146C" w:rsidRDefault="009B278E" w:rsidP="009B278E">
      <w:pPr>
        <w:pStyle w:val="subsection"/>
      </w:pPr>
      <w:r w:rsidRPr="0081146C">
        <w:tab/>
        <w:t>(1)</w:t>
      </w:r>
      <w:r w:rsidRPr="0081146C">
        <w:tab/>
        <w:t>A reporting entity does not contravene a civil penalty provision in Part 1A or 2 if:</w:t>
      </w:r>
    </w:p>
    <w:p w14:paraId="0849A1C8" w14:textId="77777777" w:rsidR="009B278E" w:rsidRPr="0081146C" w:rsidRDefault="009B278E" w:rsidP="009B278E">
      <w:pPr>
        <w:pStyle w:val="paragraph"/>
      </w:pPr>
      <w:r w:rsidRPr="0081146C">
        <w:tab/>
        <w:t>(a)</w:t>
      </w:r>
      <w:r w:rsidRPr="0081146C">
        <w:tab/>
        <w:t>the reporting entity provides a designated service at or through a permanent establishment in a foreign country; and</w:t>
      </w:r>
    </w:p>
    <w:p w14:paraId="0BD01A99" w14:textId="77777777" w:rsidR="009B278E" w:rsidRPr="0081146C" w:rsidRDefault="009B278E" w:rsidP="009B278E">
      <w:pPr>
        <w:pStyle w:val="paragraph"/>
      </w:pPr>
      <w:r w:rsidRPr="0081146C">
        <w:tab/>
        <w:t>(b)</w:t>
      </w:r>
      <w:r w:rsidRPr="0081146C">
        <w:tab/>
        <w:t>a law of the foreign country that applies in the place where the permanent establishment is located prevents the reporting entity from complying with that civil penalty provision; and</w:t>
      </w:r>
    </w:p>
    <w:p w14:paraId="4999281D" w14:textId="77777777" w:rsidR="009B278E" w:rsidRPr="0081146C" w:rsidRDefault="009B278E" w:rsidP="009B278E">
      <w:pPr>
        <w:pStyle w:val="paragraph"/>
      </w:pPr>
      <w:r w:rsidRPr="0081146C">
        <w:tab/>
        <w:t>(c)</w:t>
      </w:r>
      <w:r w:rsidRPr="0081146C">
        <w:tab/>
        <w:t>before the conduct alleged to constitute the contravention occurs, the reporting entity has given written notice, in the approved form, to the AUSTRAC CEO of those facts; and</w:t>
      </w:r>
    </w:p>
    <w:p w14:paraId="13A4B3C9" w14:textId="77777777" w:rsidR="009B278E" w:rsidRPr="0081146C" w:rsidRDefault="009B278E" w:rsidP="009B278E">
      <w:pPr>
        <w:pStyle w:val="paragraph"/>
      </w:pPr>
      <w:r w:rsidRPr="0081146C">
        <w:tab/>
        <w:t>(d)</w:t>
      </w:r>
      <w:r w:rsidRPr="0081146C">
        <w:tab/>
        <w:t>at the time the conduct alleged to constitute the contravention occurs, the reporting entity is taking reasonable steps to ensure that the reporting entity is appropriately identifying, assessing, managing and mitigating any additional risk of money laundering, terrorism financing or proliferation financing associated with being prevented from complying with that civil penalty provision.</w:t>
      </w:r>
    </w:p>
    <w:p w14:paraId="3091D1EE" w14:textId="77777777" w:rsidR="009B278E" w:rsidRPr="0081146C" w:rsidRDefault="009B278E" w:rsidP="009B278E">
      <w:pPr>
        <w:pStyle w:val="subsection"/>
      </w:pPr>
      <w:r w:rsidRPr="0081146C">
        <w:tab/>
        <w:t>(2)</w:t>
      </w:r>
      <w:r w:rsidRPr="0081146C">
        <w:tab/>
        <w:t>A person who wishes to rely on subsection (1) bears a legal burden in relation to that matter.</w:t>
      </w:r>
    </w:p>
    <w:p w14:paraId="652F5BDE" w14:textId="77777777" w:rsidR="009B278E" w:rsidRPr="0081146C" w:rsidRDefault="009B278E" w:rsidP="009B278E">
      <w:pPr>
        <w:pStyle w:val="ActHead5"/>
      </w:pPr>
      <w:bookmarkStart w:id="686" w:name="_Toc176444380"/>
      <w:bookmarkStart w:id="687" w:name="_Toc184034001"/>
      <w:bookmarkStart w:id="688" w:name="_Toc185416114"/>
      <w:r w:rsidRPr="0081146C">
        <w:rPr>
          <w:rStyle w:val="CharSectno"/>
        </w:rPr>
        <w:t>236B</w:t>
      </w:r>
      <w:r w:rsidRPr="0081146C">
        <w:t xml:space="preserve">  Application of this Act in relation to reporting groups</w:t>
      </w:r>
      <w:bookmarkEnd w:id="686"/>
      <w:bookmarkEnd w:id="687"/>
      <w:bookmarkEnd w:id="688"/>
    </w:p>
    <w:p w14:paraId="64E44DA1" w14:textId="77777777" w:rsidR="009B278E" w:rsidRPr="0081146C" w:rsidRDefault="009B278E" w:rsidP="009B278E">
      <w:pPr>
        <w:pStyle w:val="SubsectionHead"/>
      </w:pPr>
      <w:r w:rsidRPr="0081146C">
        <w:t>Designated services of reporting group taken to be provided by lead entity for certain purposes</w:t>
      </w:r>
    </w:p>
    <w:p w14:paraId="25830E9A" w14:textId="77777777" w:rsidR="009B278E" w:rsidRPr="0081146C" w:rsidRDefault="009B278E" w:rsidP="009B278E">
      <w:pPr>
        <w:pStyle w:val="subsection"/>
      </w:pPr>
      <w:r w:rsidRPr="0081146C">
        <w:tab/>
        <w:t>(1)</w:t>
      </w:r>
      <w:r w:rsidRPr="0081146C">
        <w:tab/>
        <w:t xml:space="preserve">Subsection (2) applies if a reporting entity (the </w:t>
      </w:r>
      <w:r w:rsidRPr="0081146C">
        <w:rPr>
          <w:b/>
          <w:i/>
        </w:rPr>
        <w:t>ordinary member</w:t>
      </w:r>
      <w:r w:rsidRPr="0081146C">
        <w:t>) that is a member of a reporting group but is not the lead entity of the reporting group proposes to provide, commences to provide, or provides, a designated service.</w:t>
      </w:r>
    </w:p>
    <w:p w14:paraId="2FD4001D" w14:textId="77777777" w:rsidR="009B278E" w:rsidRPr="0081146C" w:rsidRDefault="009B278E" w:rsidP="009B278E">
      <w:pPr>
        <w:pStyle w:val="subsection"/>
      </w:pPr>
      <w:r w:rsidRPr="0081146C">
        <w:tab/>
        <w:t>(2)</w:t>
      </w:r>
      <w:r w:rsidRPr="0081146C">
        <w:tab/>
        <w:t>For the purposes of Parts 1A, 2, 3A and 10, and Division 9 of Part 15, the lead entity is also taken to have proposed to provide, commenced to provide, or provided, as the case requires, the designated service in the same circumstances as those in which the service is proposed to be provided, is commenced to have been provided, or is provided, by the ordinary member.</w:t>
      </w:r>
    </w:p>
    <w:p w14:paraId="73152E07" w14:textId="77777777" w:rsidR="009B278E" w:rsidRPr="0081146C" w:rsidRDefault="009B278E" w:rsidP="009B278E">
      <w:pPr>
        <w:pStyle w:val="notetext"/>
      </w:pPr>
      <w:r w:rsidRPr="0081146C">
        <w:t>Note:</w:t>
      </w:r>
      <w:r w:rsidRPr="0081146C">
        <w:tab/>
        <w:t>In relation to the application of Part 1A to reporting groups, see also section 26U (business of a lead entity of a reporting group).</w:t>
      </w:r>
    </w:p>
    <w:p w14:paraId="0E93A60D" w14:textId="77777777" w:rsidR="009B278E" w:rsidRPr="0081146C" w:rsidRDefault="009B278E" w:rsidP="009B278E">
      <w:pPr>
        <w:pStyle w:val="subsection"/>
      </w:pPr>
      <w:r w:rsidRPr="0081146C">
        <w:tab/>
        <w:t>(3)</w:t>
      </w:r>
      <w:r w:rsidRPr="0081146C">
        <w:tab/>
        <w:t>For the purposes of subsection (2), the same circumstances include:</w:t>
      </w:r>
    </w:p>
    <w:p w14:paraId="5155FC97" w14:textId="77777777" w:rsidR="009B278E" w:rsidRPr="0081146C" w:rsidRDefault="009B278E" w:rsidP="009B278E">
      <w:pPr>
        <w:pStyle w:val="paragraph"/>
      </w:pPr>
      <w:r w:rsidRPr="0081146C">
        <w:tab/>
        <w:t>(a)</w:t>
      </w:r>
      <w:r w:rsidRPr="0081146C">
        <w:tab/>
        <w:t>that a permanent establishment of the ordinary member is taken to be a permanent establishment of the lead entity; and</w:t>
      </w:r>
    </w:p>
    <w:p w14:paraId="6AC80BB6" w14:textId="77777777" w:rsidR="009B278E" w:rsidRPr="0081146C" w:rsidRDefault="009B278E" w:rsidP="009B278E">
      <w:pPr>
        <w:pStyle w:val="paragraph"/>
      </w:pPr>
      <w:r w:rsidRPr="0081146C">
        <w:tab/>
        <w:t>(b)</w:t>
      </w:r>
      <w:r w:rsidRPr="0081146C">
        <w:tab/>
        <w:t>that the lead entity is taken to provide the designated service in the same capacity as the ordinary member; and</w:t>
      </w:r>
    </w:p>
    <w:p w14:paraId="177643AD" w14:textId="77777777" w:rsidR="009B278E" w:rsidRPr="0081146C" w:rsidRDefault="009B278E" w:rsidP="009B278E">
      <w:pPr>
        <w:pStyle w:val="paragraph"/>
      </w:pPr>
      <w:r w:rsidRPr="0081146C">
        <w:tab/>
        <w:t>(c)</w:t>
      </w:r>
      <w:r w:rsidRPr="0081146C">
        <w:tab/>
        <w:t>that the lead entity is taken to have received any information communicated either directly or indirectly by AUSTRAC to the ordinary member that identifies or assesses the risks associated with the ordinary member’s provision of the designated service; and</w:t>
      </w:r>
    </w:p>
    <w:p w14:paraId="2F0EEF62" w14:textId="77777777" w:rsidR="009B278E" w:rsidRPr="0081146C" w:rsidRDefault="009B278E" w:rsidP="009B278E">
      <w:pPr>
        <w:pStyle w:val="paragraph"/>
      </w:pPr>
      <w:r w:rsidRPr="0081146C">
        <w:tab/>
        <w:t>(d)</w:t>
      </w:r>
      <w:r w:rsidRPr="0081146C">
        <w:tab/>
        <w:t>a circumstance specified by the AML/CTF Rules.</w:t>
      </w:r>
    </w:p>
    <w:p w14:paraId="6B024A88" w14:textId="77777777" w:rsidR="009B278E" w:rsidRPr="0081146C" w:rsidRDefault="009B278E" w:rsidP="009B278E">
      <w:pPr>
        <w:pStyle w:val="subsection"/>
      </w:pPr>
      <w:r w:rsidRPr="0081146C">
        <w:tab/>
        <w:t>(4)</w:t>
      </w:r>
      <w:r w:rsidRPr="0081146C">
        <w:tab/>
        <w:t>Subsection (3) does not limit subsection (2).</w:t>
      </w:r>
    </w:p>
    <w:p w14:paraId="51F22BA1" w14:textId="77777777" w:rsidR="009B278E" w:rsidRPr="0081146C" w:rsidRDefault="009B278E" w:rsidP="009B278E">
      <w:pPr>
        <w:pStyle w:val="SubsectionHead"/>
      </w:pPr>
      <w:r w:rsidRPr="0081146C">
        <w:t>Discharge of obligations by members of a reporting group</w:t>
      </w:r>
    </w:p>
    <w:p w14:paraId="5280B2CD" w14:textId="77777777" w:rsidR="009B278E" w:rsidRPr="0081146C" w:rsidRDefault="009B278E" w:rsidP="009B278E">
      <w:pPr>
        <w:pStyle w:val="subsection"/>
      </w:pPr>
      <w:r w:rsidRPr="0081146C">
        <w:tab/>
        <w:t>(5)</w:t>
      </w:r>
      <w:r w:rsidRPr="0081146C">
        <w:tab/>
        <w:t>If:</w:t>
      </w:r>
    </w:p>
    <w:p w14:paraId="2E585138" w14:textId="77777777" w:rsidR="009B278E" w:rsidRPr="0081146C" w:rsidRDefault="009B278E" w:rsidP="009B278E">
      <w:pPr>
        <w:pStyle w:val="paragraph"/>
      </w:pPr>
      <w:r w:rsidRPr="0081146C">
        <w:tab/>
        <w:t>(a)</w:t>
      </w:r>
      <w:r w:rsidRPr="0081146C">
        <w:tab/>
        <w:t>a reporting entity is a member of a reporting group; and</w:t>
      </w:r>
    </w:p>
    <w:p w14:paraId="0D3096A8" w14:textId="77777777" w:rsidR="009B278E" w:rsidRPr="0081146C" w:rsidRDefault="009B278E" w:rsidP="009B278E">
      <w:pPr>
        <w:pStyle w:val="paragraph"/>
      </w:pPr>
      <w:r w:rsidRPr="0081146C">
        <w:tab/>
        <w:t>(b)</w:t>
      </w:r>
      <w:r w:rsidRPr="0081146C">
        <w:tab/>
        <w:t>an obligation is imposed on the reporting entity by a provision of this Act, the regulations or the AML/CTF Rules; and</w:t>
      </w:r>
    </w:p>
    <w:p w14:paraId="1C105F2F" w14:textId="77777777" w:rsidR="009B278E" w:rsidRPr="0081146C" w:rsidRDefault="009B278E" w:rsidP="009B278E">
      <w:pPr>
        <w:pStyle w:val="paragraph"/>
      </w:pPr>
      <w:r w:rsidRPr="0081146C">
        <w:tab/>
        <w:t>(c)</w:t>
      </w:r>
      <w:r w:rsidRPr="0081146C">
        <w:tab/>
        <w:t>such other conditions (if any) as are specified in the AML/CTF Rules are satisfied; and</w:t>
      </w:r>
    </w:p>
    <w:p w14:paraId="3B2051BC" w14:textId="77777777" w:rsidR="009B278E" w:rsidRPr="0081146C" w:rsidRDefault="009B278E" w:rsidP="009B278E">
      <w:pPr>
        <w:pStyle w:val="paragraph"/>
      </w:pPr>
      <w:r w:rsidRPr="0081146C">
        <w:tab/>
        <w:t>(d)</w:t>
      </w:r>
      <w:r w:rsidRPr="0081146C">
        <w:tab/>
        <w:t>the obligation is not of a kind, or does not arise in circumstances, specified in the AML/CTF Rules;</w:t>
      </w:r>
    </w:p>
    <w:p w14:paraId="61EC73F5" w14:textId="77777777" w:rsidR="009B278E" w:rsidRPr="0081146C" w:rsidRDefault="009B278E" w:rsidP="009B278E">
      <w:pPr>
        <w:pStyle w:val="subsection2"/>
      </w:pPr>
      <w:r w:rsidRPr="0081146C">
        <w:t>the obligation may be discharged by any other member of the reporting group.</w:t>
      </w:r>
    </w:p>
    <w:p w14:paraId="472975F7" w14:textId="77777777" w:rsidR="009B278E" w:rsidRPr="0081146C" w:rsidRDefault="009B278E" w:rsidP="009B278E">
      <w:pPr>
        <w:pStyle w:val="notetext"/>
      </w:pPr>
      <w:r w:rsidRPr="0081146C">
        <w:t>Note:</w:t>
      </w:r>
      <w:r w:rsidRPr="0081146C">
        <w:tab/>
        <w:t>The member who discharges the obligation need not be a reporting entity.</w:t>
      </w:r>
    </w:p>
    <w:p w14:paraId="1C9F5727" w14:textId="77777777" w:rsidR="009B278E" w:rsidRPr="0081146C" w:rsidRDefault="009B278E" w:rsidP="009B278E">
      <w:pPr>
        <w:pStyle w:val="SubsectionHead"/>
      </w:pPr>
      <w:r w:rsidRPr="0081146C">
        <w:t>Contraventions of civil penalty provisions by members of reporting groups</w:t>
      </w:r>
    </w:p>
    <w:p w14:paraId="27DF4584" w14:textId="77777777" w:rsidR="009B278E" w:rsidRPr="0081146C" w:rsidRDefault="009B278E" w:rsidP="009B278E">
      <w:pPr>
        <w:pStyle w:val="subsection"/>
      </w:pPr>
      <w:r w:rsidRPr="0081146C">
        <w:tab/>
        <w:t>(6)</w:t>
      </w:r>
      <w:r w:rsidRPr="0081146C">
        <w:tab/>
        <w:t>A civil penalty provision that would otherwise be contravened only by a reporting entity that is:</w:t>
      </w:r>
    </w:p>
    <w:p w14:paraId="3B7AA455" w14:textId="77777777" w:rsidR="009B278E" w:rsidRPr="0081146C" w:rsidRDefault="009B278E" w:rsidP="009B278E">
      <w:pPr>
        <w:pStyle w:val="paragraph"/>
      </w:pPr>
      <w:r w:rsidRPr="0081146C">
        <w:tab/>
        <w:t>(a)</w:t>
      </w:r>
      <w:r w:rsidRPr="0081146C">
        <w:tab/>
        <w:t>a member of a reporting group; and</w:t>
      </w:r>
    </w:p>
    <w:p w14:paraId="6AFF2060" w14:textId="77777777" w:rsidR="009B278E" w:rsidRPr="0081146C" w:rsidRDefault="009B278E" w:rsidP="009B278E">
      <w:pPr>
        <w:pStyle w:val="paragraph"/>
      </w:pPr>
      <w:r w:rsidRPr="0081146C">
        <w:tab/>
        <w:t>(b)</w:t>
      </w:r>
      <w:r w:rsidRPr="0081146C">
        <w:tab/>
        <w:t>not the lead entity of the reporting group;</w:t>
      </w:r>
    </w:p>
    <w:p w14:paraId="5889F85D" w14:textId="77777777" w:rsidR="009B278E" w:rsidRPr="0081146C" w:rsidRDefault="009B278E" w:rsidP="009B278E">
      <w:pPr>
        <w:pStyle w:val="subsection2"/>
      </w:pPr>
      <w:r w:rsidRPr="0081146C">
        <w:t>is taken to have been contravened by both the reporting entity and the lead entity.</w:t>
      </w:r>
    </w:p>
    <w:p w14:paraId="0595850D" w14:textId="77777777" w:rsidR="00035544" w:rsidRPr="0081146C" w:rsidRDefault="00035544" w:rsidP="00035544">
      <w:pPr>
        <w:pStyle w:val="ActHead5"/>
      </w:pPr>
      <w:bookmarkStart w:id="689" w:name="_Toc185416115"/>
      <w:r w:rsidRPr="0081146C">
        <w:rPr>
          <w:rStyle w:val="CharSectno"/>
        </w:rPr>
        <w:t>237</w:t>
      </w:r>
      <w:r w:rsidRPr="0081146C">
        <w:t xml:space="preserve">  Treatment of partnerships</w:t>
      </w:r>
      <w:bookmarkEnd w:id="689"/>
    </w:p>
    <w:p w14:paraId="541DF09B" w14:textId="77777777" w:rsidR="00035544" w:rsidRPr="0081146C" w:rsidRDefault="00035544" w:rsidP="00035544">
      <w:pPr>
        <w:pStyle w:val="subsection"/>
      </w:pPr>
      <w:r w:rsidRPr="0081146C">
        <w:tab/>
        <w:t>(1)</w:t>
      </w:r>
      <w:r w:rsidRPr="0081146C">
        <w:tab/>
        <w:t>This Act applies to a partnership as if it were a person, but with the changes set out in this section.</w:t>
      </w:r>
    </w:p>
    <w:p w14:paraId="1BA43C95" w14:textId="77777777" w:rsidR="00035544" w:rsidRPr="0081146C" w:rsidRDefault="00035544" w:rsidP="00035544">
      <w:pPr>
        <w:pStyle w:val="subsection"/>
      </w:pPr>
      <w:r w:rsidRPr="0081146C">
        <w:tab/>
        <w:t>(2)</w:t>
      </w:r>
      <w:r w:rsidRPr="0081146C">
        <w:tab/>
        <w:t>An obligation that would otherwise be imposed on the partnership by this Act is imposed on each partner instead, but may be discharged by any of the partners.</w:t>
      </w:r>
    </w:p>
    <w:p w14:paraId="06B4E48B" w14:textId="77777777" w:rsidR="00035544" w:rsidRPr="0081146C" w:rsidRDefault="00035544" w:rsidP="00035544">
      <w:pPr>
        <w:pStyle w:val="subsection"/>
      </w:pPr>
      <w:r w:rsidRPr="0081146C">
        <w:tab/>
        <w:t>(3)</w:t>
      </w:r>
      <w:r w:rsidRPr="0081146C">
        <w:tab/>
        <w:t>An offence against this Act that would otherwise be committed by the partnership is taken to have been committed by each partner.</w:t>
      </w:r>
    </w:p>
    <w:p w14:paraId="64B055C0" w14:textId="77777777" w:rsidR="00035544" w:rsidRPr="0081146C" w:rsidRDefault="00035544" w:rsidP="00035544">
      <w:pPr>
        <w:pStyle w:val="subsection"/>
      </w:pPr>
      <w:r w:rsidRPr="0081146C">
        <w:tab/>
        <w:t>(4)</w:t>
      </w:r>
      <w:r w:rsidRPr="0081146C">
        <w:tab/>
        <w:t xml:space="preserve">A partner does not commit an offence because of </w:t>
      </w:r>
      <w:r w:rsidR="004F64A4" w:rsidRPr="0081146C">
        <w:t>subsection (</w:t>
      </w:r>
      <w:r w:rsidRPr="0081146C">
        <w:t>3) if the partner:</w:t>
      </w:r>
    </w:p>
    <w:p w14:paraId="5BD69BDD" w14:textId="77777777" w:rsidR="00035544" w:rsidRPr="0081146C" w:rsidRDefault="00035544" w:rsidP="00035544">
      <w:pPr>
        <w:pStyle w:val="paragraph"/>
      </w:pPr>
      <w:r w:rsidRPr="0081146C">
        <w:tab/>
        <w:t>(a)</w:t>
      </w:r>
      <w:r w:rsidRPr="0081146C">
        <w:tab/>
        <w:t>does not know of the circumstances that constitute the contravention of the provision concerned; or</w:t>
      </w:r>
    </w:p>
    <w:p w14:paraId="53264374" w14:textId="77777777" w:rsidR="00035544" w:rsidRPr="0081146C" w:rsidRDefault="00035544" w:rsidP="00035544">
      <w:pPr>
        <w:pStyle w:val="paragraph"/>
      </w:pPr>
      <w:r w:rsidRPr="0081146C">
        <w:tab/>
        <w:t>(b)</w:t>
      </w:r>
      <w:r w:rsidRPr="0081146C">
        <w:tab/>
        <w:t>knows of those circumstances but takes all reasonable steps to correct the contravention as soon as possible after the partner becomes aware of those circumstances.</w:t>
      </w:r>
    </w:p>
    <w:p w14:paraId="7DF68EA1" w14:textId="77777777" w:rsidR="00035544" w:rsidRPr="0081146C" w:rsidRDefault="00035544" w:rsidP="00035544">
      <w:pPr>
        <w:pStyle w:val="notetext"/>
      </w:pPr>
      <w:r w:rsidRPr="0081146C">
        <w:t>Note:</w:t>
      </w:r>
      <w:r w:rsidRPr="0081146C">
        <w:tab/>
        <w:t xml:space="preserve">A defendant bears an evidential burden in relation to the matters in </w:t>
      </w:r>
      <w:r w:rsidR="004F64A4" w:rsidRPr="0081146C">
        <w:t>subsection (</w:t>
      </w:r>
      <w:r w:rsidRPr="0081146C">
        <w:t>4)—see sub</w:t>
      </w:r>
      <w:r w:rsidR="003B7E15" w:rsidRPr="0081146C">
        <w:t>section 1</w:t>
      </w:r>
      <w:r w:rsidRPr="0081146C">
        <w:t xml:space="preserve">3.3(3) of the </w:t>
      </w:r>
      <w:r w:rsidRPr="0081146C">
        <w:rPr>
          <w:i/>
        </w:rPr>
        <w:t>Criminal Code</w:t>
      </w:r>
      <w:r w:rsidRPr="0081146C">
        <w:t>.</w:t>
      </w:r>
    </w:p>
    <w:p w14:paraId="76CAC05A" w14:textId="77777777" w:rsidR="00035544" w:rsidRPr="0081146C" w:rsidRDefault="00035544" w:rsidP="00035544">
      <w:pPr>
        <w:pStyle w:val="subsection"/>
      </w:pPr>
      <w:r w:rsidRPr="0081146C">
        <w:tab/>
        <w:t>(5)</w:t>
      </w:r>
      <w:r w:rsidRPr="0081146C">
        <w:tab/>
        <w:t>This section applies to a breach of a civil penalty provision in a corresponding way to the way in which it applies to an offence.</w:t>
      </w:r>
    </w:p>
    <w:p w14:paraId="5B42454A" w14:textId="77777777" w:rsidR="00035544" w:rsidRPr="0081146C" w:rsidRDefault="00035544" w:rsidP="00035544">
      <w:pPr>
        <w:pStyle w:val="ActHead5"/>
      </w:pPr>
      <w:bookmarkStart w:id="690" w:name="_Toc185416116"/>
      <w:r w:rsidRPr="0081146C">
        <w:rPr>
          <w:rStyle w:val="CharSectno"/>
        </w:rPr>
        <w:t>238</w:t>
      </w:r>
      <w:r w:rsidRPr="0081146C">
        <w:t xml:space="preserve">  Treatment of unincorporated associations</w:t>
      </w:r>
      <w:bookmarkEnd w:id="690"/>
    </w:p>
    <w:p w14:paraId="186906D2" w14:textId="77777777" w:rsidR="00035544" w:rsidRPr="0081146C" w:rsidRDefault="00035544" w:rsidP="00035544">
      <w:pPr>
        <w:pStyle w:val="subsection"/>
      </w:pPr>
      <w:r w:rsidRPr="0081146C">
        <w:tab/>
        <w:t>(1)</w:t>
      </w:r>
      <w:r w:rsidRPr="0081146C">
        <w:tab/>
        <w:t>This Act applies to an unincorporated association as if it were a person, but with the changes set out in this section.</w:t>
      </w:r>
    </w:p>
    <w:p w14:paraId="10375F17" w14:textId="77777777" w:rsidR="00035544" w:rsidRPr="0081146C" w:rsidRDefault="00035544" w:rsidP="00035544">
      <w:pPr>
        <w:pStyle w:val="subsection"/>
      </w:pPr>
      <w:r w:rsidRPr="0081146C">
        <w:tab/>
        <w:t>(2)</w:t>
      </w:r>
      <w:r w:rsidRPr="0081146C">
        <w:tab/>
        <w:t>An obligation that would otherwise be imposed on the association by this Act is imposed on each member of the association’s committee of management instead, but may be discharged by any of the members.</w:t>
      </w:r>
    </w:p>
    <w:p w14:paraId="37479CB2" w14:textId="77777777" w:rsidR="00035544" w:rsidRPr="0081146C" w:rsidRDefault="00035544" w:rsidP="00035544">
      <w:pPr>
        <w:pStyle w:val="subsection"/>
      </w:pPr>
      <w:r w:rsidRPr="0081146C">
        <w:tab/>
        <w:t>(3)</w:t>
      </w:r>
      <w:r w:rsidRPr="0081146C">
        <w:tab/>
        <w:t>An offence against this Act that would otherwise be committed by the association is taken to have been committed by each member of the association’s committee of management.</w:t>
      </w:r>
    </w:p>
    <w:p w14:paraId="51531A00" w14:textId="77777777" w:rsidR="00035544" w:rsidRPr="0081146C" w:rsidRDefault="00035544" w:rsidP="00035544">
      <w:pPr>
        <w:pStyle w:val="subsection"/>
      </w:pPr>
      <w:r w:rsidRPr="0081146C">
        <w:tab/>
        <w:t>(4)</w:t>
      </w:r>
      <w:r w:rsidRPr="0081146C">
        <w:tab/>
        <w:t xml:space="preserve">A member of the association’s committee of management does not commit an offence because of </w:t>
      </w:r>
      <w:r w:rsidR="004F64A4" w:rsidRPr="0081146C">
        <w:t>subsection (</w:t>
      </w:r>
      <w:r w:rsidRPr="0081146C">
        <w:t>3) if the member:</w:t>
      </w:r>
    </w:p>
    <w:p w14:paraId="7C195AD2" w14:textId="77777777" w:rsidR="00035544" w:rsidRPr="0081146C" w:rsidRDefault="00035544" w:rsidP="00035544">
      <w:pPr>
        <w:pStyle w:val="paragraph"/>
      </w:pPr>
      <w:r w:rsidRPr="0081146C">
        <w:tab/>
        <w:t>(a)</w:t>
      </w:r>
      <w:r w:rsidRPr="0081146C">
        <w:tab/>
        <w:t>does not know of the circumstances that constitute the contravention of the provision concerned; or</w:t>
      </w:r>
    </w:p>
    <w:p w14:paraId="73BE2EE9" w14:textId="77777777" w:rsidR="00035544" w:rsidRPr="0081146C" w:rsidRDefault="00035544" w:rsidP="00035544">
      <w:pPr>
        <w:pStyle w:val="paragraph"/>
      </w:pPr>
      <w:r w:rsidRPr="0081146C">
        <w:tab/>
        <w:t>(b)</w:t>
      </w:r>
      <w:r w:rsidRPr="0081146C">
        <w:tab/>
        <w:t>knows of those circumstances but takes all reasonable steps to correct the contravention as soon as possible after the member becomes aware of those circumstances.</w:t>
      </w:r>
    </w:p>
    <w:p w14:paraId="621A8DF7" w14:textId="77777777" w:rsidR="00035544" w:rsidRPr="0081146C" w:rsidRDefault="00035544" w:rsidP="00035544">
      <w:pPr>
        <w:pStyle w:val="notetext"/>
      </w:pPr>
      <w:r w:rsidRPr="0081146C">
        <w:t>Note:</w:t>
      </w:r>
      <w:r w:rsidRPr="0081146C">
        <w:tab/>
        <w:t xml:space="preserve">A defendant bears an evidential burden in relation to the matters in </w:t>
      </w:r>
      <w:r w:rsidR="004F64A4" w:rsidRPr="0081146C">
        <w:t>subsection (</w:t>
      </w:r>
      <w:r w:rsidRPr="0081146C">
        <w:t>4)—see sub</w:t>
      </w:r>
      <w:r w:rsidR="003B7E15" w:rsidRPr="0081146C">
        <w:t>section 1</w:t>
      </w:r>
      <w:r w:rsidRPr="0081146C">
        <w:t xml:space="preserve">3.3(3) of the </w:t>
      </w:r>
      <w:r w:rsidRPr="0081146C">
        <w:rPr>
          <w:i/>
        </w:rPr>
        <w:t>Criminal Code</w:t>
      </w:r>
      <w:r w:rsidRPr="0081146C">
        <w:t>.</w:t>
      </w:r>
    </w:p>
    <w:p w14:paraId="2FC5172C" w14:textId="77777777" w:rsidR="00035544" w:rsidRPr="0081146C" w:rsidRDefault="00035544" w:rsidP="00035544">
      <w:pPr>
        <w:pStyle w:val="subsection"/>
      </w:pPr>
      <w:r w:rsidRPr="0081146C">
        <w:tab/>
        <w:t>(5)</w:t>
      </w:r>
      <w:r w:rsidRPr="0081146C">
        <w:tab/>
        <w:t>This section applies to a breach of a civil penalty provision in a corresponding way to the way in which it applies to an offence.</w:t>
      </w:r>
    </w:p>
    <w:p w14:paraId="3716AFAD" w14:textId="77777777" w:rsidR="00035544" w:rsidRPr="0081146C" w:rsidRDefault="00035544" w:rsidP="00035544">
      <w:pPr>
        <w:pStyle w:val="ActHead5"/>
      </w:pPr>
      <w:bookmarkStart w:id="691" w:name="_Toc185416117"/>
      <w:r w:rsidRPr="0081146C">
        <w:rPr>
          <w:rStyle w:val="CharSectno"/>
        </w:rPr>
        <w:t>239</w:t>
      </w:r>
      <w:r w:rsidRPr="0081146C">
        <w:t xml:space="preserve">  Treatment of trusts with multiple trustees</w:t>
      </w:r>
      <w:bookmarkEnd w:id="691"/>
    </w:p>
    <w:p w14:paraId="7C5E5EA1" w14:textId="77777777" w:rsidR="00035544" w:rsidRPr="0081146C" w:rsidRDefault="00035544" w:rsidP="00035544">
      <w:pPr>
        <w:pStyle w:val="subsection"/>
      </w:pPr>
      <w:r w:rsidRPr="0081146C">
        <w:tab/>
        <w:t>(1)</w:t>
      </w:r>
      <w:r w:rsidRPr="0081146C">
        <w:tab/>
        <w:t>If a trust has 2 or more trustees, this Act applies to the trust as if it were a person, but with the changes set out in this section.</w:t>
      </w:r>
    </w:p>
    <w:p w14:paraId="4B613E13" w14:textId="77777777" w:rsidR="00035544" w:rsidRPr="0081146C" w:rsidRDefault="00035544" w:rsidP="00035544">
      <w:pPr>
        <w:pStyle w:val="notetext"/>
      </w:pPr>
      <w:r w:rsidRPr="0081146C">
        <w:t>Note:</w:t>
      </w:r>
      <w:r w:rsidRPr="0081146C">
        <w:tab/>
        <w:t xml:space="preserve">A trust is a person for the purposes of this Act (see the definition of </w:t>
      </w:r>
      <w:r w:rsidRPr="0081146C">
        <w:rPr>
          <w:b/>
          <w:i/>
        </w:rPr>
        <w:t>person</w:t>
      </w:r>
      <w:r w:rsidRPr="0081146C">
        <w:t xml:space="preserve"> in section</w:t>
      </w:r>
      <w:r w:rsidR="004F64A4" w:rsidRPr="0081146C">
        <w:t> </w:t>
      </w:r>
      <w:r w:rsidRPr="0081146C">
        <w:t>5).</w:t>
      </w:r>
    </w:p>
    <w:p w14:paraId="6C9734D8" w14:textId="77777777" w:rsidR="00035544" w:rsidRPr="0081146C" w:rsidRDefault="00035544" w:rsidP="00035544">
      <w:pPr>
        <w:pStyle w:val="subsection"/>
      </w:pPr>
      <w:r w:rsidRPr="0081146C">
        <w:tab/>
        <w:t>(2)</w:t>
      </w:r>
      <w:r w:rsidRPr="0081146C">
        <w:tab/>
        <w:t>An obligation that would otherwise be imposed on the trust by this Act is imposed on each trustee instead, but may be discharged by any of the trustees.</w:t>
      </w:r>
    </w:p>
    <w:p w14:paraId="7FD3296B" w14:textId="77777777" w:rsidR="00035544" w:rsidRPr="0081146C" w:rsidRDefault="00035544" w:rsidP="00035544">
      <w:pPr>
        <w:pStyle w:val="subsection"/>
      </w:pPr>
      <w:r w:rsidRPr="0081146C">
        <w:tab/>
        <w:t>(3)</w:t>
      </w:r>
      <w:r w:rsidRPr="0081146C">
        <w:tab/>
        <w:t>An offence against this Act that would otherwise be committed by the trust is taken to have been committed by each trustee.</w:t>
      </w:r>
    </w:p>
    <w:p w14:paraId="62E8DDE3" w14:textId="77777777" w:rsidR="00035544" w:rsidRPr="0081146C" w:rsidRDefault="00035544" w:rsidP="00421682">
      <w:pPr>
        <w:pStyle w:val="subsection"/>
        <w:keepNext/>
      </w:pPr>
      <w:r w:rsidRPr="0081146C">
        <w:tab/>
        <w:t>(4)</w:t>
      </w:r>
      <w:r w:rsidRPr="0081146C">
        <w:tab/>
        <w:t xml:space="preserve">A trustee does not commit an offence because of </w:t>
      </w:r>
      <w:r w:rsidR="004F64A4" w:rsidRPr="0081146C">
        <w:t>subsection (</w:t>
      </w:r>
      <w:r w:rsidRPr="0081146C">
        <w:t>3) if the trustee:</w:t>
      </w:r>
    </w:p>
    <w:p w14:paraId="1A953C96" w14:textId="77777777" w:rsidR="00035544" w:rsidRPr="0081146C" w:rsidRDefault="00035544" w:rsidP="00421682">
      <w:pPr>
        <w:pStyle w:val="paragraph"/>
        <w:keepNext/>
      </w:pPr>
      <w:r w:rsidRPr="0081146C">
        <w:tab/>
        <w:t>(a)</w:t>
      </w:r>
      <w:r w:rsidRPr="0081146C">
        <w:tab/>
        <w:t>does not know of the circumstances that constitute the contravention of the provision concerned; or</w:t>
      </w:r>
    </w:p>
    <w:p w14:paraId="6A420847" w14:textId="77777777" w:rsidR="00035544" w:rsidRPr="0081146C" w:rsidRDefault="00035544" w:rsidP="00035544">
      <w:pPr>
        <w:pStyle w:val="paragraph"/>
      </w:pPr>
      <w:r w:rsidRPr="0081146C">
        <w:tab/>
        <w:t>(b)</w:t>
      </w:r>
      <w:r w:rsidRPr="0081146C">
        <w:tab/>
        <w:t>knows of those circumstances but takes all reasonable steps to correct the contravention as soon as possible after the trustee becomes aware of those circumstances.</w:t>
      </w:r>
    </w:p>
    <w:p w14:paraId="02447812" w14:textId="77777777" w:rsidR="00035544" w:rsidRPr="0081146C" w:rsidRDefault="00035544" w:rsidP="00035544">
      <w:pPr>
        <w:pStyle w:val="notetext"/>
      </w:pPr>
      <w:r w:rsidRPr="0081146C">
        <w:t>Note:</w:t>
      </w:r>
      <w:r w:rsidRPr="0081146C">
        <w:tab/>
        <w:t xml:space="preserve">A defendant bears an evidential burden in relation to the matters in </w:t>
      </w:r>
      <w:r w:rsidR="004F64A4" w:rsidRPr="0081146C">
        <w:t>subsection (</w:t>
      </w:r>
      <w:r w:rsidRPr="0081146C">
        <w:t>4)—see sub</w:t>
      </w:r>
      <w:r w:rsidR="003B7E15" w:rsidRPr="0081146C">
        <w:t>section 1</w:t>
      </w:r>
      <w:r w:rsidRPr="0081146C">
        <w:t xml:space="preserve">3.3(3) of the </w:t>
      </w:r>
      <w:r w:rsidRPr="0081146C">
        <w:rPr>
          <w:i/>
        </w:rPr>
        <w:t>Criminal Code</w:t>
      </w:r>
      <w:r w:rsidRPr="0081146C">
        <w:t>.</w:t>
      </w:r>
    </w:p>
    <w:p w14:paraId="17BEE9B6" w14:textId="77777777" w:rsidR="00035544" w:rsidRPr="0081146C" w:rsidRDefault="00035544" w:rsidP="00035544">
      <w:pPr>
        <w:pStyle w:val="subsection"/>
      </w:pPr>
      <w:r w:rsidRPr="0081146C">
        <w:tab/>
        <w:t>(5)</w:t>
      </w:r>
      <w:r w:rsidRPr="0081146C">
        <w:tab/>
        <w:t>This section applies to a breach of a civil penalty provision in a corresponding way to the way in which it applies to an offence.</w:t>
      </w:r>
    </w:p>
    <w:p w14:paraId="1218B42E" w14:textId="77777777" w:rsidR="00035544" w:rsidRPr="0081146C" w:rsidRDefault="00035544" w:rsidP="00035544">
      <w:pPr>
        <w:pStyle w:val="ActHead5"/>
      </w:pPr>
      <w:bookmarkStart w:id="692" w:name="_Toc185416118"/>
      <w:r w:rsidRPr="0081146C">
        <w:rPr>
          <w:rStyle w:val="CharSectno"/>
        </w:rPr>
        <w:t>240</w:t>
      </w:r>
      <w:r w:rsidRPr="0081146C">
        <w:t xml:space="preserve">  Concurrent operation of State and Territory laws</w:t>
      </w:r>
      <w:bookmarkEnd w:id="692"/>
    </w:p>
    <w:p w14:paraId="58C4F0A6" w14:textId="77777777" w:rsidR="00035544" w:rsidRPr="0081146C" w:rsidRDefault="00035544" w:rsidP="00035544">
      <w:pPr>
        <w:pStyle w:val="subsection"/>
      </w:pPr>
      <w:r w:rsidRPr="0081146C">
        <w:tab/>
      </w:r>
      <w:r w:rsidRPr="0081146C">
        <w:tab/>
        <w:t>This Act is not intended to exclude or limit the operation of a law of a State or Territory that is capable of operating concurrently with this Act.</w:t>
      </w:r>
    </w:p>
    <w:p w14:paraId="1650E307" w14:textId="77777777" w:rsidR="00035544" w:rsidRPr="0081146C" w:rsidRDefault="00035544" w:rsidP="00035544">
      <w:pPr>
        <w:pStyle w:val="ActHead5"/>
      </w:pPr>
      <w:bookmarkStart w:id="693" w:name="_Toc185416119"/>
      <w:r w:rsidRPr="0081146C">
        <w:rPr>
          <w:rStyle w:val="CharSectno"/>
        </w:rPr>
        <w:t>241</w:t>
      </w:r>
      <w:r w:rsidRPr="0081146C">
        <w:t xml:space="preserve">  Act not to limit other powers</w:t>
      </w:r>
      <w:bookmarkEnd w:id="693"/>
    </w:p>
    <w:p w14:paraId="38224B66" w14:textId="77777777" w:rsidR="00035544" w:rsidRPr="0081146C" w:rsidRDefault="00035544" w:rsidP="00035544">
      <w:pPr>
        <w:pStyle w:val="subsection"/>
      </w:pPr>
      <w:r w:rsidRPr="0081146C">
        <w:tab/>
        <w:t>(1)</w:t>
      </w:r>
      <w:r w:rsidRPr="0081146C">
        <w:tab/>
        <w:t>This Act does not limit any power that a person has, under any other law, to obtain information.</w:t>
      </w:r>
    </w:p>
    <w:p w14:paraId="16B36951" w14:textId="77777777" w:rsidR="00035544" w:rsidRPr="0081146C" w:rsidRDefault="00035544" w:rsidP="00035544">
      <w:pPr>
        <w:pStyle w:val="subsection"/>
      </w:pPr>
      <w:r w:rsidRPr="0081146C">
        <w:tab/>
        <w:t>(2)</w:t>
      </w:r>
      <w:r w:rsidRPr="0081146C">
        <w:tab/>
        <w:t>This Act does not limit any power that a customs officer or police officer has under any other law.</w:t>
      </w:r>
    </w:p>
    <w:p w14:paraId="6FB03F2C" w14:textId="77777777" w:rsidR="002F4208" w:rsidRPr="0081146C" w:rsidRDefault="002F4208" w:rsidP="002F4208">
      <w:pPr>
        <w:pStyle w:val="ActHead5"/>
      </w:pPr>
      <w:bookmarkStart w:id="694" w:name="_Toc176444412"/>
      <w:bookmarkStart w:id="695" w:name="_Toc184034033"/>
      <w:bookmarkStart w:id="696" w:name="_Toc185416120"/>
      <w:r w:rsidRPr="0081146C">
        <w:rPr>
          <w:rStyle w:val="CharSectno"/>
        </w:rPr>
        <w:t>242</w:t>
      </w:r>
      <w:r w:rsidRPr="0081146C">
        <w:t xml:space="preserve">  Legal professional privilege</w:t>
      </w:r>
      <w:bookmarkEnd w:id="694"/>
      <w:bookmarkEnd w:id="695"/>
      <w:bookmarkEnd w:id="696"/>
    </w:p>
    <w:p w14:paraId="577480CE" w14:textId="77777777" w:rsidR="002F4208" w:rsidRPr="0081146C" w:rsidRDefault="002F4208" w:rsidP="002F4208">
      <w:pPr>
        <w:pStyle w:val="subsection"/>
      </w:pPr>
      <w:r w:rsidRPr="0081146C">
        <w:tab/>
        <w:t>(1)</w:t>
      </w:r>
      <w:r w:rsidRPr="0081146C">
        <w:tab/>
        <w:t>Nothing in this Act affects the right of a person to refuse to give information (including by answering a question) or produce a document if:</w:t>
      </w:r>
    </w:p>
    <w:p w14:paraId="2B7E4890" w14:textId="77777777" w:rsidR="002F4208" w:rsidRPr="0081146C" w:rsidRDefault="002F4208" w:rsidP="002F4208">
      <w:pPr>
        <w:pStyle w:val="paragraph"/>
      </w:pPr>
      <w:r w:rsidRPr="0081146C">
        <w:tab/>
        <w:t>(a)</w:t>
      </w:r>
      <w:r w:rsidRPr="0081146C">
        <w:tab/>
        <w:t>the information would be privileged from being given on the ground of legal professional privilege; or</w:t>
      </w:r>
    </w:p>
    <w:p w14:paraId="26B27B1B" w14:textId="77777777" w:rsidR="002F4208" w:rsidRPr="0081146C" w:rsidRDefault="002F4208" w:rsidP="002F4208">
      <w:pPr>
        <w:pStyle w:val="paragraph"/>
      </w:pPr>
      <w:r w:rsidRPr="0081146C">
        <w:tab/>
        <w:t>(b)</w:t>
      </w:r>
      <w:r w:rsidRPr="0081146C">
        <w:tab/>
        <w:t>the document would be privileged from being produced on the ground of legal professional privilege.</w:t>
      </w:r>
    </w:p>
    <w:p w14:paraId="28297687" w14:textId="77777777" w:rsidR="002F4208" w:rsidRPr="0081146C" w:rsidRDefault="002F4208" w:rsidP="002F4208">
      <w:pPr>
        <w:pStyle w:val="subsection"/>
      </w:pPr>
      <w:r w:rsidRPr="0081146C">
        <w:tab/>
        <w:t>(2)</w:t>
      </w:r>
      <w:r w:rsidRPr="0081146C">
        <w:tab/>
        <w:t>The fact that a person has provided a description of information or documents that may be or are privileged from being given or produced on the ground of legal professional privilege does not, of itself, amount to a waiver of the privilege.</w:t>
      </w:r>
    </w:p>
    <w:p w14:paraId="59B4E9F7" w14:textId="77777777" w:rsidR="002F4208" w:rsidRPr="0081146C" w:rsidRDefault="002F4208" w:rsidP="002F4208">
      <w:pPr>
        <w:pStyle w:val="ActHead5"/>
      </w:pPr>
      <w:bookmarkStart w:id="697" w:name="_Toc176444413"/>
      <w:bookmarkStart w:id="698" w:name="_Toc184034034"/>
      <w:bookmarkStart w:id="699" w:name="_Toc185416121"/>
      <w:r w:rsidRPr="0081146C">
        <w:rPr>
          <w:rStyle w:val="CharSectno"/>
        </w:rPr>
        <w:t>242A</w:t>
      </w:r>
      <w:r w:rsidRPr="0081146C">
        <w:t xml:space="preserve">  Guidelines in relation to legal professional privilege</w:t>
      </w:r>
      <w:bookmarkEnd w:id="697"/>
      <w:bookmarkEnd w:id="698"/>
      <w:bookmarkEnd w:id="699"/>
    </w:p>
    <w:p w14:paraId="0C80892B" w14:textId="77777777" w:rsidR="002F4208" w:rsidRPr="0081146C" w:rsidRDefault="002F4208" w:rsidP="002F4208">
      <w:pPr>
        <w:pStyle w:val="subsection"/>
      </w:pPr>
      <w:r w:rsidRPr="0081146C">
        <w:tab/>
        <w:t>(1)</w:t>
      </w:r>
      <w:r w:rsidRPr="0081146C">
        <w:tab/>
        <w:t>The Minister may, by notifiable instrument, make guidelines in relation to making or dealing with claims or assertions of legal professional privilege in relation to information or documents required to be given under or for the purposes of this Act.</w:t>
      </w:r>
    </w:p>
    <w:p w14:paraId="3A1AE155" w14:textId="77777777" w:rsidR="002F4208" w:rsidRPr="0081146C" w:rsidRDefault="002F4208" w:rsidP="002F4208">
      <w:pPr>
        <w:pStyle w:val="subsection"/>
        <w:rPr>
          <w:sz w:val="20"/>
        </w:rPr>
      </w:pPr>
      <w:r w:rsidRPr="0081146C">
        <w:tab/>
        <w:t>(2)</w:t>
      </w:r>
      <w:r w:rsidRPr="0081146C">
        <w:tab/>
        <w:t>Without limiting subsection (1), the guidelines may deal with the following matters:</w:t>
      </w:r>
    </w:p>
    <w:p w14:paraId="344341E3" w14:textId="77777777" w:rsidR="002F4208" w:rsidRPr="0081146C" w:rsidRDefault="002F4208" w:rsidP="002F4208">
      <w:pPr>
        <w:pStyle w:val="paragraph"/>
      </w:pPr>
      <w:r w:rsidRPr="0081146C">
        <w:tab/>
        <w:t>(a)</w:t>
      </w:r>
      <w:r w:rsidRPr="0081146C">
        <w:tab/>
        <w:t>arrangements for making or dealing with claims or assertions of legal professional privilege in relation to the exercise of other powers under this Act, including the use of LPP forms;</w:t>
      </w:r>
    </w:p>
    <w:p w14:paraId="13436A4C" w14:textId="77777777" w:rsidR="002F4208" w:rsidRPr="0081146C" w:rsidRDefault="002F4208" w:rsidP="002F4208">
      <w:pPr>
        <w:pStyle w:val="paragraph"/>
      </w:pPr>
      <w:r w:rsidRPr="0081146C">
        <w:tab/>
        <w:t>(b)</w:t>
      </w:r>
      <w:r w:rsidRPr="0081146C">
        <w:tab/>
        <w:t>facilitating the resolution of disputes in relation to legal professional privilege.</w:t>
      </w:r>
    </w:p>
    <w:p w14:paraId="1C51AE5E" w14:textId="77777777" w:rsidR="002F4208" w:rsidRPr="0081146C" w:rsidRDefault="002F4208" w:rsidP="002F4208">
      <w:pPr>
        <w:pStyle w:val="subsection"/>
      </w:pPr>
      <w:r w:rsidRPr="0081146C">
        <w:tab/>
        <w:t>(3)</w:t>
      </w:r>
      <w:r w:rsidRPr="0081146C">
        <w:tab/>
        <w:t>Before making guidelines under subsection (1), the Minister must consult with such persons (if any) as the Minister considers appropriate.</w:t>
      </w:r>
    </w:p>
    <w:p w14:paraId="1E6B1126" w14:textId="77777777" w:rsidR="00035544" w:rsidRPr="0081146C" w:rsidRDefault="00035544" w:rsidP="00035544">
      <w:pPr>
        <w:pStyle w:val="ActHead5"/>
      </w:pPr>
      <w:bookmarkStart w:id="700" w:name="_Toc185416122"/>
      <w:r w:rsidRPr="0081146C">
        <w:rPr>
          <w:rStyle w:val="CharSectno"/>
        </w:rPr>
        <w:t>243</w:t>
      </w:r>
      <w:r w:rsidRPr="0081146C">
        <w:t xml:space="preserve">  Validity of transactions</w:t>
      </w:r>
      <w:bookmarkEnd w:id="700"/>
    </w:p>
    <w:p w14:paraId="0C7DA730" w14:textId="77777777" w:rsidR="00035544" w:rsidRPr="0081146C" w:rsidRDefault="00035544" w:rsidP="00035544">
      <w:pPr>
        <w:pStyle w:val="subsection"/>
      </w:pPr>
      <w:r w:rsidRPr="0081146C">
        <w:tab/>
      </w:r>
      <w:r w:rsidRPr="0081146C">
        <w:tab/>
        <w:t>A contravention of this Act, the regulations or the AML/CTF Rules does not affect the validity of any transaction.</w:t>
      </w:r>
    </w:p>
    <w:p w14:paraId="4B83A1BF" w14:textId="77777777" w:rsidR="00035544" w:rsidRPr="0081146C" w:rsidRDefault="00035544" w:rsidP="0030348B">
      <w:pPr>
        <w:pStyle w:val="ActHead5"/>
      </w:pPr>
      <w:bookmarkStart w:id="701" w:name="_Toc185416123"/>
      <w:r w:rsidRPr="0081146C">
        <w:rPr>
          <w:rStyle w:val="CharSectno"/>
        </w:rPr>
        <w:t>244</w:t>
      </w:r>
      <w:r w:rsidRPr="0081146C">
        <w:t xml:space="preserve">  Reports to the AUSTRAC CEO etc.</w:t>
      </w:r>
      <w:bookmarkEnd w:id="701"/>
    </w:p>
    <w:p w14:paraId="13E0F6E7" w14:textId="77777777" w:rsidR="00035544" w:rsidRPr="0081146C" w:rsidRDefault="00035544" w:rsidP="0030348B">
      <w:pPr>
        <w:pStyle w:val="subsection"/>
        <w:keepNext/>
      </w:pPr>
      <w:r w:rsidRPr="0081146C">
        <w:tab/>
        <w:t>(1)</w:t>
      </w:r>
      <w:r w:rsidRPr="0081146C">
        <w:tab/>
        <w:t>A report to the AUSTRAC CEO by a person under this Act, or a report to a customs officer or a police officer by a person under section</w:t>
      </w:r>
      <w:r w:rsidR="004F64A4" w:rsidRPr="0081146C">
        <w:t> </w:t>
      </w:r>
      <w:r w:rsidRPr="0081146C">
        <w:t>53</w:t>
      </w:r>
      <w:r w:rsidR="000E1888" w:rsidRPr="0081146C">
        <w:t xml:space="preserve"> or 54</w:t>
      </w:r>
      <w:r w:rsidRPr="0081146C">
        <w:t>, must be:</w:t>
      </w:r>
    </w:p>
    <w:p w14:paraId="386CBF94" w14:textId="77777777" w:rsidR="00035544" w:rsidRPr="0081146C" w:rsidRDefault="00035544" w:rsidP="00035544">
      <w:pPr>
        <w:pStyle w:val="paragraph"/>
      </w:pPr>
      <w:r w:rsidRPr="0081146C">
        <w:tab/>
        <w:t>(a)</w:t>
      </w:r>
      <w:r w:rsidRPr="0081146C">
        <w:tab/>
        <w:t>signed by the person; or</w:t>
      </w:r>
    </w:p>
    <w:p w14:paraId="3EFE6B6E" w14:textId="77777777" w:rsidR="00035544" w:rsidRPr="0081146C" w:rsidRDefault="00035544" w:rsidP="00035544">
      <w:pPr>
        <w:pStyle w:val="paragraph"/>
      </w:pPr>
      <w:r w:rsidRPr="0081146C">
        <w:tab/>
        <w:t>(b)</w:t>
      </w:r>
      <w:r w:rsidRPr="0081146C">
        <w:tab/>
        <w:t>otherwise authenticated by the person in an approved way.</w:t>
      </w:r>
    </w:p>
    <w:p w14:paraId="416C2C8F" w14:textId="77777777" w:rsidR="00035544" w:rsidRPr="0081146C" w:rsidRDefault="00035544" w:rsidP="00035544">
      <w:pPr>
        <w:pStyle w:val="subsection"/>
      </w:pPr>
      <w:r w:rsidRPr="0081146C">
        <w:tab/>
        <w:t>(2)</w:t>
      </w:r>
      <w:r w:rsidRPr="0081146C">
        <w:tab/>
        <w:t>A report to the AUSTRAC CEO by a person under this Act must be given to the AUSTRAC CEO:</w:t>
      </w:r>
    </w:p>
    <w:p w14:paraId="6DF63C5E" w14:textId="77777777" w:rsidR="00035544" w:rsidRPr="0081146C" w:rsidRDefault="00035544" w:rsidP="00035544">
      <w:pPr>
        <w:pStyle w:val="paragraph"/>
      </w:pPr>
      <w:r w:rsidRPr="0081146C">
        <w:tab/>
        <w:t>(a)</w:t>
      </w:r>
      <w:r w:rsidRPr="0081146C">
        <w:tab/>
        <w:t>in the manner set out in section</w:t>
      </w:r>
      <w:r w:rsidR="004F64A4" w:rsidRPr="0081146C">
        <w:t> </w:t>
      </w:r>
      <w:r w:rsidRPr="0081146C">
        <w:t xml:space="preserve">28A of the </w:t>
      </w:r>
      <w:r w:rsidRPr="0081146C">
        <w:rPr>
          <w:i/>
        </w:rPr>
        <w:t>Acts Interpretation Act 1901</w:t>
      </w:r>
      <w:r w:rsidRPr="0081146C">
        <w:t>; or</w:t>
      </w:r>
    </w:p>
    <w:p w14:paraId="1A76DADC" w14:textId="77777777" w:rsidR="00035544" w:rsidRPr="0081146C" w:rsidRDefault="00035544" w:rsidP="00035544">
      <w:pPr>
        <w:pStyle w:val="paragraph"/>
      </w:pPr>
      <w:r w:rsidRPr="0081146C">
        <w:tab/>
        <w:t>(b)</w:t>
      </w:r>
      <w:r w:rsidRPr="0081146C">
        <w:tab/>
        <w:t>in such other manner and form as is approved in relation to the person or to a class of persons that includes the person.</w:t>
      </w:r>
    </w:p>
    <w:p w14:paraId="5CB6F560" w14:textId="77777777" w:rsidR="00035544" w:rsidRPr="0081146C" w:rsidRDefault="00035544" w:rsidP="00035544">
      <w:pPr>
        <w:pStyle w:val="subsection"/>
      </w:pPr>
      <w:r w:rsidRPr="0081146C">
        <w:tab/>
        <w:t>(3)</w:t>
      </w:r>
      <w:r w:rsidRPr="0081146C">
        <w:tab/>
        <w:t xml:space="preserve">This section does not affect the operation of the </w:t>
      </w:r>
      <w:r w:rsidRPr="0081146C">
        <w:rPr>
          <w:i/>
        </w:rPr>
        <w:t>Electronic Transactions Act 1999</w:t>
      </w:r>
      <w:r w:rsidRPr="0081146C">
        <w:t>.</w:t>
      </w:r>
    </w:p>
    <w:p w14:paraId="71F03A57" w14:textId="77777777" w:rsidR="00035544" w:rsidRPr="0081146C" w:rsidRDefault="00035544" w:rsidP="00035544">
      <w:pPr>
        <w:pStyle w:val="ActHead5"/>
      </w:pPr>
      <w:bookmarkStart w:id="702" w:name="_Toc185416124"/>
      <w:r w:rsidRPr="0081146C">
        <w:rPr>
          <w:rStyle w:val="CharSectno"/>
        </w:rPr>
        <w:t>245</w:t>
      </w:r>
      <w:r w:rsidRPr="0081146C">
        <w:t xml:space="preserve">  Arrangements with Governors of States etc.</w:t>
      </w:r>
      <w:bookmarkEnd w:id="702"/>
    </w:p>
    <w:p w14:paraId="27FB0CF9" w14:textId="77777777" w:rsidR="00035544" w:rsidRPr="0081146C" w:rsidRDefault="00035544" w:rsidP="00035544">
      <w:pPr>
        <w:pStyle w:val="SubsectionHead"/>
      </w:pPr>
      <w:r w:rsidRPr="0081146C">
        <w:t>States</w:t>
      </w:r>
    </w:p>
    <w:p w14:paraId="652D7F8D" w14:textId="77777777" w:rsidR="00035544" w:rsidRPr="0081146C" w:rsidRDefault="00035544" w:rsidP="00035544">
      <w:pPr>
        <w:pStyle w:val="subsection"/>
      </w:pPr>
      <w:r w:rsidRPr="0081146C">
        <w:tab/>
        <w:t>(1)</w:t>
      </w:r>
      <w:r w:rsidRPr="0081146C">
        <w:tab/>
        <w:t>The Governor</w:t>
      </w:r>
      <w:r w:rsidR="003B7E15" w:rsidRPr="0081146C">
        <w:noBreakHyphen/>
      </w:r>
      <w:r w:rsidRPr="0081146C">
        <w:t>General may make arrangements with the Governor of a State with respect to the administration of this Act, including arrangements for the performance of the functions of a magistrate under this Act by a magistrate of that State.</w:t>
      </w:r>
    </w:p>
    <w:p w14:paraId="1D832EEC" w14:textId="77777777" w:rsidR="00035544" w:rsidRPr="0081146C" w:rsidRDefault="00035544" w:rsidP="00035544">
      <w:pPr>
        <w:pStyle w:val="subsection"/>
      </w:pPr>
      <w:r w:rsidRPr="0081146C">
        <w:tab/>
        <w:t>(2)</w:t>
      </w:r>
      <w:r w:rsidRPr="0081146C">
        <w:tab/>
        <w:t>The Governor</w:t>
      </w:r>
      <w:r w:rsidR="003B7E15" w:rsidRPr="0081146C">
        <w:noBreakHyphen/>
      </w:r>
      <w:r w:rsidRPr="0081146C">
        <w:t xml:space="preserve">General may arrange with the Governor of a State with whom an arrangement is in force under </w:t>
      </w:r>
      <w:r w:rsidR="004F64A4" w:rsidRPr="0081146C">
        <w:t>subsection (</w:t>
      </w:r>
      <w:r w:rsidRPr="0081146C">
        <w:t>1) for the variation or revocation of the arrangement.</w:t>
      </w:r>
    </w:p>
    <w:p w14:paraId="4CABE063" w14:textId="77777777" w:rsidR="00035544" w:rsidRPr="0081146C" w:rsidRDefault="00035544" w:rsidP="00035544">
      <w:pPr>
        <w:pStyle w:val="SubsectionHead"/>
      </w:pPr>
      <w:r w:rsidRPr="0081146C">
        <w:t>Australian Capital Territory</w:t>
      </w:r>
    </w:p>
    <w:p w14:paraId="78CC08D5" w14:textId="77777777" w:rsidR="00035544" w:rsidRPr="0081146C" w:rsidRDefault="00035544" w:rsidP="00035544">
      <w:pPr>
        <w:pStyle w:val="subsection"/>
      </w:pPr>
      <w:r w:rsidRPr="0081146C">
        <w:tab/>
        <w:t>(3)</w:t>
      </w:r>
      <w:r w:rsidRPr="0081146C">
        <w:tab/>
        <w:t>The Governor</w:t>
      </w:r>
      <w:r w:rsidR="003B7E15" w:rsidRPr="0081146C">
        <w:noBreakHyphen/>
      </w:r>
      <w:r w:rsidRPr="0081146C">
        <w:t>General may make arrangements with the Chief Minister of the Australian Capital Territory with respect to the administration of this Act, including arrangements for the performance of the functions of a magistrate under this Act by a magistrate of the Australian Capital Territory.</w:t>
      </w:r>
    </w:p>
    <w:p w14:paraId="467BCF89" w14:textId="77777777" w:rsidR="00035544" w:rsidRPr="0081146C" w:rsidRDefault="00035544" w:rsidP="00035544">
      <w:pPr>
        <w:pStyle w:val="subsection"/>
      </w:pPr>
      <w:r w:rsidRPr="0081146C">
        <w:tab/>
        <w:t>(4)</w:t>
      </w:r>
      <w:r w:rsidRPr="0081146C">
        <w:tab/>
        <w:t>The Governor</w:t>
      </w:r>
      <w:r w:rsidR="003B7E15" w:rsidRPr="0081146C">
        <w:noBreakHyphen/>
      </w:r>
      <w:r w:rsidRPr="0081146C">
        <w:t xml:space="preserve">General may arrange with the Chief Minister of the Australian Capital Territory for the variation or revocation of an arrangement in force under </w:t>
      </w:r>
      <w:r w:rsidR="004F64A4" w:rsidRPr="0081146C">
        <w:t>subsection (</w:t>
      </w:r>
      <w:r w:rsidRPr="0081146C">
        <w:t>3).</w:t>
      </w:r>
    </w:p>
    <w:p w14:paraId="16D593DD" w14:textId="77777777" w:rsidR="00035544" w:rsidRPr="0081146C" w:rsidRDefault="00035544" w:rsidP="00035544">
      <w:pPr>
        <w:pStyle w:val="SubsectionHead"/>
      </w:pPr>
      <w:r w:rsidRPr="0081146C">
        <w:t>Northern Territory</w:t>
      </w:r>
    </w:p>
    <w:p w14:paraId="1A9637A4" w14:textId="77777777" w:rsidR="00035544" w:rsidRPr="0081146C" w:rsidRDefault="00035544" w:rsidP="00035544">
      <w:pPr>
        <w:pStyle w:val="subsection"/>
      </w:pPr>
      <w:r w:rsidRPr="0081146C">
        <w:tab/>
        <w:t>(5)</w:t>
      </w:r>
      <w:r w:rsidRPr="0081146C">
        <w:tab/>
        <w:t>The Governor</w:t>
      </w:r>
      <w:r w:rsidR="003B7E15" w:rsidRPr="0081146C">
        <w:noBreakHyphen/>
      </w:r>
      <w:r w:rsidRPr="0081146C">
        <w:t>General may make arrangements with the Administrator of the Northern Territory with respect to the administration of this Act, including arrangements for the performance of the functions of a magistrate under this Act by a magistrate of the Northern Territory.</w:t>
      </w:r>
    </w:p>
    <w:p w14:paraId="0FE14474" w14:textId="77777777" w:rsidR="00035544" w:rsidRPr="0081146C" w:rsidRDefault="00035544" w:rsidP="00035544">
      <w:pPr>
        <w:pStyle w:val="subsection"/>
      </w:pPr>
      <w:r w:rsidRPr="0081146C">
        <w:tab/>
        <w:t>(6)</w:t>
      </w:r>
      <w:r w:rsidRPr="0081146C">
        <w:tab/>
        <w:t>The Governor</w:t>
      </w:r>
      <w:r w:rsidR="003B7E15" w:rsidRPr="0081146C">
        <w:noBreakHyphen/>
      </w:r>
      <w:r w:rsidRPr="0081146C">
        <w:t xml:space="preserve">General may arrange with the Administrator of the Northern Territory for the variation or revocation of an arrangement in force under </w:t>
      </w:r>
      <w:r w:rsidR="004F64A4" w:rsidRPr="0081146C">
        <w:t>subsection (</w:t>
      </w:r>
      <w:r w:rsidRPr="0081146C">
        <w:t>5).</w:t>
      </w:r>
    </w:p>
    <w:p w14:paraId="500BE09E" w14:textId="77777777" w:rsidR="00035544" w:rsidRPr="0081146C" w:rsidRDefault="00035544" w:rsidP="00035544">
      <w:pPr>
        <w:pStyle w:val="subsection"/>
      </w:pPr>
      <w:r w:rsidRPr="0081146C">
        <w:tab/>
        <w:t>(9)</w:t>
      </w:r>
      <w:r w:rsidRPr="0081146C">
        <w:tab/>
        <w:t xml:space="preserve">A copy of each instrument by which an arrangement under this section is made, varied or revoked is to be published in the </w:t>
      </w:r>
      <w:r w:rsidRPr="0081146C">
        <w:rPr>
          <w:i/>
        </w:rPr>
        <w:t>Gazette</w:t>
      </w:r>
      <w:r w:rsidRPr="0081146C">
        <w:t>.</w:t>
      </w:r>
    </w:p>
    <w:p w14:paraId="72B4FC5D" w14:textId="77777777" w:rsidR="00035544" w:rsidRPr="0081146C" w:rsidRDefault="00503747" w:rsidP="00035544">
      <w:pPr>
        <w:pStyle w:val="SubsectionHead"/>
      </w:pPr>
      <w:r w:rsidRPr="0081146C">
        <w:t>Legislation Act 2003</w:t>
      </w:r>
    </w:p>
    <w:p w14:paraId="24427C5D" w14:textId="77777777" w:rsidR="00035544" w:rsidRPr="0081146C" w:rsidRDefault="00035544" w:rsidP="00035544">
      <w:pPr>
        <w:pStyle w:val="subsection"/>
      </w:pPr>
      <w:r w:rsidRPr="0081146C">
        <w:tab/>
        <w:t>(10)</w:t>
      </w:r>
      <w:r w:rsidRPr="0081146C">
        <w:tab/>
        <w:t>An instrument by which an arrangement under this section is made, varied or revoked is not a legislative instrument.</w:t>
      </w:r>
    </w:p>
    <w:p w14:paraId="25A9C9F0" w14:textId="77777777" w:rsidR="00035544" w:rsidRPr="0081146C" w:rsidRDefault="00035544" w:rsidP="00C5505A">
      <w:pPr>
        <w:pStyle w:val="ActHead5"/>
      </w:pPr>
      <w:bookmarkStart w:id="703" w:name="_Toc185416125"/>
      <w:r w:rsidRPr="0081146C">
        <w:rPr>
          <w:rStyle w:val="CharSectno"/>
        </w:rPr>
        <w:t>246</w:t>
      </w:r>
      <w:r w:rsidRPr="0081146C">
        <w:t xml:space="preserve">  This Act does not limit other information</w:t>
      </w:r>
      <w:r w:rsidR="003B7E15" w:rsidRPr="0081146C">
        <w:noBreakHyphen/>
      </w:r>
      <w:r w:rsidRPr="0081146C">
        <w:t>gathering powers</w:t>
      </w:r>
      <w:bookmarkEnd w:id="703"/>
    </w:p>
    <w:p w14:paraId="7DB4C0F8" w14:textId="77777777" w:rsidR="00035544" w:rsidRPr="0081146C" w:rsidRDefault="00035544" w:rsidP="00C5505A">
      <w:pPr>
        <w:pStyle w:val="subsection"/>
        <w:keepNext/>
        <w:keepLines/>
      </w:pPr>
      <w:r w:rsidRPr="0081146C">
        <w:tab/>
      </w:r>
      <w:r w:rsidRPr="0081146C">
        <w:tab/>
        <w:t>This Act does not limit:</w:t>
      </w:r>
    </w:p>
    <w:p w14:paraId="1A5BE08F" w14:textId="77777777" w:rsidR="00035544" w:rsidRPr="0081146C" w:rsidRDefault="00035544" w:rsidP="00C5505A">
      <w:pPr>
        <w:pStyle w:val="paragraph"/>
        <w:keepNext/>
        <w:keepLines/>
      </w:pPr>
      <w:r w:rsidRPr="0081146C">
        <w:tab/>
        <w:t>(a)</w:t>
      </w:r>
      <w:r w:rsidRPr="0081146C">
        <w:tab/>
        <w:t>any power conferred on the Commissioner of Taxation, by any other law, to obtain information; or</w:t>
      </w:r>
    </w:p>
    <w:p w14:paraId="51C2882B" w14:textId="77777777" w:rsidR="00035544" w:rsidRPr="0081146C" w:rsidRDefault="00035544" w:rsidP="00035544">
      <w:pPr>
        <w:pStyle w:val="paragraph"/>
      </w:pPr>
      <w:r w:rsidRPr="0081146C">
        <w:tab/>
        <w:t>(b)</w:t>
      </w:r>
      <w:r w:rsidRPr="0081146C">
        <w:tab/>
        <w:t>any power conferred on any other person or body, by any other law, to obtain information.</w:t>
      </w:r>
    </w:p>
    <w:p w14:paraId="2EEEB8A2" w14:textId="77777777" w:rsidR="00035544" w:rsidRPr="0081146C" w:rsidRDefault="00035544" w:rsidP="00035544">
      <w:pPr>
        <w:pStyle w:val="ActHead5"/>
      </w:pPr>
      <w:bookmarkStart w:id="704" w:name="_Toc185416126"/>
      <w:r w:rsidRPr="0081146C">
        <w:rPr>
          <w:rStyle w:val="CharSectno"/>
        </w:rPr>
        <w:t>247</w:t>
      </w:r>
      <w:r w:rsidRPr="0081146C">
        <w:t xml:space="preserve">  General exemptions</w:t>
      </w:r>
      <w:bookmarkEnd w:id="704"/>
    </w:p>
    <w:p w14:paraId="172DDE9E" w14:textId="77777777" w:rsidR="00035544" w:rsidRPr="0081146C" w:rsidRDefault="00035544" w:rsidP="00035544">
      <w:pPr>
        <w:pStyle w:val="subsection"/>
      </w:pPr>
      <w:r w:rsidRPr="0081146C">
        <w:tab/>
        <w:t>(1)</w:t>
      </w:r>
      <w:r w:rsidRPr="0081146C">
        <w:tab/>
        <w:t>This Act does not apply to a designated service that is of a kind specified in the AML/CTF Rules.</w:t>
      </w:r>
    </w:p>
    <w:p w14:paraId="55C21CFA" w14:textId="77777777" w:rsidR="00035544" w:rsidRPr="0081146C" w:rsidRDefault="00035544" w:rsidP="00035544">
      <w:pPr>
        <w:pStyle w:val="subsection"/>
      </w:pPr>
      <w:r w:rsidRPr="0081146C">
        <w:tab/>
        <w:t>(2)</w:t>
      </w:r>
      <w:r w:rsidRPr="0081146C">
        <w:tab/>
        <w:t>The AML/CTF Rules may provide that a specified provision of this Act does not apply to a designated service that is of a kind specified in the AML/CTF Rules.</w:t>
      </w:r>
    </w:p>
    <w:p w14:paraId="12DE8AE6" w14:textId="77777777" w:rsidR="00035544" w:rsidRPr="0081146C" w:rsidRDefault="00035544" w:rsidP="00035544">
      <w:pPr>
        <w:pStyle w:val="subsection"/>
      </w:pPr>
      <w:r w:rsidRPr="0081146C">
        <w:tab/>
        <w:t>(3)</w:t>
      </w:r>
      <w:r w:rsidRPr="0081146C">
        <w:tab/>
        <w:t>This Act does not apply to a designated service that is provided in circumstances specified in the AML/CTF Rules.</w:t>
      </w:r>
    </w:p>
    <w:p w14:paraId="7E83587E" w14:textId="77777777" w:rsidR="00035544" w:rsidRPr="0081146C" w:rsidRDefault="00035544" w:rsidP="00035544">
      <w:pPr>
        <w:pStyle w:val="subsection"/>
      </w:pPr>
      <w:r w:rsidRPr="0081146C">
        <w:tab/>
        <w:t>(4)</w:t>
      </w:r>
      <w:r w:rsidRPr="0081146C">
        <w:tab/>
        <w:t>The AML/CTF Rules may provide that a specified provision of this Act does not apply to a designated service that is provided in circumstances specified in the AML/CTF Rules.</w:t>
      </w:r>
    </w:p>
    <w:p w14:paraId="0FE6C9CB" w14:textId="77777777" w:rsidR="00035544" w:rsidRPr="0081146C" w:rsidRDefault="00035544" w:rsidP="00035544">
      <w:pPr>
        <w:pStyle w:val="ActHead5"/>
      </w:pPr>
      <w:bookmarkStart w:id="705" w:name="_Toc185416127"/>
      <w:r w:rsidRPr="0081146C">
        <w:rPr>
          <w:rStyle w:val="CharSectno"/>
        </w:rPr>
        <w:t>248</w:t>
      </w:r>
      <w:r w:rsidRPr="0081146C">
        <w:t xml:space="preserve">  Exemptions and modifications by the AUSTRAC CEO</w:t>
      </w:r>
      <w:bookmarkEnd w:id="705"/>
    </w:p>
    <w:p w14:paraId="23D83981" w14:textId="77777777" w:rsidR="00035544" w:rsidRPr="0081146C" w:rsidRDefault="00035544" w:rsidP="00035544">
      <w:pPr>
        <w:pStyle w:val="subsection"/>
      </w:pPr>
      <w:r w:rsidRPr="0081146C">
        <w:tab/>
        <w:t>(1)</w:t>
      </w:r>
      <w:r w:rsidRPr="0081146C">
        <w:tab/>
        <w:t>The AUSTRAC CEO may, by written instrument:</w:t>
      </w:r>
    </w:p>
    <w:p w14:paraId="3922CBA7" w14:textId="77777777" w:rsidR="00035544" w:rsidRPr="0081146C" w:rsidRDefault="00035544" w:rsidP="00035544">
      <w:pPr>
        <w:pStyle w:val="paragraph"/>
      </w:pPr>
      <w:r w:rsidRPr="0081146C">
        <w:tab/>
        <w:t>(a)</w:t>
      </w:r>
      <w:r w:rsidRPr="0081146C">
        <w:tab/>
        <w:t>exempt a specified person from one or more specified provisions of this Act; or</w:t>
      </w:r>
    </w:p>
    <w:p w14:paraId="06EB8B94" w14:textId="77777777" w:rsidR="00035544" w:rsidRPr="0081146C" w:rsidRDefault="00035544" w:rsidP="00035544">
      <w:pPr>
        <w:pStyle w:val="paragraph"/>
      </w:pPr>
      <w:r w:rsidRPr="0081146C">
        <w:tab/>
        <w:t>(b)</w:t>
      </w:r>
      <w:r w:rsidRPr="0081146C">
        <w:tab/>
        <w:t>declare that this Act applies in relation to a specified person as if one or more specified provisions of this Act were modified as specified in the declaration.</w:t>
      </w:r>
    </w:p>
    <w:p w14:paraId="1556724D" w14:textId="77777777" w:rsidR="00035544" w:rsidRPr="0081146C" w:rsidRDefault="00035544" w:rsidP="00035544">
      <w:pPr>
        <w:pStyle w:val="subsection"/>
      </w:pPr>
      <w:r w:rsidRPr="0081146C">
        <w:tab/>
        <w:t>(2)</w:t>
      </w:r>
      <w:r w:rsidRPr="0081146C">
        <w:tab/>
        <w:t>An exemption may apply:</w:t>
      </w:r>
    </w:p>
    <w:p w14:paraId="306BBD07" w14:textId="77777777" w:rsidR="00035544" w:rsidRPr="0081146C" w:rsidRDefault="00035544" w:rsidP="00035544">
      <w:pPr>
        <w:pStyle w:val="paragraph"/>
      </w:pPr>
      <w:r w:rsidRPr="0081146C">
        <w:tab/>
        <w:t>(a)</w:t>
      </w:r>
      <w:r w:rsidRPr="0081146C">
        <w:tab/>
        <w:t>unconditionally; or</w:t>
      </w:r>
    </w:p>
    <w:p w14:paraId="303F9334" w14:textId="77777777" w:rsidR="00035544" w:rsidRPr="0081146C" w:rsidRDefault="00035544" w:rsidP="00035544">
      <w:pPr>
        <w:pStyle w:val="paragraph"/>
      </w:pPr>
      <w:r w:rsidRPr="0081146C">
        <w:tab/>
        <w:t>(b)</w:t>
      </w:r>
      <w:r w:rsidRPr="0081146C">
        <w:tab/>
        <w:t>subject to specified conditions.</w:t>
      </w:r>
    </w:p>
    <w:p w14:paraId="11FF0DAE" w14:textId="77777777" w:rsidR="00035544" w:rsidRPr="0081146C" w:rsidRDefault="00035544" w:rsidP="00035544">
      <w:pPr>
        <w:pStyle w:val="subsection"/>
      </w:pPr>
      <w:r w:rsidRPr="0081146C">
        <w:tab/>
        <w:t>(3)</w:t>
      </w:r>
      <w:r w:rsidRPr="0081146C">
        <w:tab/>
        <w:t>A person to whom a condition specified in an exemption applies must comply with the condition.</w:t>
      </w:r>
    </w:p>
    <w:p w14:paraId="00BC933F" w14:textId="77777777" w:rsidR="00035544" w:rsidRPr="0081146C" w:rsidRDefault="00035544" w:rsidP="00035544">
      <w:pPr>
        <w:pStyle w:val="subsection"/>
      </w:pPr>
      <w:r w:rsidRPr="0081146C">
        <w:tab/>
        <w:t>(4)</w:t>
      </w:r>
      <w:r w:rsidRPr="0081146C">
        <w:tab/>
      </w:r>
      <w:r w:rsidR="004F64A4" w:rsidRPr="0081146C">
        <w:t>Subsection (</w:t>
      </w:r>
      <w:r w:rsidRPr="0081146C">
        <w:t>3) is a civil penalty provision.</w:t>
      </w:r>
    </w:p>
    <w:p w14:paraId="5D6992DB" w14:textId="77777777" w:rsidR="00035544" w:rsidRPr="0081146C" w:rsidRDefault="00035544" w:rsidP="00035544">
      <w:pPr>
        <w:pStyle w:val="subsection"/>
      </w:pPr>
      <w:r w:rsidRPr="0081146C">
        <w:tab/>
        <w:t>(5)</w:t>
      </w:r>
      <w:r w:rsidRPr="0081146C">
        <w:tab/>
        <w:t xml:space="preserve">A copy of an exemption or declaration must be made available on AUSTRAC’s </w:t>
      </w:r>
      <w:r w:rsidR="0016480F" w:rsidRPr="0081146C">
        <w:t>website</w:t>
      </w:r>
      <w:r w:rsidRPr="0081146C">
        <w:t>.</w:t>
      </w:r>
    </w:p>
    <w:p w14:paraId="3633B387" w14:textId="77777777" w:rsidR="00035544" w:rsidRPr="0081146C" w:rsidRDefault="00035544" w:rsidP="00035544">
      <w:pPr>
        <w:pStyle w:val="subsection"/>
      </w:pPr>
      <w:r w:rsidRPr="0081146C">
        <w:tab/>
        <w:t>(6)</w:t>
      </w:r>
      <w:r w:rsidRPr="0081146C">
        <w:tab/>
        <w:t>If conduct engaged in by a person would not have constituted:</w:t>
      </w:r>
    </w:p>
    <w:p w14:paraId="787B0A6C" w14:textId="77777777" w:rsidR="00035544" w:rsidRPr="0081146C" w:rsidRDefault="00035544" w:rsidP="00035544">
      <w:pPr>
        <w:pStyle w:val="paragraph"/>
      </w:pPr>
      <w:r w:rsidRPr="0081146C">
        <w:tab/>
        <w:t>(a)</w:t>
      </w:r>
      <w:r w:rsidRPr="0081146C">
        <w:tab/>
        <w:t>an offence; or</w:t>
      </w:r>
    </w:p>
    <w:p w14:paraId="234BBCE9" w14:textId="77777777" w:rsidR="00035544" w:rsidRPr="0081146C" w:rsidRDefault="00035544" w:rsidP="00035544">
      <w:pPr>
        <w:pStyle w:val="paragraph"/>
      </w:pPr>
      <w:r w:rsidRPr="0081146C">
        <w:tab/>
        <w:t>(b)</w:t>
      </w:r>
      <w:r w:rsidRPr="0081146C">
        <w:tab/>
        <w:t>a contravention of a civil penalty provision:</w:t>
      </w:r>
    </w:p>
    <w:p w14:paraId="2B9AEADF" w14:textId="77777777" w:rsidR="00035544" w:rsidRPr="0081146C" w:rsidRDefault="00035544" w:rsidP="00035544">
      <w:pPr>
        <w:pStyle w:val="subsection2"/>
      </w:pPr>
      <w:r w:rsidRPr="0081146C">
        <w:t xml:space="preserve">if a particular declaration under </w:t>
      </w:r>
      <w:r w:rsidR="004F64A4" w:rsidRPr="0081146C">
        <w:t>paragraph (</w:t>
      </w:r>
      <w:r w:rsidRPr="0081146C">
        <w:t>1)(b) had not been made, that conduct does not constitute an offence or a contravention of a civil penalty provision unless, before the conduct occurred:</w:t>
      </w:r>
    </w:p>
    <w:p w14:paraId="713137A3" w14:textId="77777777" w:rsidR="00035544" w:rsidRPr="0081146C" w:rsidRDefault="00035544" w:rsidP="00035544">
      <w:pPr>
        <w:pStyle w:val="paragraph"/>
      </w:pPr>
      <w:r w:rsidRPr="0081146C">
        <w:tab/>
        <w:t>(c)</w:t>
      </w:r>
      <w:r w:rsidRPr="0081146C">
        <w:tab/>
        <w:t xml:space="preserve">a copy of the declaration was made available on AUSTRAC’s </w:t>
      </w:r>
      <w:r w:rsidR="007B2492" w:rsidRPr="0081146C">
        <w:t>website</w:t>
      </w:r>
      <w:r w:rsidRPr="0081146C">
        <w:t>; or</w:t>
      </w:r>
    </w:p>
    <w:p w14:paraId="08306520" w14:textId="77777777" w:rsidR="00035544" w:rsidRPr="0081146C" w:rsidRDefault="00035544" w:rsidP="00035544">
      <w:pPr>
        <w:pStyle w:val="paragraph"/>
      </w:pPr>
      <w:r w:rsidRPr="0081146C">
        <w:tab/>
        <w:t>(d)</w:t>
      </w:r>
      <w:r w:rsidRPr="0081146C">
        <w:tab/>
        <w:t>the AUSTRAC CEO gave the person a copy of the declaration.</w:t>
      </w:r>
    </w:p>
    <w:p w14:paraId="43A4284F" w14:textId="77777777" w:rsidR="00035544" w:rsidRPr="0081146C" w:rsidRDefault="00035544" w:rsidP="00035544">
      <w:pPr>
        <w:pStyle w:val="subsection2"/>
      </w:pPr>
      <w:r w:rsidRPr="0081146C">
        <w:t xml:space="preserve">In a prosecution for an offence to which this subsection applies, the prosecution must prove that </w:t>
      </w:r>
      <w:r w:rsidR="004F64A4" w:rsidRPr="0081146C">
        <w:t>paragraph (</w:t>
      </w:r>
      <w:r w:rsidRPr="0081146C">
        <w:t>c) or (d) was complied with before the conduct occurred.</w:t>
      </w:r>
    </w:p>
    <w:p w14:paraId="0BAB3492" w14:textId="77777777" w:rsidR="00035544" w:rsidRPr="0081146C" w:rsidRDefault="00035544" w:rsidP="00035544">
      <w:pPr>
        <w:pStyle w:val="subsection"/>
      </w:pPr>
      <w:r w:rsidRPr="0081146C">
        <w:tab/>
        <w:t>(7)</w:t>
      </w:r>
      <w:r w:rsidRPr="0081146C">
        <w:tab/>
        <w:t xml:space="preserve">An instrument under </w:t>
      </w:r>
      <w:r w:rsidR="004F64A4" w:rsidRPr="0081146C">
        <w:t>subsection (</w:t>
      </w:r>
      <w:r w:rsidRPr="0081146C">
        <w:t>1) is not a legislative instrument.</w:t>
      </w:r>
    </w:p>
    <w:p w14:paraId="420C7EA9" w14:textId="77777777" w:rsidR="00035544" w:rsidRPr="0081146C" w:rsidRDefault="00035544" w:rsidP="00035544">
      <w:pPr>
        <w:pStyle w:val="ActHead5"/>
      </w:pPr>
      <w:bookmarkStart w:id="706" w:name="_Toc185416128"/>
      <w:r w:rsidRPr="0081146C">
        <w:rPr>
          <w:rStyle w:val="CharSectno"/>
        </w:rPr>
        <w:t>249</w:t>
      </w:r>
      <w:r w:rsidRPr="0081146C">
        <w:t xml:space="preserve">  Specification by class</w:t>
      </w:r>
      <w:bookmarkEnd w:id="706"/>
    </w:p>
    <w:p w14:paraId="7463E704" w14:textId="77777777" w:rsidR="00035544" w:rsidRPr="0081146C" w:rsidRDefault="00035544" w:rsidP="00035544">
      <w:pPr>
        <w:pStyle w:val="subsection"/>
      </w:pPr>
      <w:r w:rsidRPr="0081146C">
        <w:tab/>
      </w:r>
      <w:r w:rsidRPr="0081146C">
        <w:tab/>
        <w:t>To avoid doubt, a reference in this Act to a class or kind of matter or thing does not, by implication, affect the application of:</w:t>
      </w:r>
    </w:p>
    <w:p w14:paraId="37A28B8D" w14:textId="77777777" w:rsidR="00035544" w:rsidRPr="0081146C" w:rsidRDefault="00035544" w:rsidP="00035544">
      <w:pPr>
        <w:pStyle w:val="paragraph"/>
      </w:pPr>
      <w:r w:rsidRPr="0081146C">
        <w:tab/>
        <w:t>(a)</w:t>
      </w:r>
      <w:r w:rsidRPr="0081146C">
        <w:tab/>
        <w:t>sub</w:t>
      </w:r>
      <w:r w:rsidR="003B7E15" w:rsidRPr="0081146C">
        <w:t>section 1</w:t>
      </w:r>
      <w:r w:rsidRPr="0081146C">
        <w:t xml:space="preserve">3(3) of the </w:t>
      </w:r>
      <w:r w:rsidR="00503747" w:rsidRPr="0081146C">
        <w:rPr>
          <w:i/>
        </w:rPr>
        <w:t>Legislation Act 2003</w:t>
      </w:r>
      <w:r w:rsidRPr="0081146C">
        <w:t>; or</w:t>
      </w:r>
    </w:p>
    <w:p w14:paraId="71D066E1" w14:textId="77777777" w:rsidR="00035544" w:rsidRPr="0081146C" w:rsidRDefault="00035544" w:rsidP="00035544">
      <w:pPr>
        <w:pStyle w:val="paragraph"/>
      </w:pPr>
      <w:r w:rsidRPr="0081146C">
        <w:tab/>
        <w:t>(b)</w:t>
      </w:r>
      <w:r w:rsidRPr="0081146C">
        <w:tab/>
      </w:r>
      <w:r w:rsidR="0029714E" w:rsidRPr="0081146C">
        <w:t>subsection</w:t>
      </w:r>
      <w:r w:rsidR="004F64A4" w:rsidRPr="0081146C">
        <w:t> </w:t>
      </w:r>
      <w:r w:rsidR="0029714E" w:rsidRPr="0081146C">
        <w:t>33(3AB)</w:t>
      </w:r>
      <w:r w:rsidRPr="0081146C">
        <w:t xml:space="preserve"> of the </w:t>
      </w:r>
      <w:r w:rsidRPr="0081146C">
        <w:rPr>
          <w:i/>
        </w:rPr>
        <w:t>Acts Interpretation Act 1901</w:t>
      </w:r>
      <w:r w:rsidRPr="0081146C">
        <w:t>.</w:t>
      </w:r>
    </w:p>
    <w:p w14:paraId="6307AA97" w14:textId="77777777" w:rsidR="00035544" w:rsidRPr="0081146C" w:rsidRDefault="00035544" w:rsidP="00035544">
      <w:pPr>
        <w:pStyle w:val="ActHead5"/>
      </w:pPr>
      <w:bookmarkStart w:id="707" w:name="_Toc185416129"/>
      <w:r w:rsidRPr="0081146C">
        <w:rPr>
          <w:rStyle w:val="CharSectno"/>
        </w:rPr>
        <w:t>250</w:t>
      </w:r>
      <w:r w:rsidRPr="0081146C">
        <w:t xml:space="preserve">  Schedule</w:t>
      </w:r>
      <w:r w:rsidR="004F64A4" w:rsidRPr="0081146C">
        <w:t> </w:t>
      </w:r>
      <w:r w:rsidRPr="0081146C">
        <w:t>1 (alternative constitutional basis)</w:t>
      </w:r>
      <w:bookmarkEnd w:id="707"/>
    </w:p>
    <w:p w14:paraId="38284F94" w14:textId="77777777" w:rsidR="00035544" w:rsidRPr="0081146C" w:rsidRDefault="00035544" w:rsidP="00035544">
      <w:pPr>
        <w:pStyle w:val="subsection"/>
      </w:pPr>
      <w:r w:rsidRPr="0081146C">
        <w:tab/>
      </w:r>
      <w:r w:rsidRPr="0081146C">
        <w:tab/>
        <w:t>Schedule</w:t>
      </w:r>
      <w:r w:rsidR="004F64A4" w:rsidRPr="0081146C">
        <w:t> </w:t>
      </w:r>
      <w:r w:rsidRPr="0081146C">
        <w:t>1 has effect.</w:t>
      </w:r>
    </w:p>
    <w:p w14:paraId="7D81A9BE" w14:textId="77777777" w:rsidR="00035544" w:rsidRPr="0081146C" w:rsidRDefault="00035544" w:rsidP="00035544">
      <w:pPr>
        <w:pStyle w:val="ActHead5"/>
      </w:pPr>
      <w:bookmarkStart w:id="708" w:name="_Toc185416130"/>
      <w:r w:rsidRPr="0081146C">
        <w:rPr>
          <w:rStyle w:val="CharSectno"/>
        </w:rPr>
        <w:t>251</w:t>
      </w:r>
      <w:r w:rsidRPr="0081146C">
        <w:t xml:space="preserve">  Review of operation of Act</w:t>
      </w:r>
      <w:bookmarkEnd w:id="708"/>
    </w:p>
    <w:p w14:paraId="7259DB13" w14:textId="77777777" w:rsidR="00035544" w:rsidRPr="0081146C" w:rsidRDefault="00035544" w:rsidP="00035544">
      <w:pPr>
        <w:pStyle w:val="subsection"/>
      </w:pPr>
      <w:r w:rsidRPr="0081146C">
        <w:tab/>
        <w:t>(1)</w:t>
      </w:r>
      <w:r w:rsidRPr="0081146C">
        <w:tab/>
        <w:t>Before the end of the period of 7 years after the commencement of this section, the Minister must cause to be conducted a review of the operation of this Act, the regulations and the AML/CTF Rules.</w:t>
      </w:r>
    </w:p>
    <w:p w14:paraId="7C366E3F" w14:textId="77777777" w:rsidR="00035544" w:rsidRPr="0081146C" w:rsidRDefault="00035544" w:rsidP="00035544">
      <w:pPr>
        <w:pStyle w:val="subsection"/>
      </w:pPr>
      <w:r w:rsidRPr="0081146C">
        <w:tab/>
        <w:t>(2)</w:t>
      </w:r>
      <w:r w:rsidRPr="0081146C">
        <w:tab/>
        <w:t xml:space="preserve">The Minister must cause to be prepared a report of the review under </w:t>
      </w:r>
      <w:r w:rsidR="004F64A4" w:rsidRPr="0081146C">
        <w:t>subsection (</w:t>
      </w:r>
      <w:r w:rsidRPr="0081146C">
        <w:t>1).</w:t>
      </w:r>
    </w:p>
    <w:p w14:paraId="4F305AF3" w14:textId="77777777" w:rsidR="00035544" w:rsidRPr="0081146C" w:rsidRDefault="00035544" w:rsidP="00035544">
      <w:pPr>
        <w:pStyle w:val="subsection"/>
      </w:pPr>
      <w:r w:rsidRPr="0081146C">
        <w:tab/>
        <w:t>(3)</w:t>
      </w:r>
      <w:r w:rsidRPr="0081146C">
        <w:tab/>
        <w:t>The Minister must cause copies of the report to be tabled in each House of the Parliament within 15 sittings days of that House after the completion of the preparation of the report.</w:t>
      </w:r>
    </w:p>
    <w:p w14:paraId="0D1E040E" w14:textId="77777777" w:rsidR="00035544" w:rsidRPr="0081146C" w:rsidRDefault="00035544" w:rsidP="00035544">
      <w:pPr>
        <w:pStyle w:val="ActHead5"/>
      </w:pPr>
      <w:bookmarkStart w:id="709" w:name="_Toc185416131"/>
      <w:r w:rsidRPr="0081146C">
        <w:rPr>
          <w:rStyle w:val="CharSectno"/>
        </w:rPr>
        <w:t>252</w:t>
      </w:r>
      <w:r w:rsidRPr="0081146C">
        <w:t xml:space="preserve">  Regulations</w:t>
      </w:r>
      <w:bookmarkEnd w:id="709"/>
    </w:p>
    <w:p w14:paraId="538E5684" w14:textId="77777777" w:rsidR="00035544" w:rsidRPr="0081146C" w:rsidRDefault="00035544" w:rsidP="00035544">
      <w:pPr>
        <w:pStyle w:val="subsection"/>
      </w:pPr>
      <w:r w:rsidRPr="0081146C">
        <w:tab/>
        <w:t>(1)</w:t>
      </w:r>
      <w:r w:rsidRPr="0081146C">
        <w:tab/>
        <w:t>The Governor</w:t>
      </w:r>
      <w:r w:rsidR="003B7E15" w:rsidRPr="0081146C">
        <w:noBreakHyphen/>
      </w:r>
      <w:r w:rsidRPr="0081146C">
        <w:t>General may make regulations prescribing matters:</w:t>
      </w:r>
    </w:p>
    <w:p w14:paraId="1699E018" w14:textId="77777777" w:rsidR="00035544" w:rsidRPr="0081146C" w:rsidRDefault="00035544" w:rsidP="00035544">
      <w:pPr>
        <w:pStyle w:val="paragraph"/>
      </w:pPr>
      <w:r w:rsidRPr="0081146C">
        <w:tab/>
        <w:t>(a)</w:t>
      </w:r>
      <w:r w:rsidRPr="0081146C">
        <w:tab/>
        <w:t>required or permitted to be prescribed by this Act; or</w:t>
      </w:r>
    </w:p>
    <w:p w14:paraId="2836BFE7" w14:textId="77777777" w:rsidR="00035544" w:rsidRPr="0081146C" w:rsidRDefault="00035544" w:rsidP="00035544">
      <w:pPr>
        <w:pStyle w:val="paragraph"/>
      </w:pPr>
      <w:r w:rsidRPr="0081146C">
        <w:tab/>
        <w:t>(b)</w:t>
      </w:r>
      <w:r w:rsidRPr="0081146C">
        <w:tab/>
        <w:t>necessary or convenient to be prescribed for carrying out or giving effect to this Act.</w:t>
      </w:r>
    </w:p>
    <w:p w14:paraId="576CC9D2" w14:textId="77777777" w:rsidR="00035544" w:rsidRPr="0081146C" w:rsidRDefault="00035544" w:rsidP="00035544">
      <w:pPr>
        <w:pStyle w:val="SubsectionHead"/>
      </w:pPr>
      <w:r w:rsidRPr="0081146C">
        <w:t>Penalties</w:t>
      </w:r>
    </w:p>
    <w:p w14:paraId="03877361" w14:textId="77777777" w:rsidR="00035544" w:rsidRPr="0081146C" w:rsidRDefault="00035544" w:rsidP="00035544">
      <w:pPr>
        <w:pStyle w:val="subsection"/>
      </w:pPr>
      <w:r w:rsidRPr="0081146C">
        <w:tab/>
        <w:t>(2)</w:t>
      </w:r>
      <w:r w:rsidRPr="0081146C">
        <w:tab/>
        <w:t>The regulations may prescribe penalties for offences against the regulations. A penalty must not be more than 50 penalty units.</w:t>
      </w:r>
    </w:p>
    <w:p w14:paraId="7E620DE7" w14:textId="77777777" w:rsidR="00035544" w:rsidRPr="0081146C" w:rsidRDefault="00035544" w:rsidP="00035544">
      <w:pPr>
        <w:pStyle w:val="SubsectionHead"/>
      </w:pPr>
      <w:r w:rsidRPr="0081146C">
        <w:t>Fees</w:t>
      </w:r>
    </w:p>
    <w:p w14:paraId="12BC4391" w14:textId="77777777" w:rsidR="00035544" w:rsidRPr="0081146C" w:rsidRDefault="00035544" w:rsidP="00035544">
      <w:pPr>
        <w:pStyle w:val="subsection"/>
      </w:pPr>
      <w:r w:rsidRPr="0081146C">
        <w:tab/>
        <w:t>(3)</w:t>
      </w:r>
      <w:r w:rsidRPr="0081146C">
        <w:tab/>
        <w:t>The regulations may make provision for and in relation to fees payable in respect of the performance of a function, or the exercise of a power, by the AUSTRAC CEO.</w:t>
      </w:r>
    </w:p>
    <w:p w14:paraId="5B78D3D6" w14:textId="77777777" w:rsidR="00035544" w:rsidRPr="0081146C" w:rsidRDefault="00035544" w:rsidP="00035544">
      <w:pPr>
        <w:pStyle w:val="subsection"/>
      </w:pPr>
      <w:r w:rsidRPr="0081146C">
        <w:tab/>
        <w:t>(4)</w:t>
      </w:r>
      <w:r w:rsidRPr="0081146C">
        <w:tab/>
        <w:t>A fee must not be such as to amount to taxation.</w:t>
      </w:r>
    </w:p>
    <w:p w14:paraId="4563A17E" w14:textId="77777777" w:rsidR="00035544" w:rsidRPr="0081146C" w:rsidRDefault="00035544" w:rsidP="00035544">
      <w:pPr>
        <w:pStyle w:val="subsection"/>
      </w:pPr>
      <w:r w:rsidRPr="0081146C">
        <w:tab/>
        <w:t>(5)</w:t>
      </w:r>
      <w:r w:rsidRPr="0081146C">
        <w:tab/>
        <w:t>A fee is payable to the Commonwealth.</w:t>
      </w:r>
    </w:p>
    <w:p w14:paraId="1A373611" w14:textId="77777777" w:rsidR="00D74A7B" w:rsidRPr="0081146C" w:rsidRDefault="00D74A7B" w:rsidP="00D74A7B">
      <w:pPr>
        <w:rPr>
          <w:lang w:eastAsia="en-AU"/>
        </w:rPr>
        <w:sectPr w:rsidR="00D74A7B" w:rsidRPr="0081146C" w:rsidSect="00562BD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321F51A" w14:textId="77777777" w:rsidR="00035544" w:rsidRPr="0081146C" w:rsidRDefault="00035544" w:rsidP="00035544">
      <w:pPr>
        <w:pStyle w:val="ActHead1"/>
      </w:pPr>
      <w:bookmarkStart w:id="710" w:name="_Toc185416132"/>
      <w:r w:rsidRPr="0081146C">
        <w:rPr>
          <w:rStyle w:val="CharChapNo"/>
        </w:rPr>
        <w:t>Schedule</w:t>
      </w:r>
      <w:r w:rsidR="004F64A4" w:rsidRPr="0081146C">
        <w:rPr>
          <w:rStyle w:val="CharChapNo"/>
        </w:rPr>
        <w:t> </w:t>
      </w:r>
      <w:r w:rsidRPr="0081146C">
        <w:rPr>
          <w:rStyle w:val="CharChapNo"/>
        </w:rPr>
        <w:t>1</w:t>
      </w:r>
      <w:r w:rsidRPr="0081146C">
        <w:t>—</w:t>
      </w:r>
      <w:r w:rsidRPr="0081146C">
        <w:rPr>
          <w:rStyle w:val="CharChapText"/>
        </w:rPr>
        <w:t>Alternative constitutional basis</w:t>
      </w:r>
      <w:bookmarkEnd w:id="710"/>
    </w:p>
    <w:p w14:paraId="58C4D8DC" w14:textId="77777777" w:rsidR="00035544" w:rsidRPr="0081146C" w:rsidRDefault="00035544" w:rsidP="00035544">
      <w:pPr>
        <w:pStyle w:val="notemargin"/>
      </w:pPr>
      <w:r w:rsidRPr="0081146C">
        <w:t>Note:</w:t>
      </w:r>
      <w:r w:rsidRPr="0081146C">
        <w:tab/>
        <w:t>See section</w:t>
      </w:r>
      <w:r w:rsidR="004F64A4" w:rsidRPr="0081146C">
        <w:t> </w:t>
      </w:r>
      <w:r w:rsidRPr="0081146C">
        <w:t>250.</w:t>
      </w:r>
    </w:p>
    <w:p w14:paraId="12C057C7" w14:textId="77777777" w:rsidR="00035544" w:rsidRPr="0081146C" w:rsidRDefault="00C72BA2" w:rsidP="00035544">
      <w:pPr>
        <w:pStyle w:val="Header"/>
      </w:pPr>
      <w:r w:rsidRPr="0081146C">
        <w:rPr>
          <w:rStyle w:val="CharPartNo"/>
        </w:rPr>
        <w:t xml:space="preserve"> </w:t>
      </w:r>
      <w:r w:rsidRPr="0081146C">
        <w:rPr>
          <w:rStyle w:val="CharPartText"/>
        </w:rPr>
        <w:t xml:space="preserve"> </w:t>
      </w:r>
    </w:p>
    <w:p w14:paraId="77F41753" w14:textId="77777777" w:rsidR="00035544" w:rsidRPr="0081146C" w:rsidRDefault="00C72BA2" w:rsidP="00035544">
      <w:pPr>
        <w:pStyle w:val="Header"/>
      </w:pPr>
      <w:r w:rsidRPr="0081146C">
        <w:rPr>
          <w:rStyle w:val="CharDivNo"/>
        </w:rPr>
        <w:t xml:space="preserve"> </w:t>
      </w:r>
      <w:r w:rsidRPr="0081146C">
        <w:rPr>
          <w:rStyle w:val="CharDivText"/>
        </w:rPr>
        <w:t xml:space="preserve"> </w:t>
      </w:r>
    </w:p>
    <w:p w14:paraId="6A2FC788" w14:textId="77777777" w:rsidR="00035544" w:rsidRPr="0081146C" w:rsidRDefault="00035544" w:rsidP="00035544">
      <w:pPr>
        <w:pStyle w:val="ActHead5"/>
      </w:pPr>
      <w:bookmarkStart w:id="711" w:name="_Toc185416133"/>
      <w:r w:rsidRPr="0081146C">
        <w:rPr>
          <w:rStyle w:val="CharSectno"/>
        </w:rPr>
        <w:t>1</w:t>
      </w:r>
      <w:r w:rsidRPr="0081146C">
        <w:t xml:space="preserve">  Alternative constitutional basis</w:t>
      </w:r>
      <w:bookmarkEnd w:id="711"/>
    </w:p>
    <w:p w14:paraId="46069A53" w14:textId="77777777" w:rsidR="00035544" w:rsidRPr="0081146C" w:rsidRDefault="00035544" w:rsidP="00035544">
      <w:pPr>
        <w:pStyle w:val="subsection"/>
      </w:pPr>
      <w:r w:rsidRPr="0081146C">
        <w:tab/>
        <w:t>(1)</w:t>
      </w:r>
      <w:r w:rsidRPr="0081146C">
        <w:tab/>
        <w:t>Without limiting its effect apart from this clause, this Act also has effect as provided by this clause.</w:t>
      </w:r>
    </w:p>
    <w:p w14:paraId="065B4DE7" w14:textId="77777777" w:rsidR="00035544" w:rsidRPr="0081146C" w:rsidRDefault="00035544" w:rsidP="00035544">
      <w:pPr>
        <w:pStyle w:val="SubsectionHead"/>
      </w:pPr>
      <w:r w:rsidRPr="0081146C">
        <w:t>Limited types of designated services</w:t>
      </w:r>
    </w:p>
    <w:p w14:paraId="77C85209" w14:textId="77777777" w:rsidR="00035544" w:rsidRPr="0081146C" w:rsidRDefault="00035544" w:rsidP="00035544">
      <w:pPr>
        <w:pStyle w:val="subsection"/>
      </w:pPr>
      <w:r w:rsidRPr="0081146C">
        <w:tab/>
        <w:t>(2)</w:t>
      </w:r>
      <w:r w:rsidRPr="0081146C">
        <w:tab/>
        <w:t xml:space="preserve">This Act also has the effect it would have if </w:t>
      </w:r>
      <w:r w:rsidR="004F64A4" w:rsidRPr="0081146C">
        <w:t>subclause (</w:t>
      </w:r>
      <w:r w:rsidRPr="0081146C">
        <w:t>3) had not been enacted and each reference in this Act to a designated service were, by express provision, confined to a designated service where:</w:t>
      </w:r>
    </w:p>
    <w:p w14:paraId="5B00092C" w14:textId="77777777" w:rsidR="00035544" w:rsidRPr="0081146C" w:rsidRDefault="00035544" w:rsidP="00035544">
      <w:pPr>
        <w:pStyle w:val="paragraph"/>
      </w:pPr>
      <w:r w:rsidRPr="0081146C">
        <w:tab/>
        <w:t>(a)</w:t>
      </w:r>
      <w:r w:rsidRPr="0081146C">
        <w:tab/>
        <w:t>the designated service consists of:</w:t>
      </w:r>
    </w:p>
    <w:p w14:paraId="2B6CB806" w14:textId="77777777" w:rsidR="00035544" w:rsidRPr="0081146C" w:rsidRDefault="00035544" w:rsidP="00035544">
      <w:pPr>
        <w:pStyle w:val="paragraphsub"/>
      </w:pPr>
      <w:r w:rsidRPr="0081146C">
        <w:tab/>
        <w:t>(i)</w:t>
      </w:r>
      <w:r w:rsidRPr="0081146C">
        <w:tab/>
        <w:t>issuing a bill of exchange or a promissory note; or</w:t>
      </w:r>
    </w:p>
    <w:p w14:paraId="04DC8C42" w14:textId="77777777" w:rsidR="00035544" w:rsidRPr="0081146C" w:rsidRDefault="00035544" w:rsidP="00035544">
      <w:pPr>
        <w:pStyle w:val="paragraphsub"/>
      </w:pPr>
      <w:r w:rsidRPr="0081146C">
        <w:tab/>
        <w:t>(ii)</w:t>
      </w:r>
      <w:r w:rsidRPr="0081146C">
        <w:tab/>
        <w:t>in the capacity of agent of a person, acquiring or disposing of a bill of exchange, or a promissory note, on behalf of the person; or</w:t>
      </w:r>
    </w:p>
    <w:p w14:paraId="1BFD7DCC" w14:textId="77777777" w:rsidR="00035544" w:rsidRPr="0081146C" w:rsidRDefault="00035544" w:rsidP="00035544">
      <w:pPr>
        <w:pStyle w:val="paragraph"/>
      </w:pPr>
      <w:r w:rsidRPr="0081146C">
        <w:tab/>
        <w:t>(b)</w:t>
      </w:r>
      <w:r w:rsidRPr="0081146C">
        <w:tab/>
        <w:t>both:</w:t>
      </w:r>
    </w:p>
    <w:p w14:paraId="66CFA8F7" w14:textId="77777777" w:rsidR="00035544" w:rsidRPr="0081146C" w:rsidRDefault="00035544" w:rsidP="00035544">
      <w:pPr>
        <w:pStyle w:val="paragraphsub"/>
      </w:pPr>
      <w:r w:rsidRPr="0081146C">
        <w:tab/>
        <w:t>(i)</w:t>
      </w:r>
      <w:r w:rsidRPr="0081146C">
        <w:tab/>
        <w:t>the provision of the designated service involves a transaction; and</w:t>
      </w:r>
    </w:p>
    <w:p w14:paraId="4791EBDD" w14:textId="77777777" w:rsidR="00035544" w:rsidRPr="0081146C" w:rsidRDefault="00035544" w:rsidP="00035544">
      <w:pPr>
        <w:pStyle w:val="paragraphsub"/>
      </w:pPr>
      <w:r w:rsidRPr="0081146C">
        <w:tab/>
        <w:t>(ii)</w:t>
      </w:r>
      <w:r w:rsidRPr="0081146C">
        <w:tab/>
        <w:t>the transaction involves the transfer of physical currency from one person to another; or</w:t>
      </w:r>
    </w:p>
    <w:p w14:paraId="441258D9" w14:textId="77777777" w:rsidR="00035544" w:rsidRPr="0081146C" w:rsidRDefault="00035544" w:rsidP="00035544">
      <w:pPr>
        <w:pStyle w:val="paragraph"/>
      </w:pPr>
      <w:r w:rsidRPr="0081146C">
        <w:tab/>
        <w:t>(c)</w:t>
      </w:r>
      <w:r w:rsidRPr="0081146C">
        <w:tab/>
        <w:t>the customer of the designated service is a constitutional corporation; or</w:t>
      </w:r>
    </w:p>
    <w:p w14:paraId="0EE75553" w14:textId="77777777" w:rsidR="00035544" w:rsidRPr="0081146C" w:rsidRDefault="00035544" w:rsidP="00035544">
      <w:pPr>
        <w:pStyle w:val="paragraph"/>
      </w:pPr>
      <w:r w:rsidRPr="0081146C">
        <w:tab/>
        <w:t>(d)</w:t>
      </w:r>
      <w:r w:rsidRPr="0081146C">
        <w:tab/>
        <w:t>the designated service is provided by a constitutional corporation; or</w:t>
      </w:r>
    </w:p>
    <w:p w14:paraId="5BC1187C" w14:textId="77777777" w:rsidR="00035544" w:rsidRPr="0081146C" w:rsidRDefault="00035544" w:rsidP="00035544">
      <w:pPr>
        <w:pStyle w:val="paragraph"/>
      </w:pPr>
      <w:r w:rsidRPr="0081146C">
        <w:tab/>
        <w:t>(e)</w:t>
      </w:r>
      <w:r w:rsidRPr="0081146C">
        <w:tab/>
        <w:t>the designated service is provided in the course of, or in relation to, any of the following:</w:t>
      </w:r>
    </w:p>
    <w:p w14:paraId="19D523E4" w14:textId="77777777" w:rsidR="00035544" w:rsidRPr="0081146C" w:rsidRDefault="00035544" w:rsidP="00035544">
      <w:pPr>
        <w:pStyle w:val="paragraphsub"/>
      </w:pPr>
      <w:r w:rsidRPr="0081146C">
        <w:tab/>
        <w:t>(i)</w:t>
      </w:r>
      <w:r w:rsidRPr="0081146C">
        <w:tab/>
        <w:t>trade or commerce between Australia and places outside Australia;</w:t>
      </w:r>
    </w:p>
    <w:p w14:paraId="20CEA950" w14:textId="77777777" w:rsidR="00035544" w:rsidRPr="0081146C" w:rsidRDefault="00035544" w:rsidP="00035544">
      <w:pPr>
        <w:pStyle w:val="paragraphsub"/>
      </w:pPr>
      <w:r w:rsidRPr="0081146C">
        <w:tab/>
        <w:t>(ii)</w:t>
      </w:r>
      <w:r w:rsidRPr="0081146C">
        <w:tab/>
        <w:t>trade or commerce among the States;</w:t>
      </w:r>
    </w:p>
    <w:p w14:paraId="3342207B" w14:textId="77777777" w:rsidR="00035544" w:rsidRPr="0081146C" w:rsidRDefault="00035544" w:rsidP="00035544">
      <w:pPr>
        <w:pStyle w:val="paragraphsub"/>
      </w:pPr>
      <w:r w:rsidRPr="0081146C">
        <w:tab/>
        <w:t>(iii)</w:t>
      </w:r>
      <w:r w:rsidRPr="0081146C">
        <w:tab/>
        <w:t xml:space="preserve">trade or commerce within a Territory, </w:t>
      </w:r>
      <w:r w:rsidR="00D22483" w:rsidRPr="0081146C">
        <w:t>between a State and a Territory</w:t>
      </w:r>
      <w:r w:rsidRPr="0081146C">
        <w:t xml:space="preserve"> or between 2 Territories;</w:t>
      </w:r>
    </w:p>
    <w:p w14:paraId="0AE4CDED" w14:textId="77777777" w:rsidR="00035544" w:rsidRPr="0081146C" w:rsidRDefault="00035544" w:rsidP="00035544">
      <w:pPr>
        <w:pStyle w:val="paragraphsub"/>
      </w:pPr>
      <w:r w:rsidRPr="0081146C">
        <w:tab/>
        <w:t>(iv)</w:t>
      </w:r>
      <w:r w:rsidRPr="0081146C">
        <w:tab/>
        <w:t>the supply of goods or services to the Commonwealth or an authority or instrumentality of the Commonwealth; or</w:t>
      </w:r>
    </w:p>
    <w:p w14:paraId="06BCBC44" w14:textId="77777777" w:rsidR="00035544" w:rsidRPr="0081146C" w:rsidRDefault="00035544" w:rsidP="00035544">
      <w:pPr>
        <w:pStyle w:val="paragraph"/>
      </w:pPr>
      <w:r w:rsidRPr="0081146C">
        <w:tab/>
        <w:t>(f)</w:t>
      </w:r>
      <w:r w:rsidRPr="0081146C">
        <w:tab/>
        <w:t>the designated service is provided in the course of, or in relation to, banking to which paragraph</w:t>
      </w:r>
      <w:r w:rsidR="004F64A4" w:rsidRPr="0081146C">
        <w:t> </w:t>
      </w:r>
      <w:r w:rsidRPr="0081146C">
        <w:t>51(xiii) of the Constitution applies; or</w:t>
      </w:r>
    </w:p>
    <w:p w14:paraId="118F34E7" w14:textId="77777777" w:rsidR="00035544" w:rsidRPr="0081146C" w:rsidRDefault="00035544" w:rsidP="00035544">
      <w:pPr>
        <w:pStyle w:val="paragraph"/>
      </w:pPr>
      <w:r w:rsidRPr="0081146C">
        <w:tab/>
        <w:t>(g)</w:t>
      </w:r>
      <w:r w:rsidRPr="0081146C">
        <w:tab/>
        <w:t>the designated service is provided in the course of, or in relation to, insurance to which paragraph</w:t>
      </w:r>
      <w:r w:rsidR="004F64A4" w:rsidRPr="0081146C">
        <w:t> </w:t>
      </w:r>
      <w:r w:rsidRPr="0081146C">
        <w:t>51(xiv) of the Constitution applies; or</w:t>
      </w:r>
    </w:p>
    <w:p w14:paraId="3DED3E3C" w14:textId="77777777" w:rsidR="00035544" w:rsidRPr="0081146C" w:rsidRDefault="00035544" w:rsidP="00035544">
      <w:pPr>
        <w:pStyle w:val="paragraph"/>
      </w:pPr>
      <w:r w:rsidRPr="0081146C">
        <w:tab/>
        <w:t>(h)</w:t>
      </w:r>
      <w:r w:rsidRPr="0081146C">
        <w:tab/>
        <w:t>the designated service is provided using a postal, telegraphic, telephonic or other like service (within the meaning of paragraph</w:t>
      </w:r>
      <w:r w:rsidR="004F64A4" w:rsidRPr="0081146C">
        <w:t> </w:t>
      </w:r>
      <w:r w:rsidRPr="0081146C">
        <w:t>51(v) of the Constitution); or</w:t>
      </w:r>
    </w:p>
    <w:p w14:paraId="5179661A" w14:textId="77777777" w:rsidR="00035544" w:rsidRPr="0081146C" w:rsidRDefault="00035544" w:rsidP="00035544">
      <w:pPr>
        <w:pStyle w:val="paragraph"/>
      </w:pPr>
      <w:r w:rsidRPr="0081146C">
        <w:tab/>
        <w:t>(i)</w:t>
      </w:r>
      <w:r w:rsidRPr="0081146C">
        <w:tab/>
        <w:t>the designated service is provided:</w:t>
      </w:r>
    </w:p>
    <w:p w14:paraId="394ED946" w14:textId="77777777" w:rsidR="00035544" w:rsidRPr="0081146C" w:rsidRDefault="00035544" w:rsidP="00035544">
      <w:pPr>
        <w:pStyle w:val="paragraphsub"/>
      </w:pPr>
      <w:r w:rsidRPr="0081146C">
        <w:tab/>
        <w:t>(i)</w:t>
      </w:r>
      <w:r w:rsidRPr="0081146C">
        <w:tab/>
        <w:t>in a Territory; or</w:t>
      </w:r>
    </w:p>
    <w:p w14:paraId="20F22680" w14:textId="77777777" w:rsidR="00035544" w:rsidRPr="0081146C" w:rsidRDefault="00035544" w:rsidP="00035544">
      <w:pPr>
        <w:pStyle w:val="paragraphsub"/>
      </w:pPr>
      <w:r w:rsidRPr="0081146C">
        <w:tab/>
        <w:t>(ii)</w:t>
      </w:r>
      <w:r w:rsidRPr="0081146C">
        <w:tab/>
        <w:t>in a Commonwealth place; or</w:t>
      </w:r>
    </w:p>
    <w:p w14:paraId="04BBCEB3" w14:textId="77777777" w:rsidR="00035544" w:rsidRPr="0081146C" w:rsidRDefault="00035544" w:rsidP="00035544">
      <w:pPr>
        <w:pStyle w:val="paragraphsub"/>
      </w:pPr>
      <w:r w:rsidRPr="0081146C">
        <w:tab/>
        <w:t>(iii)</w:t>
      </w:r>
      <w:r w:rsidRPr="0081146C">
        <w:tab/>
        <w:t>in a foreign country; or</w:t>
      </w:r>
    </w:p>
    <w:p w14:paraId="33F56678" w14:textId="77777777" w:rsidR="00035544" w:rsidRPr="0081146C" w:rsidRDefault="00035544" w:rsidP="00035544">
      <w:pPr>
        <w:pStyle w:val="paragraph"/>
      </w:pPr>
      <w:r w:rsidRPr="0081146C">
        <w:tab/>
        <w:t>(j)</w:t>
      </w:r>
      <w:r w:rsidRPr="0081146C">
        <w:tab/>
        <w:t>the designated service is provided by a person:</w:t>
      </w:r>
    </w:p>
    <w:p w14:paraId="6868E155" w14:textId="77777777" w:rsidR="00035544" w:rsidRPr="0081146C" w:rsidRDefault="00035544" w:rsidP="00035544">
      <w:pPr>
        <w:pStyle w:val="paragraphsub"/>
      </w:pPr>
      <w:r w:rsidRPr="0081146C">
        <w:tab/>
        <w:t>(i)</w:t>
      </w:r>
      <w:r w:rsidRPr="0081146C">
        <w:tab/>
        <w:t>at or through a permanent establishment of the person in a Territory; or</w:t>
      </w:r>
    </w:p>
    <w:p w14:paraId="1A996E9F" w14:textId="77777777" w:rsidR="00035544" w:rsidRPr="0081146C" w:rsidRDefault="00035544" w:rsidP="00035544">
      <w:pPr>
        <w:pStyle w:val="paragraphsub"/>
      </w:pPr>
      <w:r w:rsidRPr="0081146C">
        <w:tab/>
        <w:t>(ii)</w:t>
      </w:r>
      <w:r w:rsidRPr="0081146C">
        <w:tab/>
        <w:t>at or through a permanent establishment of the person in a Commonwealth place; or</w:t>
      </w:r>
    </w:p>
    <w:p w14:paraId="0B357D17" w14:textId="77777777" w:rsidR="00035544" w:rsidRPr="0081146C" w:rsidRDefault="00035544" w:rsidP="00035544">
      <w:pPr>
        <w:pStyle w:val="paragraphsub"/>
      </w:pPr>
      <w:r w:rsidRPr="0081146C">
        <w:tab/>
        <w:t>(iii)</w:t>
      </w:r>
      <w:r w:rsidRPr="0081146C">
        <w:tab/>
        <w:t>at or through a permanent establishment of the person in a foreign country.</w:t>
      </w:r>
    </w:p>
    <w:p w14:paraId="1E0C9F18" w14:textId="77777777" w:rsidR="00035544" w:rsidRPr="0081146C" w:rsidRDefault="00035544" w:rsidP="00035544">
      <w:pPr>
        <w:pStyle w:val="notetext"/>
      </w:pPr>
      <w:r w:rsidRPr="0081146C">
        <w:t>Note:</w:t>
      </w:r>
      <w:r w:rsidRPr="0081146C">
        <w:tab/>
        <w:t xml:space="preserve">See also </w:t>
      </w:r>
      <w:r w:rsidR="004F64A4" w:rsidRPr="0081146C">
        <w:t>subclause (</w:t>
      </w:r>
      <w:r w:rsidRPr="0081146C">
        <w:t xml:space="preserve">6) (extended meaning of </w:t>
      </w:r>
      <w:r w:rsidRPr="0081146C">
        <w:rPr>
          <w:b/>
          <w:i/>
        </w:rPr>
        <w:t>permanent establishment</w:t>
      </w:r>
      <w:r w:rsidRPr="0081146C">
        <w:t>).</w:t>
      </w:r>
    </w:p>
    <w:p w14:paraId="654016FC" w14:textId="77777777" w:rsidR="00035544" w:rsidRPr="0081146C" w:rsidRDefault="00035544" w:rsidP="00035544">
      <w:pPr>
        <w:pStyle w:val="SubsectionHead"/>
      </w:pPr>
      <w:r w:rsidRPr="0081146C">
        <w:t>Administration and enforcement of taxation laws and other laws</w:t>
      </w:r>
    </w:p>
    <w:p w14:paraId="66BEB562" w14:textId="77777777" w:rsidR="00035544" w:rsidRPr="0081146C" w:rsidRDefault="00035544" w:rsidP="00035544">
      <w:pPr>
        <w:pStyle w:val="subsection"/>
      </w:pPr>
      <w:r w:rsidRPr="0081146C">
        <w:tab/>
        <w:t>(3)</w:t>
      </w:r>
      <w:r w:rsidRPr="0081146C">
        <w:tab/>
        <w:t>This Act also has the effect it would have if:</w:t>
      </w:r>
    </w:p>
    <w:p w14:paraId="3D4169C3" w14:textId="77777777" w:rsidR="00035544" w:rsidRPr="0081146C" w:rsidRDefault="00035544" w:rsidP="00035544">
      <w:pPr>
        <w:pStyle w:val="paragraph"/>
      </w:pPr>
      <w:r w:rsidRPr="0081146C">
        <w:tab/>
        <w:t>(a)</w:t>
      </w:r>
      <w:r w:rsidRPr="0081146C">
        <w:tab/>
      </w:r>
      <w:r w:rsidR="004F64A4" w:rsidRPr="0081146C">
        <w:t>subclause (</w:t>
      </w:r>
      <w:r w:rsidRPr="0081146C">
        <w:t>2) had not been enacted; and</w:t>
      </w:r>
    </w:p>
    <w:p w14:paraId="11832CAB" w14:textId="77777777" w:rsidR="00035544" w:rsidRPr="0081146C" w:rsidRDefault="00035544" w:rsidP="00035544">
      <w:pPr>
        <w:pStyle w:val="paragraph"/>
      </w:pPr>
      <w:r w:rsidRPr="0081146C">
        <w:tab/>
        <w:t>(b)</w:t>
      </w:r>
      <w:r w:rsidRPr="0081146C">
        <w:tab/>
        <w:t>this Act did not apply except to the extent to which it:</w:t>
      </w:r>
    </w:p>
    <w:p w14:paraId="705552E4" w14:textId="77777777" w:rsidR="00035544" w:rsidRPr="0081146C" w:rsidRDefault="00035544" w:rsidP="00035544">
      <w:pPr>
        <w:pStyle w:val="paragraphsub"/>
      </w:pPr>
      <w:r w:rsidRPr="0081146C">
        <w:tab/>
        <w:t>(i)</w:t>
      </w:r>
      <w:r w:rsidRPr="0081146C">
        <w:tab/>
        <w:t>facilitates the administration or enforcement of taxation laws; or</w:t>
      </w:r>
    </w:p>
    <w:p w14:paraId="1459EC91" w14:textId="77777777" w:rsidR="00035544" w:rsidRPr="0081146C" w:rsidRDefault="00035544" w:rsidP="00035544">
      <w:pPr>
        <w:pStyle w:val="paragraphsub"/>
      </w:pPr>
      <w:r w:rsidRPr="0081146C">
        <w:tab/>
        <w:t>(ii)</w:t>
      </w:r>
      <w:r w:rsidRPr="0081146C">
        <w:tab/>
        <w:t>facilitates the administration or enforcement of laws of the Commonwealth or of the Territories (other than taxation laws).</w:t>
      </w:r>
    </w:p>
    <w:p w14:paraId="58D53457" w14:textId="77777777" w:rsidR="00F76B41" w:rsidRPr="0081146C" w:rsidRDefault="00F76B41" w:rsidP="00F76B41">
      <w:pPr>
        <w:pStyle w:val="SubsectionHead"/>
      </w:pPr>
      <w:r w:rsidRPr="0081146C">
        <w:t>Cross</w:t>
      </w:r>
      <w:r w:rsidR="003B7E15" w:rsidRPr="0081146C">
        <w:noBreakHyphen/>
      </w:r>
      <w:r w:rsidRPr="0081146C">
        <w:t>border movements of bearer negotiable instruments</w:t>
      </w:r>
    </w:p>
    <w:p w14:paraId="0645DA41" w14:textId="77777777" w:rsidR="00F76B41" w:rsidRPr="0081146C" w:rsidRDefault="00F76B41" w:rsidP="00F76B41">
      <w:pPr>
        <w:pStyle w:val="subsection"/>
      </w:pPr>
      <w:r w:rsidRPr="0081146C">
        <w:tab/>
        <w:t>(4)</w:t>
      </w:r>
      <w:r w:rsidRPr="0081146C">
        <w:tab/>
        <w:t xml:space="preserve">Division 2 of Part 4 and </w:t>
      </w:r>
      <w:r w:rsidR="003B7E15" w:rsidRPr="0081146C">
        <w:t>section 1</w:t>
      </w:r>
      <w:r w:rsidRPr="0081146C">
        <w:t>99, so far as they relate to a monetary instrument that is a bearer negotiable instrument, also have the effect they would have if they were, by express provision, confined to a bearer negotiable instrument that is:</w:t>
      </w:r>
    </w:p>
    <w:p w14:paraId="40D2B1A0" w14:textId="77777777" w:rsidR="00F76B41" w:rsidRPr="0081146C" w:rsidRDefault="00F76B41" w:rsidP="00F76B41">
      <w:pPr>
        <w:pStyle w:val="paragraph"/>
      </w:pPr>
      <w:r w:rsidRPr="0081146C">
        <w:tab/>
        <w:t>(a)</w:t>
      </w:r>
      <w:r w:rsidRPr="0081146C">
        <w:tab/>
        <w:t>a bill of exchange; or</w:t>
      </w:r>
    </w:p>
    <w:p w14:paraId="6DF521F0" w14:textId="77777777" w:rsidR="00F76B41" w:rsidRPr="0081146C" w:rsidRDefault="00F76B41" w:rsidP="00F76B41">
      <w:pPr>
        <w:pStyle w:val="paragraph"/>
      </w:pPr>
      <w:r w:rsidRPr="0081146C">
        <w:tab/>
        <w:t>(b)</w:t>
      </w:r>
      <w:r w:rsidRPr="0081146C">
        <w:tab/>
        <w:t>a promissory note.</w:t>
      </w:r>
    </w:p>
    <w:p w14:paraId="7023D3B8" w14:textId="77777777" w:rsidR="00035544" w:rsidRPr="0081146C" w:rsidRDefault="00035544" w:rsidP="00035544">
      <w:pPr>
        <w:pStyle w:val="SubsectionHead"/>
      </w:pPr>
      <w:r w:rsidRPr="0081146C">
        <w:t>Correspondent banking</w:t>
      </w:r>
    </w:p>
    <w:p w14:paraId="297E2A76" w14:textId="77777777" w:rsidR="00035544" w:rsidRPr="0081146C" w:rsidRDefault="00035544" w:rsidP="00035544">
      <w:pPr>
        <w:pStyle w:val="subsection"/>
      </w:pPr>
      <w:r w:rsidRPr="0081146C">
        <w:tab/>
        <w:t>(5)</w:t>
      </w:r>
      <w:r w:rsidRPr="0081146C">
        <w:tab/>
        <w:t>Part</w:t>
      </w:r>
      <w:r w:rsidR="004F64A4" w:rsidRPr="0081146C">
        <w:t> </w:t>
      </w:r>
      <w:r w:rsidRPr="0081146C">
        <w:t xml:space="preserve">8 and </w:t>
      </w:r>
      <w:r w:rsidR="003B7E15" w:rsidRPr="0081146C">
        <w:t>section 1</w:t>
      </w:r>
      <w:r w:rsidRPr="0081146C">
        <w:t>17 also have the effect they would have if:</w:t>
      </w:r>
    </w:p>
    <w:p w14:paraId="682FCB01" w14:textId="77777777" w:rsidR="00035544" w:rsidRPr="0081146C" w:rsidRDefault="00035544" w:rsidP="00035544">
      <w:pPr>
        <w:pStyle w:val="paragraph"/>
      </w:pPr>
      <w:r w:rsidRPr="0081146C">
        <w:tab/>
        <w:t>(a)</w:t>
      </w:r>
      <w:r w:rsidRPr="0081146C">
        <w:tab/>
        <w:t>each reference in section</w:t>
      </w:r>
      <w:r w:rsidR="004F64A4" w:rsidRPr="0081146C">
        <w:t> </w:t>
      </w:r>
      <w:r w:rsidRPr="0081146C">
        <w:t>95 to another person were, by express provision, confined to another person that is:</w:t>
      </w:r>
    </w:p>
    <w:p w14:paraId="0C8BD2E9" w14:textId="77777777" w:rsidR="00035544" w:rsidRPr="0081146C" w:rsidRDefault="00035544" w:rsidP="00035544">
      <w:pPr>
        <w:pStyle w:val="paragraphsub"/>
      </w:pPr>
      <w:r w:rsidRPr="0081146C">
        <w:tab/>
        <w:t>(i)</w:t>
      </w:r>
      <w:r w:rsidRPr="0081146C">
        <w:tab/>
        <w:t>a constitutional corporation; or</w:t>
      </w:r>
    </w:p>
    <w:p w14:paraId="6B26FD8C" w14:textId="77777777" w:rsidR="00035544" w:rsidRPr="0081146C" w:rsidRDefault="00035544" w:rsidP="00035544">
      <w:pPr>
        <w:pStyle w:val="paragraphsub"/>
      </w:pPr>
      <w:r w:rsidRPr="0081146C">
        <w:tab/>
        <w:t>(ii)</w:t>
      </w:r>
      <w:r w:rsidRPr="0081146C">
        <w:tab/>
        <w:t>an individual who is physically present in a foreign country; and</w:t>
      </w:r>
    </w:p>
    <w:p w14:paraId="51D9D9F2" w14:textId="77777777" w:rsidR="00035544" w:rsidRPr="0081146C" w:rsidRDefault="00035544" w:rsidP="00035544">
      <w:pPr>
        <w:pStyle w:val="paragraph"/>
      </w:pPr>
      <w:r w:rsidRPr="0081146C">
        <w:tab/>
        <w:t>(b)</w:t>
      </w:r>
      <w:r w:rsidRPr="0081146C">
        <w:tab/>
        <w:t>each reference in section</w:t>
      </w:r>
      <w:r w:rsidR="004F64A4" w:rsidRPr="0081146C">
        <w:t> </w:t>
      </w:r>
      <w:r w:rsidR="00AE49D2" w:rsidRPr="0081146C">
        <w:t>95 or 96</w:t>
      </w:r>
      <w:r w:rsidRPr="0081146C">
        <w:t xml:space="preserve"> to another financial institution were, by express provision, confined to another financial institution that is:</w:t>
      </w:r>
    </w:p>
    <w:p w14:paraId="2D8AFCF2" w14:textId="77777777" w:rsidR="00035544" w:rsidRPr="0081146C" w:rsidRDefault="00035544" w:rsidP="00035544">
      <w:pPr>
        <w:pStyle w:val="paragraphsub"/>
      </w:pPr>
      <w:r w:rsidRPr="0081146C">
        <w:tab/>
        <w:t>(i)</w:t>
      </w:r>
      <w:r w:rsidRPr="0081146C">
        <w:tab/>
        <w:t>a constitutional corporation; or</w:t>
      </w:r>
    </w:p>
    <w:p w14:paraId="48169632" w14:textId="77777777" w:rsidR="00035544" w:rsidRPr="0081146C" w:rsidRDefault="00035544" w:rsidP="00035544">
      <w:pPr>
        <w:pStyle w:val="paragraphsub"/>
      </w:pPr>
      <w:r w:rsidRPr="0081146C">
        <w:tab/>
        <w:t>(ii)</w:t>
      </w:r>
      <w:r w:rsidRPr="0081146C">
        <w:tab/>
        <w:t>an individual who is physically present in a foreign country.</w:t>
      </w:r>
    </w:p>
    <w:p w14:paraId="258CE48B" w14:textId="77777777" w:rsidR="00035544" w:rsidRPr="0081146C" w:rsidRDefault="00035544" w:rsidP="00035544">
      <w:pPr>
        <w:pStyle w:val="SubsectionHead"/>
      </w:pPr>
      <w:r w:rsidRPr="0081146C">
        <w:t xml:space="preserve">Extended meaning of </w:t>
      </w:r>
      <w:r w:rsidRPr="0081146C">
        <w:rPr>
          <w:b/>
        </w:rPr>
        <w:t>permanent establishment</w:t>
      </w:r>
    </w:p>
    <w:p w14:paraId="29285CF3" w14:textId="77777777" w:rsidR="00035544" w:rsidRPr="0081146C" w:rsidRDefault="00035544" w:rsidP="00035544">
      <w:pPr>
        <w:pStyle w:val="subsection"/>
      </w:pPr>
      <w:r w:rsidRPr="0081146C">
        <w:tab/>
        <w:t>(6)</w:t>
      </w:r>
      <w:r w:rsidRPr="0081146C">
        <w:tab/>
        <w:t xml:space="preserve">For the purposes of </w:t>
      </w:r>
      <w:r w:rsidR="004F64A4" w:rsidRPr="0081146C">
        <w:t>paragraph (</w:t>
      </w:r>
      <w:r w:rsidRPr="0081146C">
        <w:t>2)(j) of this clause:</w:t>
      </w:r>
    </w:p>
    <w:p w14:paraId="0C828F73" w14:textId="77777777" w:rsidR="00035544" w:rsidRPr="0081146C" w:rsidRDefault="00035544" w:rsidP="00035544">
      <w:pPr>
        <w:pStyle w:val="paragraph"/>
      </w:pPr>
      <w:r w:rsidRPr="0081146C">
        <w:tab/>
        <w:t>(a)</w:t>
      </w:r>
      <w:r w:rsidRPr="0081146C">
        <w:tab/>
        <w:t>subsection</w:t>
      </w:r>
      <w:r w:rsidR="004F64A4" w:rsidRPr="0081146C">
        <w:t> </w:t>
      </w:r>
      <w:r w:rsidRPr="0081146C">
        <w:t>21(2) has effect as if each reference in that subsection to a country included a reference to:</w:t>
      </w:r>
    </w:p>
    <w:p w14:paraId="07C5F8F6" w14:textId="77777777" w:rsidR="00035544" w:rsidRPr="0081146C" w:rsidRDefault="00035544" w:rsidP="00035544">
      <w:pPr>
        <w:pStyle w:val="paragraphsub"/>
      </w:pPr>
      <w:r w:rsidRPr="0081146C">
        <w:tab/>
        <w:t>(i)</w:t>
      </w:r>
      <w:r w:rsidRPr="0081146C">
        <w:tab/>
        <w:t>a Territory; and</w:t>
      </w:r>
    </w:p>
    <w:p w14:paraId="50ECA219" w14:textId="77777777" w:rsidR="00035544" w:rsidRPr="0081146C" w:rsidRDefault="00035544" w:rsidP="00035544">
      <w:pPr>
        <w:pStyle w:val="paragraphsub"/>
      </w:pPr>
      <w:r w:rsidRPr="0081146C">
        <w:tab/>
        <w:t>(ii)</w:t>
      </w:r>
      <w:r w:rsidRPr="0081146C">
        <w:tab/>
        <w:t>a Commonwealth place; and</w:t>
      </w:r>
    </w:p>
    <w:p w14:paraId="211383C8" w14:textId="77777777" w:rsidR="00035544" w:rsidRPr="0081146C" w:rsidRDefault="00035544" w:rsidP="00035544">
      <w:pPr>
        <w:pStyle w:val="paragraph"/>
      </w:pPr>
      <w:r w:rsidRPr="0081146C">
        <w:tab/>
        <w:t>(b)</w:t>
      </w:r>
      <w:r w:rsidRPr="0081146C">
        <w:tab/>
        <w:t>ignore subsection</w:t>
      </w:r>
      <w:r w:rsidR="004F64A4" w:rsidRPr="0081146C">
        <w:t> </w:t>
      </w:r>
      <w:r w:rsidRPr="0081146C">
        <w:t>21(3).</w:t>
      </w:r>
    </w:p>
    <w:p w14:paraId="04B35C50" w14:textId="77777777" w:rsidR="00D74A7B" w:rsidRPr="0081146C" w:rsidRDefault="00D74A7B">
      <w:pPr>
        <w:sectPr w:rsidR="00D74A7B" w:rsidRPr="0081146C" w:rsidSect="00562BD1">
          <w:headerReference w:type="even" r:id="rId27"/>
          <w:headerReference w:type="default" r:id="rId28"/>
          <w:headerReference w:type="first" r:id="rId29"/>
          <w:pgSz w:w="11907" w:h="16839" w:code="9"/>
          <w:pgMar w:top="2381" w:right="2410" w:bottom="4253" w:left="2410" w:header="720" w:footer="3402" w:gutter="0"/>
          <w:cols w:space="720"/>
          <w:docGrid w:linePitch="299"/>
        </w:sectPr>
      </w:pPr>
    </w:p>
    <w:p w14:paraId="6FE91591" w14:textId="77777777" w:rsidR="00C72BA2" w:rsidRPr="0081146C" w:rsidRDefault="00C72BA2" w:rsidP="00AE2DA2">
      <w:pPr>
        <w:pStyle w:val="ENotesHeading1"/>
        <w:pageBreakBefore/>
        <w:outlineLvl w:val="9"/>
      </w:pPr>
      <w:bookmarkStart w:id="712" w:name="_Toc185416134"/>
      <w:r w:rsidRPr="0081146C">
        <w:t>Endnotes</w:t>
      </w:r>
      <w:bookmarkEnd w:id="712"/>
    </w:p>
    <w:p w14:paraId="5BED57D5" w14:textId="77777777" w:rsidR="00673F6C" w:rsidRPr="0081146C" w:rsidRDefault="00673F6C" w:rsidP="00673F6C">
      <w:pPr>
        <w:pStyle w:val="ENotesHeading2"/>
        <w:spacing w:line="240" w:lineRule="auto"/>
        <w:outlineLvl w:val="9"/>
      </w:pPr>
      <w:bookmarkStart w:id="713" w:name="_Toc185416135"/>
      <w:r w:rsidRPr="0081146C">
        <w:t>Endnote 1—About the endnotes</w:t>
      </w:r>
      <w:bookmarkEnd w:id="713"/>
    </w:p>
    <w:p w14:paraId="3B4F5F78" w14:textId="77777777" w:rsidR="00673F6C" w:rsidRPr="0081146C" w:rsidRDefault="00673F6C" w:rsidP="00673F6C">
      <w:pPr>
        <w:spacing w:after="120"/>
      </w:pPr>
      <w:r w:rsidRPr="0081146C">
        <w:t>The endnotes provide information about this compilation and the compiled law.</w:t>
      </w:r>
    </w:p>
    <w:p w14:paraId="6F0E574E" w14:textId="77777777" w:rsidR="00673F6C" w:rsidRPr="0081146C" w:rsidRDefault="00673F6C" w:rsidP="00673F6C">
      <w:pPr>
        <w:spacing w:after="120"/>
      </w:pPr>
      <w:r w:rsidRPr="0081146C">
        <w:t>The following endnotes are included in every compilation:</w:t>
      </w:r>
    </w:p>
    <w:p w14:paraId="14384DF0" w14:textId="77777777" w:rsidR="00673F6C" w:rsidRPr="0081146C" w:rsidRDefault="00673F6C" w:rsidP="00673F6C">
      <w:r w:rsidRPr="0081146C">
        <w:t>Endnote 1—About the endnotes</w:t>
      </w:r>
    </w:p>
    <w:p w14:paraId="4F12BABE" w14:textId="77777777" w:rsidR="00673F6C" w:rsidRPr="0081146C" w:rsidRDefault="00673F6C" w:rsidP="00673F6C">
      <w:r w:rsidRPr="0081146C">
        <w:t>Endnote 2—Abbreviation key</w:t>
      </w:r>
    </w:p>
    <w:p w14:paraId="1C92DA9A" w14:textId="77777777" w:rsidR="00673F6C" w:rsidRPr="0081146C" w:rsidRDefault="00673F6C" w:rsidP="00673F6C">
      <w:r w:rsidRPr="0081146C">
        <w:t>Endnote 3—Legislation history</w:t>
      </w:r>
    </w:p>
    <w:p w14:paraId="48D8F5AD" w14:textId="77777777" w:rsidR="00673F6C" w:rsidRPr="0081146C" w:rsidRDefault="00673F6C" w:rsidP="00673F6C">
      <w:pPr>
        <w:spacing w:after="120"/>
      </w:pPr>
      <w:r w:rsidRPr="0081146C">
        <w:t>Endnote 4—Amendment history</w:t>
      </w:r>
    </w:p>
    <w:p w14:paraId="4655BC5F" w14:textId="77777777" w:rsidR="00673F6C" w:rsidRPr="0081146C" w:rsidRDefault="00673F6C" w:rsidP="00673F6C">
      <w:r w:rsidRPr="0081146C">
        <w:rPr>
          <w:b/>
        </w:rPr>
        <w:t>Abbreviation key—Endnote 2</w:t>
      </w:r>
    </w:p>
    <w:p w14:paraId="62287023" w14:textId="77777777" w:rsidR="00673F6C" w:rsidRPr="0081146C" w:rsidRDefault="00673F6C" w:rsidP="00673F6C">
      <w:pPr>
        <w:spacing w:after="120"/>
      </w:pPr>
      <w:r w:rsidRPr="0081146C">
        <w:t>The abbreviation key sets out abbreviations that may be used in the endnotes.</w:t>
      </w:r>
    </w:p>
    <w:p w14:paraId="4462D092" w14:textId="77777777" w:rsidR="00673F6C" w:rsidRPr="0081146C" w:rsidRDefault="00673F6C" w:rsidP="00673F6C">
      <w:pPr>
        <w:rPr>
          <w:b/>
        </w:rPr>
      </w:pPr>
      <w:r w:rsidRPr="0081146C">
        <w:rPr>
          <w:b/>
        </w:rPr>
        <w:t>Legislation history and amendment history—Endnotes 3 and 4</w:t>
      </w:r>
    </w:p>
    <w:p w14:paraId="1DE8536C" w14:textId="77777777" w:rsidR="00673F6C" w:rsidRPr="0081146C" w:rsidRDefault="00673F6C" w:rsidP="00673F6C">
      <w:pPr>
        <w:spacing w:after="120"/>
      </w:pPr>
      <w:r w:rsidRPr="0081146C">
        <w:t>Amending laws are annotated in the legislation history and amendment history.</w:t>
      </w:r>
    </w:p>
    <w:p w14:paraId="74D51CAA" w14:textId="77777777" w:rsidR="00673F6C" w:rsidRPr="0081146C" w:rsidRDefault="00673F6C" w:rsidP="00673F6C">
      <w:pPr>
        <w:spacing w:after="120"/>
      </w:pPr>
      <w:r w:rsidRPr="0081146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EB99C12" w14:textId="77777777" w:rsidR="00673F6C" w:rsidRPr="0081146C" w:rsidRDefault="00673F6C" w:rsidP="00673F6C">
      <w:pPr>
        <w:spacing w:after="120"/>
      </w:pPr>
      <w:r w:rsidRPr="0081146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1A53130" w14:textId="77777777" w:rsidR="00673F6C" w:rsidRPr="0081146C" w:rsidRDefault="00673F6C" w:rsidP="00673F6C">
      <w:pPr>
        <w:rPr>
          <w:b/>
        </w:rPr>
      </w:pPr>
      <w:r w:rsidRPr="0081146C">
        <w:rPr>
          <w:b/>
        </w:rPr>
        <w:t>Editorial changes</w:t>
      </w:r>
    </w:p>
    <w:p w14:paraId="595CBF53" w14:textId="77777777" w:rsidR="00673F6C" w:rsidRPr="0081146C" w:rsidRDefault="00673F6C" w:rsidP="00673F6C">
      <w:pPr>
        <w:spacing w:after="120"/>
      </w:pPr>
      <w:r w:rsidRPr="0081146C">
        <w:t xml:space="preserve">The </w:t>
      </w:r>
      <w:r w:rsidRPr="0081146C">
        <w:rPr>
          <w:i/>
        </w:rPr>
        <w:t>Legislation Act 2003</w:t>
      </w:r>
      <w:r w:rsidRPr="0081146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624B887" w14:textId="77777777" w:rsidR="00673F6C" w:rsidRPr="0081146C" w:rsidRDefault="00673F6C" w:rsidP="00673F6C">
      <w:pPr>
        <w:spacing w:after="120"/>
      </w:pPr>
      <w:r w:rsidRPr="0081146C">
        <w:t>If the compilation includes editorial changes, the endnotes include a brief outline of the changes in general terms. Full details of any changes can be obtained from the Office of Parliamentary Counsel.</w:t>
      </w:r>
    </w:p>
    <w:p w14:paraId="59C80A07" w14:textId="77777777" w:rsidR="00673F6C" w:rsidRPr="0081146C" w:rsidRDefault="00673F6C" w:rsidP="00673F6C">
      <w:pPr>
        <w:keepNext/>
      </w:pPr>
      <w:r w:rsidRPr="0081146C">
        <w:rPr>
          <w:b/>
        </w:rPr>
        <w:t>Misdescribed amendments</w:t>
      </w:r>
    </w:p>
    <w:p w14:paraId="6A359977" w14:textId="77777777" w:rsidR="00673F6C" w:rsidRPr="0081146C" w:rsidRDefault="00673F6C" w:rsidP="00673F6C">
      <w:pPr>
        <w:spacing w:after="120"/>
      </w:pPr>
      <w:r w:rsidRPr="0081146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B7E15" w:rsidRPr="0081146C">
        <w:t>section 1</w:t>
      </w:r>
      <w:r w:rsidRPr="0081146C">
        <w:t xml:space="preserve">5V of the </w:t>
      </w:r>
      <w:r w:rsidRPr="0081146C">
        <w:rPr>
          <w:i/>
        </w:rPr>
        <w:t>Legislation Act 2003</w:t>
      </w:r>
      <w:r w:rsidRPr="0081146C">
        <w:t>.</w:t>
      </w:r>
    </w:p>
    <w:p w14:paraId="254D4BCA" w14:textId="77777777" w:rsidR="00673F6C" w:rsidRPr="0081146C" w:rsidRDefault="00673F6C" w:rsidP="00673F6C">
      <w:pPr>
        <w:spacing w:before="120" w:after="240"/>
      </w:pPr>
      <w:r w:rsidRPr="0081146C">
        <w:t>If a misdescribed amendment cannot be given effect as intended, the amendment is not incorporated and “(md not incorp)” is added to the amendment history.</w:t>
      </w:r>
    </w:p>
    <w:p w14:paraId="21614AE4" w14:textId="77777777" w:rsidR="00804466" w:rsidRPr="0081146C" w:rsidRDefault="00804466" w:rsidP="00750389"/>
    <w:p w14:paraId="2C82E3BF" w14:textId="77777777" w:rsidR="00804466" w:rsidRPr="0081146C" w:rsidRDefault="00804466" w:rsidP="00750389">
      <w:pPr>
        <w:pStyle w:val="ENotesHeading2"/>
        <w:pageBreakBefore/>
        <w:outlineLvl w:val="9"/>
      </w:pPr>
      <w:bookmarkStart w:id="714" w:name="_Toc185416136"/>
      <w:r w:rsidRPr="0081146C">
        <w:t>Endnote 2—Abbreviation key</w:t>
      </w:r>
      <w:bookmarkEnd w:id="714"/>
    </w:p>
    <w:p w14:paraId="3467E4D6" w14:textId="77777777" w:rsidR="00804466" w:rsidRPr="0081146C" w:rsidRDefault="00804466" w:rsidP="00750389">
      <w:pPr>
        <w:pStyle w:val="Tabletext"/>
      </w:pPr>
    </w:p>
    <w:tbl>
      <w:tblPr>
        <w:tblW w:w="7939" w:type="dxa"/>
        <w:tblInd w:w="108" w:type="dxa"/>
        <w:tblLayout w:type="fixed"/>
        <w:tblLook w:val="0000" w:firstRow="0" w:lastRow="0" w:firstColumn="0" w:lastColumn="0" w:noHBand="0" w:noVBand="0"/>
      </w:tblPr>
      <w:tblGrid>
        <w:gridCol w:w="4253"/>
        <w:gridCol w:w="3686"/>
      </w:tblGrid>
      <w:tr w:rsidR="00804466" w:rsidRPr="0081146C" w14:paraId="52609DE9" w14:textId="77777777" w:rsidTr="00750389">
        <w:tc>
          <w:tcPr>
            <w:tcW w:w="4253" w:type="dxa"/>
            <w:shd w:val="clear" w:color="auto" w:fill="auto"/>
          </w:tcPr>
          <w:p w14:paraId="10C2C667" w14:textId="77777777" w:rsidR="00804466" w:rsidRPr="0081146C" w:rsidRDefault="00804466" w:rsidP="00750389">
            <w:pPr>
              <w:spacing w:before="60"/>
              <w:ind w:left="34"/>
              <w:rPr>
                <w:sz w:val="20"/>
              </w:rPr>
            </w:pPr>
            <w:r w:rsidRPr="0081146C">
              <w:rPr>
                <w:sz w:val="20"/>
              </w:rPr>
              <w:t>ad = added or inserted</w:t>
            </w:r>
          </w:p>
        </w:tc>
        <w:tc>
          <w:tcPr>
            <w:tcW w:w="3686" w:type="dxa"/>
            <w:shd w:val="clear" w:color="auto" w:fill="auto"/>
          </w:tcPr>
          <w:p w14:paraId="1B421D09" w14:textId="77777777" w:rsidR="00804466" w:rsidRPr="0081146C" w:rsidRDefault="00804466" w:rsidP="00750389">
            <w:pPr>
              <w:spacing w:before="60"/>
              <w:ind w:left="34"/>
              <w:rPr>
                <w:sz w:val="20"/>
              </w:rPr>
            </w:pPr>
            <w:r w:rsidRPr="0081146C">
              <w:rPr>
                <w:sz w:val="20"/>
              </w:rPr>
              <w:t>o = order(s)</w:t>
            </w:r>
          </w:p>
        </w:tc>
      </w:tr>
      <w:tr w:rsidR="00804466" w:rsidRPr="0081146C" w14:paraId="2EF8866F" w14:textId="77777777" w:rsidTr="00750389">
        <w:tc>
          <w:tcPr>
            <w:tcW w:w="4253" w:type="dxa"/>
            <w:shd w:val="clear" w:color="auto" w:fill="auto"/>
          </w:tcPr>
          <w:p w14:paraId="5F96E3F6" w14:textId="77777777" w:rsidR="00804466" w:rsidRPr="0081146C" w:rsidRDefault="00804466" w:rsidP="00750389">
            <w:pPr>
              <w:spacing w:before="60"/>
              <w:ind w:left="34"/>
              <w:rPr>
                <w:sz w:val="20"/>
              </w:rPr>
            </w:pPr>
            <w:r w:rsidRPr="0081146C">
              <w:rPr>
                <w:sz w:val="20"/>
              </w:rPr>
              <w:t>am = amended</w:t>
            </w:r>
          </w:p>
        </w:tc>
        <w:tc>
          <w:tcPr>
            <w:tcW w:w="3686" w:type="dxa"/>
            <w:shd w:val="clear" w:color="auto" w:fill="auto"/>
          </w:tcPr>
          <w:p w14:paraId="3AB438EC" w14:textId="77777777" w:rsidR="00804466" w:rsidRPr="0081146C" w:rsidRDefault="00804466" w:rsidP="00750389">
            <w:pPr>
              <w:spacing w:before="60"/>
              <w:ind w:left="34"/>
              <w:rPr>
                <w:sz w:val="20"/>
              </w:rPr>
            </w:pPr>
            <w:r w:rsidRPr="0081146C">
              <w:rPr>
                <w:sz w:val="20"/>
              </w:rPr>
              <w:t>Ord = Ordinance</w:t>
            </w:r>
          </w:p>
        </w:tc>
      </w:tr>
      <w:tr w:rsidR="00804466" w:rsidRPr="0081146C" w14:paraId="18FDA8BD" w14:textId="77777777" w:rsidTr="00750389">
        <w:tc>
          <w:tcPr>
            <w:tcW w:w="4253" w:type="dxa"/>
            <w:shd w:val="clear" w:color="auto" w:fill="auto"/>
          </w:tcPr>
          <w:p w14:paraId="0F4A1BDB" w14:textId="77777777" w:rsidR="00804466" w:rsidRPr="0081146C" w:rsidRDefault="00804466" w:rsidP="00750389">
            <w:pPr>
              <w:spacing w:before="60"/>
              <w:ind w:left="34"/>
              <w:rPr>
                <w:sz w:val="20"/>
              </w:rPr>
            </w:pPr>
            <w:r w:rsidRPr="0081146C">
              <w:rPr>
                <w:sz w:val="20"/>
              </w:rPr>
              <w:t>amdt = amendment</w:t>
            </w:r>
          </w:p>
        </w:tc>
        <w:tc>
          <w:tcPr>
            <w:tcW w:w="3686" w:type="dxa"/>
            <w:shd w:val="clear" w:color="auto" w:fill="auto"/>
          </w:tcPr>
          <w:p w14:paraId="291B57A2" w14:textId="77777777" w:rsidR="00804466" w:rsidRPr="0081146C" w:rsidRDefault="00804466" w:rsidP="00750389">
            <w:pPr>
              <w:spacing w:before="60"/>
              <w:ind w:left="34"/>
              <w:rPr>
                <w:sz w:val="20"/>
              </w:rPr>
            </w:pPr>
            <w:r w:rsidRPr="0081146C">
              <w:rPr>
                <w:sz w:val="20"/>
              </w:rPr>
              <w:t>orig = original</w:t>
            </w:r>
          </w:p>
        </w:tc>
      </w:tr>
      <w:tr w:rsidR="00804466" w:rsidRPr="0081146C" w14:paraId="4A3BEAC2" w14:textId="77777777" w:rsidTr="00750389">
        <w:tc>
          <w:tcPr>
            <w:tcW w:w="4253" w:type="dxa"/>
            <w:shd w:val="clear" w:color="auto" w:fill="auto"/>
          </w:tcPr>
          <w:p w14:paraId="563F07B1" w14:textId="77777777" w:rsidR="00804466" w:rsidRPr="0081146C" w:rsidRDefault="00804466" w:rsidP="00750389">
            <w:pPr>
              <w:spacing w:before="60"/>
              <w:ind w:left="34"/>
              <w:rPr>
                <w:sz w:val="20"/>
              </w:rPr>
            </w:pPr>
            <w:r w:rsidRPr="0081146C">
              <w:rPr>
                <w:sz w:val="20"/>
              </w:rPr>
              <w:t>c = clause(s)</w:t>
            </w:r>
          </w:p>
        </w:tc>
        <w:tc>
          <w:tcPr>
            <w:tcW w:w="3686" w:type="dxa"/>
            <w:shd w:val="clear" w:color="auto" w:fill="auto"/>
          </w:tcPr>
          <w:p w14:paraId="4B16F182" w14:textId="77777777" w:rsidR="00804466" w:rsidRPr="0081146C" w:rsidRDefault="00804466" w:rsidP="00750389">
            <w:pPr>
              <w:spacing w:before="60"/>
              <w:ind w:left="34"/>
              <w:rPr>
                <w:sz w:val="20"/>
              </w:rPr>
            </w:pPr>
            <w:r w:rsidRPr="0081146C">
              <w:rPr>
                <w:sz w:val="20"/>
              </w:rPr>
              <w:t>par = paragraph(s)/subparagraph(s)</w:t>
            </w:r>
          </w:p>
        </w:tc>
      </w:tr>
      <w:tr w:rsidR="00804466" w:rsidRPr="0081146C" w14:paraId="308D4587" w14:textId="77777777" w:rsidTr="00750389">
        <w:tc>
          <w:tcPr>
            <w:tcW w:w="4253" w:type="dxa"/>
            <w:shd w:val="clear" w:color="auto" w:fill="auto"/>
          </w:tcPr>
          <w:p w14:paraId="77A9E8D8" w14:textId="77777777" w:rsidR="00804466" w:rsidRPr="0081146C" w:rsidRDefault="00804466" w:rsidP="00750389">
            <w:pPr>
              <w:spacing w:before="60"/>
              <w:ind w:left="34"/>
              <w:rPr>
                <w:sz w:val="20"/>
              </w:rPr>
            </w:pPr>
            <w:r w:rsidRPr="0081146C">
              <w:rPr>
                <w:sz w:val="20"/>
              </w:rPr>
              <w:t>C[x] = Compilation No. x</w:t>
            </w:r>
          </w:p>
        </w:tc>
        <w:tc>
          <w:tcPr>
            <w:tcW w:w="3686" w:type="dxa"/>
            <w:shd w:val="clear" w:color="auto" w:fill="auto"/>
          </w:tcPr>
          <w:p w14:paraId="4C56948A" w14:textId="77777777" w:rsidR="00804466" w:rsidRPr="0081146C" w:rsidRDefault="001C2A88" w:rsidP="001C2A88">
            <w:pPr>
              <w:ind w:left="34" w:firstLine="249"/>
              <w:rPr>
                <w:sz w:val="20"/>
              </w:rPr>
            </w:pPr>
            <w:r w:rsidRPr="0081146C">
              <w:rPr>
                <w:sz w:val="20"/>
              </w:rPr>
              <w:t>/</w:t>
            </w:r>
            <w:r w:rsidR="00804466" w:rsidRPr="0081146C">
              <w:rPr>
                <w:sz w:val="20"/>
              </w:rPr>
              <w:t>sub</w:t>
            </w:r>
            <w:r w:rsidR="003B7E15" w:rsidRPr="0081146C">
              <w:rPr>
                <w:sz w:val="20"/>
              </w:rPr>
              <w:noBreakHyphen/>
            </w:r>
            <w:r w:rsidR="00804466" w:rsidRPr="0081146C">
              <w:rPr>
                <w:sz w:val="20"/>
              </w:rPr>
              <w:t>subparagraph(s)</w:t>
            </w:r>
          </w:p>
        </w:tc>
      </w:tr>
      <w:tr w:rsidR="00804466" w:rsidRPr="0081146C" w14:paraId="5AE24E06" w14:textId="77777777" w:rsidTr="00750389">
        <w:tc>
          <w:tcPr>
            <w:tcW w:w="4253" w:type="dxa"/>
            <w:shd w:val="clear" w:color="auto" w:fill="auto"/>
          </w:tcPr>
          <w:p w14:paraId="36B12C40" w14:textId="77777777" w:rsidR="00804466" w:rsidRPr="0081146C" w:rsidRDefault="00804466" w:rsidP="00750389">
            <w:pPr>
              <w:spacing w:before="60"/>
              <w:ind w:left="34"/>
              <w:rPr>
                <w:sz w:val="20"/>
              </w:rPr>
            </w:pPr>
            <w:r w:rsidRPr="0081146C">
              <w:rPr>
                <w:sz w:val="20"/>
              </w:rPr>
              <w:t>Ch = Chapter(s)</w:t>
            </w:r>
          </w:p>
        </w:tc>
        <w:tc>
          <w:tcPr>
            <w:tcW w:w="3686" w:type="dxa"/>
            <w:shd w:val="clear" w:color="auto" w:fill="auto"/>
          </w:tcPr>
          <w:p w14:paraId="45FB75C8" w14:textId="77777777" w:rsidR="00804466" w:rsidRPr="0081146C" w:rsidRDefault="00804466" w:rsidP="00750389">
            <w:pPr>
              <w:spacing w:before="60"/>
              <w:ind w:left="34"/>
              <w:rPr>
                <w:sz w:val="20"/>
              </w:rPr>
            </w:pPr>
            <w:r w:rsidRPr="0081146C">
              <w:rPr>
                <w:sz w:val="20"/>
              </w:rPr>
              <w:t>pres = present</w:t>
            </w:r>
          </w:p>
        </w:tc>
      </w:tr>
      <w:tr w:rsidR="00804466" w:rsidRPr="0081146C" w14:paraId="42BE3647" w14:textId="77777777" w:rsidTr="00750389">
        <w:tc>
          <w:tcPr>
            <w:tcW w:w="4253" w:type="dxa"/>
            <w:shd w:val="clear" w:color="auto" w:fill="auto"/>
          </w:tcPr>
          <w:p w14:paraId="36D82A40" w14:textId="77777777" w:rsidR="00804466" w:rsidRPr="0081146C" w:rsidRDefault="00804466" w:rsidP="00750389">
            <w:pPr>
              <w:spacing w:before="60"/>
              <w:ind w:left="34"/>
              <w:rPr>
                <w:sz w:val="20"/>
              </w:rPr>
            </w:pPr>
            <w:r w:rsidRPr="0081146C">
              <w:rPr>
                <w:sz w:val="20"/>
              </w:rPr>
              <w:t>def = definition(s)</w:t>
            </w:r>
          </w:p>
        </w:tc>
        <w:tc>
          <w:tcPr>
            <w:tcW w:w="3686" w:type="dxa"/>
            <w:shd w:val="clear" w:color="auto" w:fill="auto"/>
          </w:tcPr>
          <w:p w14:paraId="1DD9AC93" w14:textId="77777777" w:rsidR="00804466" w:rsidRPr="0081146C" w:rsidRDefault="00804466" w:rsidP="00750389">
            <w:pPr>
              <w:spacing w:before="60"/>
              <w:ind w:left="34"/>
              <w:rPr>
                <w:sz w:val="20"/>
              </w:rPr>
            </w:pPr>
            <w:r w:rsidRPr="0081146C">
              <w:rPr>
                <w:sz w:val="20"/>
              </w:rPr>
              <w:t>prev = previous</w:t>
            </w:r>
          </w:p>
        </w:tc>
      </w:tr>
      <w:tr w:rsidR="00804466" w:rsidRPr="0081146C" w14:paraId="6BD4945F" w14:textId="77777777" w:rsidTr="00750389">
        <w:tc>
          <w:tcPr>
            <w:tcW w:w="4253" w:type="dxa"/>
            <w:shd w:val="clear" w:color="auto" w:fill="auto"/>
          </w:tcPr>
          <w:p w14:paraId="16352873" w14:textId="77777777" w:rsidR="00804466" w:rsidRPr="0081146C" w:rsidRDefault="00804466" w:rsidP="00750389">
            <w:pPr>
              <w:spacing w:before="60"/>
              <w:ind w:left="34"/>
              <w:rPr>
                <w:sz w:val="20"/>
              </w:rPr>
            </w:pPr>
            <w:r w:rsidRPr="0081146C">
              <w:rPr>
                <w:sz w:val="20"/>
              </w:rPr>
              <w:t>Dict = Dictionary</w:t>
            </w:r>
          </w:p>
        </w:tc>
        <w:tc>
          <w:tcPr>
            <w:tcW w:w="3686" w:type="dxa"/>
            <w:shd w:val="clear" w:color="auto" w:fill="auto"/>
          </w:tcPr>
          <w:p w14:paraId="105D7169" w14:textId="77777777" w:rsidR="00804466" w:rsidRPr="0081146C" w:rsidRDefault="00804466" w:rsidP="00750389">
            <w:pPr>
              <w:spacing w:before="60"/>
              <w:ind w:left="34"/>
              <w:rPr>
                <w:sz w:val="20"/>
              </w:rPr>
            </w:pPr>
            <w:r w:rsidRPr="0081146C">
              <w:rPr>
                <w:sz w:val="20"/>
              </w:rPr>
              <w:t>(prev…) = previously</w:t>
            </w:r>
          </w:p>
        </w:tc>
      </w:tr>
      <w:tr w:rsidR="00804466" w:rsidRPr="0081146C" w14:paraId="333F12DB" w14:textId="77777777" w:rsidTr="00750389">
        <w:tc>
          <w:tcPr>
            <w:tcW w:w="4253" w:type="dxa"/>
            <w:shd w:val="clear" w:color="auto" w:fill="auto"/>
          </w:tcPr>
          <w:p w14:paraId="554CE870" w14:textId="77777777" w:rsidR="00804466" w:rsidRPr="0081146C" w:rsidRDefault="00804466" w:rsidP="00750389">
            <w:pPr>
              <w:spacing w:before="60"/>
              <w:ind w:left="34"/>
              <w:rPr>
                <w:sz w:val="20"/>
              </w:rPr>
            </w:pPr>
            <w:r w:rsidRPr="0081146C">
              <w:rPr>
                <w:sz w:val="20"/>
              </w:rPr>
              <w:t>disallowed = disallowed by Parliament</w:t>
            </w:r>
          </w:p>
        </w:tc>
        <w:tc>
          <w:tcPr>
            <w:tcW w:w="3686" w:type="dxa"/>
            <w:shd w:val="clear" w:color="auto" w:fill="auto"/>
          </w:tcPr>
          <w:p w14:paraId="027DE822" w14:textId="77777777" w:rsidR="00804466" w:rsidRPr="0081146C" w:rsidRDefault="00804466" w:rsidP="00750389">
            <w:pPr>
              <w:spacing w:before="60"/>
              <w:ind w:left="34"/>
              <w:rPr>
                <w:sz w:val="20"/>
              </w:rPr>
            </w:pPr>
            <w:r w:rsidRPr="0081146C">
              <w:rPr>
                <w:sz w:val="20"/>
              </w:rPr>
              <w:t>Pt = Part(s)</w:t>
            </w:r>
          </w:p>
        </w:tc>
      </w:tr>
      <w:tr w:rsidR="00804466" w:rsidRPr="0081146C" w14:paraId="3E34A467" w14:textId="77777777" w:rsidTr="00750389">
        <w:tc>
          <w:tcPr>
            <w:tcW w:w="4253" w:type="dxa"/>
            <w:shd w:val="clear" w:color="auto" w:fill="auto"/>
          </w:tcPr>
          <w:p w14:paraId="15C31F60" w14:textId="77777777" w:rsidR="00804466" w:rsidRPr="0081146C" w:rsidRDefault="00804466" w:rsidP="00750389">
            <w:pPr>
              <w:spacing w:before="60"/>
              <w:ind w:left="34"/>
              <w:rPr>
                <w:sz w:val="20"/>
              </w:rPr>
            </w:pPr>
            <w:r w:rsidRPr="0081146C">
              <w:rPr>
                <w:sz w:val="20"/>
              </w:rPr>
              <w:t>Div = Division(s)</w:t>
            </w:r>
          </w:p>
        </w:tc>
        <w:tc>
          <w:tcPr>
            <w:tcW w:w="3686" w:type="dxa"/>
            <w:shd w:val="clear" w:color="auto" w:fill="auto"/>
          </w:tcPr>
          <w:p w14:paraId="799758C0" w14:textId="77777777" w:rsidR="00804466" w:rsidRPr="0081146C" w:rsidRDefault="00804466" w:rsidP="00750389">
            <w:pPr>
              <w:spacing w:before="60"/>
              <w:ind w:left="34"/>
              <w:rPr>
                <w:sz w:val="20"/>
              </w:rPr>
            </w:pPr>
            <w:r w:rsidRPr="0081146C">
              <w:rPr>
                <w:sz w:val="20"/>
              </w:rPr>
              <w:t>r = regulation(s)/rule(s)</w:t>
            </w:r>
          </w:p>
        </w:tc>
      </w:tr>
      <w:tr w:rsidR="00804466" w:rsidRPr="0081146C" w14:paraId="399D9001" w14:textId="77777777" w:rsidTr="00750389">
        <w:tc>
          <w:tcPr>
            <w:tcW w:w="4253" w:type="dxa"/>
            <w:shd w:val="clear" w:color="auto" w:fill="auto"/>
          </w:tcPr>
          <w:p w14:paraId="0493D791" w14:textId="77777777" w:rsidR="00804466" w:rsidRPr="0081146C" w:rsidRDefault="00804466" w:rsidP="00750389">
            <w:pPr>
              <w:spacing w:before="60"/>
              <w:ind w:left="34"/>
              <w:rPr>
                <w:sz w:val="20"/>
              </w:rPr>
            </w:pPr>
            <w:r w:rsidRPr="0081146C">
              <w:rPr>
                <w:sz w:val="20"/>
              </w:rPr>
              <w:t>ed = editorial change</w:t>
            </w:r>
          </w:p>
        </w:tc>
        <w:tc>
          <w:tcPr>
            <w:tcW w:w="3686" w:type="dxa"/>
            <w:shd w:val="clear" w:color="auto" w:fill="auto"/>
          </w:tcPr>
          <w:p w14:paraId="36C1887A" w14:textId="77777777" w:rsidR="00804466" w:rsidRPr="0081146C" w:rsidRDefault="00804466" w:rsidP="00750389">
            <w:pPr>
              <w:spacing w:before="60"/>
              <w:ind w:left="34"/>
              <w:rPr>
                <w:sz w:val="20"/>
              </w:rPr>
            </w:pPr>
            <w:r w:rsidRPr="0081146C">
              <w:rPr>
                <w:sz w:val="20"/>
              </w:rPr>
              <w:t>reloc = relocated</w:t>
            </w:r>
          </w:p>
        </w:tc>
      </w:tr>
      <w:tr w:rsidR="00804466" w:rsidRPr="0081146C" w14:paraId="573C664A" w14:textId="77777777" w:rsidTr="00750389">
        <w:tc>
          <w:tcPr>
            <w:tcW w:w="4253" w:type="dxa"/>
            <w:shd w:val="clear" w:color="auto" w:fill="auto"/>
          </w:tcPr>
          <w:p w14:paraId="6CAA4E7A" w14:textId="77777777" w:rsidR="00804466" w:rsidRPr="0081146C" w:rsidRDefault="00804466" w:rsidP="00750389">
            <w:pPr>
              <w:spacing w:before="60"/>
              <w:ind w:left="34"/>
              <w:rPr>
                <w:sz w:val="20"/>
              </w:rPr>
            </w:pPr>
            <w:r w:rsidRPr="0081146C">
              <w:rPr>
                <w:sz w:val="20"/>
              </w:rPr>
              <w:t>exp = expires/expired or ceases/ceased to have</w:t>
            </w:r>
          </w:p>
        </w:tc>
        <w:tc>
          <w:tcPr>
            <w:tcW w:w="3686" w:type="dxa"/>
            <w:shd w:val="clear" w:color="auto" w:fill="auto"/>
          </w:tcPr>
          <w:p w14:paraId="5C918F89" w14:textId="77777777" w:rsidR="00804466" w:rsidRPr="0081146C" w:rsidRDefault="00804466" w:rsidP="00750389">
            <w:pPr>
              <w:spacing w:before="60"/>
              <w:ind w:left="34"/>
              <w:rPr>
                <w:sz w:val="20"/>
              </w:rPr>
            </w:pPr>
            <w:r w:rsidRPr="0081146C">
              <w:rPr>
                <w:sz w:val="20"/>
              </w:rPr>
              <w:t>renum = renumbered</w:t>
            </w:r>
          </w:p>
        </w:tc>
      </w:tr>
      <w:tr w:rsidR="00804466" w:rsidRPr="0081146C" w14:paraId="4362B280" w14:textId="77777777" w:rsidTr="00750389">
        <w:tc>
          <w:tcPr>
            <w:tcW w:w="4253" w:type="dxa"/>
            <w:shd w:val="clear" w:color="auto" w:fill="auto"/>
          </w:tcPr>
          <w:p w14:paraId="432D17D3" w14:textId="77777777" w:rsidR="00804466" w:rsidRPr="0081146C" w:rsidRDefault="001C2A88" w:rsidP="001C2A88">
            <w:pPr>
              <w:ind w:left="34" w:firstLine="249"/>
              <w:rPr>
                <w:sz w:val="20"/>
              </w:rPr>
            </w:pPr>
            <w:r w:rsidRPr="0081146C">
              <w:rPr>
                <w:sz w:val="20"/>
              </w:rPr>
              <w:t>e</w:t>
            </w:r>
            <w:r w:rsidR="00804466" w:rsidRPr="0081146C">
              <w:rPr>
                <w:sz w:val="20"/>
              </w:rPr>
              <w:t>ffect</w:t>
            </w:r>
          </w:p>
        </w:tc>
        <w:tc>
          <w:tcPr>
            <w:tcW w:w="3686" w:type="dxa"/>
            <w:shd w:val="clear" w:color="auto" w:fill="auto"/>
          </w:tcPr>
          <w:p w14:paraId="33F7C58E" w14:textId="77777777" w:rsidR="00804466" w:rsidRPr="0081146C" w:rsidRDefault="00804466" w:rsidP="00750389">
            <w:pPr>
              <w:spacing w:before="60"/>
              <w:ind w:left="34"/>
              <w:rPr>
                <w:sz w:val="20"/>
              </w:rPr>
            </w:pPr>
            <w:r w:rsidRPr="0081146C">
              <w:rPr>
                <w:sz w:val="20"/>
              </w:rPr>
              <w:t>rep = repealed</w:t>
            </w:r>
          </w:p>
        </w:tc>
      </w:tr>
      <w:tr w:rsidR="00804466" w:rsidRPr="0081146C" w14:paraId="71A32FEE" w14:textId="77777777" w:rsidTr="00750389">
        <w:tc>
          <w:tcPr>
            <w:tcW w:w="4253" w:type="dxa"/>
            <w:shd w:val="clear" w:color="auto" w:fill="auto"/>
          </w:tcPr>
          <w:p w14:paraId="3C66B124" w14:textId="77777777" w:rsidR="00804466" w:rsidRPr="0081146C" w:rsidRDefault="00804466" w:rsidP="00750389">
            <w:pPr>
              <w:spacing w:before="60"/>
              <w:ind w:left="34"/>
              <w:rPr>
                <w:sz w:val="20"/>
              </w:rPr>
            </w:pPr>
            <w:r w:rsidRPr="0081146C">
              <w:rPr>
                <w:sz w:val="20"/>
              </w:rPr>
              <w:t>F = Federal Register of Legislation</w:t>
            </w:r>
          </w:p>
        </w:tc>
        <w:tc>
          <w:tcPr>
            <w:tcW w:w="3686" w:type="dxa"/>
            <w:shd w:val="clear" w:color="auto" w:fill="auto"/>
          </w:tcPr>
          <w:p w14:paraId="4AA68759" w14:textId="77777777" w:rsidR="00804466" w:rsidRPr="0081146C" w:rsidRDefault="00804466" w:rsidP="00750389">
            <w:pPr>
              <w:spacing w:before="60"/>
              <w:ind w:left="34"/>
              <w:rPr>
                <w:sz w:val="20"/>
              </w:rPr>
            </w:pPr>
            <w:r w:rsidRPr="0081146C">
              <w:rPr>
                <w:sz w:val="20"/>
              </w:rPr>
              <w:t>rs = repealed and substituted</w:t>
            </w:r>
          </w:p>
        </w:tc>
      </w:tr>
      <w:tr w:rsidR="00804466" w:rsidRPr="0081146C" w14:paraId="7B24C50B" w14:textId="77777777" w:rsidTr="00750389">
        <w:tc>
          <w:tcPr>
            <w:tcW w:w="4253" w:type="dxa"/>
            <w:shd w:val="clear" w:color="auto" w:fill="auto"/>
          </w:tcPr>
          <w:p w14:paraId="1C72AC0F" w14:textId="77777777" w:rsidR="00804466" w:rsidRPr="0081146C" w:rsidRDefault="00804466" w:rsidP="00750389">
            <w:pPr>
              <w:spacing w:before="60"/>
              <w:ind w:left="34"/>
              <w:rPr>
                <w:sz w:val="20"/>
              </w:rPr>
            </w:pPr>
            <w:r w:rsidRPr="0081146C">
              <w:rPr>
                <w:sz w:val="20"/>
              </w:rPr>
              <w:t>gaz = gazette</w:t>
            </w:r>
          </w:p>
        </w:tc>
        <w:tc>
          <w:tcPr>
            <w:tcW w:w="3686" w:type="dxa"/>
            <w:shd w:val="clear" w:color="auto" w:fill="auto"/>
          </w:tcPr>
          <w:p w14:paraId="763F72D1" w14:textId="77777777" w:rsidR="00804466" w:rsidRPr="0081146C" w:rsidRDefault="00804466" w:rsidP="00750389">
            <w:pPr>
              <w:spacing w:before="60"/>
              <w:ind w:left="34"/>
              <w:rPr>
                <w:sz w:val="20"/>
              </w:rPr>
            </w:pPr>
            <w:r w:rsidRPr="0081146C">
              <w:rPr>
                <w:sz w:val="20"/>
              </w:rPr>
              <w:t>s = section(s)/subsection(s)</w:t>
            </w:r>
          </w:p>
        </w:tc>
      </w:tr>
      <w:tr w:rsidR="00804466" w:rsidRPr="0081146C" w14:paraId="711AAC06" w14:textId="77777777" w:rsidTr="00750389">
        <w:tc>
          <w:tcPr>
            <w:tcW w:w="4253" w:type="dxa"/>
            <w:shd w:val="clear" w:color="auto" w:fill="auto"/>
          </w:tcPr>
          <w:p w14:paraId="4CA8206B" w14:textId="77777777" w:rsidR="00804466" w:rsidRPr="0081146C" w:rsidRDefault="00804466" w:rsidP="00750389">
            <w:pPr>
              <w:spacing w:before="60"/>
              <w:ind w:left="34"/>
              <w:rPr>
                <w:sz w:val="20"/>
              </w:rPr>
            </w:pPr>
            <w:r w:rsidRPr="0081146C">
              <w:rPr>
                <w:sz w:val="20"/>
              </w:rPr>
              <w:t xml:space="preserve">LA = </w:t>
            </w:r>
            <w:r w:rsidRPr="0081146C">
              <w:rPr>
                <w:i/>
                <w:sz w:val="20"/>
              </w:rPr>
              <w:t>Legislation Act 2003</w:t>
            </w:r>
          </w:p>
        </w:tc>
        <w:tc>
          <w:tcPr>
            <w:tcW w:w="3686" w:type="dxa"/>
            <w:shd w:val="clear" w:color="auto" w:fill="auto"/>
          </w:tcPr>
          <w:p w14:paraId="68F09896" w14:textId="77777777" w:rsidR="00804466" w:rsidRPr="0081146C" w:rsidRDefault="00804466" w:rsidP="00750389">
            <w:pPr>
              <w:spacing w:before="60"/>
              <w:ind w:left="34"/>
              <w:rPr>
                <w:sz w:val="20"/>
              </w:rPr>
            </w:pPr>
            <w:r w:rsidRPr="0081146C">
              <w:rPr>
                <w:sz w:val="20"/>
              </w:rPr>
              <w:t>Sch = Schedule(s)</w:t>
            </w:r>
          </w:p>
        </w:tc>
      </w:tr>
      <w:tr w:rsidR="00804466" w:rsidRPr="0081146C" w14:paraId="627EC6E6" w14:textId="77777777" w:rsidTr="00750389">
        <w:tc>
          <w:tcPr>
            <w:tcW w:w="4253" w:type="dxa"/>
            <w:shd w:val="clear" w:color="auto" w:fill="auto"/>
          </w:tcPr>
          <w:p w14:paraId="274653D9" w14:textId="77777777" w:rsidR="00804466" w:rsidRPr="0081146C" w:rsidRDefault="00804466" w:rsidP="00750389">
            <w:pPr>
              <w:spacing w:before="60"/>
              <w:ind w:left="34"/>
              <w:rPr>
                <w:sz w:val="20"/>
              </w:rPr>
            </w:pPr>
            <w:r w:rsidRPr="0081146C">
              <w:rPr>
                <w:sz w:val="20"/>
              </w:rPr>
              <w:t xml:space="preserve">LIA = </w:t>
            </w:r>
            <w:r w:rsidRPr="0081146C">
              <w:rPr>
                <w:i/>
                <w:sz w:val="20"/>
              </w:rPr>
              <w:t>Legislative Instruments Act 2003</w:t>
            </w:r>
          </w:p>
        </w:tc>
        <w:tc>
          <w:tcPr>
            <w:tcW w:w="3686" w:type="dxa"/>
            <w:shd w:val="clear" w:color="auto" w:fill="auto"/>
          </w:tcPr>
          <w:p w14:paraId="500B7470" w14:textId="77777777" w:rsidR="00804466" w:rsidRPr="0081146C" w:rsidRDefault="00804466" w:rsidP="00750389">
            <w:pPr>
              <w:spacing w:before="60"/>
              <w:ind w:left="34"/>
              <w:rPr>
                <w:sz w:val="20"/>
              </w:rPr>
            </w:pPr>
            <w:r w:rsidRPr="0081146C">
              <w:rPr>
                <w:sz w:val="20"/>
              </w:rPr>
              <w:t>Sdiv = Subdivision(s)</w:t>
            </w:r>
          </w:p>
        </w:tc>
      </w:tr>
      <w:tr w:rsidR="00804466" w:rsidRPr="0081146C" w14:paraId="53832540" w14:textId="77777777" w:rsidTr="00750389">
        <w:tc>
          <w:tcPr>
            <w:tcW w:w="4253" w:type="dxa"/>
            <w:shd w:val="clear" w:color="auto" w:fill="auto"/>
          </w:tcPr>
          <w:p w14:paraId="34A15A12" w14:textId="77777777" w:rsidR="00804466" w:rsidRPr="0081146C" w:rsidRDefault="00804466" w:rsidP="00750389">
            <w:pPr>
              <w:spacing w:before="60"/>
              <w:ind w:left="34"/>
              <w:rPr>
                <w:sz w:val="20"/>
              </w:rPr>
            </w:pPr>
            <w:r w:rsidRPr="0081146C">
              <w:rPr>
                <w:sz w:val="20"/>
              </w:rPr>
              <w:t>(md) = misdescribed amendment can be given</w:t>
            </w:r>
          </w:p>
        </w:tc>
        <w:tc>
          <w:tcPr>
            <w:tcW w:w="3686" w:type="dxa"/>
            <w:shd w:val="clear" w:color="auto" w:fill="auto"/>
          </w:tcPr>
          <w:p w14:paraId="2D092953" w14:textId="77777777" w:rsidR="00804466" w:rsidRPr="0081146C" w:rsidRDefault="00804466" w:rsidP="00750389">
            <w:pPr>
              <w:spacing w:before="60"/>
              <w:ind w:left="34"/>
              <w:rPr>
                <w:sz w:val="20"/>
              </w:rPr>
            </w:pPr>
            <w:r w:rsidRPr="0081146C">
              <w:rPr>
                <w:sz w:val="20"/>
              </w:rPr>
              <w:t>SLI = Select Legislative Instrument</w:t>
            </w:r>
          </w:p>
        </w:tc>
      </w:tr>
      <w:tr w:rsidR="00804466" w:rsidRPr="0081146C" w14:paraId="6B0CDC33" w14:textId="77777777" w:rsidTr="00750389">
        <w:tc>
          <w:tcPr>
            <w:tcW w:w="4253" w:type="dxa"/>
            <w:shd w:val="clear" w:color="auto" w:fill="auto"/>
          </w:tcPr>
          <w:p w14:paraId="6938E8C1" w14:textId="77777777" w:rsidR="00804466" w:rsidRPr="0081146C" w:rsidRDefault="001C2A88" w:rsidP="001C2A88">
            <w:pPr>
              <w:ind w:left="34" w:firstLine="249"/>
              <w:rPr>
                <w:sz w:val="20"/>
              </w:rPr>
            </w:pPr>
            <w:r w:rsidRPr="0081146C">
              <w:rPr>
                <w:sz w:val="20"/>
              </w:rPr>
              <w:t>e</w:t>
            </w:r>
            <w:r w:rsidR="00804466" w:rsidRPr="0081146C">
              <w:rPr>
                <w:sz w:val="20"/>
              </w:rPr>
              <w:t>ffect</w:t>
            </w:r>
          </w:p>
        </w:tc>
        <w:tc>
          <w:tcPr>
            <w:tcW w:w="3686" w:type="dxa"/>
            <w:shd w:val="clear" w:color="auto" w:fill="auto"/>
          </w:tcPr>
          <w:p w14:paraId="47463284" w14:textId="77777777" w:rsidR="00804466" w:rsidRPr="0081146C" w:rsidRDefault="00804466" w:rsidP="00750389">
            <w:pPr>
              <w:spacing w:before="60"/>
              <w:ind w:left="34"/>
              <w:rPr>
                <w:sz w:val="20"/>
              </w:rPr>
            </w:pPr>
            <w:r w:rsidRPr="0081146C">
              <w:rPr>
                <w:sz w:val="20"/>
              </w:rPr>
              <w:t>SR = Statutory Rules</w:t>
            </w:r>
          </w:p>
        </w:tc>
      </w:tr>
      <w:tr w:rsidR="00804466" w:rsidRPr="0081146C" w14:paraId="3B404AD8" w14:textId="77777777" w:rsidTr="00750389">
        <w:tc>
          <w:tcPr>
            <w:tcW w:w="4253" w:type="dxa"/>
            <w:shd w:val="clear" w:color="auto" w:fill="auto"/>
          </w:tcPr>
          <w:p w14:paraId="67688018" w14:textId="77777777" w:rsidR="00804466" w:rsidRPr="0081146C" w:rsidRDefault="00804466" w:rsidP="00750389">
            <w:pPr>
              <w:spacing w:before="60"/>
              <w:ind w:left="34"/>
              <w:rPr>
                <w:sz w:val="20"/>
              </w:rPr>
            </w:pPr>
            <w:r w:rsidRPr="0081146C">
              <w:rPr>
                <w:sz w:val="20"/>
              </w:rPr>
              <w:t>(md not incorp) = misdescribed amendment</w:t>
            </w:r>
          </w:p>
        </w:tc>
        <w:tc>
          <w:tcPr>
            <w:tcW w:w="3686" w:type="dxa"/>
            <w:shd w:val="clear" w:color="auto" w:fill="auto"/>
          </w:tcPr>
          <w:p w14:paraId="2F070464" w14:textId="77777777" w:rsidR="00804466" w:rsidRPr="0081146C" w:rsidRDefault="00804466" w:rsidP="00750389">
            <w:pPr>
              <w:spacing w:before="60"/>
              <w:ind w:left="34"/>
              <w:rPr>
                <w:sz w:val="20"/>
              </w:rPr>
            </w:pPr>
            <w:r w:rsidRPr="0081146C">
              <w:rPr>
                <w:sz w:val="20"/>
              </w:rPr>
              <w:t>Sub</w:t>
            </w:r>
            <w:r w:rsidR="003B7E15" w:rsidRPr="0081146C">
              <w:rPr>
                <w:sz w:val="20"/>
              </w:rPr>
              <w:noBreakHyphen/>
            </w:r>
            <w:r w:rsidRPr="0081146C">
              <w:rPr>
                <w:sz w:val="20"/>
              </w:rPr>
              <w:t>Ch = Sub</w:t>
            </w:r>
            <w:r w:rsidR="003B7E15" w:rsidRPr="0081146C">
              <w:rPr>
                <w:sz w:val="20"/>
              </w:rPr>
              <w:noBreakHyphen/>
            </w:r>
            <w:r w:rsidRPr="0081146C">
              <w:rPr>
                <w:sz w:val="20"/>
              </w:rPr>
              <w:t>Chapter(s)</w:t>
            </w:r>
          </w:p>
        </w:tc>
      </w:tr>
      <w:tr w:rsidR="00804466" w:rsidRPr="0081146C" w14:paraId="7B801843" w14:textId="77777777" w:rsidTr="00750389">
        <w:tc>
          <w:tcPr>
            <w:tcW w:w="4253" w:type="dxa"/>
            <w:shd w:val="clear" w:color="auto" w:fill="auto"/>
          </w:tcPr>
          <w:p w14:paraId="2C840421" w14:textId="77777777" w:rsidR="00804466" w:rsidRPr="0081146C" w:rsidRDefault="001C2A88" w:rsidP="001C2A88">
            <w:pPr>
              <w:ind w:left="34" w:firstLine="249"/>
              <w:rPr>
                <w:sz w:val="20"/>
              </w:rPr>
            </w:pPr>
            <w:r w:rsidRPr="0081146C">
              <w:rPr>
                <w:sz w:val="20"/>
              </w:rPr>
              <w:t>c</w:t>
            </w:r>
            <w:r w:rsidR="00804466" w:rsidRPr="0081146C">
              <w:rPr>
                <w:sz w:val="20"/>
              </w:rPr>
              <w:t>annot be given effect</w:t>
            </w:r>
          </w:p>
        </w:tc>
        <w:tc>
          <w:tcPr>
            <w:tcW w:w="3686" w:type="dxa"/>
            <w:shd w:val="clear" w:color="auto" w:fill="auto"/>
          </w:tcPr>
          <w:p w14:paraId="5F9F40A6" w14:textId="77777777" w:rsidR="00804466" w:rsidRPr="0081146C" w:rsidRDefault="00804466" w:rsidP="00750389">
            <w:pPr>
              <w:spacing w:before="60"/>
              <w:ind w:left="34"/>
              <w:rPr>
                <w:sz w:val="20"/>
              </w:rPr>
            </w:pPr>
            <w:r w:rsidRPr="0081146C">
              <w:rPr>
                <w:sz w:val="20"/>
              </w:rPr>
              <w:t>SubPt = Subpart(s)</w:t>
            </w:r>
          </w:p>
        </w:tc>
      </w:tr>
      <w:tr w:rsidR="00804466" w:rsidRPr="0081146C" w14:paraId="516EF7E9" w14:textId="77777777" w:rsidTr="00750389">
        <w:tc>
          <w:tcPr>
            <w:tcW w:w="4253" w:type="dxa"/>
            <w:shd w:val="clear" w:color="auto" w:fill="auto"/>
          </w:tcPr>
          <w:p w14:paraId="7C2FBB1F" w14:textId="77777777" w:rsidR="00804466" w:rsidRPr="0081146C" w:rsidRDefault="00804466" w:rsidP="00750389">
            <w:pPr>
              <w:spacing w:before="60"/>
              <w:ind w:left="34"/>
              <w:rPr>
                <w:sz w:val="20"/>
              </w:rPr>
            </w:pPr>
            <w:r w:rsidRPr="0081146C">
              <w:rPr>
                <w:sz w:val="20"/>
              </w:rPr>
              <w:t>mod = modified/modification</w:t>
            </w:r>
          </w:p>
        </w:tc>
        <w:tc>
          <w:tcPr>
            <w:tcW w:w="3686" w:type="dxa"/>
            <w:shd w:val="clear" w:color="auto" w:fill="auto"/>
          </w:tcPr>
          <w:p w14:paraId="4E2A8CF8" w14:textId="77777777" w:rsidR="00804466" w:rsidRPr="0081146C" w:rsidRDefault="00804466" w:rsidP="00750389">
            <w:pPr>
              <w:spacing w:before="60"/>
              <w:ind w:left="34"/>
              <w:rPr>
                <w:sz w:val="20"/>
              </w:rPr>
            </w:pPr>
            <w:r w:rsidRPr="0081146C">
              <w:rPr>
                <w:sz w:val="20"/>
                <w:u w:val="single"/>
              </w:rPr>
              <w:t>underlining</w:t>
            </w:r>
            <w:r w:rsidRPr="0081146C">
              <w:rPr>
                <w:sz w:val="20"/>
              </w:rPr>
              <w:t xml:space="preserve"> = whole or part not</w:t>
            </w:r>
          </w:p>
        </w:tc>
      </w:tr>
      <w:tr w:rsidR="00804466" w:rsidRPr="0081146C" w14:paraId="71AB9427" w14:textId="77777777" w:rsidTr="00750389">
        <w:tc>
          <w:tcPr>
            <w:tcW w:w="4253" w:type="dxa"/>
            <w:shd w:val="clear" w:color="auto" w:fill="auto"/>
          </w:tcPr>
          <w:p w14:paraId="29297C1D" w14:textId="77777777" w:rsidR="00804466" w:rsidRPr="0081146C" w:rsidRDefault="00804466" w:rsidP="00750389">
            <w:pPr>
              <w:spacing w:before="60"/>
              <w:ind w:left="34"/>
              <w:rPr>
                <w:sz w:val="20"/>
              </w:rPr>
            </w:pPr>
            <w:r w:rsidRPr="0081146C">
              <w:rPr>
                <w:sz w:val="20"/>
              </w:rPr>
              <w:t>No. = Number(s)</w:t>
            </w:r>
          </w:p>
        </w:tc>
        <w:tc>
          <w:tcPr>
            <w:tcW w:w="3686" w:type="dxa"/>
            <w:shd w:val="clear" w:color="auto" w:fill="auto"/>
          </w:tcPr>
          <w:p w14:paraId="378B2F8A" w14:textId="77777777" w:rsidR="00804466" w:rsidRPr="0081146C" w:rsidRDefault="001C2A88" w:rsidP="001C2A88">
            <w:pPr>
              <w:ind w:left="34" w:firstLine="249"/>
              <w:rPr>
                <w:sz w:val="20"/>
              </w:rPr>
            </w:pPr>
            <w:r w:rsidRPr="0081146C">
              <w:rPr>
                <w:sz w:val="20"/>
              </w:rPr>
              <w:t>c</w:t>
            </w:r>
            <w:r w:rsidR="00804466" w:rsidRPr="0081146C">
              <w:rPr>
                <w:sz w:val="20"/>
              </w:rPr>
              <w:t>ommenced or to be commenced</w:t>
            </w:r>
          </w:p>
        </w:tc>
      </w:tr>
    </w:tbl>
    <w:p w14:paraId="5E5F7FE5" w14:textId="77777777" w:rsidR="00804466" w:rsidRPr="0081146C" w:rsidRDefault="00804466" w:rsidP="00750389">
      <w:pPr>
        <w:pStyle w:val="Tabletext"/>
      </w:pPr>
    </w:p>
    <w:p w14:paraId="10BA6B68" w14:textId="77777777" w:rsidR="00B939C5" w:rsidRPr="0081146C" w:rsidRDefault="00B939C5" w:rsidP="003209EC">
      <w:pPr>
        <w:pStyle w:val="ENotesHeading2"/>
        <w:pageBreakBefore/>
        <w:outlineLvl w:val="9"/>
      </w:pPr>
      <w:bookmarkStart w:id="715" w:name="_Toc185416137"/>
      <w:r w:rsidRPr="0081146C">
        <w:t>Endnote 3—Legislation history</w:t>
      </w:r>
      <w:bookmarkEnd w:id="715"/>
    </w:p>
    <w:p w14:paraId="5AB727E2" w14:textId="77777777" w:rsidR="00C72BA2" w:rsidRPr="0081146C" w:rsidRDefault="00C72BA2" w:rsidP="008539B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59"/>
        <w:gridCol w:w="2099"/>
        <w:gridCol w:w="1195"/>
      </w:tblGrid>
      <w:tr w:rsidR="00C72BA2" w:rsidRPr="0081146C" w14:paraId="61943FCF" w14:textId="77777777" w:rsidTr="00724DC1">
        <w:trPr>
          <w:cantSplit/>
          <w:tblHeader/>
        </w:trPr>
        <w:tc>
          <w:tcPr>
            <w:tcW w:w="1843" w:type="dxa"/>
            <w:tcBorders>
              <w:top w:val="single" w:sz="12" w:space="0" w:color="auto"/>
              <w:bottom w:val="single" w:sz="12" w:space="0" w:color="auto"/>
            </w:tcBorders>
            <w:shd w:val="clear" w:color="auto" w:fill="auto"/>
          </w:tcPr>
          <w:p w14:paraId="3F81DE4C" w14:textId="77777777" w:rsidR="00C72BA2" w:rsidRPr="0081146C" w:rsidRDefault="00C72BA2" w:rsidP="008539BE">
            <w:pPr>
              <w:pStyle w:val="ENoteTableHeading"/>
            </w:pPr>
            <w:r w:rsidRPr="0081146C">
              <w:t>Act</w:t>
            </w:r>
          </w:p>
        </w:tc>
        <w:tc>
          <w:tcPr>
            <w:tcW w:w="992" w:type="dxa"/>
            <w:tcBorders>
              <w:top w:val="single" w:sz="12" w:space="0" w:color="auto"/>
              <w:bottom w:val="single" w:sz="12" w:space="0" w:color="auto"/>
            </w:tcBorders>
            <w:shd w:val="clear" w:color="auto" w:fill="auto"/>
          </w:tcPr>
          <w:p w14:paraId="7439D13D" w14:textId="77777777" w:rsidR="00C72BA2" w:rsidRPr="0081146C" w:rsidRDefault="00C72BA2" w:rsidP="008539BE">
            <w:pPr>
              <w:pStyle w:val="ENoteTableHeading"/>
            </w:pPr>
            <w:r w:rsidRPr="0081146C">
              <w:t>Number and year</w:t>
            </w:r>
          </w:p>
        </w:tc>
        <w:tc>
          <w:tcPr>
            <w:tcW w:w="959" w:type="dxa"/>
            <w:tcBorders>
              <w:top w:val="single" w:sz="12" w:space="0" w:color="auto"/>
              <w:bottom w:val="single" w:sz="12" w:space="0" w:color="auto"/>
            </w:tcBorders>
            <w:shd w:val="clear" w:color="auto" w:fill="auto"/>
          </w:tcPr>
          <w:p w14:paraId="691D03E0" w14:textId="77777777" w:rsidR="00C72BA2" w:rsidRPr="0081146C" w:rsidRDefault="00C72BA2" w:rsidP="008B2082">
            <w:pPr>
              <w:pStyle w:val="ENoteTableHeading"/>
            </w:pPr>
            <w:r w:rsidRPr="0081146C">
              <w:t>Assent</w:t>
            </w:r>
          </w:p>
        </w:tc>
        <w:tc>
          <w:tcPr>
            <w:tcW w:w="2099" w:type="dxa"/>
            <w:tcBorders>
              <w:top w:val="single" w:sz="12" w:space="0" w:color="auto"/>
              <w:bottom w:val="single" w:sz="12" w:space="0" w:color="auto"/>
            </w:tcBorders>
            <w:shd w:val="clear" w:color="auto" w:fill="auto"/>
          </w:tcPr>
          <w:p w14:paraId="192A85D0" w14:textId="77777777" w:rsidR="00C72BA2" w:rsidRPr="0081146C" w:rsidRDefault="00C72BA2" w:rsidP="003B5A08">
            <w:pPr>
              <w:pStyle w:val="ENoteTableHeading"/>
            </w:pPr>
            <w:r w:rsidRPr="0081146C">
              <w:t>Commencement</w:t>
            </w:r>
          </w:p>
        </w:tc>
        <w:tc>
          <w:tcPr>
            <w:tcW w:w="1195" w:type="dxa"/>
            <w:tcBorders>
              <w:top w:val="single" w:sz="12" w:space="0" w:color="auto"/>
              <w:bottom w:val="single" w:sz="12" w:space="0" w:color="auto"/>
            </w:tcBorders>
            <w:shd w:val="clear" w:color="auto" w:fill="auto"/>
          </w:tcPr>
          <w:p w14:paraId="0F5C4373" w14:textId="77777777" w:rsidR="00C72BA2" w:rsidRPr="0081146C" w:rsidRDefault="00C72BA2" w:rsidP="008539BE">
            <w:pPr>
              <w:pStyle w:val="ENoteTableHeading"/>
            </w:pPr>
            <w:r w:rsidRPr="0081146C">
              <w:t>Application, saving and transitional provisions</w:t>
            </w:r>
          </w:p>
        </w:tc>
      </w:tr>
      <w:tr w:rsidR="00C72BA2" w:rsidRPr="0081146C" w14:paraId="1F32072F" w14:textId="77777777" w:rsidTr="00DB476F">
        <w:trPr>
          <w:cantSplit/>
        </w:trPr>
        <w:tc>
          <w:tcPr>
            <w:tcW w:w="1843" w:type="dxa"/>
            <w:tcBorders>
              <w:top w:val="single" w:sz="12" w:space="0" w:color="auto"/>
              <w:bottom w:val="single" w:sz="4" w:space="0" w:color="auto"/>
            </w:tcBorders>
            <w:shd w:val="clear" w:color="auto" w:fill="auto"/>
          </w:tcPr>
          <w:p w14:paraId="0F60C869" w14:textId="77777777" w:rsidR="00C72BA2" w:rsidRPr="0081146C" w:rsidRDefault="00C72BA2" w:rsidP="00C72BA2">
            <w:pPr>
              <w:pStyle w:val="ENoteTableText"/>
            </w:pPr>
            <w:r w:rsidRPr="0081146C">
              <w:t>Anti</w:t>
            </w:r>
            <w:r w:rsidR="003B7E15" w:rsidRPr="0081146C">
              <w:noBreakHyphen/>
            </w:r>
            <w:r w:rsidRPr="0081146C">
              <w:t>Money Laundering and Counter</w:t>
            </w:r>
            <w:r w:rsidR="003B7E15" w:rsidRPr="0081146C">
              <w:noBreakHyphen/>
            </w:r>
            <w:r w:rsidRPr="0081146C">
              <w:t>Terrorism Financing Act 2006</w:t>
            </w:r>
          </w:p>
        </w:tc>
        <w:tc>
          <w:tcPr>
            <w:tcW w:w="992" w:type="dxa"/>
            <w:tcBorders>
              <w:top w:val="single" w:sz="12" w:space="0" w:color="auto"/>
              <w:bottom w:val="single" w:sz="4" w:space="0" w:color="auto"/>
            </w:tcBorders>
            <w:shd w:val="clear" w:color="auto" w:fill="auto"/>
          </w:tcPr>
          <w:p w14:paraId="0EF52051" w14:textId="77777777" w:rsidR="00C72BA2" w:rsidRPr="0081146C" w:rsidRDefault="00C72BA2" w:rsidP="00C72BA2">
            <w:pPr>
              <w:pStyle w:val="ENoteTableText"/>
            </w:pPr>
            <w:r w:rsidRPr="0081146C">
              <w:t xml:space="preserve">169, 2006 </w:t>
            </w:r>
          </w:p>
        </w:tc>
        <w:tc>
          <w:tcPr>
            <w:tcW w:w="959" w:type="dxa"/>
            <w:tcBorders>
              <w:top w:val="single" w:sz="12" w:space="0" w:color="auto"/>
              <w:bottom w:val="single" w:sz="4" w:space="0" w:color="auto"/>
            </w:tcBorders>
            <w:shd w:val="clear" w:color="auto" w:fill="auto"/>
          </w:tcPr>
          <w:p w14:paraId="6CE5716E" w14:textId="77777777" w:rsidR="00C72BA2" w:rsidRPr="0081146C" w:rsidRDefault="00C72BA2" w:rsidP="00C72BA2">
            <w:pPr>
              <w:pStyle w:val="ENoteTableText"/>
            </w:pPr>
            <w:smartTag w:uri="urn:schemas-microsoft-com:office:smarttags" w:element="date">
              <w:smartTagPr>
                <w:attr w:name="Year" w:val="2006"/>
                <w:attr w:name="Day" w:val="12"/>
                <w:attr w:name="Month" w:val="12"/>
              </w:smartTagPr>
              <w:r w:rsidRPr="0081146C">
                <w:t>12 Dec 2006</w:t>
              </w:r>
            </w:smartTag>
            <w:r w:rsidRPr="0081146C">
              <w:t xml:space="preserve"> </w:t>
            </w:r>
          </w:p>
        </w:tc>
        <w:tc>
          <w:tcPr>
            <w:tcW w:w="2099" w:type="dxa"/>
            <w:tcBorders>
              <w:top w:val="single" w:sz="12" w:space="0" w:color="auto"/>
              <w:bottom w:val="single" w:sz="4" w:space="0" w:color="auto"/>
            </w:tcBorders>
            <w:shd w:val="clear" w:color="auto" w:fill="auto"/>
          </w:tcPr>
          <w:p w14:paraId="393D7708" w14:textId="77777777" w:rsidR="00C72BA2" w:rsidRPr="0081146C" w:rsidRDefault="00AE2DA2" w:rsidP="00724DC1">
            <w:pPr>
              <w:pStyle w:val="ENoteTableText"/>
            </w:pPr>
            <w:r w:rsidRPr="0081146C">
              <w:t>s</w:t>
            </w:r>
            <w:r w:rsidR="003209EC" w:rsidRPr="0081146C">
              <w:t> </w:t>
            </w:r>
            <w:r w:rsidR="00C72BA2" w:rsidRPr="0081146C">
              <w:t xml:space="preserve">1 and 2: </w:t>
            </w:r>
            <w:r w:rsidR="00627885" w:rsidRPr="0081146C">
              <w:t>12 Dec 2006 (s</w:t>
            </w:r>
            <w:r w:rsidR="00143C50" w:rsidRPr="0081146C">
              <w:t> </w:t>
            </w:r>
            <w:r w:rsidR="00627885" w:rsidRPr="0081146C">
              <w:t xml:space="preserve">2(1) </w:t>
            </w:r>
            <w:r w:rsidR="003B7E15" w:rsidRPr="0081146C">
              <w:t>item 1</w:t>
            </w:r>
            <w:r w:rsidR="00143C50" w:rsidRPr="0081146C">
              <w:t>)</w:t>
            </w:r>
            <w:r w:rsidR="00C72BA2" w:rsidRPr="0081146C">
              <w:br/>
            </w:r>
            <w:r w:rsidRPr="0081146C">
              <w:t>ss.</w:t>
            </w:r>
            <w:r w:rsidR="004F64A4" w:rsidRPr="0081146C">
              <w:t> </w:t>
            </w:r>
            <w:r w:rsidR="00C72BA2" w:rsidRPr="0081146C">
              <w:t>27–35, 37–39, 80–93, 111–114 and 116: 12 Dec 2007</w:t>
            </w:r>
            <w:r w:rsidR="00627885" w:rsidRPr="0081146C">
              <w:t xml:space="preserve"> (s 2(1) items</w:t>
            </w:r>
            <w:r w:rsidR="004F64A4" w:rsidRPr="0081146C">
              <w:t> </w:t>
            </w:r>
            <w:r w:rsidR="00627885" w:rsidRPr="0081146C">
              <w:t>3, 5, 10, 14, 16)</w:t>
            </w:r>
            <w:r w:rsidR="00C72BA2" w:rsidRPr="0081146C">
              <w:br/>
            </w:r>
            <w:r w:rsidRPr="0081146C">
              <w:t>ss.</w:t>
            </w:r>
            <w:r w:rsidR="004F64A4" w:rsidRPr="0081146C">
              <w:t> </w:t>
            </w:r>
            <w:r w:rsidR="00C72BA2" w:rsidRPr="0081146C">
              <w:t>36, 40–46 and 49–51: 12</w:t>
            </w:r>
            <w:r w:rsidR="004A4A58" w:rsidRPr="0081146C">
              <w:t> </w:t>
            </w:r>
            <w:r w:rsidR="00C72BA2" w:rsidRPr="0081146C">
              <w:t>Dec 2008</w:t>
            </w:r>
            <w:r w:rsidR="00627885" w:rsidRPr="0081146C">
              <w:t xml:space="preserve"> (s 2(1) </w:t>
            </w:r>
            <w:r w:rsidR="008D5917" w:rsidRPr="0081146C">
              <w:t>items 4</w:t>
            </w:r>
            <w:r w:rsidR="00627885" w:rsidRPr="0081146C">
              <w:t>, 6, 8)</w:t>
            </w:r>
            <w:r w:rsidR="00C72BA2" w:rsidRPr="0081146C">
              <w:br/>
            </w:r>
            <w:r w:rsidRPr="0081146C">
              <w:t>s</w:t>
            </w:r>
            <w:r w:rsidR="003209EC" w:rsidRPr="0081146C">
              <w:t> </w:t>
            </w:r>
            <w:r w:rsidR="00C72BA2" w:rsidRPr="0081146C">
              <w:t>47, 48, 94–100 and 117: 12</w:t>
            </w:r>
            <w:r w:rsidR="004F64A4" w:rsidRPr="0081146C">
              <w:t> </w:t>
            </w:r>
            <w:r w:rsidR="00C72BA2" w:rsidRPr="0081146C">
              <w:t>June 2007</w:t>
            </w:r>
            <w:r w:rsidR="00627885" w:rsidRPr="0081146C">
              <w:t xml:space="preserve"> (s 2(1) items</w:t>
            </w:r>
            <w:r w:rsidR="004F64A4" w:rsidRPr="0081146C">
              <w:t> </w:t>
            </w:r>
            <w:r w:rsidR="00627885" w:rsidRPr="0081146C">
              <w:t>7,</w:t>
            </w:r>
            <w:r w:rsidR="00143C50" w:rsidRPr="0081146C">
              <w:t xml:space="preserve"> </w:t>
            </w:r>
            <w:r w:rsidR="000161B9" w:rsidRPr="0081146C">
              <w:t>11,</w:t>
            </w:r>
            <w:r w:rsidR="00627885" w:rsidRPr="0081146C">
              <w:t xml:space="preserve"> 17)</w:t>
            </w:r>
            <w:r w:rsidR="00C72BA2" w:rsidRPr="0081146C">
              <w:br/>
              <w:t>Remainder: 13 Dec 2006</w:t>
            </w:r>
            <w:r w:rsidR="00627885" w:rsidRPr="0081146C">
              <w:t xml:space="preserve"> (s 2(1) </w:t>
            </w:r>
            <w:r w:rsidR="001E59AD" w:rsidRPr="0081146C">
              <w:t>items 2</w:t>
            </w:r>
            <w:r w:rsidR="00627885" w:rsidRPr="0081146C">
              <w:t>, 9, 12, 13, 15, 18–20)</w:t>
            </w:r>
          </w:p>
        </w:tc>
        <w:tc>
          <w:tcPr>
            <w:tcW w:w="1195" w:type="dxa"/>
            <w:tcBorders>
              <w:top w:val="single" w:sz="12" w:space="0" w:color="auto"/>
              <w:bottom w:val="single" w:sz="4" w:space="0" w:color="auto"/>
            </w:tcBorders>
            <w:shd w:val="clear" w:color="auto" w:fill="auto"/>
          </w:tcPr>
          <w:p w14:paraId="060C414E" w14:textId="77777777" w:rsidR="00C72BA2" w:rsidRPr="0081146C" w:rsidRDefault="00C72BA2" w:rsidP="00C72BA2">
            <w:pPr>
              <w:pStyle w:val="ENoteTableText"/>
            </w:pPr>
          </w:p>
        </w:tc>
      </w:tr>
      <w:tr w:rsidR="00C72BA2" w:rsidRPr="0081146C" w14:paraId="6251E9C3" w14:textId="77777777" w:rsidTr="00DB476F">
        <w:trPr>
          <w:cantSplit/>
        </w:trPr>
        <w:tc>
          <w:tcPr>
            <w:tcW w:w="1843" w:type="dxa"/>
            <w:tcBorders>
              <w:top w:val="single" w:sz="4" w:space="0" w:color="auto"/>
              <w:bottom w:val="single" w:sz="4" w:space="0" w:color="auto"/>
            </w:tcBorders>
            <w:shd w:val="clear" w:color="auto" w:fill="auto"/>
          </w:tcPr>
          <w:p w14:paraId="5D4A523D" w14:textId="77777777" w:rsidR="00C72BA2" w:rsidRPr="0081146C" w:rsidRDefault="00C72BA2" w:rsidP="00C72BA2">
            <w:pPr>
              <w:pStyle w:val="ENoteTableText"/>
            </w:pPr>
            <w:r w:rsidRPr="0081146C">
              <w:t>Anti</w:t>
            </w:r>
            <w:r w:rsidR="003B7E15" w:rsidRPr="0081146C">
              <w:noBreakHyphen/>
            </w:r>
            <w:r w:rsidRPr="0081146C">
              <w:t>Money Laundering and Counter</w:t>
            </w:r>
            <w:r w:rsidR="003B7E15" w:rsidRPr="0081146C">
              <w:noBreakHyphen/>
            </w:r>
            <w:r w:rsidRPr="0081146C">
              <w:t>Terrorism Financing Amendment Act 2007</w:t>
            </w:r>
          </w:p>
        </w:tc>
        <w:tc>
          <w:tcPr>
            <w:tcW w:w="992" w:type="dxa"/>
            <w:tcBorders>
              <w:top w:val="single" w:sz="4" w:space="0" w:color="auto"/>
              <w:bottom w:val="single" w:sz="4" w:space="0" w:color="auto"/>
            </w:tcBorders>
            <w:shd w:val="clear" w:color="auto" w:fill="auto"/>
          </w:tcPr>
          <w:p w14:paraId="0741E8E5" w14:textId="77777777" w:rsidR="00C72BA2" w:rsidRPr="0081146C" w:rsidRDefault="00C72BA2" w:rsidP="00C72BA2">
            <w:pPr>
              <w:pStyle w:val="ENoteTableText"/>
            </w:pPr>
            <w:r w:rsidRPr="0081146C">
              <w:t>52, 2007</w:t>
            </w:r>
          </w:p>
        </w:tc>
        <w:tc>
          <w:tcPr>
            <w:tcW w:w="959" w:type="dxa"/>
            <w:tcBorders>
              <w:top w:val="single" w:sz="4" w:space="0" w:color="auto"/>
              <w:bottom w:val="single" w:sz="4" w:space="0" w:color="auto"/>
            </w:tcBorders>
            <w:shd w:val="clear" w:color="auto" w:fill="auto"/>
          </w:tcPr>
          <w:p w14:paraId="069060E7" w14:textId="77777777" w:rsidR="00C72BA2" w:rsidRPr="0081146C" w:rsidRDefault="00C72BA2" w:rsidP="00C72BA2">
            <w:pPr>
              <w:pStyle w:val="ENoteTableText"/>
            </w:pPr>
            <w:smartTag w:uri="urn:schemas-microsoft-com:office:smarttags" w:element="date">
              <w:smartTagPr>
                <w:attr w:name="Year" w:val="2007"/>
                <w:attr w:name="Day" w:val="12"/>
                <w:attr w:name="Month" w:val="4"/>
              </w:smartTagPr>
              <w:r w:rsidRPr="0081146C">
                <w:t>12 Apr 2007</w:t>
              </w:r>
            </w:smartTag>
          </w:p>
        </w:tc>
        <w:tc>
          <w:tcPr>
            <w:tcW w:w="2099" w:type="dxa"/>
            <w:tcBorders>
              <w:top w:val="single" w:sz="4" w:space="0" w:color="auto"/>
              <w:bottom w:val="single" w:sz="4" w:space="0" w:color="auto"/>
            </w:tcBorders>
            <w:shd w:val="clear" w:color="auto" w:fill="auto"/>
          </w:tcPr>
          <w:p w14:paraId="6BE22ADF" w14:textId="77777777" w:rsidR="00C72BA2" w:rsidRPr="0081146C" w:rsidRDefault="00C72BA2" w:rsidP="007C527B">
            <w:pPr>
              <w:pStyle w:val="ENoteTableText"/>
            </w:pPr>
            <w:r w:rsidRPr="0081146C">
              <w:t>Sch</w:t>
            </w:r>
            <w:r w:rsidR="003209EC" w:rsidRPr="0081146C">
              <w:t> </w:t>
            </w:r>
            <w:r w:rsidRPr="0081146C">
              <w:t>1 (</w:t>
            </w:r>
            <w:r w:rsidR="001E59AD" w:rsidRPr="0081146C">
              <w:t>items 2</w:t>
            </w:r>
            <w:r w:rsidRPr="0081146C">
              <w:t>–13, 15–19,</w:t>
            </w:r>
            <w:r w:rsidR="00AF391E" w:rsidRPr="0081146C">
              <w:t xml:space="preserve"> </w:t>
            </w:r>
            <w:r w:rsidRPr="0081146C">
              <w:t>21–52, 66–68): 13 Apr 2007</w:t>
            </w:r>
            <w:r w:rsidR="004A4A58" w:rsidRPr="0081146C">
              <w:t xml:space="preserve"> (s 2(1) </w:t>
            </w:r>
            <w:r w:rsidR="001E59AD" w:rsidRPr="0081146C">
              <w:t>items 2</w:t>
            </w:r>
            <w:r w:rsidR="004A4A58" w:rsidRPr="0081146C">
              <w:t>, 4, 6, 6B, 8)</w:t>
            </w:r>
            <w:r w:rsidRPr="0081146C">
              <w:br/>
            </w:r>
            <w:r w:rsidR="004E02D7" w:rsidRPr="0081146C">
              <w:t>Sch 1 (</w:t>
            </w:r>
            <w:r w:rsidR="003B7E15" w:rsidRPr="0081146C">
              <w:t>item 1</w:t>
            </w:r>
            <w:r w:rsidR="004E02D7" w:rsidRPr="0081146C">
              <w:t xml:space="preserve">4): 12 Dec 2008 (s 2(1) </w:t>
            </w:r>
            <w:r w:rsidR="003B7E15" w:rsidRPr="0081146C">
              <w:t>item 3</w:t>
            </w:r>
            <w:r w:rsidR="004E02D7" w:rsidRPr="0081146C">
              <w:t>)</w:t>
            </w:r>
            <w:r w:rsidR="007C527B" w:rsidRPr="0081146C">
              <w:br/>
            </w:r>
            <w:r w:rsidR="004E02D7" w:rsidRPr="0081146C">
              <w:t>Sch 1 (</w:t>
            </w:r>
            <w:r w:rsidR="003B7E15" w:rsidRPr="0081146C">
              <w:t>item 2</w:t>
            </w:r>
            <w:r w:rsidR="004E02D7" w:rsidRPr="0081146C">
              <w:t xml:space="preserve">0): 12 Dec 2007 (s 2(1) </w:t>
            </w:r>
            <w:r w:rsidR="003B7E15" w:rsidRPr="0081146C">
              <w:t>item 5</w:t>
            </w:r>
            <w:r w:rsidR="004E02D7" w:rsidRPr="0081146C">
              <w:t>)</w:t>
            </w:r>
          </w:p>
        </w:tc>
        <w:tc>
          <w:tcPr>
            <w:tcW w:w="1195" w:type="dxa"/>
            <w:tcBorders>
              <w:top w:val="single" w:sz="4" w:space="0" w:color="auto"/>
              <w:bottom w:val="single" w:sz="4" w:space="0" w:color="auto"/>
            </w:tcBorders>
            <w:shd w:val="clear" w:color="auto" w:fill="auto"/>
          </w:tcPr>
          <w:p w14:paraId="5E93AC9D" w14:textId="77777777" w:rsidR="00C72BA2" w:rsidRPr="0081146C" w:rsidRDefault="00C72BA2" w:rsidP="006E686E">
            <w:pPr>
              <w:pStyle w:val="ENoteTableText"/>
            </w:pPr>
            <w:r w:rsidRPr="0081146C">
              <w:t>Sch 1 (</w:t>
            </w:r>
            <w:r w:rsidR="008D5917" w:rsidRPr="0081146C">
              <w:t>items 6</w:t>
            </w:r>
            <w:r w:rsidRPr="0081146C">
              <w:t>6–68)</w:t>
            </w:r>
          </w:p>
        </w:tc>
      </w:tr>
      <w:tr w:rsidR="00C72BA2" w:rsidRPr="0081146C" w14:paraId="3EE504E4" w14:textId="77777777" w:rsidTr="00DB476F">
        <w:trPr>
          <w:cantSplit/>
        </w:trPr>
        <w:tc>
          <w:tcPr>
            <w:tcW w:w="1843" w:type="dxa"/>
            <w:tcBorders>
              <w:top w:val="single" w:sz="4" w:space="0" w:color="auto"/>
              <w:bottom w:val="single" w:sz="4" w:space="0" w:color="auto"/>
            </w:tcBorders>
            <w:shd w:val="clear" w:color="auto" w:fill="auto"/>
          </w:tcPr>
          <w:p w14:paraId="7B81B8CD" w14:textId="77777777" w:rsidR="00C72BA2" w:rsidRPr="0081146C" w:rsidRDefault="00C72BA2" w:rsidP="00C72BA2">
            <w:pPr>
              <w:pStyle w:val="ENoteTableText"/>
            </w:pPr>
            <w:r w:rsidRPr="0081146C">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3A9B7DF2" w14:textId="77777777" w:rsidR="00C72BA2" w:rsidRPr="0081146C" w:rsidRDefault="00C72BA2" w:rsidP="00C72BA2">
            <w:pPr>
              <w:pStyle w:val="ENoteTableText"/>
            </w:pPr>
            <w:r w:rsidRPr="0081146C">
              <w:t>154, 2007</w:t>
            </w:r>
          </w:p>
        </w:tc>
        <w:tc>
          <w:tcPr>
            <w:tcW w:w="959" w:type="dxa"/>
            <w:tcBorders>
              <w:top w:val="single" w:sz="4" w:space="0" w:color="auto"/>
              <w:bottom w:val="single" w:sz="4" w:space="0" w:color="auto"/>
            </w:tcBorders>
            <w:shd w:val="clear" w:color="auto" w:fill="auto"/>
          </w:tcPr>
          <w:p w14:paraId="7A3B6EEC" w14:textId="77777777" w:rsidR="00C72BA2" w:rsidRPr="0081146C" w:rsidRDefault="00C72BA2" w:rsidP="00C72BA2">
            <w:pPr>
              <w:pStyle w:val="ENoteTableText"/>
            </w:pPr>
            <w:smartTag w:uri="urn:schemas-microsoft-com:office:smarttags" w:element="date">
              <w:smartTagPr>
                <w:attr w:name="Year" w:val="2007"/>
                <w:attr w:name="Day" w:val="24"/>
                <w:attr w:name="Month" w:val="9"/>
              </w:smartTagPr>
              <w:r w:rsidRPr="0081146C">
                <w:t>24 Sept 2007</w:t>
              </w:r>
            </w:smartTag>
          </w:p>
        </w:tc>
        <w:tc>
          <w:tcPr>
            <w:tcW w:w="2099" w:type="dxa"/>
            <w:tcBorders>
              <w:top w:val="single" w:sz="4" w:space="0" w:color="auto"/>
              <w:bottom w:val="single" w:sz="4" w:space="0" w:color="auto"/>
            </w:tcBorders>
            <w:shd w:val="clear" w:color="auto" w:fill="auto"/>
          </w:tcPr>
          <w:p w14:paraId="551B54E9" w14:textId="77777777" w:rsidR="00C72BA2" w:rsidRPr="0081146C" w:rsidRDefault="00C72BA2" w:rsidP="005B3E6A">
            <w:pPr>
              <w:pStyle w:val="ENoteTableText"/>
            </w:pPr>
            <w:r w:rsidRPr="0081146C">
              <w:t>Sch</w:t>
            </w:r>
            <w:r w:rsidR="003209EC" w:rsidRPr="0081146C">
              <w:t> </w:t>
            </w:r>
            <w:r w:rsidRPr="0081146C">
              <w:t>1 (</w:t>
            </w:r>
            <w:r w:rsidR="00CA78AA" w:rsidRPr="0081146C">
              <w:t>items 1</w:t>
            </w:r>
            <w:r w:rsidRPr="0081146C">
              <w:t>56, 157):</w:t>
            </w:r>
            <w:r w:rsidR="005B3E6A" w:rsidRPr="0081146C">
              <w:t xml:space="preserve"> </w:t>
            </w:r>
            <w:smartTag w:uri="urn:schemas-microsoft-com:office:smarttags" w:element="date">
              <w:smartTagPr>
                <w:attr w:name="Year" w:val="2008"/>
                <w:attr w:name="Day" w:val="1"/>
                <w:attr w:name="Month" w:val="1"/>
              </w:smartTagPr>
              <w:r w:rsidRPr="0081146C">
                <w:t>1 Jan 2008</w:t>
              </w:r>
              <w:r w:rsidR="005B3E6A" w:rsidRPr="0081146C">
                <w:t xml:space="preserve"> </w:t>
              </w:r>
            </w:smartTag>
            <w:r w:rsidR="005B3E6A" w:rsidRPr="0081146C">
              <w:t xml:space="preserve">(s 2(1) </w:t>
            </w:r>
            <w:r w:rsidR="003B7E15" w:rsidRPr="0081146C">
              <w:t>item 3</w:t>
            </w:r>
            <w:r w:rsidR="005B3E6A" w:rsidRPr="0081146C">
              <w:t>)</w:t>
            </w:r>
            <w:r w:rsidRPr="0081146C">
              <w:br/>
              <w:t>Sch</w:t>
            </w:r>
            <w:r w:rsidR="003209EC" w:rsidRPr="0081146C">
              <w:t> </w:t>
            </w:r>
            <w:r w:rsidRPr="0081146C">
              <w:t>1 (</w:t>
            </w:r>
            <w:r w:rsidR="003B7E15" w:rsidRPr="0081146C">
              <w:t>item 2</w:t>
            </w:r>
            <w:r w:rsidRPr="0081146C">
              <w:t xml:space="preserve">96): </w:t>
            </w:r>
            <w:r w:rsidR="005B3E6A" w:rsidRPr="0081146C">
              <w:t xml:space="preserve">24 Sept 2007 (s 2(1) </w:t>
            </w:r>
            <w:r w:rsidR="00753679" w:rsidRPr="0081146C">
              <w:t>item 6</w:t>
            </w:r>
            <w:r w:rsidR="005B3E6A" w:rsidRPr="0081146C">
              <w:t>)</w:t>
            </w:r>
          </w:p>
        </w:tc>
        <w:tc>
          <w:tcPr>
            <w:tcW w:w="1195" w:type="dxa"/>
            <w:tcBorders>
              <w:top w:val="single" w:sz="4" w:space="0" w:color="auto"/>
              <w:bottom w:val="single" w:sz="4" w:space="0" w:color="auto"/>
            </w:tcBorders>
            <w:shd w:val="clear" w:color="auto" w:fill="auto"/>
          </w:tcPr>
          <w:p w14:paraId="14954E2E" w14:textId="77777777" w:rsidR="00C72BA2" w:rsidRPr="0081146C" w:rsidRDefault="00C72BA2" w:rsidP="005B3E6A">
            <w:pPr>
              <w:pStyle w:val="ENoteTableText"/>
            </w:pPr>
            <w:r w:rsidRPr="0081146C">
              <w:t>Sch 1 (</w:t>
            </w:r>
            <w:r w:rsidR="003B7E15" w:rsidRPr="0081146C">
              <w:t>item 2</w:t>
            </w:r>
            <w:r w:rsidRPr="0081146C">
              <w:t>96)</w:t>
            </w:r>
          </w:p>
        </w:tc>
      </w:tr>
      <w:tr w:rsidR="00C72BA2" w:rsidRPr="0081146C" w14:paraId="7E34B9BB" w14:textId="77777777" w:rsidTr="00DB476F">
        <w:trPr>
          <w:cantSplit/>
        </w:trPr>
        <w:tc>
          <w:tcPr>
            <w:tcW w:w="1843" w:type="dxa"/>
            <w:tcBorders>
              <w:top w:val="single" w:sz="4" w:space="0" w:color="auto"/>
              <w:bottom w:val="single" w:sz="4" w:space="0" w:color="auto"/>
            </w:tcBorders>
            <w:shd w:val="clear" w:color="auto" w:fill="auto"/>
          </w:tcPr>
          <w:p w14:paraId="72F971EC" w14:textId="77777777" w:rsidR="00C72BA2" w:rsidRPr="0081146C" w:rsidRDefault="00C72BA2" w:rsidP="00C72BA2">
            <w:pPr>
              <w:pStyle w:val="ENoteTableText"/>
            </w:pPr>
            <w:r w:rsidRPr="0081146C">
              <w:t>First Home Saver Accounts (Consequential Amendments) Act 2008</w:t>
            </w:r>
          </w:p>
        </w:tc>
        <w:tc>
          <w:tcPr>
            <w:tcW w:w="992" w:type="dxa"/>
            <w:tcBorders>
              <w:top w:val="single" w:sz="4" w:space="0" w:color="auto"/>
              <w:bottom w:val="single" w:sz="4" w:space="0" w:color="auto"/>
            </w:tcBorders>
            <w:shd w:val="clear" w:color="auto" w:fill="auto"/>
          </w:tcPr>
          <w:p w14:paraId="6694556E" w14:textId="77777777" w:rsidR="00C72BA2" w:rsidRPr="0081146C" w:rsidRDefault="00C72BA2" w:rsidP="00C72BA2">
            <w:pPr>
              <w:pStyle w:val="ENoteTableText"/>
            </w:pPr>
            <w:r w:rsidRPr="0081146C">
              <w:t>45, 2008</w:t>
            </w:r>
          </w:p>
        </w:tc>
        <w:tc>
          <w:tcPr>
            <w:tcW w:w="959" w:type="dxa"/>
            <w:tcBorders>
              <w:top w:val="single" w:sz="4" w:space="0" w:color="auto"/>
              <w:bottom w:val="single" w:sz="4" w:space="0" w:color="auto"/>
            </w:tcBorders>
            <w:shd w:val="clear" w:color="auto" w:fill="auto"/>
          </w:tcPr>
          <w:p w14:paraId="639E4FF9" w14:textId="77777777" w:rsidR="00C72BA2" w:rsidRPr="0081146C" w:rsidRDefault="00C72BA2" w:rsidP="00C72BA2">
            <w:pPr>
              <w:pStyle w:val="ENoteTableText"/>
            </w:pPr>
            <w:r w:rsidRPr="0081146C">
              <w:t>25</w:t>
            </w:r>
            <w:r w:rsidR="004F64A4" w:rsidRPr="0081146C">
              <w:t> </w:t>
            </w:r>
            <w:r w:rsidRPr="0081146C">
              <w:t>June 2008</w:t>
            </w:r>
          </w:p>
        </w:tc>
        <w:tc>
          <w:tcPr>
            <w:tcW w:w="2099" w:type="dxa"/>
            <w:tcBorders>
              <w:top w:val="single" w:sz="4" w:space="0" w:color="auto"/>
              <w:bottom w:val="single" w:sz="4" w:space="0" w:color="auto"/>
            </w:tcBorders>
            <w:shd w:val="clear" w:color="auto" w:fill="auto"/>
          </w:tcPr>
          <w:p w14:paraId="4B6EFCB1" w14:textId="77777777" w:rsidR="00C72BA2" w:rsidRPr="0081146C" w:rsidRDefault="00C72BA2" w:rsidP="005B3E6A">
            <w:pPr>
              <w:pStyle w:val="ENoteTableText"/>
            </w:pPr>
            <w:r w:rsidRPr="0081146C">
              <w:t>Sch</w:t>
            </w:r>
            <w:r w:rsidR="003209EC" w:rsidRPr="0081146C">
              <w:t> </w:t>
            </w:r>
            <w:r w:rsidRPr="0081146C">
              <w:t>3 (</w:t>
            </w:r>
            <w:r w:rsidR="00CA78AA" w:rsidRPr="0081146C">
              <w:t>items 1</w:t>
            </w:r>
            <w:r w:rsidRPr="0081146C">
              <w:t>–4): 26</w:t>
            </w:r>
            <w:r w:rsidR="004F64A4" w:rsidRPr="0081146C">
              <w:t> </w:t>
            </w:r>
            <w:r w:rsidRPr="0081146C">
              <w:t>June 2008</w:t>
            </w:r>
            <w:r w:rsidR="005B3E6A" w:rsidRPr="0081146C">
              <w:t xml:space="preserve"> (s 2)</w:t>
            </w:r>
          </w:p>
        </w:tc>
        <w:tc>
          <w:tcPr>
            <w:tcW w:w="1195" w:type="dxa"/>
            <w:tcBorders>
              <w:top w:val="single" w:sz="4" w:space="0" w:color="auto"/>
              <w:bottom w:val="single" w:sz="4" w:space="0" w:color="auto"/>
            </w:tcBorders>
            <w:shd w:val="clear" w:color="auto" w:fill="auto"/>
          </w:tcPr>
          <w:p w14:paraId="7BE0E817" w14:textId="77777777" w:rsidR="00C72BA2" w:rsidRPr="0081146C" w:rsidRDefault="00C72BA2" w:rsidP="00C72BA2">
            <w:pPr>
              <w:pStyle w:val="ENoteTableText"/>
            </w:pPr>
            <w:r w:rsidRPr="0081146C">
              <w:t>—</w:t>
            </w:r>
          </w:p>
        </w:tc>
      </w:tr>
      <w:tr w:rsidR="00C72BA2" w:rsidRPr="0081146C" w14:paraId="739505E1" w14:textId="77777777" w:rsidTr="00DB476F">
        <w:trPr>
          <w:cantSplit/>
        </w:trPr>
        <w:tc>
          <w:tcPr>
            <w:tcW w:w="1843" w:type="dxa"/>
            <w:tcBorders>
              <w:top w:val="single" w:sz="4" w:space="0" w:color="auto"/>
              <w:bottom w:val="single" w:sz="4" w:space="0" w:color="auto"/>
            </w:tcBorders>
            <w:shd w:val="clear" w:color="auto" w:fill="auto"/>
          </w:tcPr>
          <w:p w14:paraId="47C6330B" w14:textId="77777777" w:rsidR="00C72BA2" w:rsidRPr="0081146C" w:rsidRDefault="00C72BA2" w:rsidP="00C72BA2">
            <w:pPr>
              <w:pStyle w:val="ENoteTableText"/>
            </w:pPr>
            <w:r w:rsidRPr="0081146C">
              <w:t>Statute Law Revision Act 2008</w:t>
            </w:r>
          </w:p>
        </w:tc>
        <w:tc>
          <w:tcPr>
            <w:tcW w:w="992" w:type="dxa"/>
            <w:tcBorders>
              <w:top w:val="single" w:sz="4" w:space="0" w:color="auto"/>
              <w:bottom w:val="single" w:sz="4" w:space="0" w:color="auto"/>
            </w:tcBorders>
            <w:shd w:val="clear" w:color="auto" w:fill="auto"/>
          </w:tcPr>
          <w:p w14:paraId="19A10D6E" w14:textId="77777777" w:rsidR="00C72BA2" w:rsidRPr="0081146C" w:rsidRDefault="00C72BA2" w:rsidP="00C72BA2">
            <w:pPr>
              <w:pStyle w:val="ENoteTableText"/>
            </w:pPr>
            <w:r w:rsidRPr="0081146C">
              <w:t>73, 2008</w:t>
            </w:r>
          </w:p>
        </w:tc>
        <w:tc>
          <w:tcPr>
            <w:tcW w:w="959" w:type="dxa"/>
            <w:tcBorders>
              <w:top w:val="single" w:sz="4" w:space="0" w:color="auto"/>
              <w:bottom w:val="single" w:sz="4" w:space="0" w:color="auto"/>
            </w:tcBorders>
            <w:shd w:val="clear" w:color="auto" w:fill="auto"/>
          </w:tcPr>
          <w:p w14:paraId="528D0608" w14:textId="77777777" w:rsidR="00C72BA2" w:rsidRPr="0081146C" w:rsidRDefault="00C72BA2" w:rsidP="00C72BA2">
            <w:pPr>
              <w:pStyle w:val="ENoteTableText"/>
            </w:pPr>
            <w:r w:rsidRPr="0081146C">
              <w:t>3</w:t>
            </w:r>
            <w:r w:rsidR="004F64A4" w:rsidRPr="0081146C">
              <w:t> </w:t>
            </w:r>
            <w:r w:rsidRPr="0081146C">
              <w:t>July 2008</w:t>
            </w:r>
          </w:p>
        </w:tc>
        <w:tc>
          <w:tcPr>
            <w:tcW w:w="2099" w:type="dxa"/>
            <w:tcBorders>
              <w:top w:val="single" w:sz="4" w:space="0" w:color="auto"/>
              <w:bottom w:val="single" w:sz="4" w:space="0" w:color="auto"/>
            </w:tcBorders>
            <w:shd w:val="clear" w:color="auto" w:fill="auto"/>
          </w:tcPr>
          <w:p w14:paraId="072D4F48" w14:textId="77777777" w:rsidR="00C72BA2" w:rsidRPr="0081146C" w:rsidRDefault="00C72BA2" w:rsidP="005B3E6A">
            <w:pPr>
              <w:pStyle w:val="ENoteTableText"/>
            </w:pPr>
            <w:r w:rsidRPr="0081146C">
              <w:t>Sch</w:t>
            </w:r>
            <w:r w:rsidR="003209EC" w:rsidRPr="0081146C">
              <w:t> </w:t>
            </w:r>
            <w:r w:rsidRPr="0081146C">
              <w:t>1 (</w:t>
            </w:r>
            <w:r w:rsidR="003B7E15" w:rsidRPr="0081146C">
              <w:t>item 5</w:t>
            </w:r>
            <w:r w:rsidRPr="0081146C">
              <w:t xml:space="preserve">): </w:t>
            </w:r>
            <w:r w:rsidR="005B3E6A" w:rsidRPr="0081146C">
              <w:t xml:space="preserve">13 Dec 2006 (s 2(1) </w:t>
            </w:r>
            <w:r w:rsidR="00753679" w:rsidRPr="0081146C">
              <w:t>item 6</w:t>
            </w:r>
            <w:r w:rsidR="005B3E6A" w:rsidRPr="0081146C">
              <w:t>)</w:t>
            </w:r>
          </w:p>
        </w:tc>
        <w:tc>
          <w:tcPr>
            <w:tcW w:w="1195" w:type="dxa"/>
            <w:tcBorders>
              <w:top w:val="single" w:sz="4" w:space="0" w:color="auto"/>
              <w:bottom w:val="single" w:sz="4" w:space="0" w:color="auto"/>
            </w:tcBorders>
            <w:shd w:val="clear" w:color="auto" w:fill="auto"/>
          </w:tcPr>
          <w:p w14:paraId="70471F9F" w14:textId="77777777" w:rsidR="00C72BA2" w:rsidRPr="0081146C" w:rsidRDefault="00C72BA2" w:rsidP="00C72BA2">
            <w:pPr>
              <w:pStyle w:val="ENoteTableText"/>
            </w:pPr>
            <w:r w:rsidRPr="0081146C">
              <w:t>—</w:t>
            </w:r>
          </w:p>
        </w:tc>
      </w:tr>
      <w:tr w:rsidR="00C72BA2" w:rsidRPr="0081146C" w14:paraId="0AE9ED6E" w14:textId="77777777" w:rsidTr="00DB476F">
        <w:trPr>
          <w:cantSplit/>
        </w:trPr>
        <w:tc>
          <w:tcPr>
            <w:tcW w:w="1843" w:type="dxa"/>
            <w:tcBorders>
              <w:top w:val="single" w:sz="4" w:space="0" w:color="auto"/>
              <w:bottom w:val="single" w:sz="4" w:space="0" w:color="auto"/>
            </w:tcBorders>
            <w:shd w:val="clear" w:color="auto" w:fill="auto"/>
          </w:tcPr>
          <w:p w14:paraId="370F70F7" w14:textId="77777777" w:rsidR="00C72BA2" w:rsidRPr="0081146C" w:rsidRDefault="00C72BA2" w:rsidP="00C72BA2">
            <w:pPr>
              <w:pStyle w:val="ENoteTableText"/>
            </w:pPr>
            <w:r w:rsidRPr="0081146C">
              <w:t>First Home Saver Accounts (Further Provisions) Amendment Act 2008</w:t>
            </w:r>
          </w:p>
        </w:tc>
        <w:tc>
          <w:tcPr>
            <w:tcW w:w="992" w:type="dxa"/>
            <w:tcBorders>
              <w:top w:val="single" w:sz="4" w:space="0" w:color="auto"/>
              <w:bottom w:val="single" w:sz="4" w:space="0" w:color="auto"/>
            </w:tcBorders>
            <w:shd w:val="clear" w:color="auto" w:fill="auto"/>
          </w:tcPr>
          <w:p w14:paraId="666D80AE" w14:textId="77777777" w:rsidR="00C72BA2" w:rsidRPr="0081146C" w:rsidRDefault="00C72BA2" w:rsidP="00C72BA2">
            <w:pPr>
              <w:pStyle w:val="ENoteTableText"/>
            </w:pPr>
            <w:r w:rsidRPr="0081146C">
              <w:t>92, 2008</w:t>
            </w:r>
          </w:p>
        </w:tc>
        <w:tc>
          <w:tcPr>
            <w:tcW w:w="959" w:type="dxa"/>
            <w:tcBorders>
              <w:top w:val="single" w:sz="4" w:space="0" w:color="auto"/>
              <w:bottom w:val="single" w:sz="4" w:space="0" w:color="auto"/>
            </w:tcBorders>
            <w:shd w:val="clear" w:color="auto" w:fill="auto"/>
          </w:tcPr>
          <w:p w14:paraId="11EE81F5" w14:textId="77777777" w:rsidR="00C72BA2" w:rsidRPr="0081146C" w:rsidRDefault="00C72BA2" w:rsidP="00C72BA2">
            <w:pPr>
              <w:pStyle w:val="ENoteTableText"/>
            </w:pPr>
            <w:smartTag w:uri="urn:schemas-microsoft-com:office:smarttags" w:element="date">
              <w:smartTagPr>
                <w:attr w:name="Year" w:val="2008"/>
                <w:attr w:name="Day" w:val="30"/>
                <w:attr w:name="Month" w:val="9"/>
              </w:smartTagPr>
              <w:r w:rsidRPr="0081146C">
                <w:t>30 Sept 2008</w:t>
              </w:r>
            </w:smartTag>
          </w:p>
        </w:tc>
        <w:tc>
          <w:tcPr>
            <w:tcW w:w="2099" w:type="dxa"/>
            <w:tcBorders>
              <w:top w:val="single" w:sz="4" w:space="0" w:color="auto"/>
              <w:bottom w:val="single" w:sz="4" w:space="0" w:color="auto"/>
            </w:tcBorders>
            <w:shd w:val="clear" w:color="auto" w:fill="auto"/>
          </w:tcPr>
          <w:p w14:paraId="05FC5951" w14:textId="77777777" w:rsidR="00C72BA2" w:rsidRPr="0081146C" w:rsidRDefault="00C72BA2" w:rsidP="004A4A58">
            <w:pPr>
              <w:pStyle w:val="ENoteTableText"/>
            </w:pPr>
            <w:r w:rsidRPr="0081146C">
              <w:t>Sch</w:t>
            </w:r>
            <w:r w:rsidR="003209EC" w:rsidRPr="0081146C">
              <w:t> </w:t>
            </w:r>
            <w:r w:rsidRPr="0081146C">
              <w:t>1 (</w:t>
            </w:r>
            <w:r w:rsidR="00CA78AA" w:rsidRPr="0081146C">
              <w:t>items 1</w:t>
            </w:r>
            <w:r w:rsidRPr="0081146C">
              <w:t>, 26): 1 Oct 2008</w:t>
            </w:r>
            <w:r w:rsidR="005B3E6A" w:rsidRPr="0081146C">
              <w:t xml:space="preserve"> (s 2(1) </w:t>
            </w:r>
            <w:r w:rsidR="003B7E15" w:rsidRPr="0081146C">
              <w:t>item 2</w:t>
            </w:r>
            <w:r w:rsidR="005B3E6A" w:rsidRPr="0081146C">
              <w:t>)</w:t>
            </w:r>
          </w:p>
        </w:tc>
        <w:tc>
          <w:tcPr>
            <w:tcW w:w="1195" w:type="dxa"/>
            <w:tcBorders>
              <w:top w:val="single" w:sz="4" w:space="0" w:color="auto"/>
              <w:bottom w:val="single" w:sz="4" w:space="0" w:color="auto"/>
            </w:tcBorders>
            <w:shd w:val="clear" w:color="auto" w:fill="auto"/>
          </w:tcPr>
          <w:p w14:paraId="3CFB2C94" w14:textId="77777777" w:rsidR="00C72BA2" w:rsidRPr="0081146C" w:rsidRDefault="00C72BA2" w:rsidP="005B3E6A">
            <w:pPr>
              <w:pStyle w:val="ENoteTableText"/>
            </w:pPr>
            <w:r w:rsidRPr="0081146C">
              <w:t>Sch</w:t>
            </w:r>
            <w:r w:rsidR="00F071CC" w:rsidRPr="0081146C">
              <w:t xml:space="preserve"> </w:t>
            </w:r>
            <w:r w:rsidRPr="0081146C">
              <w:t>1 (</w:t>
            </w:r>
            <w:r w:rsidR="003B7E15" w:rsidRPr="0081146C">
              <w:t>item 2</w:t>
            </w:r>
            <w:r w:rsidRPr="0081146C">
              <w:t>6)</w:t>
            </w:r>
          </w:p>
        </w:tc>
      </w:tr>
      <w:tr w:rsidR="00C72BA2" w:rsidRPr="0081146C" w14:paraId="732424A9" w14:textId="77777777" w:rsidTr="00DB476F">
        <w:trPr>
          <w:cantSplit/>
        </w:trPr>
        <w:tc>
          <w:tcPr>
            <w:tcW w:w="1843" w:type="dxa"/>
            <w:tcBorders>
              <w:top w:val="single" w:sz="4" w:space="0" w:color="auto"/>
              <w:bottom w:val="single" w:sz="4" w:space="0" w:color="auto"/>
            </w:tcBorders>
            <w:shd w:val="clear" w:color="auto" w:fill="auto"/>
          </w:tcPr>
          <w:p w14:paraId="4B464943" w14:textId="77777777" w:rsidR="00C72BA2" w:rsidRPr="0081146C" w:rsidRDefault="00C72BA2" w:rsidP="00C72BA2">
            <w:pPr>
              <w:pStyle w:val="ENoteTableText"/>
            </w:pPr>
            <w:r w:rsidRPr="0081146C">
              <w:t>Customs Legislation Amendment (Name Change) Act 2009</w:t>
            </w:r>
          </w:p>
        </w:tc>
        <w:tc>
          <w:tcPr>
            <w:tcW w:w="992" w:type="dxa"/>
            <w:tcBorders>
              <w:top w:val="single" w:sz="4" w:space="0" w:color="auto"/>
              <w:bottom w:val="single" w:sz="4" w:space="0" w:color="auto"/>
            </w:tcBorders>
            <w:shd w:val="clear" w:color="auto" w:fill="auto"/>
          </w:tcPr>
          <w:p w14:paraId="627560EF" w14:textId="77777777" w:rsidR="00C72BA2" w:rsidRPr="0081146C" w:rsidRDefault="00C72BA2" w:rsidP="00C72BA2">
            <w:pPr>
              <w:pStyle w:val="ENoteTableText"/>
            </w:pPr>
            <w:r w:rsidRPr="0081146C">
              <w:t>33, 2009</w:t>
            </w:r>
          </w:p>
        </w:tc>
        <w:tc>
          <w:tcPr>
            <w:tcW w:w="959" w:type="dxa"/>
            <w:tcBorders>
              <w:top w:val="single" w:sz="4" w:space="0" w:color="auto"/>
              <w:bottom w:val="single" w:sz="4" w:space="0" w:color="auto"/>
            </w:tcBorders>
            <w:shd w:val="clear" w:color="auto" w:fill="auto"/>
          </w:tcPr>
          <w:p w14:paraId="4C14A99C" w14:textId="77777777" w:rsidR="00C72BA2" w:rsidRPr="0081146C" w:rsidRDefault="00C72BA2" w:rsidP="00C72BA2">
            <w:pPr>
              <w:pStyle w:val="ENoteTableText"/>
            </w:pPr>
            <w:r w:rsidRPr="0081146C">
              <w:t>22</w:t>
            </w:r>
            <w:r w:rsidR="004F64A4" w:rsidRPr="0081146C">
              <w:t> </w:t>
            </w:r>
            <w:r w:rsidRPr="0081146C">
              <w:t>May 2009</w:t>
            </w:r>
          </w:p>
        </w:tc>
        <w:tc>
          <w:tcPr>
            <w:tcW w:w="2099" w:type="dxa"/>
            <w:tcBorders>
              <w:top w:val="single" w:sz="4" w:space="0" w:color="auto"/>
              <w:bottom w:val="single" w:sz="4" w:space="0" w:color="auto"/>
            </w:tcBorders>
            <w:shd w:val="clear" w:color="auto" w:fill="auto"/>
          </w:tcPr>
          <w:p w14:paraId="4FBB9804" w14:textId="77777777" w:rsidR="00C72BA2" w:rsidRPr="0081146C" w:rsidRDefault="00C72BA2" w:rsidP="00B33A0F">
            <w:pPr>
              <w:pStyle w:val="ENoteTableText"/>
            </w:pPr>
            <w:r w:rsidRPr="0081146C">
              <w:t>Sch</w:t>
            </w:r>
            <w:r w:rsidR="003209EC" w:rsidRPr="0081146C">
              <w:t> </w:t>
            </w:r>
            <w:r w:rsidRPr="0081146C">
              <w:t>2 (</w:t>
            </w:r>
            <w:r w:rsidR="003B7E15" w:rsidRPr="0081146C">
              <w:t>item 5</w:t>
            </w:r>
            <w:r w:rsidRPr="0081146C">
              <w:t>): 23</w:t>
            </w:r>
            <w:r w:rsidR="004F64A4" w:rsidRPr="0081146C">
              <w:t> </w:t>
            </w:r>
            <w:r w:rsidRPr="0081146C">
              <w:t>May 2009</w:t>
            </w:r>
            <w:r w:rsidR="00B33A0F" w:rsidRPr="0081146C">
              <w:t xml:space="preserve"> (s 2)</w:t>
            </w:r>
          </w:p>
        </w:tc>
        <w:tc>
          <w:tcPr>
            <w:tcW w:w="1195" w:type="dxa"/>
            <w:tcBorders>
              <w:top w:val="single" w:sz="4" w:space="0" w:color="auto"/>
              <w:bottom w:val="single" w:sz="4" w:space="0" w:color="auto"/>
            </w:tcBorders>
            <w:shd w:val="clear" w:color="auto" w:fill="auto"/>
          </w:tcPr>
          <w:p w14:paraId="6AC3C331" w14:textId="77777777" w:rsidR="00C72BA2" w:rsidRPr="0081146C" w:rsidRDefault="00C72BA2" w:rsidP="00C72BA2">
            <w:pPr>
              <w:pStyle w:val="ENoteTableText"/>
            </w:pPr>
            <w:r w:rsidRPr="0081146C">
              <w:t>—</w:t>
            </w:r>
          </w:p>
        </w:tc>
      </w:tr>
      <w:tr w:rsidR="00C72BA2" w:rsidRPr="0081146C" w14:paraId="2EE1DA08" w14:textId="77777777" w:rsidTr="00DB476F">
        <w:trPr>
          <w:cantSplit/>
        </w:trPr>
        <w:tc>
          <w:tcPr>
            <w:tcW w:w="1843" w:type="dxa"/>
            <w:tcBorders>
              <w:top w:val="single" w:sz="4" w:space="0" w:color="auto"/>
              <w:bottom w:val="single" w:sz="4" w:space="0" w:color="auto"/>
            </w:tcBorders>
            <w:shd w:val="clear" w:color="auto" w:fill="auto"/>
          </w:tcPr>
          <w:p w14:paraId="4C9F5CE2" w14:textId="77777777" w:rsidR="00C72BA2" w:rsidRPr="0081146C" w:rsidRDefault="00C72BA2" w:rsidP="00C72BA2">
            <w:pPr>
              <w:pStyle w:val="ENoteTableText"/>
            </w:pPr>
            <w:r w:rsidRPr="0081146C">
              <w:t>Crimes Legislation Amendment (Serious and Organised Crime) Act (No.</w:t>
            </w:r>
            <w:r w:rsidR="004F64A4" w:rsidRPr="0081146C">
              <w:t> </w:t>
            </w:r>
            <w:r w:rsidRPr="0081146C">
              <w:t>2) 2010</w:t>
            </w:r>
          </w:p>
        </w:tc>
        <w:tc>
          <w:tcPr>
            <w:tcW w:w="992" w:type="dxa"/>
            <w:tcBorders>
              <w:top w:val="single" w:sz="4" w:space="0" w:color="auto"/>
              <w:bottom w:val="single" w:sz="4" w:space="0" w:color="auto"/>
            </w:tcBorders>
            <w:shd w:val="clear" w:color="auto" w:fill="auto"/>
          </w:tcPr>
          <w:p w14:paraId="18BB1CC0" w14:textId="77777777" w:rsidR="00C72BA2" w:rsidRPr="0081146C" w:rsidRDefault="00C72BA2" w:rsidP="00C72BA2">
            <w:pPr>
              <w:pStyle w:val="ENoteTableText"/>
            </w:pPr>
            <w:r w:rsidRPr="0081146C">
              <w:t>4, 2010</w:t>
            </w:r>
          </w:p>
        </w:tc>
        <w:tc>
          <w:tcPr>
            <w:tcW w:w="959" w:type="dxa"/>
            <w:tcBorders>
              <w:top w:val="single" w:sz="4" w:space="0" w:color="auto"/>
              <w:bottom w:val="single" w:sz="4" w:space="0" w:color="auto"/>
            </w:tcBorders>
            <w:shd w:val="clear" w:color="auto" w:fill="auto"/>
          </w:tcPr>
          <w:p w14:paraId="5D4AB2A3" w14:textId="77777777" w:rsidR="00C72BA2" w:rsidRPr="0081146C" w:rsidRDefault="00C72BA2" w:rsidP="00C72BA2">
            <w:pPr>
              <w:pStyle w:val="ENoteTableText"/>
            </w:pPr>
            <w:r w:rsidRPr="0081146C">
              <w:t>19 Feb 2010</w:t>
            </w:r>
          </w:p>
        </w:tc>
        <w:tc>
          <w:tcPr>
            <w:tcW w:w="2099" w:type="dxa"/>
            <w:tcBorders>
              <w:top w:val="single" w:sz="4" w:space="0" w:color="auto"/>
              <w:bottom w:val="single" w:sz="4" w:space="0" w:color="auto"/>
            </w:tcBorders>
            <w:shd w:val="clear" w:color="auto" w:fill="auto"/>
          </w:tcPr>
          <w:p w14:paraId="15B3FC99" w14:textId="77777777" w:rsidR="00C72BA2" w:rsidRPr="0081146C" w:rsidRDefault="00C72BA2" w:rsidP="00B33A0F">
            <w:pPr>
              <w:pStyle w:val="ENoteTableText"/>
            </w:pPr>
            <w:r w:rsidRPr="0081146C">
              <w:t>Sch</w:t>
            </w:r>
            <w:r w:rsidR="003209EC" w:rsidRPr="0081146C">
              <w:t> </w:t>
            </w:r>
            <w:r w:rsidRPr="0081146C">
              <w:t>5 (</w:t>
            </w:r>
            <w:r w:rsidR="001E59AD" w:rsidRPr="0081146C">
              <w:t>items 2</w:t>
            </w:r>
            <w:r w:rsidRPr="0081146C">
              <w:t>5–36): 20 Feb 2010</w:t>
            </w:r>
            <w:r w:rsidR="00B33A0F" w:rsidRPr="0081146C">
              <w:t xml:space="preserve"> (s 2(1) item</w:t>
            </w:r>
            <w:r w:rsidR="004F64A4" w:rsidRPr="0081146C">
              <w:t> </w:t>
            </w:r>
            <w:r w:rsidR="00B33A0F" w:rsidRPr="0081146C">
              <w:t>9)</w:t>
            </w:r>
          </w:p>
        </w:tc>
        <w:tc>
          <w:tcPr>
            <w:tcW w:w="1195" w:type="dxa"/>
            <w:tcBorders>
              <w:top w:val="single" w:sz="4" w:space="0" w:color="auto"/>
              <w:bottom w:val="single" w:sz="4" w:space="0" w:color="auto"/>
            </w:tcBorders>
            <w:shd w:val="clear" w:color="auto" w:fill="auto"/>
          </w:tcPr>
          <w:p w14:paraId="34EE23D8" w14:textId="77777777" w:rsidR="00C72BA2" w:rsidRPr="0081146C" w:rsidRDefault="00C72BA2" w:rsidP="00B33A0F">
            <w:pPr>
              <w:pStyle w:val="ENoteTableText"/>
            </w:pPr>
            <w:r w:rsidRPr="0081146C">
              <w:t>Sch</w:t>
            </w:r>
            <w:r w:rsidR="00B33A0F" w:rsidRPr="0081146C">
              <w:t xml:space="preserve"> </w:t>
            </w:r>
            <w:r w:rsidRPr="0081146C">
              <w:t>5 (</w:t>
            </w:r>
            <w:r w:rsidR="001E59AD" w:rsidRPr="0081146C">
              <w:t>items 2</w:t>
            </w:r>
            <w:r w:rsidRPr="0081146C">
              <w:t>9, 31, 36)</w:t>
            </w:r>
          </w:p>
        </w:tc>
      </w:tr>
      <w:tr w:rsidR="00C72BA2" w:rsidRPr="0081146C" w14:paraId="0F596B3F" w14:textId="77777777" w:rsidTr="00DB476F">
        <w:trPr>
          <w:cantSplit/>
        </w:trPr>
        <w:tc>
          <w:tcPr>
            <w:tcW w:w="1843" w:type="dxa"/>
            <w:tcBorders>
              <w:top w:val="single" w:sz="4" w:space="0" w:color="auto"/>
              <w:bottom w:val="single" w:sz="4" w:space="0" w:color="auto"/>
            </w:tcBorders>
            <w:shd w:val="clear" w:color="auto" w:fill="auto"/>
          </w:tcPr>
          <w:p w14:paraId="2976201A" w14:textId="77777777" w:rsidR="00C72BA2" w:rsidRPr="0081146C" w:rsidRDefault="00C72BA2" w:rsidP="00C72BA2">
            <w:pPr>
              <w:pStyle w:val="ENoteTableText"/>
            </w:pPr>
            <w:r w:rsidRPr="0081146C">
              <w:t>Statute Law Revision Act 2010</w:t>
            </w:r>
          </w:p>
        </w:tc>
        <w:tc>
          <w:tcPr>
            <w:tcW w:w="992" w:type="dxa"/>
            <w:tcBorders>
              <w:top w:val="single" w:sz="4" w:space="0" w:color="auto"/>
              <w:bottom w:val="single" w:sz="4" w:space="0" w:color="auto"/>
            </w:tcBorders>
            <w:shd w:val="clear" w:color="auto" w:fill="auto"/>
          </w:tcPr>
          <w:p w14:paraId="33BA4BF4" w14:textId="77777777" w:rsidR="00C72BA2" w:rsidRPr="0081146C" w:rsidRDefault="00C72BA2" w:rsidP="00C72BA2">
            <w:pPr>
              <w:pStyle w:val="ENoteTableText"/>
            </w:pPr>
            <w:r w:rsidRPr="0081146C">
              <w:t>8, 2010</w:t>
            </w:r>
          </w:p>
        </w:tc>
        <w:tc>
          <w:tcPr>
            <w:tcW w:w="959" w:type="dxa"/>
            <w:tcBorders>
              <w:top w:val="single" w:sz="4" w:space="0" w:color="auto"/>
              <w:bottom w:val="single" w:sz="4" w:space="0" w:color="auto"/>
            </w:tcBorders>
            <w:shd w:val="clear" w:color="auto" w:fill="auto"/>
          </w:tcPr>
          <w:p w14:paraId="0D00A690" w14:textId="77777777" w:rsidR="00C72BA2" w:rsidRPr="0081146C" w:rsidRDefault="00C72BA2" w:rsidP="00C72BA2">
            <w:pPr>
              <w:pStyle w:val="ENoteTableText"/>
            </w:pPr>
            <w:r w:rsidRPr="0081146C">
              <w:t xml:space="preserve">1 Mar 2010 </w:t>
            </w:r>
          </w:p>
        </w:tc>
        <w:tc>
          <w:tcPr>
            <w:tcW w:w="2099" w:type="dxa"/>
            <w:tcBorders>
              <w:top w:val="single" w:sz="4" w:space="0" w:color="auto"/>
              <w:bottom w:val="single" w:sz="4" w:space="0" w:color="auto"/>
            </w:tcBorders>
            <w:shd w:val="clear" w:color="auto" w:fill="auto"/>
          </w:tcPr>
          <w:p w14:paraId="6D028A66" w14:textId="77777777" w:rsidR="00C72BA2" w:rsidRPr="0081146C" w:rsidRDefault="00C72BA2" w:rsidP="00F071CC">
            <w:pPr>
              <w:pStyle w:val="ENoteTableText"/>
            </w:pPr>
            <w:r w:rsidRPr="0081146C">
              <w:t>Sch</w:t>
            </w:r>
            <w:r w:rsidR="003209EC" w:rsidRPr="0081146C">
              <w:t> </w:t>
            </w:r>
            <w:r w:rsidRPr="0081146C">
              <w:t>5 (</w:t>
            </w:r>
            <w:r w:rsidR="008D5917" w:rsidRPr="0081146C">
              <w:t>items 4</w:t>
            </w:r>
            <w:r w:rsidR="00B33A0F" w:rsidRPr="0081146C">
              <w:t>–9</w:t>
            </w:r>
            <w:r w:rsidR="00F071CC" w:rsidRPr="0081146C">
              <w:t>, 137(a)</w:t>
            </w:r>
            <w:r w:rsidR="00B33A0F" w:rsidRPr="0081146C">
              <w:t>): 1</w:t>
            </w:r>
            <w:r w:rsidR="000161B9" w:rsidRPr="0081146C">
              <w:t xml:space="preserve"> </w:t>
            </w:r>
            <w:r w:rsidR="00B33A0F" w:rsidRPr="0081146C">
              <w:t>Mar 2010 (s 2(1) item</w:t>
            </w:r>
            <w:r w:rsidR="00F071CC" w:rsidRPr="0081146C">
              <w:t>s</w:t>
            </w:r>
            <w:r w:rsidR="004F64A4" w:rsidRPr="0081146C">
              <w:t> </w:t>
            </w:r>
            <w:r w:rsidR="00B33A0F" w:rsidRPr="0081146C">
              <w:t>31</w:t>
            </w:r>
            <w:r w:rsidR="00F071CC" w:rsidRPr="0081146C">
              <w:t>, 38</w:t>
            </w:r>
            <w:r w:rsidR="00B33A0F" w:rsidRPr="0081146C">
              <w:t>)</w:t>
            </w:r>
          </w:p>
        </w:tc>
        <w:tc>
          <w:tcPr>
            <w:tcW w:w="1195" w:type="dxa"/>
            <w:tcBorders>
              <w:top w:val="single" w:sz="4" w:space="0" w:color="auto"/>
              <w:bottom w:val="single" w:sz="4" w:space="0" w:color="auto"/>
            </w:tcBorders>
            <w:shd w:val="clear" w:color="auto" w:fill="auto"/>
          </w:tcPr>
          <w:p w14:paraId="15844BB7" w14:textId="77777777" w:rsidR="00C72BA2" w:rsidRPr="0081146C" w:rsidRDefault="00C72BA2" w:rsidP="00C72BA2">
            <w:pPr>
              <w:pStyle w:val="ENoteTableText"/>
            </w:pPr>
            <w:r w:rsidRPr="0081146C">
              <w:t>—</w:t>
            </w:r>
          </w:p>
        </w:tc>
      </w:tr>
      <w:tr w:rsidR="00C72BA2" w:rsidRPr="0081146C" w14:paraId="3694C7B5" w14:textId="77777777" w:rsidTr="00DB476F">
        <w:trPr>
          <w:cantSplit/>
        </w:trPr>
        <w:tc>
          <w:tcPr>
            <w:tcW w:w="1843" w:type="dxa"/>
            <w:tcBorders>
              <w:top w:val="single" w:sz="4" w:space="0" w:color="auto"/>
              <w:bottom w:val="single" w:sz="4" w:space="0" w:color="auto"/>
            </w:tcBorders>
            <w:shd w:val="clear" w:color="auto" w:fill="auto"/>
          </w:tcPr>
          <w:p w14:paraId="74741977" w14:textId="77777777" w:rsidR="00C72BA2" w:rsidRPr="0081146C" w:rsidRDefault="00C72BA2" w:rsidP="00C72BA2">
            <w:pPr>
              <w:pStyle w:val="ENoteTableText"/>
            </w:pPr>
            <w:r w:rsidRPr="0081146C">
              <w:t>Freedom of Information Amendment (Reform) Act 2010</w:t>
            </w:r>
          </w:p>
        </w:tc>
        <w:tc>
          <w:tcPr>
            <w:tcW w:w="992" w:type="dxa"/>
            <w:tcBorders>
              <w:top w:val="single" w:sz="4" w:space="0" w:color="auto"/>
              <w:bottom w:val="single" w:sz="4" w:space="0" w:color="auto"/>
            </w:tcBorders>
            <w:shd w:val="clear" w:color="auto" w:fill="auto"/>
          </w:tcPr>
          <w:p w14:paraId="2501D24F" w14:textId="77777777" w:rsidR="00C72BA2" w:rsidRPr="0081146C" w:rsidRDefault="00C72BA2" w:rsidP="00C72BA2">
            <w:pPr>
              <w:pStyle w:val="ENoteTableText"/>
            </w:pPr>
            <w:r w:rsidRPr="0081146C">
              <w:t>51, 2010</w:t>
            </w:r>
          </w:p>
        </w:tc>
        <w:tc>
          <w:tcPr>
            <w:tcW w:w="959" w:type="dxa"/>
            <w:tcBorders>
              <w:top w:val="single" w:sz="4" w:space="0" w:color="auto"/>
              <w:bottom w:val="single" w:sz="4" w:space="0" w:color="auto"/>
            </w:tcBorders>
            <w:shd w:val="clear" w:color="auto" w:fill="auto"/>
          </w:tcPr>
          <w:p w14:paraId="51EDDFB7" w14:textId="77777777" w:rsidR="00C72BA2" w:rsidRPr="0081146C" w:rsidRDefault="003B7E15" w:rsidP="00C72BA2">
            <w:pPr>
              <w:pStyle w:val="ENoteTableText"/>
            </w:pPr>
            <w:r w:rsidRPr="0081146C">
              <w:t>31 May</w:t>
            </w:r>
            <w:r w:rsidR="00C72BA2" w:rsidRPr="0081146C">
              <w:t xml:space="preserve"> 2010</w:t>
            </w:r>
          </w:p>
        </w:tc>
        <w:tc>
          <w:tcPr>
            <w:tcW w:w="2099" w:type="dxa"/>
            <w:tcBorders>
              <w:top w:val="single" w:sz="4" w:space="0" w:color="auto"/>
              <w:bottom w:val="single" w:sz="4" w:space="0" w:color="auto"/>
            </w:tcBorders>
            <w:shd w:val="clear" w:color="auto" w:fill="auto"/>
          </w:tcPr>
          <w:p w14:paraId="2DAC401B" w14:textId="77777777" w:rsidR="00C72BA2" w:rsidRPr="0081146C" w:rsidRDefault="00C72BA2" w:rsidP="00B33A0F">
            <w:pPr>
              <w:pStyle w:val="ENoteTableText"/>
            </w:pPr>
            <w:r w:rsidRPr="0081146C">
              <w:t>Sch</w:t>
            </w:r>
            <w:r w:rsidR="003209EC" w:rsidRPr="0081146C">
              <w:t> </w:t>
            </w:r>
            <w:r w:rsidRPr="0081146C">
              <w:t>5 (</w:t>
            </w:r>
            <w:r w:rsidR="003B7E15" w:rsidRPr="0081146C">
              <w:t>item 1</w:t>
            </w:r>
            <w:r w:rsidRPr="0081146C">
              <w:t>) and Sch</w:t>
            </w:r>
            <w:r w:rsidR="003209EC" w:rsidRPr="0081146C">
              <w:t> </w:t>
            </w:r>
            <w:r w:rsidRPr="0081146C">
              <w:t xml:space="preserve">7: </w:t>
            </w:r>
            <w:r w:rsidR="00B33A0F" w:rsidRPr="0081146C">
              <w:t>1 Nov 2010 (s 2(1) item</w:t>
            </w:r>
            <w:r w:rsidR="004F64A4" w:rsidRPr="0081146C">
              <w:t> </w:t>
            </w:r>
            <w:r w:rsidR="00B33A0F" w:rsidRPr="0081146C">
              <w:t>7)</w:t>
            </w:r>
          </w:p>
        </w:tc>
        <w:tc>
          <w:tcPr>
            <w:tcW w:w="1195" w:type="dxa"/>
            <w:tcBorders>
              <w:top w:val="single" w:sz="4" w:space="0" w:color="auto"/>
              <w:bottom w:val="single" w:sz="4" w:space="0" w:color="auto"/>
            </w:tcBorders>
            <w:shd w:val="clear" w:color="auto" w:fill="auto"/>
          </w:tcPr>
          <w:p w14:paraId="4424105E" w14:textId="77777777" w:rsidR="00C72BA2" w:rsidRPr="0081146C" w:rsidRDefault="00C72BA2" w:rsidP="00B33A0F">
            <w:pPr>
              <w:pStyle w:val="ENoteTableText"/>
            </w:pPr>
            <w:r w:rsidRPr="0081146C">
              <w:t>Sch 7</w:t>
            </w:r>
          </w:p>
        </w:tc>
      </w:tr>
      <w:tr w:rsidR="00C72BA2" w:rsidRPr="0081146C" w14:paraId="3C21A7DD" w14:textId="77777777" w:rsidTr="00DB476F">
        <w:trPr>
          <w:cantSplit/>
        </w:trPr>
        <w:tc>
          <w:tcPr>
            <w:tcW w:w="1843" w:type="dxa"/>
            <w:tcBorders>
              <w:top w:val="single" w:sz="4" w:space="0" w:color="auto"/>
              <w:bottom w:val="single" w:sz="4" w:space="0" w:color="auto"/>
            </w:tcBorders>
            <w:shd w:val="clear" w:color="auto" w:fill="auto"/>
          </w:tcPr>
          <w:p w14:paraId="04BE3144" w14:textId="77777777" w:rsidR="00C72BA2" w:rsidRPr="0081146C" w:rsidRDefault="00C72BA2" w:rsidP="00C72BA2">
            <w:pPr>
              <w:pStyle w:val="ENoteTableText"/>
            </w:pPr>
            <w:r w:rsidRPr="0081146C">
              <w:t>Trade Practices Amendment (Australian Consumer Law) Act (No.</w:t>
            </w:r>
            <w:r w:rsidR="004F64A4" w:rsidRPr="0081146C">
              <w:t> </w:t>
            </w:r>
            <w:r w:rsidRPr="0081146C">
              <w:t>2) 2010</w:t>
            </w:r>
          </w:p>
        </w:tc>
        <w:tc>
          <w:tcPr>
            <w:tcW w:w="992" w:type="dxa"/>
            <w:tcBorders>
              <w:top w:val="single" w:sz="4" w:space="0" w:color="auto"/>
              <w:bottom w:val="single" w:sz="4" w:space="0" w:color="auto"/>
            </w:tcBorders>
            <w:shd w:val="clear" w:color="auto" w:fill="auto"/>
          </w:tcPr>
          <w:p w14:paraId="0F74AE43" w14:textId="77777777" w:rsidR="00C72BA2" w:rsidRPr="0081146C" w:rsidRDefault="00C72BA2" w:rsidP="00C72BA2">
            <w:pPr>
              <w:pStyle w:val="ENoteTableText"/>
            </w:pPr>
            <w:r w:rsidRPr="0081146C">
              <w:t>103, 2010</w:t>
            </w:r>
          </w:p>
        </w:tc>
        <w:tc>
          <w:tcPr>
            <w:tcW w:w="959" w:type="dxa"/>
            <w:tcBorders>
              <w:top w:val="single" w:sz="4" w:space="0" w:color="auto"/>
              <w:bottom w:val="single" w:sz="4" w:space="0" w:color="auto"/>
            </w:tcBorders>
            <w:shd w:val="clear" w:color="auto" w:fill="auto"/>
          </w:tcPr>
          <w:p w14:paraId="0A4DE86E" w14:textId="77777777" w:rsidR="00C72BA2" w:rsidRPr="0081146C" w:rsidRDefault="00C72BA2" w:rsidP="00C72BA2">
            <w:pPr>
              <w:pStyle w:val="ENoteTableText"/>
            </w:pPr>
            <w:r w:rsidRPr="0081146C">
              <w:t>13</w:t>
            </w:r>
            <w:r w:rsidR="004F64A4" w:rsidRPr="0081146C">
              <w:t> </w:t>
            </w:r>
            <w:r w:rsidRPr="0081146C">
              <w:t>July 2010</w:t>
            </w:r>
          </w:p>
        </w:tc>
        <w:tc>
          <w:tcPr>
            <w:tcW w:w="2099" w:type="dxa"/>
            <w:tcBorders>
              <w:top w:val="single" w:sz="4" w:space="0" w:color="auto"/>
              <w:bottom w:val="single" w:sz="4" w:space="0" w:color="auto"/>
            </w:tcBorders>
            <w:shd w:val="clear" w:color="auto" w:fill="auto"/>
          </w:tcPr>
          <w:p w14:paraId="69DA7E41" w14:textId="77777777" w:rsidR="00C72BA2" w:rsidRPr="0081146C" w:rsidRDefault="00C72BA2" w:rsidP="00B33A0F">
            <w:pPr>
              <w:pStyle w:val="ENoteTableText"/>
            </w:pPr>
            <w:r w:rsidRPr="0081146C">
              <w:t>Sch</w:t>
            </w:r>
            <w:r w:rsidR="00B33A0F" w:rsidRPr="0081146C">
              <w:t xml:space="preserve"> </w:t>
            </w:r>
            <w:r w:rsidRPr="0081146C">
              <w:t>6 (</w:t>
            </w:r>
            <w:r w:rsidR="00CA78AA" w:rsidRPr="0081146C">
              <w:t>items 1</w:t>
            </w:r>
            <w:r w:rsidRPr="0081146C">
              <w:t>, 21–23, 157, 158): 1 Jan 2011</w:t>
            </w:r>
            <w:r w:rsidR="00B33A0F" w:rsidRPr="0081146C">
              <w:t xml:space="preserve"> (s 2(1) item</w:t>
            </w:r>
            <w:r w:rsidR="00D404D1" w:rsidRPr="0081146C">
              <w:t>s</w:t>
            </w:r>
            <w:r w:rsidR="004F64A4" w:rsidRPr="0081146C">
              <w:t> </w:t>
            </w:r>
            <w:r w:rsidR="00D404D1" w:rsidRPr="0081146C">
              <w:t>3, 7)</w:t>
            </w:r>
          </w:p>
        </w:tc>
        <w:tc>
          <w:tcPr>
            <w:tcW w:w="1195" w:type="dxa"/>
            <w:tcBorders>
              <w:top w:val="single" w:sz="4" w:space="0" w:color="auto"/>
              <w:bottom w:val="single" w:sz="4" w:space="0" w:color="auto"/>
            </w:tcBorders>
            <w:shd w:val="clear" w:color="auto" w:fill="auto"/>
          </w:tcPr>
          <w:p w14:paraId="7E2A6996" w14:textId="77777777" w:rsidR="00C72BA2" w:rsidRPr="0081146C" w:rsidRDefault="00C72BA2" w:rsidP="00C72BA2">
            <w:pPr>
              <w:pStyle w:val="ENoteTableText"/>
            </w:pPr>
            <w:r w:rsidRPr="0081146C">
              <w:t>—</w:t>
            </w:r>
          </w:p>
        </w:tc>
      </w:tr>
      <w:tr w:rsidR="00C72BA2" w:rsidRPr="0081146C" w14:paraId="090B1BC4" w14:textId="77777777" w:rsidTr="00DB476F">
        <w:trPr>
          <w:cantSplit/>
        </w:trPr>
        <w:tc>
          <w:tcPr>
            <w:tcW w:w="1843" w:type="dxa"/>
            <w:tcBorders>
              <w:top w:val="single" w:sz="4" w:space="0" w:color="auto"/>
              <w:bottom w:val="single" w:sz="4" w:space="0" w:color="auto"/>
            </w:tcBorders>
            <w:shd w:val="clear" w:color="auto" w:fill="auto"/>
          </w:tcPr>
          <w:p w14:paraId="7231933D" w14:textId="77777777" w:rsidR="00C72BA2" w:rsidRPr="0081146C" w:rsidRDefault="00C72BA2" w:rsidP="00C72BA2">
            <w:pPr>
              <w:pStyle w:val="ENoteTableText"/>
            </w:pPr>
            <w:r w:rsidRPr="0081146C">
              <w:t>National Security Legislation Amendment Act 2010</w:t>
            </w:r>
          </w:p>
        </w:tc>
        <w:tc>
          <w:tcPr>
            <w:tcW w:w="992" w:type="dxa"/>
            <w:tcBorders>
              <w:top w:val="single" w:sz="4" w:space="0" w:color="auto"/>
              <w:bottom w:val="single" w:sz="4" w:space="0" w:color="auto"/>
            </w:tcBorders>
            <w:shd w:val="clear" w:color="auto" w:fill="auto"/>
          </w:tcPr>
          <w:p w14:paraId="72EA6FB6" w14:textId="77777777" w:rsidR="00C72BA2" w:rsidRPr="0081146C" w:rsidRDefault="00C72BA2" w:rsidP="00C72BA2">
            <w:pPr>
              <w:pStyle w:val="ENoteTableText"/>
            </w:pPr>
            <w:r w:rsidRPr="0081146C">
              <w:t>127, 2010</w:t>
            </w:r>
          </w:p>
        </w:tc>
        <w:tc>
          <w:tcPr>
            <w:tcW w:w="959" w:type="dxa"/>
            <w:tcBorders>
              <w:top w:val="single" w:sz="4" w:space="0" w:color="auto"/>
              <w:bottom w:val="single" w:sz="4" w:space="0" w:color="auto"/>
            </w:tcBorders>
            <w:shd w:val="clear" w:color="auto" w:fill="auto"/>
          </w:tcPr>
          <w:p w14:paraId="26CC9054" w14:textId="77777777" w:rsidR="00C72BA2" w:rsidRPr="0081146C" w:rsidRDefault="00C72BA2" w:rsidP="00C72BA2">
            <w:pPr>
              <w:pStyle w:val="ENoteTableText"/>
            </w:pPr>
            <w:r w:rsidRPr="0081146C">
              <w:t>24 Nov 2010</w:t>
            </w:r>
          </w:p>
        </w:tc>
        <w:tc>
          <w:tcPr>
            <w:tcW w:w="2099" w:type="dxa"/>
            <w:tcBorders>
              <w:top w:val="single" w:sz="4" w:space="0" w:color="auto"/>
              <w:bottom w:val="single" w:sz="4" w:space="0" w:color="auto"/>
            </w:tcBorders>
            <w:shd w:val="clear" w:color="auto" w:fill="auto"/>
          </w:tcPr>
          <w:p w14:paraId="10C9C00F" w14:textId="77777777" w:rsidR="00C72BA2" w:rsidRPr="0081146C" w:rsidRDefault="00C72BA2" w:rsidP="00860A30">
            <w:pPr>
              <w:pStyle w:val="ENoteTableText"/>
            </w:pPr>
            <w:r w:rsidRPr="0081146C">
              <w:t>Sch</w:t>
            </w:r>
            <w:r w:rsidR="003209EC" w:rsidRPr="0081146C">
              <w:t> </w:t>
            </w:r>
            <w:r w:rsidRPr="0081146C">
              <w:t>10 (</w:t>
            </w:r>
            <w:r w:rsidR="001E59AD" w:rsidRPr="0081146C">
              <w:t>items 2</w:t>
            </w:r>
            <w:r w:rsidRPr="0081146C">
              <w:t>, 3): 25 Nov 2010</w:t>
            </w:r>
            <w:r w:rsidR="00860A30" w:rsidRPr="0081146C">
              <w:t xml:space="preserve"> (s 2(1) </w:t>
            </w:r>
            <w:r w:rsidR="003B7E15" w:rsidRPr="0081146C">
              <w:t>item 1</w:t>
            </w:r>
            <w:r w:rsidR="00860A30" w:rsidRPr="0081146C">
              <w:t>6)</w:t>
            </w:r>
          </w:p>
        </w:tc>
        <w:tc>
          <w:tcPr>
            <w:tcW w:w="1195" w:type="dxa"/>
            <w:tcBorders>
              <w:top w:val="single" w:sz="4" w:space="0" w:color="auto"/>
              <w:bottom w:val="single" w:sz="4" w:space="0" w:color="auto"/>
            </w:tcBorders>
            <w:shd w:val="clear" w:color="auto" w:fill="auto"/>
          </w:tcPr>
          <w:p w14:paraId="26D9B540" w14:textId="77777777" w:rsidR="00C72BA2" w:rsidRPr="0081146C" w:rsidRDefault="00C72BA2" w:rsidP="00C72BA2">
            <w:pPr>
              <w:pStyle w:val="ENoteTableText"/>
            </w:pPr>
            <w:r w:rsidRPr="0081146C">
              <w:t>—</w:t>
            </w:r>
          </w:p>
        </w:tc>
      </w:tr>
      <w:tr w:rsidR="00C72BA2" w:rsidRPr="0081146C" w14:paraId="3A68EE77" w14:textId="77777777" w:rsidTr="00DB476F">
        <w:trPr>
          <w:cantSplit/>
        </w:trPr>
        <w:tc>
          <w:tcPr>
            <w:tcW w:w="1843" w:type="dxa"/>
            <w:tcBorders>
              <w:top w:val="single" w:sz="4" w:space="0" w:color="auto"/>
              <w:bottom w:val="single" w:sz="4" w:space="0" w:color="auto"/>
            </w:tcBorders>
            <w:shd w:val="clear" w:color="auto" w:fill="auto"/>
          </w:tcPr>
          <w:p w14:paraId="0A34D492" w14:textId="77777777" w:rsidR="00C72BA2" w:rsidRPr="0081146C" w:rsidRDefault="00C72BA2" w:rsidP="00C72BA2">
            <w:pPr>
              <w:pStyle w:val="ENoteTableText"/>
            </w:pPr>
            <w:r w:rsidRPr="0081146C">
              <w:t>Tax Laws Amendment (Confidentiality of Taxpayer Information) Act 2010</w:t>
            </w:r>
          </w:p>
        </w:tc>
        <w:tc>
          <w:tcPr>
            <w:tcW w:w="992" w:type="dxa"/>
            <w:tcBorders>
              <w:top w:val="single" w:sz="4" w:space="0" w:color="auto"/>
              <w:bottom w:val="single" w:sz="4" w:space="0" w:color="auto"/>
            </w:tcBorders>
            <w:shd w:val="clear" w:color="auto" w:fill="auto"/>
          </w:tcPr>
          <w:p w14:paraId="27CB9884" w14:textId="77777777" w:rsidR="00C72BA2" w:rsidRPr="0081146C" w:rsidRDefault="00C72BA2" w:rsidP="00C72BA2">
            <w:pPr>
              <w:pStyle w:val="ENoteTableText"/>
            </w:pPr>
            <w:r w:rsidRPr="0081146C">
              <w:t>145, 2010</w:t>
            </w:r>
          </w:p>
        </w:tc>
        <w:tc>
          <w:tcPr>
            <w:tcW w:w="959" w:type="dxa"/>
            <w:tcBorders>
              <w:top w:val="single" w:sz="4" w:space="0" w:color="auto"/>
              <w:bottom w:val="single" w:sz="4" w:space="0" w:color="auto"/>
            </w:tcBorders>
            <w:shd w:val="clear" w:color="auto" w:fill="auto"/>
          </w:tcPr>
          <w:p w14:paraId="48A6D1A0" w14:textId="77777777" w:rsidR="00C72BA2" w:rsidRPr="0081146C" w:rsidRDefault="00C72BA2" w:rsidP="00C72BA2">
            <w:pPr>
              <w:pStyle w:val="ENoteTableText"/>
            </w:pPr>
            <w:r w:rsidRPr="0081146C">
              <w:t>16 Dec 2010</w:t>
            </w:r>
          </w:p>
        </w:tc>
        <w:tc>
          <w:tcPr>
            <w:tcW w:w="2099" w:type="dxa"/>
            <w:tcBorders>
              <w:top w:val="single" w:sz="4" w:space="0" w:color="auto"/>
              <w:bottom w:val="single" w:sz="4" w:space="0" w:color="auto"/>
            </w:tcBorders>
            <w:shd w:val="clear" w:color="auto" w:fill="auto"/>
          </w:tcPr>
          <w:p w14:paraId="42C4C084" w14:textId="77777777" w:rsidR="00C72BA2" w:rsidRPr="0081146C" w:rsidRDefault="00C72BA2" w:rsidP="00860A30">
            <w:pPr>
              <w:pStyle w:val="ENoteTableText"/>
            </w:pPr>
            <w:r w:rsidRPr="0081146C">
              <w:t>Sch</w:t>
            </w:r>
            <w:r w:rsidR="003209EC" w:rsidRPr="0081146C">
              <w:t> </w:t>
            </w:r>
            <w:r w:rsidRPr="0081146C">
              <w:t>2 (items</w:t>
            </w:r>
            <w:r w:rsidR="004F64A4" w:rsidRPr="0081146C">
              <w:t> </w:t>
            </w:r>
            <w:r w:rsidRPr="0081146C">
              <w:t>3, 4, 123(1)): 17 Dec 2010</w:t>
            </w:r>
            <w:r w:rsidR="00860A30" w:rsidRPr="0081146C">
              <w:t xml:space="preserve"> (s 2(1) </w:t>
            </w:r>
            <w:r w:rsidR="003B7E15" w:rsidRPr="0081146C">
              <w:t>item 2</w:t>
            </w:r>
            <w:r w:rsidR="00F071CC" w:rsidRPr="0081146C">
              <w:t>)</w:t>
            </w:r>
          </w:p>
        </w:tc>
        <w:tc>
          <w:tcPr>
            <w:tcW w:w="1195" w:type="dxa"/>
            <w:tcBorders>
              <w:top w:val="single" w:sz="4" w:space="0" w:color="auto"/>
              <w:bottom w:val="single" w:sz="4" w:space="0" w:color="auto"/>
            </w:tcBorders>
            <w:shd w:val="clear" w:color="auto" w:fill="auto"/>
          </w:tcPr>
          <w:p w14:paraId="111A562E" w14:textId="77777777" w:rsidR="00C72BA2" w:rsidRPr="0081146C" w:rsidRDefault="00C72BA2" w:rsidP="00860A30">
            <w:pPr>
              <w:pStyle w:val="ENoteTableText"/>
            </w:pPr>
            <w:r w:rsidRPr="0081146C">
              <w:t>Sch 2 (</w:t>
            </w:r>
            <w:r w:rsidR="003B7E15" w:rsidRPr="0081146C">
              <w:t>item 1</w:t>
            </w:r>
            <w:r w:rsidRPr="0081146C">
              <w:t>23(1))</w:t>
            </w:r>
          </w:p>
        </w:tc>
      </w:tr>
      <w:tr w:rsidR="00C72BA2" w:rsidRPr="0081146C" w14:paraId="5B4A24FA" w14:textId="77777777" w:rsidTr="00DB476F">
        <w:trPr>
          <w:cantSplit/>
        </w:trPr>
        <w:tc>
          <w:tcPr>
            <w:tcW w:w="1843" w:type="dxa"/>
            <w:tcBorders>
              <w:top w:val="single" w:sz="4" w:space="0" w:color="auto"/>
              <w:bottom w:val="single" w:sz="4" w:space="0" w:color="auto"/>
            </w:tcBorders>
            <w:shd w:val="clear" w:color="auto" w:fill="auto"/>
          </w:tcPr>
          <w:p w14:paraId="66911735" w14:textId="77777777" w:rsidR="00C72BA2" w:rsidRPr="0081146C" w:rsidRDefault="00C72BA2" w:rsidP="00C72BA2">
            <w:pPr>
              <w:pStyle w:val="ENoteTableText"/>
            </w:pPr>
            <w:r w:rsidRPr="0081146C">
              <w:t>Law and Justice Legislation Amendment (Identity Crimes and Other Measures) Act 2011</w:t>
            </w:r>
          </w:p>
        </w:tc>
        <w:tc>
          <w:tcPr>
            <w:tcW w:w="992" w:type="dxa"/>
            <w:tcBorders>
              <w:top w:val="single" w:sz="4" w:space="0" w:color="auto"/>
              <w:bottom w:val="single" w:sz="4" w:space="0" w:color="auto"/>
            </w:tcBorders>
            <w:shd w:val="clear" w:color="auto" w:fill="auto"/>
          </w:tcPr>
          <w:p w14:paraId="67342D22" w14:textId="77777777" w:rsidR="00C72BA2" w:rsidRPr="0081146C" w:rsidRDefault="00C72BA2" w:rsidP="00C72BA2">
            <w:pPr>
              <w:pStyle w:val="ENoteTableText"/>
            </w:pPr>
            <w:r w:rsidRPr="0081146C">
              <w:t>3, 2011</w:t>
            </w:r>
          </w:p>
        </w:tc>
        <w:tc>
          <w:tcPr>
            <w:tcW w:w="959" w:type="dxa"/>
            <w:tcBorders>
              <w:top w:val="single" w:sz="4" w:space="0" w:color="auto"/>
              <w:bottom w:val="single" w:sz="4" w:space="0" w:color="auto"/>
            </w:tcBorders>
            <w:shd w:val="clear" w:color="auto" w:fill="auto"/>
          </w:tcPr>
          <w:p w14:paraId="57B46C3C" w14:textId="77777777" w:rsidR="00C72BA2" w:rsidRPr="0081146C" w:rsidRDefault="00C72BA2" w:rsidP="00C72BA2">
            <w:pPr>
              <w:pStyle w:val="ENoteTableText"/>
            </w:pPr>
            <w:r w:rsidRPr="0081146C">
              <w:t>2 Mar 2011</w:t>
            </w:r>
          </w:p>
        </w:tc>
        <w:tc>
          <w:tcPr>
            <w:tcW w:w="2099" w:type="dxa"/>
            <w:tcBorders>
              <w:top w:val="single" w:sz="4" w:space="0" w:color="auto"/>
              <w:bottom w:val="single" w:sz="4" w:space="0" w:color="auto"/>
            </w:tcBorders>
            <w:shd w:val="clear" w:color="auto" w:fill="auto"/>
          </w:tcPr>
          <w:p w14:paraId="3FA90F71" w14:textId="77777777" w:rsidR="00C72BA2" w:rsidRPr="0081146C" w:rsidRDefault="00C72BA2" w:rsidP="00860A30">
            <w:pPr>
              <w:pStyle w:val="ENoteTableText"/>
            </w:pPr>
            <w:r w:rsidRPr="0081146C">
              <w:t>Sch</w:t>
            </w:r>
            <w:r w:rsidR="003209EC" w:rsidRPr="0081146C">
              <w:t> </w:t>
            </w:r>
            <w:r w:rsidRPr="0081146C">
              <w:t>4: 3 Mar 2011</w:t>
            </w:r>
            <w:r w:rsidR="00860A30" w:rsidRPr="0081146C">
              <w:t xml:space="preserve"> (s 2(1) item</w:t>
            </w:r>
            <w:r w:rsidR="004F64A4" w:rsidRPr="0081146C">
              <w:t> </w:t>
            </w:r>
            <w:r w:rsidR="00860A30" w:rsidRPr="0081146C">
              <w:t>4)</w:t>
            </w:r>
          </w:p>
        </w:tc>
        <w:tc>
          <w:tcPr>
            <w:tcW w:w="1195" w:type="dxa"/>
            <w:tcBorders>
              <w:top w:val="single" w:sz="4" w:space="0" w:color="auto"/>
              <w:bottom w:val="single" w:sz="4" w:space="0" w:color="auto"/>
            </w:tcBorders>
            <w:shd w:val="clear" w:color="auto" w:fill="auto"/>
          </w:tcPr>
          <w:p w14:paraId="53C22D21" w14:textId="77777777" w:rsidR="00C72BA2" w:rsidRPr="0081146C" w:rsidRDefault="00C72BA2" w:rsidP="00860A30">
            <w:pPr>
              <w:pStyle w:val="ENoteTableText"/>
            </w:pPr>
            <w:r w:rsidRPr="0081146C">
              <w:t>Sch 4 (</w:t>
            </w:r>
            <w:r w:rsidR="003B7E15" w:rsidRPr="0081146C">
              <w:t>item 8</w:t>
            </w:r>
            <w:r w:rsidRPr="0081146C">
              <w:t>)</w:t>
            </w:r>
          </w:p>
        </w:tc>
      </w:tr>
      <w:tr w:rsidR="00C72BA2" w:rsidRPr="0081146C" w14:paraId="5C4A6142" w14:textId="77777777" w:rsidTr="00DB476F">
        <w:trPr>
          <w:cantSplit/>
        </w:trPr>
        <w:tc>
          <w:tcPr>
            <w:tcW w:w="1843" w:type="dxa"/>
            <w:tcBorders>
              <w:top w:val="single" w:sz="4" w:space="0" w:color="auto"/>
              <w:bottom w:val="single" w:sz="4" w:space="0" w:color="auto"/>
            </w:tcBorders>
            <w:shd w:val="clear" w:color="auto" w:fill="auto"/>
          </w:tcPr>
          <w:p w14:paraId="46796A6E" w14:textId="77777777" w:rsidR="00C72BA2" w:rsidRPr="0081146C" w:rsidRDefault="00C72BA2" w:rsidP="00C72BA2">
            <w:pPr>
              <w:pStyle w:val="ENoteTableText"/>
            </w:pPr>
            <w:r w:rsidRPr="0081146C">
              <w:t>Human Services Legislation Amendment Act 2011</w:t>
            </w:r>
          </w:p>
        </w:tc>
        <w:tc>
          <w:tcPr>
            <w:tcW w:w="992" w:type="dxa"/>
            <w:tcBorders>
              <w:top w:val="single" w:sz="4" w:space="0" w:color="auto"/>
              <w:bottom w:val="single" w:sz="4" w:space="0" w:color="auto"/>
            </w:tcBorders>
            <w:shd w:val="clear" w:color="auto" w:fill="auto"/>
          </w:tcPr>
          <w:p w14:paraId="3AF4CF1C" w14:textId="77777777" w:rsidR="00C72BA2" w:rsidRPr="0081146C" w:rsidRDefault="00C72BA2" w:rsidP="00C72BA2">
            <w:pPr>
              <w:pStyle w:val="ENoteTableText"/>
            </w:pPr>
            <w:r w:rsidRPr="0081146C">
              <w:t>32, 2011</w:t>
            </w:r>
          </w:p>
        </w:tc>
        <w:tc>
          <w:tcPr>
            <w:tcW w:w="959" w:type="dxa"/>
            <w:tcBorders>
              <w:top w:val="single" w:sz="4" w:space="0" w:color="auto"/>
              <w:bottom w:val="single" w:sz="4" w:space="0" w:color="auto"/>
            </w:tcBorders>
            <w:shd w:val="clear" w:color="auto" w:fill="auto"/>
          </w:tcPr>
          <w:p w14:paraId="5CBA3425" w14:textId="77777777" w:rsidR="00C72BA2" w:rsidRPr="0081146C" w:rsidRDefault="00C72BA2" w:rsidP="00C72BA2">
            <w:pPr>
              <w:pStyle w:val="ENoteTableText"/>
            </w:pPr>
            <w:r w:rsidRPr="0081146C">
              <w:t>25</w:t>
            </w:r>
            <w:r w:rsidR="004F64A4" w:rsidRPr="0081146C">
              <w:t> </w:t>
            </w:r>
            <w:r w:rsidRPr="0081146C">
              <w:t>May 2011</w:t>
            </w:r>
          </w:p>
        </w:tc>
        <w:tc>
          <w:tcPr>
            <w:tcW w:w="2099" w:type="dxa"/>
            <w:tcBorders>
              <w:top w:val="single" w:sz="4" w:space="0" w:color="auto"/>
              <w:bottom w:val="single" w:sz="4" w:space="0" w:color="auto"/>
            </w:tcBorders>
            <w:shd w:val="clear" w:color="auto" w:fill="auto"/>
          </w:tcPr>
          <w:p w14:paraId="6E6F5A83" w14:textId="77777777" w:rsidR="00C72BA2" w:rsidRPr="0081146C" w:rsidRDefault="00C72BA2" w:rsidP="00860A30">
            <w:pPr>
              <w:pStyle w:val="ENoteTableText"/>
            </w:pPr>
            <w:r w:rsidRPr="0081146C">
              <w:t>Sch</w:t>
            </w:r>
            <w:r w:rsidR="003209EC" w:rsidRPr="0081146C">
              <w:t> </w:t>
            </w:r>
            <w:r w:rsidRPr="0081146C">
              <w:t>4 (</w:t>
            </w:r>
            <w:r w:rsidR="008D5917" w:rsidRPr="0081146C">
              <w:t>items 4</w:t>
            </w:r>
            <w:r w:rsidRPr="0081146C">
              <w:t xml:space="preserve">7–49): </w:t>
            </w:r>
            <w:r w:rsidR="001E59AD" w:rsidRPr="0081146C">
              <w:t>1 July</w:t>
            </w:r>
            <w:r w:rsidRPr="0081146C">
              <w:t xml:space="preserve"> 2011</w:t>
            </w:r>
            <w:r w:rsidR="00860A30" w:rsidRPr="0081146C">
              <w:t xml:space="preserve"> (s 2(1) </w:t>
            </w:r>
            <w:r w:rsidR="003B7E15" w:rsidRPr="0081146C">
              <w:t>item 2</w:t>
            </w:r>
            <w:r w:rsidR="00860A30" w:rsidRPr="0081146C">
              <w:t>)</w:t>
            </w:r>
          </w:p>
        </w:tc>
        <w:tc>
          <w:tcPr>
            <w:tcW w:w="1195" w:type="dxa"/>
            <w:tcBorders>
              <w:top w:val="single" w:sz="4" w:space="0" w:color="auto"/>
              <w:bottom w:val="single" w:sz="4" w:space="0" w:color="auto"/>
            </w:tcBorders>
            <w:shd w:val="clear" w:color="auto" w:fill="auto"/>
          </w:tcPr>
          <w:p w14:paraId="40F04315" w14:textId="77777777" w:rsidR="00C72BA2" w:rsidRPr="0081146C" w:rsidRDefault="00C72BA2" w:rsidP="00C72BA2">
            <w:pPr>
              <w:pStyle w:val="ENoteTableText"/>
            </w:pPr>
            <w:r w:rsidRPr="0081146C">
              <w:t>—</w:t>
            </w:r>
          </w:p>
        </w:tc>
      </w:tr>
      <w:tr w:rsidR="00C72BA2" w:rsidRPr="0081146C" w14:paraId="5D5DF013" w14:textId="77777777" w:rsidTr="00DB476F">
        <w:trPr>
          <w:cantSplit/>
        </w:trPr>
        <w:tc>
          <w:tcPr>
            <w:tcW w:w="1843" w:type="dxa"/>
            <w:tcBorders>
              <w:top w:val="single" w:sz="4" w:space="0" w:color="auto"/>
              <w:bottom w:val="single" w:sz="4" w:space="0" w:color="auto"/>
            </w:tcBorders>
            <w:shd w:val="clear" w:color="auto" w:fill="auto"/>
          </w:tcPr>
          <w:p w14:paraId="2C81F8A5" w14:textId="77777777" w:rsidR="00C72BA2" w:rsidRPr="0081146C" w:rsidRDefault="00C72BA2" w:rsidP="00C72BA2">
            <w:pPr>
              <w:pStyle w:val="ENoteTableText"/>
            </w:pPr>
            <w:r w:rsidRPr="0081146C">
              <w:t>Acts Interpretation Amendment Act 2011</w:t>
            </w:r>
          </w:p>
        </w:tc>
        <w:tc>
          <w:tcPr>
            <w:tcW w:w="992" w:type="dxa"/>
            <w:tcBorders>
              <w:top w:val="single" w:sz="4" w:space="0" w:color="auto"/>
              <w:bottom w:val="single" w:sz="4" w:space="0" w:color="auto"/>
            </w:tcBorders>
            <w:shd w:val="clear" w:color="auto" w:fill="auto"/>
          </w:tcPr>
          <w:p w14:paraId="112C995A" w14:textId="77777777" w:rsidR="00C72BA2" w:rsidRPr="0081146C" w:rsidRDefault="00C72BA2" w:rsidP="00C72BA2">
            <w:pPr>
              <w:pStyle w:val="ENoteTableText"/>
            </w:pPr>
            <w:r w:rsidRPr="0081146C">
              <w:t>46, 2011</w:t>
            </w:r>
          </w:p>
        </w:tc>
        <w:tc>
          <w:tcPr>
            <w:tcW w:w="959" w:type="dxa"/>
            <w:tcBorders>
              <w:top w:val="single" w:sz="4" w:space="0" w:color="auto"/>
              <w:bottom w:val="single" w:sz="4" w:space="0" w:color="auto"/>
            </w:tcBorders>
            <w:shd w:val="clear" w:color="auto" w:fill="auto"/>
          </w:tcPr>
          <w:p w14:paraId="7703C924" w14:textId="77777777" w:rsidR="00C72BA2" w:rsidRPr="0081146C" w:rsidRDefault="00C72BA2" w:rsidP="00C72BA2">
            <w:pPr>
              <w:pStyle w:val="ENoteTableText"/>
            </w:pPr>
            <w:r w:rsidRPr="0081146C">
              <w:t>27</w:t>
            </w:r>
            <w:r w:rsidR="004F64A4" w:rsidRPr="0081146C">
              <w:t> </w:t>
            </w:r>
            <w:r w:rsidRPr="0081146C">
              <w:t>June 2011</w:t>
            </w:r>
          </w:p>
        </w:tc>
        <w:tc>
          <w:tcPr>
            <w:tcW w:w="2099" w:type="dxa"/>
            <w:tcBorders>
              <w:top w:val="single" w:sz="4" w:space="0" w:color="auto"/>
              <w:bottom w:val="single" w:sz="4" w:space="0" w:color="auto"/>
            </w:tcBorders>
            <w:shd w:val="clear" w:color="auto" w:fill="auto"/>
          </w:tcPr>
          <w:p w14:paraId="674853CD" w14:textId="77777777" w:rsidR="00C72BA2" w:rsidRPr="0081146C" w:rsidRDefault="00C72BA2" w:rsidP="00860A30">
            <w:pPr>
              <w:pStyle w:val="ENoteTableText"/>
            </w:pPr>
            <w:r w:rsidRPr="0081146C">
              <w:t>Sch</w:t>
            </w:r>
            <w:r w:rsidR="003209EC" w:rsidRPr="0081146C">
              <w:t> </w:t>
            </w:r>
            <w:r w:rsidRPr="0081146C">
              <w:t>2 (</w:t>
            </w:r>
            <w:r w:rsidR="008D5917" w:rsidRPr="0081146C">
              <w:t>items 6</w:t>
            </w:r>
            <w:r w:rsidRPr="0081146C">
              <w:t>7–72) and Sch</w:t>
            </w:r>
            <w:r w:rsidR="003209EC" w:rsidRPr="0081146C">
              <w:t> </w:t>
            </w:r>
            <w:r w:rsidRPr="0081146C">
              <w:t>3 (</w:t>
            </w:r>
            <w:r w:rsidR="00CA78AA" w:rsidRPr="0081146C">
              <w:t>items 1</w:t>
            </w:r>
            <w:r w:rsidRPr="0081146C">
              <w:t>0, 11): 27 Dec 2011</w:t>
            </w:r>
            <w:r w:rsidR="00860A30" w:rsidRPr="0081146C">
              <w:t xml:space="preserve"> (s 2(1) items</w:t>
            </w:r>
            <w:r w:rsidR="004F64A4" w:rsidRPr="0081146C">
              <w:t> </w:t>
            </w:r>
            <w:r w:rsidR="00860A30" w:rsidRPr="0081146C">
              <w:t>3, 12)</w:t>
            </w:r>
          </w:p>
        </w:tc>
        <w:tc>
          <w:tcPr>
            <w:tcW w:w="1195" w:type="dxa"/>
            <w:tcBorders>
              <w:top w:val="single" w:sz="4" w:space="0" w:color="auto"/>
              <w:bottom w:val="single" w:sz="4" w:space="0" w:color="auto"/>
            </w:tcBorders>
            <w:shd w:val="clear" w:color="auto" w:fill="auto"/>
          </w:tcPr>
          <w:p w14:paraId="5CC3C4B3" w14:textId="77777777" w:rsidR="00C72BA2" w:rsidRPr="0081146C" w:rsidRDefault="00C72BA2" w:rsidP="00860A30">
            <w:pPr>
              <w:pStyle w:val="ENoteTableText"/>
            </w:pPr>
            <w:r w:rsidRPr="0081146C">
              <w:t>Sch 3 (</w:t>
            </w:r>
            <w:r w:rsidR="00CA78AA" w:rsidRPr="0081146C">
              <w:t>items 1</w:t>
            </w:r>
            <w:r w:rsidRPr="0081146C">
              <w:t>0, 11)</w:t>
            </w:r>
          </w:p>
        </w:tc>
      </w:tr>
      <w:tr w:rsidR="00C72BA2" w:rsidRPr="0081146C" w14:paraId="6734897E" w14:textId="77777777" w:rsidTr="00DB476F">
        <w:trPr>
          <w:cantSplit/>
        </w:trPr>
        <w:tc>
          <w:tcPr>
            <w:tcW w:w="1843" w:type="dxa"/>
            <w:tcBorders>
              <w:top w:val="single" w:sz="4" w:space="0" w:color="auto"/>
              <w:bottom w:val="single" w:sz="4" w:space="0" w:color="auto"/>
            </w:tcBorders>
            <w:shd w:val="clear" w:color="auto" w:fill="auto"/>
          </w:tcPr>
          <w:p w14:paraId="77CFFC10" w14:textId="77777777" w:rsidR="00C72BA2" w:rsidRPr="0081146C" w:rsidRDefault="00C72BA2" w:rsidP="00C72BA2">
            <w:pPr>
              <w:pStyle w:val="ENoteTableText"/>
            </w:pPr>
            <w:r w:rsidRPr="0081146C">
              <w:t>Australian Transaction Reports and Analysis Centre Supervisory Cost Recovery Levy (Consequential Amendments) Act 2011</w:t>
            </w:r>
          </w:p>
        </w:tc>
        <w:tc>
          <w:tcPr>
            <w:tcW w:w="992" w:type="dxa"/>
            <w:tcBorders>
              <w:top w:val="single" w:sz="4" w:space="0" w:color="auto"/>
              <w:bottom w:val="single" w:sz="4" w:space="0" w:color="auto"/>
            </w:tcBorders>
            <w:shd w:val="clear" w:color="auto" w:fill="auto"/>
          </w:tcPr>
          <w:p w14:paraId="0105F8FD" w14:textId="77777777" w:rsidR="00C72BA2" w:rsidRPr="0081146C" w:rsidRDefault="00C72BA2" w:rsidP="00C72BA2">
            <w:pPr>
              <w:pStyle w:val="ENoteTableText"/>
            </w:pPr>
            <w:r w:rsidRPr="0081146C">
              <w:t>56, 2011</w:t>
            </w:r>
          </w:p>
        </w:tc>
        <w:tc>
          <w:tcPr>
            <w:tcW w:w="959" w:type="dxa"/>
            <w:tcBorders>
              <w:top w:val="single" w:sz="4" w:space="0" w:color="auto"/>
              <w:bottom w:val="single" w:sz="4" w:space="0" w:color="auto"/>
            </w:tcBorders>
            <w:shd w:val="clear" w:color="auto" w:fill="auto"/>
          </w:tcPr>
          <w:p w14:paraId="5D2DA919" w14:textId="77777777" w:rsidR="00C72BA2" w:rsidRPr="0081146C" w:rsidRDefault="00C72BA2" w:rsidP="00C72BA2">
            <w:pPr>
              <w:pStyle w:val="ENoteTableText"/>
            </w:pPr>
            <w:r w:rsidRPr="0081146C">
              <w:t>28</w:t>
            </w:r>
            <w:r w:rsidR="004F64A4" w:rsidRPr="0081146C">
              <w:t> </w:t>
            </w:r>
            <w:r w:rsidRPr="0081146C">
              <w:t>June 2011</w:t>
            </w:r>
          </w:p>
        </w:tc>
        <w:tc>
          <w:tcPr>
            <w:tcW w:w="2099" w:type="dxa"/>
            <w:tcBorders>
              <w:top w:val="single" w:sz="4" w:space="0" w:color="auto"/>
              <w:bottom w:val="single" w:sz="4" w:space="0" w:color="auto"/>
            </w:tcBorders>
            <w:shd w:val="clear" w:color="auto" w:fill="auto"/>
          </w:tcPr>
          <w:p w14:paraId="3BBCFDD9" w14:textId="77777777" w:rsidR="00C72BA2" w:rsidRPr="0081146C" w:rsidRDefault="00C72BA2" w:rsidP="000161B9">
            <w:pPr>
              <w:pStyle w:val="ENoteTableText"/>
            </w:pPr>
            <w:r w:rsidRPr="0081146C">
              <w:t>Sch</w:t>
            </w:r>
            <w:r w:rsidR="003209EC" w:rsidRPr="0081146C">
              <w:t> </w:t>
            </w:r>
            <w:r w:rsidRPr="0081146C">
              <w:t>1</w:t>
            </w:r>
            <w:r w:rsidR="000161B9" w:rsidRPr="0081146C">
              <w:t xml:space="preserve"> and 2</w:t>
            </w:r>
            <w:r w:rsidRPr="0081146C">
              <w:t>: 1 Nov 2011 (</w:t>
            </w:r>
            <w:r w:rsidR="00860A30" w:rsidRPr="0081146C">
              <w:t xml:space="preserve">s 2(1) </w:t>
            </w:r>
            <w:r w:rsidR="001E59AD" w:rsidRPr="0081146C">
              <w:t>items 2</w:t>
            </w:r>
            <w:r w:rsidR="000161B9" w:rsidRPr="0081146C">
              <w:t>–4</w:t>
            </w:r>
            <w:r w:rsidRPr="0081146C">
              <w:t>)</w:t>
            </w:r>
            <w:r w:rsidRPr="0081146C">
              <w:br/>
              <w:t xml:space="preserve">Remainder: </w:t>
            </w:r>
            <w:r w:rsidR="00C11909" w:rsidRPr="0081146C">
              <w:t>28</w:t>
            </w:r>
            <w:r w:rsidR="004F64A4" w:rsidRPr="0081146C">
              <w:t> </w:t>
            </w:r>
            <w:r w:rsidR="00C11909" w:rsidRPr="0081146C">
              <w:t xml:space="preserve">June 2011 (s 2(1) </w:t>
            </w:r>
            <w:r w:rsidR="003B7E15" w:rsidRPr="0081146C">
              <w:t>item 1</w:t>
            </w:r>
            <w:r w:rsidR="00C11909" w:rsidRPr="0081146C">
              <w:t>)</w:t>
            </w:r>
          </w:p>
        </w:tc>
        <w:tc>
          <w:tcPr>
            <w:tcW w:w="1195" w:type="dxa"/>
            <w:tcBorders>
              <w:top w:val="single" w:sz="4" w:space="0" w:color="auto"/>
              <w:bottom w:val="single" w:sz="4" w:space="0" w:color="auto"/>
            </w:tcBorders>
            <w:shd w:val="clear" w:color="auto" w:fill="auto"/>
          </w:tcPr>
          <w:p w14:paraId="5C634400" w14:textId="77777777" w:rsidR="00C72BA2" w:rsidRPr="0081146C" w:rsidRDefault="000161B9" w:rsidP="00C11909">
            <w:pPr>
              <w:pStyle w:val="ENoteTableText"/>
            </w:pPr>
            <w:r w:rsidRPr="0081146C">
              <w:t xml:space="preserve">s 4 and </w:t>
            </w:r>
            <w:r w:rsidR="00C72BA2" w:rsidRPr="0081146C">
              <w:t>Sch 2 (item</w:t>
            </w:r>
            <w:r w:rsidR="004F64A4" w:rsidRPr="0081146C">
              <w:t> </w:t>
            </w:r>
            <w:r w:rsidR="00C72BA2" w:rsidRPr="0081146C">
              <w:t>7)</w:t>
            </w:r>
          </w:p>
        </w:tc>
      </w:tr>
      <w:tr w:rsidR="00C72BA2" w:rsidRPr="0081146C" w14:paraId="15330949" w14:textId="77777777" w:rsidTr="00DB476F">
        <w:trPr>
          <w:cantSplit/>
        </w:trPr>
        <w:tc>
          <w:tcPr>
            <w:tcW w:w="1843" w:type="dxa"/>
            <w:tcBorders>
              <w:top w:val="single" w:sz="4" w:space="0" w:color="auto"/>
              <w:bottom w:val="single" w:sz="4" w:space="0" w:color="auto"/>
            </w:tcBorders>
            <w:shd w:val="clear" w:color="auto" w:fill="auto"/>
          </w:tcPr>
          <w:p w14:paraId="658B8A47" w14:textId="77777777" w:rsidR="00C72BA2" w:rsidRPr="0081146C" w:rsidRDefault="00C72BA2" w:rsidP="00C72BA2">
            <w:pPr>
              <w:pStyle w:val="ENoteTableText"/>
            </w:pPr>
            <w:r w:rsidRPr="0081146C">
              <w:t>Combating the Financing of People Smuggling and Other Measures Act 2011</w:t>
            </w:r>
          </w:p>
        </w:tc>
        <w:tc>
          <w:tcPr>
            <w:tcW w:w="992" w:type="dxa"/>
            <w:tcBorders>
              <w:top w:val="single" w:sz="4" w:space="0" w:color="auto"/>
              <w:bottom w:val="single" w:sz="4" w:space="0" w:color="auto"/>
            </w:tcBorders>
            <w:shd w:val="clear" w:color="auto" w:fill="auto"/>
          </w:tcPr>
          <w:p w14:paraId="3544A806" w14:textId="77777777" w:rsidR="00C72BA2" w:rsidRPr="0081146C" w:rsidRDefault="00C72BA2" w:rsidP="00C72BA2">
            <w:pPr>
              <w:pStyle w:val="ENoteTableText"/>
            </w:pPr>
            <w:r w:rsidRPr="0081146C">
              <w:t>60, 2011</w:t>
            </w:r>
          </w:p>
        </w:tc>
        <w:tc>
          <w:tcPr>
            <w:tcW w:w="959" w:type="dxa"/>
            <w:tcBorders>
              <w:top w:val="single" w:sz="4" w:space="0" w:color="auto"/>
              <w:bottom w:val="single" w:sz="4" w:space="0" w:color="auto"/>
            </w:tcBorders>
            <w:shd w:val="clear" w:color="auto" w:fill="auto"/>
          </w:tcPr>
          <w:p w14:paraId="25EECD0A" w14:textId="77777777" w:rsidR="00C72BA2" w:rsidRPr="0081146C" w:rsidRDefault="00C72BA2" w:rsidP="00C72BA2">
            <w:pPr>
              <w:pStyle w:val="ENoteTableText"/>
            </w:pPr>
            <w:r w:rsidRPr="0081146C">
              <w:t>28</w:t>
            </w:r>
            <w:r w:rsidR="004F64A4" w:rsidRPr="0081146C">
              <w:t> </w:t>
            </w:r>
            <w:r w:rsidRPr="0081146C">
              <w:t>June 2011</w:t>
            </w:r>
          </w:p>
        </w:tc>
        <w:tc>
          <w:tcPr>
            <w:tcW w:w="2099" w:type="dxa"/>
            <w:tcBorders>
              <w:top w:val="single" w:sz="4" w:space="0" w:color="auto"/>
              <w:bottom w:val="single" w:sz="4" w:space="0" w:color="auto"/>
            </w:tcBorders>
            <w:shd w:val="clear" w:color="auto" w:fill="auto"/>
          </w:tcPr>
          <w:p w14:paraId="553CD0D3" w14:textId="77777777" w:rsidR="00C72BA2" w:rsidRPr="0081146C" w:rsidRDefault="00C72BA2" w:rsidP="00F071CC">
            <w:pPr>
              <w:pStyle w:val="ENoteTableText"/>
            </w:pPr>
            <w:r w:rsidRPr="0081146C">
              <w:t>Sch</w:t>
            </w:r>
            <w:r w:rsidR="003209EC" w:rsidRPr="0081146C">
              <w:t> </w:t>
            </w:r>
            <w:r w:rsidRPr="0081146C">
              <w:t>1 (</w:t>
            </w:r>
            <w:r w:rsidR="00CA78AA" w:rsidRPr="0081146C">
              <w:t>items 1</w:t>
            </w:r>
            <w:r w:rsidRPr="0081146C">
              <w:t>–11</w:t>
            </w:r>
            <w:r w:rsidR="00F071CC" w:rsidRPr="0081146C">
              <w:t>, 14–48, 53–57</w:t>
            </w:r>
            <w:r w:rsidRPr="0081146C">
              <w:t>): 1 Nov 2011 (</w:t>
            </w:r>
            <w:r w:rsidR="00C11909" w:rsidRPr="0081146C">
              <w:t>s 2(1)</w:t>
            </w:r>
            <w:r w:rsidRPr="0081146C">
              <w:t xml:space="preserve"> </w:t>
            </w:r>
            <w:r w:rsidR="001E59AD" w:rsidRPr="0081146C">
              <w:t>items 2</w:t>
            </w:r>
            <w:r w:rsidR="00F071CC" w:rsidRPr="0081146C">
              <w:t>, 4, 6</w:t>
            </w:r>
            <w:r w:rsidRPr="0081146C">
              <w:t>)</w:t>
            </w:r>
            <w:r w:rsidRPr="0081146C">
              <w:br/>
              <w:t>Sch</w:t>
            </w:r>
            <w:r w:rsidR="003209EC" w:rsidRPr="0081146C">
              <w:t> </w:t>
            </w:r>
            <w:r w:rsidRPr="0081146C">
              <w:t>1 (</w:t>
            </w:r>
            <w:r w:rsidR="00CA78AA" w:rsidRPr="0081146C">
              <w:t>items 1</w:t>
            </w:r>
            <w:r w:rsidRPr="0081146C">
              <w:t>2, 13, 49–52, 58), Sch</w:t>
            </w:r>
            <w:r w:rsidR="003209EC" w:rsidRPr="0081146C">
              <w:t> </w:t>
            </w:r>
            <w:r w:rsidRPr="0081146C">
              <w:t>2 and Sch</w:t>
            </w:r>
            <w:r w:rsidR="003209EC" w:rsidRPr="0081146C">
              <w:t> </w:t>
            </w:r>
            <w:r w:rsidRPr="0081146C">
              <w:t>3 (</w:t>
            </w:r>
            <w:r w:rsidR="00CA78AA" w:rsidRPr="0081146C">
              <w:t>items 1</w:t>
            </w:r>
            <w:r w:rsidRPr="0081146C">
              <w:t>–10):</w:t>
            </w:r>
            <w:r w:rsidR="00C11909" w:rsidRPr="0081146C">
              <w:t xml:space="preserve"> 28</w:t>
            </w:r>
            <w:r w:rsidR="004F64A4" w:rsidRPr="0081146C">
              <w:t> </w:t>
            </w:r>
            <w:r w:rsidR="00C11909" w:rsidRPr="0081146C">
              <w:t>June 2011 (s 2(1) items</w:t>
            </w:r>
            <w:r w:rsidR="004F64A4" w:rsidRPr="0081146C">
              <w:t> </w:t>
            </w:r>
            <w:r w:rsidR="00C11909" w:rsidRPr="0081146C">
              <w:t>3, 5, 7–10)</w:t>
            </w:r>
          </w:p>
        </w:tc>
        <w:tc>
          <w:tcPr>
            <w:tcW w:w="1195" w:type="dxa"/>
            <w:tcBorders>
              <w:top w:val="single" w:sz="4" w:space="0" w:color="auto"/>
              <w:bottom w:val="single" w:sz="4" w:space="0" w:color="auto"/>
            </w:tcBorders>
            <w:shd w:val="clear" w:color="auto" w:fill="auto"/>
          </w:tcPr>
          <w:p w14:paraId="1924007A" w14:textId="77777777" w:rsidR="00C72BA2" w:rsidRPr="0081146C" w:rsidRDefault="00C72BA2" w:rsidP="00BE0620">
            <w:pPr>
              <w:pStyle w:val="ENoteTableText"/>
            </w:pPr>
            <w:r w:rsidRPr="0081146C">
              <w:t>Sch. 1 (</w:t>
            </w:r>
            <w:r w:rsidR="008D5917" w:rsidRPr="0081146C">
              <w:t>items 4</w:t>
            </w:r>
            <w:r w:rsidRPr="0081146C">
              <w:t>9–58)</w:t>
            </w:r>
          </w:p>
        </w:tc>
      </w:tr>
      <w:tr w:rsidR="00C72BA2" w:rsidRPr="0081146C" w14:paraId="17B406ED" w14:textId="77777777" w:rsidTr="00DB476F">
        <w:trPr>
          <w:cantSplit/>
        </w:trPr>
        <w:tc>
          <w:tcPr>
            <w:tcW w:w="1843" w:type="dxa"/>
            <w:tcBorders>
              <w:top w:val="single" w:sz="4" w:space="0" w:color="auto"/>
              <w:bottom w:val="single" w:sz="4" w:space="0" w:color="auto"/>
            </w:tcBorders>
            <w:shd w:val="clear" w:color="auto" w:fill="auto"/>
          </w:tcPr>
          <w:p w14:paraId="61F7FB80" w14:textId="77777777" w:rsidR="00C72BA2" w:rsidRPr="0081146C" w:rsidRDefault="00C72BA2" w:rsidP="00C72BA2">
            <w:pPr>
              <w:pStyle w:val="ENoteTableText"/>
            </w:pPr>
            <w:r w:rsidRPr="0081146C">
              <w:t>Carbon Credits (Consequential Amendments) Act 2011</w:t>
            </w:r>
          </w:p>
        </w:tc>
        <w:tc>
          <w:tcPr>
            <w:tcW w:w="992" w:type="dxa"/>
            <w:tcBorders>
              <w:top w:val="single" w:sz="4" w:space="0" w:color="auto"/>
              <w:bottom w:val="single" w:sz="4" w:space="0" w:color="auto"/>
            </w:tcBorders>
            <w:shd w:val="clear" w:color="auto" w:fill="auto"/>
          </w:tcPr>
          <w:p w14:paraId="0178505F" w14:textId="77777777" w:rsidR="00C72BA2" w:rsidRPr="0081146C" w:rsidRDefault="00C72BA2" w:rsidP="00C72BA2">
            <w:pPr>
              <w:pStyle w:val="ENoteTableText"/>
            </w:pPr>
            <w:r w:rsidRPr="0081146C">
              <w:t>102, 2011</w:t>
            </w:r>
          </w:p>
        </w:tc>
        <w:tc>
          <w:tcPr>
            <w:tcW w:w="959" w:type="dxa"/>
            <w:tcBorders>
              <w:top w:val="single" w:sz="4" w:space="0" w:color="auto"/>
              <w:bottom w:val="single" w:sz="4" w:space="0" w:color="auto"/>
            </w:tcBorders>
            <w:shd w:val="clear" w:color="auto" w:fill="auto"/>
          </w:tcPr>
          <w:p w14:paraId="7FAFEB14" w14:textId="77777777" w:rsidR="00C72BA2" w:rsidRPr="0081146C" w:rsidRDefault="00C72BA2" w:rsidP="00C72BA2">
            <w:pPr>
              <w:pStyle w:val="ENoteTableText"/>
            </w:pPr>
            <w:r w:rsidRPr="0081146C">
              <w:t>15 Sept 2011</w:t>
            </w:r>
          </w:p>
        </w:tc>
        <w:tc>
          <w:tcPr>
            <w:tcW w:w="2099" w:type="dxa"/>
            <w:tcBorders>
              <w:top w:val="single" w:sz="4" w:space="0" w:color="auto"/>
              <w:bottom w:val="single" w:sz="4" w:space="0" w:color="auto"/>
            </w:tcBorders>
            <w:shd w:val="clear" w:color="auto" w:fill="auto"/>
          </w:tcPr>
          <w:p w14:paraId="1ADA62AB" w14:textId="77777777" w:rsidR="00C72BA2" w:rsidRPr="0081146C" w:rsidRDefault="00C72BA2" w:rsidP="00C11909">
            <w:pPr>
              <w:pStyle w:val="ENoteTableText"/>
            </w:pPr>
            <w:r w:rsidRPr="0081146C">
              <w:t>Sch</w:t>
            </w:r>
            <w:r w:rsidR="003209EC" w:rsidRPr="0081146C">
              <w:t> </w:t>
            </w:r>
            <w:r w:rsidRPr="0081146C">
              <w:t>1 (</w:t>
            </w:r>
            <w:r w:rsidR="00CA78AA" w:rsidRPr="0081146C">
              <w:t>items 1</w:t>
            </w:r>
            <w:r w:rsidRPr="0081146C">
              <w:t>–4): 8 Dec 2011 (</w:t>
            </w:r>
            <w:r w:rsidR="00C11909" w:rsidRPr="0081146C">
              <w:t>s</w:t>
            </w:r>
            <w:r w:rsidRPr="0081146C">
              <w:t> 2(1)</w:t>
            </w:r>
            <w:r w:rsidR="00C11909" w:rsidRPr="0081146C">
              <w:t xml:space="preserve">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4707F7A3" w14:textId="77777777" w:rsidR="00C72BA2" w:rsidRPr="0081146C" w:rsidRDefault="00C72BA2" w:rsidP="00C72BA2">
            <w:pPr>
              <w:pStyle w:val="ENoteTableText"/>
            </w:pPr>
            <w:r w:rsidRPr="0081146C">
              <w:t>—</w:t>
            </w:r>
          </w:p>
        </w:tc>
      </w:tr>
      <w:tr w:rsidR="00C72BA2" w:rsidRPr="0081146C" w14:paraId="3E36060F" w14:textId="77777777" w:rsidTr="00DB476F">
        <w:trPr>
          <w:cantSplit/>
        </w:trPr>
        <w:tc>
          <w:tcPr>
            <w:tcW w:w="1843" w:type="dxa"/>
            <w:tcBorders>
              <w:top w:val="single" w:sz="4" w:space="0" w:color="auto"/>
              <w:bottom w:val="single" w:sz="4" w:space="0" w:color="auto"/>
            </w:tcBorders>
            <w:shd w:val="clear" w:color="auto" w:fill="auto"/>
          </w:tcPr>
          <w:p w14:paraId="707A7C59" w14:textId="77777777" w:rsidR="00C72BA2" w:rsidRPr="0081146C" w:rsidRDefault="00C72BA2" w:rsidP="00C72BA2">
            <w:pPr>
              <w:pStyle w:val="ENoteTableText"/>
            </w:pPr>
            <w:r w:rsidRPr="0081146C">
              <w:t>Inspector</w:t>
            </w:r>
            <w:r w:rsidR="003B7E15" w:rsidRPr="0081146C">
              <w:noBreakHyphen/>
            </w:r>
            <w:r w:rsidRPr="0081146C">
              <w:t>General of Intelligence and Security Amendment Act 2011</w:t>
            </w:r>
          </w:p>
        </w:tc>
        <w:tc>
          <w:tcPr>
            <w:tcW w:w="992" w:type="dxa"/>
            <w:tcBorders>
              <w:top w:val="single" w:sz="4" w:space="0" w:color="auto"/>
              <w:bottom w:val="single" w:sz="4" w:space="0" w:color="auto"/>
            </w:tcBorders>
            <w:shd w:val="clear" w:color="auto" w:fill="auto"/>
          </w:tcPr>
          <w:p w14:paraId="260162C3" w14:textId="77777777" w:rsidR="00C72BA2" w:rsidRPr="0081146C" w:rsidRDefault="00C72BA2" w:rsidP="00C72BA2">
            <w:pPr>
              <w:pStyle w:val="ENoteTableText"/>
            </w:pPr>
            <w:r w:rsidRPr="0081146C">
              <w:t>118, 2011</w:t>
            </w:r>
          </w:p>
        </w:tc>
        <w:tc>
          <w:tcPr>
            <w:tcW w:w="959" w:type="dxa"/>
            <w:tcBorders>
              <w:top w:val="single" w:sz="4" w:space="0" w:color="auto"/>
              <w:bottom w:val="single" w:sz="4" w:space="0" w:color="auto"/>
            </w:tcBorders>
            <w:shd w:val="clear" w:color="auto" w:fill="auto"/>
          </w:tcPr>
          <w:p w14:paraId="1E369335" w14:textId="77777777" w:rsidR="00C72BA2" w:rsidRPr="0081146C" w:rsidRDefault="00C72BA2" w:rsidP="00C72BA2">
            <w:pPr>
              <w:pStyle w:val="ENoteTableText"/>
            </w:pPr>
            <w:r w:rsidRPr="0081146C">
              <w:t>14 Oct 2011</w:t>
            </w:r>
          </w:p>
        </w:tc>
        <w:tc>
          <w:tcPr>
            <w:tcW w:w="2099" w:type="dxa"/>
            <w:tcBorders>
              <w:top w:val="single" w:sz="4" w:space="0" w:color="auto"/>
              <w:bottom w:val="single" w:sz="4" w:space="0" w:color="auto"/>
            </w:tcBorders>
            <w:shd w:val="clear" w:color="auto" w:fill="auto"/>
          </w:tcPr>
          <w:p w14:paraId="2EBA0CDB" w14:textId="77777777" w:rsidR="00C72BA2" w:rsidRPr="0081146C" w:rsidRDefault="00C72BA2" w:rsidP="00C11909">
            <w:pPr>
              <w:pStyle w:val="ENoteTableText"/>
            </w:pPr>
            <w:r w:rsidRPr="0081146C">
              <w:t>Sch</w:t>
            </w:r>
            <w:r w:rsidR="003209EC" w:rsidRPr="0081146C">
              <w:t> </w:t>
            </w:r>
            <w:r w:rsidRPr="0081146C">
              <w:t>2: 15 Oct 2011</w:t>
            </w:r>
            <w:r w:rsidR="00C11909" w:rsidRPr="0081146C">
              <w:t xml:space="preserve"> (s 2(1) </w:t>
            </w:r>
            <w:r w:rsidR="003B7E15" w:rsidRPr="0081146C">
              <w:t>item 2</w:t>
            </w:r>
            <w:r w:rsidR="00C11909" w:rsidRPr="0081146C">
              <w:t>)</w:t>
            </w:r>
          </w:p>
        </w:tc>
        <w:tc>
          <w:tcPr>
            <w:tcW w:w="1195" w:type="dxa"/>
            <w:tcBorders>
              <w:top w:val="single" w:sz="4" w:space="0" w:color="auto"/>
              <w:bottom w:val="single" w:sz="4" w:space="0" w:color="auto"/>
            </w:tcBorders>
            <w:shd w:val="clear" w:color="auto" w:fill="auto"/>
          </w:tcPr>
          <w:p w14:paraId="328BF4AB" w14:textId="77777777" w:rsidR="00C72BA2" w:rsidRPr="0081146C" w:rsidRDefault="00C72BA2" w:rsidP="00C72BA2">
            <w:pPr>
              <w:pStyle w:val="ENoteTableText"/>
            </w:pPr>
            <w:r w:rsidRPr="0081146C">
              <w:t>—</w:t>
            </w:r>
          </w:p>
        </w:tc>
      </w:tr>
      <w:tr w:rsidR="00C72BA2" w:rsidRPr="0081146C" w14:paraId="716663FF" w14:textId="77777777" w:rsidTr="00DB476F">
        <w:trPr>
          <w:cantSplit/>
        </w:trPr>
        <w:tc>
          <w:tcPr>
            <w:tcW w:w="1843" w:type="dxa"/>
            <w:tcBorders>
              <w:top w:val="single" w:sz="4" w:space="0" w:color="auto"/>
              <w:bottom w:val="single" w:sz="4" w:space="0" w:color="auto"/>
            </w:tcBorders>
            <w:shd w:val="clear" w:color="auto" w:fill="auto"/>
          </w:tcPr>
          <w:p w14:paraId="3993414B" w14:textId="77777777" w:rsidR="00C72BA2" w:rsidRPr="0081146C" w:rsidRDefault="00C72BA2" w:rsidP="00C72BA2">
            <w:pPr>
              <w:pStyle w:val="ENoteTableText"/>
            </w:pPr>
            <w:r w:rsidRPr="0081146C">
              <w:t>Clean Energy (Consequential Amendments) Act 2011</w:t>
            </w:r>
          </w:p>
        </w:tc>
        <w:tc>
          <w:tcPr>
            <w:tcW w:w="992" w:type="dxa"/>
            <w:tcBorders>
              <w:top w:val="single" w:sz="4" w:space="0" w:color="auto"/>
              <w:bottom w:val="single" w:sz="4" w:space="0" w:color="auto"/>
            </w:tcBorders>
            <w:shd w:val="clear" w:color="auto" w:fill="auto"/>
          </w:tcPr>
          <w:p w14:paraId="613CBDE6" w14:textId="77777777" w:rsidR="00C72BA2" w:rsidRPr="0081146C" w:rsidRDefault="00C72BA2" w:rsidP="00C72BA2">
            <w:pPr>
              <w:pStyle w:val="ENoteTableText"/>
            </w:pPr>
            <w:r w:rsidRPr="0081146C">
              <w:t>132, 2011</w:t>
            </w:r>
          </w:p>
        </w:tc>
        <w:tc>
          <w:tcPr>
            <w:tcW w:w="959" w:type="dxa"/>
            <w:tcBorders>
              <w:top w:val="single" w:sz="4" w:space="0" w:color="auto"/>
              <w:bottom w:val="single" w:sz="4" w:space="0" w:color="auto"/>
            </w:tcBorders>
            <w:shd w:val="clear" w:color="auto" w:fill="auto"/>
          </w:tcPr>
          <w:p w14:paraId="724E10B8" w14:textId="77777777" w:rsidR="00C72BA2" w:rsidRPr="0081146C" w:rsidRDefault="00C72BA2" w:rsidP="00C72BA2">
            <w:pPr>
              <w:pStyle w:val="ENoteTableText"/>
            </w:pPr>
            <w:r w:rsidRPr="0081146C">
              <w:t>18 Nov 2011</w:t>
            </w:r>
          </w:p>
        </w:tc>
        <w:tc>
          <w:tcPr>
            <w:tcW w:w="2099" w:type="dxa"/>
            <w:tcBorders>
              <w:top w:val="single" w:sz="4" w:space="0" w:color="auto"/>
              <w:bottom w:val="single" w:sz="4" w:space="0" w:color="auto"/>
            </w:tcBorders>
            <w:shd w:val="clear" w:color="auto" w:fill="auto"/>
          </w:tcPr>
          <w:p w14:paraId="37E45FD3" w14:textId="77777777" w:rsidR="00C72BA2" w:rsidRPr="0081146C" w:rsidRDefault="00C72BA2" w:rsidP="0079344F">
            <w:pPr>
              <w:pStyle w:val="ENoteTableText"/>
            </w:pPr>
            <w:r w:rsidRPr="0081146C">
              <w:t>Sch</w:t>
            </w:r>
            <w:r w:rsidR="003209EC" w:rsidRPr="0081146C">
              <w:t> </w:t>
            </w:r>
            <w:r w:rsidRPr="0081146C">
              <w:t>1 (</w:t>
            </w:r>
            <w:r w:rsidR="00CA78AA" w:rsidRPr="0081146C">
              <w:t>items 1</w:t>
            </w:r>
            <w:r w:rsidRPr="0081146C">
              <w:t>–3): 2 Apr 2012 (s 2(1)</w:t>
            </w:r>
            <w:r w:rsidR="00C11909" w:rsidRPr="0081146C">
              <w:t xml:space="preserve">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4F3CFA97" w14:textId="77777777" w:rsidR="00C72BA2" w:rsidRPr="0081146C" w:rsidRDefault="00C72BA2" w:rsidP="00C72BA2">
            <w:pPr>
              <w:pStyle w:val="ENoteTableText"/>
            </w:pPr>
            <w:r w:rsidRPr="0081146C">
              <w:t>—</w:t>
            </w:r>
          </w:p>
        </w:tc>
      </w:tr>
      <w:tr w:rsidR="00C72BA2" w:rsidRPr="0081146C" w14:paraId="1C124FBE" w14:textId="77777777" w:rsidTr="00DB476F">
        <w:trPr>
          <w:cantSplit/>
        </w:trPr>
        <w:tc>
          <w:tcPr>
            <w:tcW w:w="1843" w:type="dxa"/>
            <w:tcBorders>
              <w:top w:val="single" w:sz="4" w:space="0" w:color="auto"/>
              <w:bottom w:val="single" w:sz="4" w:space="0" w:color="auto"/>
            </w:tcBorders>
            <w:shd w:val="clear" w:color="auto" w:fill="auto"/>
          </w:tcPr>
          <w:p w14:paraId="0017121F" w14:textId="77777777" w:rsidR="00C72BA2" w:rsidRPr="0081146C" w:rsidRDefault="00C72BA2" w:rsidP="00C72BA2">
            <w:pPr>
              <w:pStyle w:val="ENoteTableText"/>
            </w:pPr>
            <w:r w:rsidRPr="0081146C">
              <w:t>Australian Charities and Not</w:t>
            </w:r>
            <w:r w:rsidR="003B7E15" w:rsidRPr="0081146C">
              <w:noBreakHyphen/>
            </w:r>
            <w:r w:rsidRPr="0081146C">
              <w:t>for</w:t>
            </w:r>
            <w:r w:rsidR="003B7E15" w:rsidRPr="0081146C">
              <w:noBreakHyphen/>
            </w:r>
            <w:r w:rsidRPr="0081146C">
              <w:t>profits Commission (Consequential and Transitional) Act 2012</w:t>
            </w:r>
          </w:p>
        </w:tc>
        <w:tc>
          <w:tcPr>
            <w:tcW w:w="992" w:type="dxa"/>
            <w:tcBorders>
              <w:top w:val="single" w:sz="4" w:space="0" w:color="auto"/>
              <w:bottom w:val="single" w:sz="4" w:space="0" w:color="auto"/>
            </w:tcBorders>
            <w:shd w:val="clear" w:color="auto" w:fill="auto"/>
          </w:tcPr>
          <w:p w14:paraId="101ED2B5" w14:textId="77777777" w:rsidR="00C72BA2" w:rsidRPr="0081146C" w:rsidRDefault="00C72BA2" w:rsidP="00C72BA2">
            <w:pPr>
              <w:pStyle w:val="ENoteTableText"/>
            </w:pPr>
            <w:r w:rsidRPr="0081146C">
              <w:t>169, 2012</w:t>
            </w:r>
          </w:p>
        </w:tc>
        <w:tc>
          <w:tcPr>
            <w:tcW w:w="959" w:type="dxa"/>
            <w:tcBorders>
              <w:top w:val="single" w:sz="4" w:space="0" w:color="auto"/>
              <w:bottom w:val="single" w:sz="4" w:space="0" w:color="auto"/>
            </w:tcBorders>
            <w:shd w:val="clear" w:color="auto" w:fill="auto"/>
          </w:tcPr>
          <w:p w14:paraId="09861A03" w14:textId="77777777" w:rsidR="00C72BA2" w:rsidRPr="0081146C" w:rsidRDefault="00C72BA2" w:rsidP="00C72BA2">
            <w:pPr>
              <w:pStyle w:val="ENoteTableText"/>
            </w:pPr>
            <w:r w:rsidRPr="0081146C">
              <w:t>3 Dec 2012</w:t>
            </w:r>
          </w:p>
        </w:tc>
        <w:tc>
          <w:tcPr>
            <w:tcW w:w="2099" w:type="dxa"/>
            <w:tcBorders>
              <w:top w:val="single" w:sz="4" w:space="0" w:color="auto"/>
              <w:bottom w:val="single" w:sz="4" w:space="0" w:color="auto"/>
            </w:tcBorders>
            <w:shd w:val="clear" w:color="auto" w:fill="auto"/>
          </w:tcPr>
          <w:p w14:paraId="78A0A552" w14:textId="77777777" w:rsidR="00C72BA2" w:rsidRPr="0081146C" w:rsidRDefault="00C72BA2" w:rsidP="005F38E4">
            <w:pPr>
              <w:pStyle w:val="ENoteTableText"/>
            </w:pPr>
            <w:r w:rsidRPr="0081146C">
              <w:t>Sch</w:t>
            </w:r>
            <w:r w:rsidR="003209EC" w:rsidRPr="0081146C">
              <w:t> </w:t>
            </w:r>
            <w:r w:rsidRPr="0081146C">
              <w:t>2 (</w:t>
            </w:r>
            <w:r w:rsidR="00CA78AA" w:rsidRPr="0081146C">
              <w:t>items 1</w:t>
            </w:r>
            <w:r w:rsidRPr="0081146C">
              <w:t>49, 150): 3 Dec 2012 (s 2(1)</w:t>
            </w:r>
            <w:r w:rsidR="005F38E4" w:rsidRPr="0081146C">
              <w:t xml:space="preserve"> item</w:t>
            </w:r>
            <w:r w:rsidR="004F64A4" w:rsidRPr="0081146C">
              <w:t> </w:t>
            </w:r>
            <w:r w:rsidR="005F38E4" w:rsidRPr="0081146C">
              <w:t>7</w:t>
            </w:r>
            <w:r w:rsidRPr="0081146C">
              <w:t>)</w:t>
            </w:r>
          </w:p>
        </w:tc>
        <w:tc>
          <w:tcPr>
            <w:tcW w:w="1195" w:type="dxa"/>
            <w:tcBorders>
              <w:top w:val="single" w:sz="4" w:space="0" w:color="auto"/>
              <w:bottom w:val="single" w:sz="4" w:space="0" w:color="auto"/>
            </w:tcBorders>
            <w:shd w:val="clear" w:color="auto" w:fill="auto"/>
          </w:tcPr>
          <w:p w14:paraId="45F32654" w14:textId="77777777" w:rsidR="00C72BA2" w:rsidRPr="0081146C" w:rsidRDefault="00C72BA2" w:rsidP="00C72BA2">
            <w:pPr>
              <w:pStyle w:val="ENoteTableText"/>
            </w:pPr>
            <w:r w:rsidRPr="0081146C">
              <w:t>—</w:t>
            </w:r>
          </w:p>
        </w:tc>
      </w:tr>
      <w:tr w:rsidR="00407B1C" w:rsidRPr="0081146C" w14:paraId="305A32F8" w14:textId="77777777" w:rsidTr="00DB476F">
        <w:trPr>
          <w:cantSplit/>
        </w:trPr>
        <w:tc>
          <w:tcPr>
            <w:tcW w:w="1843" w:type="dxa"/>
            <w:tcBorders>
              <w:top w:val="single" w:sz="4" w:space="0" w:color="auto"/>
              <w:bottom w:val="single" w:sz="4" w:space="0" w:color="auto"/>
            </w:tcBorders>
            <w:shd w:val="clear" w:color="auto" w:fill="auto"/>
          </w:tcPr>
          <w:p w14:paraId="0589DCBB" w14:textId="77777777" w:rsidR="00407B1C" w:rsidRPr="0081146C" w:rsidRDefault="00407B1C" w:rsidP="00C72BA2">
            <w:pPr>
              <w:pStyle w:val="ENoteTableText"/>
            </w:pPr>
            <w:r w:rsidRPr="0081146C">
              <w:t>Privacy Amendment (Enhancing Privacy Protection) Act 2012</w:t>
            </w:r>
          </w:p>
        </w:tc>
        <w:tc>
          <w:tcPr>
            <w:tcW w:w="992" w:type="dxa"/>
            <w:tcBorders>
              <w:top w:val="single" w:sz="4" w:space="0" w:color="auto"/>
              <w:bottom w:val="single" w:sz="4" w:space="0" w:color="auto"/>
            </w:tcBorders>
            <w:shd w:val="clear" w:color="auto" w:fill="auto"/>
          </w:tcPr>
          <w:p w14:paraId="14E5A7F6" w14:textId="77777777" w:rsidR="00407B1C" w:rsidRPr="0081146C" w:rsidRDefault="00407B1C" w:rsidP="00C72BA2">
            <w:pPr>
              <w:pStyle w:val="ENoteTableText"/>
            </w:pPr>
            <w:r w:rsidRPr="0081146C">
              <w:t>197, 2012</w:t>
            </w:r>
          </w:p>
        </w:tc>
        <w:tc>
          <w:tcPr>
            <w:tcW w:w="959" w:type="dxa"/>
            <w:tcBorders>
              <w:top w:val="single" w:sz="4" w:space="0" w:color="auto"/>
              <w:bottom w:val="single" w:sz="4" w:space="0" w:color="auto"/>
            </w:tcBorders>
            <w:shd w:val="clear" w:color="auto" w:fill="auto"/>
          </w:tcPr>
          <w:p w14:paraId="49693A6B" w14:textId="77777777" w:rsidR="00407B1C" w:rsidRPr="0081146C" w:rsidRDefault="00407B1C" w:rsidP="00C72BA2">
            <w:pPr>
              <w:pStyle w:val="ENoteTableText"/>
            </w:pPr>
            <w:r w:rsidRPr="0081146C">
              <w:t>12 Dec 2012</w:t>
            </w:r>
          </w:p>
        </w:tc>
        <w:tc>
          <w:tcPr>
            <w:tcW w:w="2099" w:type="dxa"/>
            <w:tcBorders>
              <w:top w:val="single" w:sz="4" w:space="0" w:color="auto"/>
              <w:bottom w:val="single" w:sz="4" w:space="0" w:color="auto"/>
            </w:tcBorders>
            <w:shd w:val="clear" w:color="auto" w:fill="auto"/>
          </w:tcPr>
          <w:p w14:paraId="64F30199" w14:textId="77777777" w:rsidR="00407B1C" w:rsidRPr="0081146C" w:rsidRDefault="00407B1C" w:rsidP="005F38E4">
            <w:pPr>
              <w:pStyle w:val="ENoteTableText"/>
            </w:pPr>
            <w:r w:rsidRPr="0081146C">
              <w:t>Sch</w:t>
            </w:r>
            <w:r w:rsidR="003209EC" w:rsidRPr="0081146C">
              <w:t> </w:t>
            </w:r>
            <w:r w:rsidRPr="0081146C">
              <w:t>5 (items</w:t>
            </w:r>
            <w:r w:rsidR="004F64A4" w:rsidRPr="0081146C">
              <w:t> </w:t>
            </w:r>
            <w:r w:rsidRPr="0081146C">
              <w:t>9, 10, 102–127)</w:t>
            </w:r>
            <w:r w:rsidR="00883F24" w:rsidRPr="0081146C">
              <w:t xml:space="preserve"> and Sch 6 (</w:t>
            </w:r>
            <w:r w:rsidR="00CA78AA" w:rsidRPr="0081146C">
              <w:t>items 1</w:t>
            </w:r>
            <w:r w:rsidR="00E1544F" w:rsidRPr="0081146C">
              <w:t xml:space="preserve">, </w:t>
            </w:r>
            <w:r w:rsidR="00883F24" w:rsidRPr="0081146C">
              <w:t>15–19)</w:t>
            </w:r>
            <w:r w:rsidRPr="0081146C">
              <w:t xml:space="preserve">: </w:t>
            </w:r>
            <w:r w:rsidR="00AF391E" w:rsidRPr="0081146C">
              <w:t>12 Mar 2014</w:t>
            </w:r>
            <w:r w:rsidR="005F38E4" w:rsidRPr="0081146C">
              <w:t xml:space="preserve"> (s 2(1) item</w:t>
            </w:r>
            <w:r w:rsidR="00883F24" w:rsidRPr="0081146C">
              <w:t>s</w:t>
            </w:r>
            <w:r w:rsidR="004F64A4" w:rsidRPr="0081146C">
              <w:t> </w:t>
            </w:r>
            <w:r w:rsidR="005F38E4" w:rsidRPr="0081146C">
              <w:t>3</w:t>
            </w:r>
            <w:r w:rsidR="00883F24" w:rsidRPr="0081146C">
              <w:t xml:space="preserve">, </w:t>
            </w:r>
            <w:r w:rsidR="00743E9F" w:rsidRPr="0081146C">
              <w:t xml:space="preserve">16, </w:t>
            </w:r>
            <w:r w:rsidR="00883F24" w:rsidRPr="0081146C">
              <w:t>19</w:t>
            </w:r>
            <w:r w:rsidR="005F38E4" w:rsidRPr="0081146C">
              <w:t>)</w:t>
            </w:r>
          </w:p>
        </w:tc>
        <w:tc>
          <w:tcPr>
            <w:tcW w:w="1195" w:type="dxa"/>
            <w:tcBorders>
              <w:top w:val="single" w:sz="4" w:space="0" w:color="auto"/>
              <w:bottom w:val="single" w:sz="4" w:space="0" w:color="auto"/>
            </w:tcBorders>
            <w:shd w:val="clear" w:color="auto" w:fill="auto"/>
          </w:tcPr>
          <w:p w14:paraId="5991258B" w14:textId="77777777" w:rsidR="00407B1C" w:rsidRPr="0081146C" w:rsidRDefault="00883F24" w:rsidP="00C72BA2">
            <w:pPr>
              <w:pStyle w:val="ENoteTableText"/>
            </w:pPr>
            <w:r w:rsidRPr="0081146C">
              <w:t>Sch 6 (</w:t>
            </w:r>
            <w:r w:rsidR="00CA78AA" w:rsidRPr="0081146C">
              <w:t>items 1</w:t>
            </w:r>
            <w:r w:rsidR="00E1544F" w:rsidRPr="0081146C">
              <w:t xml:space="preserve">, </w:t>
            </w:r>
            <w:r w:rsidRPr="0081146C">
              <w:t>15–19)</w:t>
            </w:r>
          </w:p>
        </w:tc>
      </w:tr>
      <w:tr w:rsidR="004D3630" w:rsidRPr="0081146C" w14:paraId="65037FFB" w14:textId="77777777" w:rsidTr="00DB476F">
        <w:trPr>
          <w:cantSplit/>
        </w:trPr>
        <w:tc>
          <w:tcPr>
            <w:tcW w:w="1843" w:type="dxa"/>
            <w:tcBorders>
              <w:top w:val="single" w:sz="4" w:space="0" w:color="auto"/>
              <w:bottom w:val="single" w:sz="4" w:space="0" w:color="auto"/>
            </w:tcBorders>
            <w:shd w:val="clear" w:color="auto" w:fill="auto"/>
          </w:tcPr>
          <w:p w14:paraId="0F621609" w14:textId="77777777" w:rsidR="004D3630" w:rsidRPr="0081146C" w:rsidRDefault="004D3630" w:rsidP="00C72BA2">
            <w:pPr>
              <w:pStyle w:val="ENoteTableText"/>
            </w:pPr>
            <w:r w:rsidRPr="0081146C">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14:paraId="40F404C0" w14:textId="77777777" w:rsidR="004D3630" w:rsidRPr="0081146C" w:rsidRDefault="004D3630" w:rsidP="00C72BA2">
            <w:pPr>
              <w:pStyle w:val="ENoteTableText"/>
            </w:pPr>
            <w:r w:rsidRPr="0081146C">
              <w:t>74, 2013</w:t>
            </w:r>
          </w:p>
        </w:tc>
        <w:tc>
          <w:tcPr>
            <w:tcW w:w="959" w:type="dxa"/>
            <w:tcBorders>
              <w:top w:val="single" w:sz="4" w:space="0" w:color="auto"/>
              <w:bottom w:val="single" w:sz="4" w:space="0" w:color="auto"/>
            </w:tcBorders>
            <w:shd w:val="clear" w:color="auto" w:fill="auto"/>
          </w:tcPr>
          <w:p w14:paraId="6C671D67" w14:textId="77777777" w:rsidR="004D3630" w:rsidRPr="0081146C" w:rsidRDefault="004D3630" w:rsidP="00C72BA2">
            <w:pPr>
              <w:pStyle w:val="ENoteTableText"/>
            </w:pPr>
            <w:r w:rsidRPr="0081146C">
              <w:t>28</w:t>
            </w:r>
            <w:r w:rsidR="004F64A4" w:rsidRPr="0081146C">
              <w:t> </w:t>
            </w:r>
            <w:r w:rsidRPr="0081146C">
              <w:t>June 2013</w:t>
            </w:r>
          </w:p>
        </w:tc>
        <w:tc>
          <w:tcPr>
            <w:tcW w:w="2099" w:type="dxa"/>
            <w:tcBorders>
              <w:top w:val="single" w:sz="4" w:space="0" w:color="auto"/>
              <w:bottom w:val="single" w:sz="4" w:space="0" w:color="auto"/>
            </w:tcBorders>
            <w:shd w:val="clear" w:color="auto" w:fill="auto"/>
          </w:tcPr>
          <w:p w14:paraId="4ADFE896" w14:textId="77777777" w:rsidR="004D3630" w:rsidRPr="0081146C" w:rsidRDefault="004D3630" w:rsidP="005F38E4">
            <w:pPr>
              <w:pStyle w:val="ENoteTableText"/>
            </w:pPr>
            <w:r w:rsidRPr="0081146C">
              <w:t>Sch</w:t>
            </w:r>
            <w:r w:rsidR="003209EC" w:rsidRPr="0081146C">
              <w:t> </w:t>
            </w:r>
            <w:r w:rsidRPr="0081146C">
              <w:t>1 (</w:t>
            </w:r>
            <w:r w:rsidR="00CA78AA" w:rsidRPr="0081146C">
              <w:t>items 1</w:t>
            </w:r>
            <w:r w:rsidRPr="0081146C">
              <w:t>–3) and Sch</w:t>
            </w:r>
            <w:r w:rsidR="003209EC" w:rsidRPr="0081146C">
              <w:t> </w:t>
            </w:r>
            <w:r w:rsidRPr="0081146C">
              <w:t>4 (</w:t>
            </w:r>
            <w:r w:rsidR="00CA78AA" w:rsidRPr="0081146C">
              <w:t>items 1</w:t>
            </w:r>
            <w:r w:rsidRPr="0081146C">
              <w:t>–3</w:t>
            </w:r>
            <w:r w:rsidR="00B149DF" w:rsidRPr="0081146C">
              <w:t>3</w:t>
            </w:r>
            <w:r w:rsidR="00761D25" w:rsidRPr="0081146C">
              <w:t>)</w:t>
            </w:r>
            <w:r w:rsidRPr="0081146C">
              <w:t>: 29</w:t>
            </w:r>
            <w:r w:rsidR="004F64A4" w:rsidRPr="0081146C">
              <w:t> </w:t>
            </w:r>
            <w:r w:rsidRPr="0081146C">
              <w:t>June 2013</w:t>
            </w:r>
            <w:r w:rsidR="005F38E4" w:rsidRPr="0081146C">
              <w:t xml:space="preserve"> (s 2(1) </w:t>
            </w:r>
            <w:r w:rsidR="001E59AD" w:rsidRPr="0081146C">
              <w:t>items 2</w:t>
            </w:r>
            <w:r w:rsidR="005F38E4" w:rsidRPr="0081146C">
              <w:t>, 5)</w:t>
            </w:r>
            <w:r w:rsidR="0045713E" w:rsidRPr="0081146C">
              <w:br/>
              <w:t>Sch</w:t>
            </w:r>
            <w:r w:rsidR="003209EC" w:rsidRPr="0081146C">
              <w:t> </w:t>
            </w:r>
            <w:r w:rsidR="0045713E" w:rsidRPr="0081146C">
              <w:t>4 (</w:t>
            </w:r>
            <w:r w:rsidR="003B7E15" w:rsidRPr="0081146C">
              <w:t>item 3</w:t>
            </w:r>
            <w:r w:rsidR="00B149DF" w:rsidRPr="0081146C">
              <w:t>4</w:t>
            </w:r>
            <w:r w:rsidR="0045713E" w:rsidRPr="0081146C">
              <w:t xml:space="preserve">): </w:t>
            </w:r>
            <w:r w:rsidR="00AF391E" w:rsidRPr="0081146C">
              <w:t>12</w:t>
            </w:r>
            <w:r w:rsidR="009B38C8" w:rsidRPr="0081146C">
              <w:t> </w:t>
            </w:r>
            <w:r w:rsidR="00AF391E" w:rsidRPr="0081146C">
              <w:t>Mar 2014</w:t>
            </w:r>
            <w:r w:rsidR="005F38E4" w:rsidRPr="0081146C">
              <w:t xml:space="preserve"> (s 2(1) </w:t>
            </w:r>
            <w:r w:rsidR="00753679" w:rsidRPr="0081146C">
              <w:t>item 6</w:t>
            </w:r>
            <w:r w:rsidR="005F38E4" w:rsidRPr="0081146C">
              <w:t>)</w:t>
            </w:r>
          </w:p>
        </w:tc>
        <w:tc>
          <w:tcPr>
            <w:tcW w:w="1195" w:type="dxa"/>
            <w:tcBorders>
              <w:top w:val="single" w:sz="4" w:space="0" w:color="auto"/>
              <w:bottom w:val="single" w:sz="4" w:space="0" w:color="auto"/>
            </w:tcBorders>
            <w:shd w:val="clear" w:color="auto" w:fill="auto"/>
          </w:tcPr>
          <w:p w14:paraId="0AEA9930" w14:textId="77777777" w:rsidR="004D3630" w:rsidRPr="0081146C" w:rsidRDefault="0045713E" w:rsidP="00E2629A">
            <w:pPr>
              <w:pStyle w:val="ENoteTableText"/>
            </w:pPr>
            <w:r w:rsidRPr="0081146C">
              <w:t>Sch 1 (</w:t>
            </w:r>
            <w:r w:rsidR="003B7E15" w:rsidRPr="0081146C">
              <w:t>item 3</w:t>
            </w:r>
            <w:r w:rsidRPr="0081146C">
              <w:t>)</w:t>
            </w:r>
            <w:r w:rsidR="009954A9" w:rsidRPr="0081146C">
              <w:t xml:space="preserve"> and Sch 4 (</w:t>
            </w:r>
            <w:r w:rsidR="003B7E15" w:rsidRPr="0081146C">
              <w:t>item 3</w:t>
            </w:r>
            <w:r w:rsidR="009954A9" w:rsidRPr="0081146C">
              <w:t>3)</w:t>
            </w:r>
          </w:p>
        </w:tc>
      </w:tr>
      <w:tr w:rsidR="00D22483" w:rsidRPr="0081146C" w14:paraId="1C5ADC9C" w14:textId="77777777" w:rsidTr="00DB476F">
        <w:trPr>
          <w:cantSplit/>
        </w:trPr>
        <w:tc>
          <w:tcPr>
            <w:tcW w:w="1843" w:type="dxa"/>
            <w:tcBorders>
              <w:top w:val="single" w:sz="4" w:space="0" w:color="auto"/>
              <w:bottom w:val="single" w:sz="4" w:space="0" w:color="auto"/>
            </w:tcBorders>
            <w:shd w:val="clear" w:color="auto" w:fill="auto"/>
          </w:tcPr>
          <w:p w14:paraId="5251AD34" w14:textId="77777777" w:rsidR="00D22483" w:rsidRPr="0081146C" w:rsidRDefault="00D22483" w:rsidP="00C72BA2">
            <w:pPr>
              <w:pStyle w:val="ENoteTableText"/>
            </w:pPr>
            <w:r w:rsidRPr="0081146C">
              <w:t>Statute Law Revision Act (No.</w:t>
            </w:r>
            <w:r w:rsidR="004F64A4" w:rsidRPr="0081146C">
              <w:t> </w:t>
            </w:r>
            <w:r w:rsidRPr="0081146C">
              <w:t>1) 2014</w:t>
            </w:r>
          </w:p>
        </w:tc>
        <w:tc>
          <w:tcPr>
            <w:tcW w:w="992" w:type="dxa"/>
            <w:tcBorders>
              <w:top w:val="single" w:sz="4" w:space="0" w:color="auto"/>
              <w:bottom w:val="single" w:sz="4" w:space="0" w:color="auto"/>
            </w:tcBorders>
            <w:shd w:val="clear" w:color="auto" w:fill="auto"/>
          </w:tcPr>
          <w:p w14:paraId="226E88BF" w14:textId="77777777" w:rsidR="00D22483" w:rsidRPr="0081146C" w:rsidRDefault="00D22483" w:rsidP="00C72BA2">
            <w:pPr>
              <w:pStyle w:val="ENoteTableText"/>
            </w:pPr>
            <w:r w:rsidRPr="0081146C">
              <w:t>31, 2014</w:t>
            </w:r>
          </w:p>
        </w:tc>
        <w:tc>
          <w:tcPr>
            <w:tcW w:w="959" w:type="dxa"/>
            <w:tcBorders>
              <w:top w:val="single" w:sz="4" w:space="0" w:color="auto"/>
              <w:bottom w:val="single" w:sz="4" w:space="0" w:color="auto"/>
            </w:tcBorders>
            <w:shd w:val="clear" w:color="auto" w:fill="auto"/>
          </w:tcPr>
          <w:p w14:paraId="0580CD99" w14:textId="77777777" w:rsidR="00D22483" w:rsidRPr="0081146C" w:rsidRDefault="00D22483" w:rsidP="00C72BA2">
            <w:pPr>
              <w:pStyle w:val="ENoteTableText"/>
            </w:pPr>
            <w:r w:rsidRPr="0081146C">
              <w:t>27</w:t>
            </w:r>
            <w:r w:rsidR="004F64A4" w:rsidRPr="0081146C">
              <w:t> </w:t>
            </w:r>
            <w:r w:rsidRPr="0081146C">
              <w:t>May 2014</w:t>
            </w:r>
          </w:p>
        </w:tc>
        <w:tc>
          <w:tcPr>
            <w:tcW w:w="2099" w:type="dxa"/>
            <w:tcBorders>
              <w:top w:val="single" w:sz="4" w:space="0" w:color="auto"/>
              <w:bottom w:val="single" w:sz="4" w:space="0" w:color="auto"/>
            </w:tcBorders>
            <w:shd w:val="clear" w:color="auto" w:fill="auto"/>
          </w:tcPr>
          <w:p w14:paraId="395C21A0" w14:textId="77777777" w:rsidR="00D22483" w:rsidRPr="0081146C" w:rsidRDefault="00D22483" w:rsidP="000161B9">
            <w:pPr>
              <w:pStyle w:val="ENoteTableText"/>
            </w:pPr>
            <w:r w:rsidRPr="0081146C">
              <w:t>Sch 1 (item</w:t>
            </w:r>
            <w:r w:rsidR="004F64A4" w:rsidRPr="0081146C">
              <w:t> </w:t>
            </w:r>
            <w:r w:rsidRPr="0081146C">
              <w:t>4), Sch 4 (item</w:t>
            </w:r>
            <w:r w:rsidR="004F64A4" w:rsidRPr="0081146C">
              <w:t> </w:t>
            </w:r>
            <w:r w:rsidRPr="0081146C">
              <w:t xml:space="preserve">92) </w:t>
            </w:r>
            <w:r w:rsidR="00F3656C" w:rsidRPr="0081146C">
              <w:t xml:space="preserve">and </w:t>
            </w:r>
            <w:r w:rsidRPr="0081146C">
              <w:t>Sch 8 (item</w:t>
            </w:r>
            <w:r w:rsidR="004F64A4" w:rsidRPr="0081146C">
              <w:t> </w:t>
            </w:r>
            <w:r w:rsidRPr="0081146C">
              <w:t xml:space="preserve">4): </w:t>
            </w:r>
            <w:r w:rsidR="00F3656C" w:rsidRPr="0081146C">
              <w:t>24</w:t>
            </w:r>
            <w:r w:rsidR="004F64A4" w:rsidRPr="0081146C">
              <w:t> </w:t>
            </w:r>
            <w:r w:rsidR="00F3656C" w:rsidRPr="0081146C">
              <w:t>June 2014</w:t>
            </w:r>
            <w:r w:rsidR="005F38E4" w:rsidRPr="0081146C">
              <w:t xml:space="preserve"> (s 2(1) </w:t>
            </w:r>
            <w:r w:rsidR="001E59AD" w:rsidRPr="0081146C">
              <w:t>items 2</w:t>
            </w:r>
            <w:r w:rsidR="005F38E4" w:rsidRPr="0081146C">
              <w:t>, 9)</w:t>
            </w:r>
          </w:p>
        </w:tc>
        <w:tc>
          <w:tcPr>
            <w:tcW w:w="1195" w:type="dxa"/>
            <w:tcBorders>
              <w:top w:val="single" w:sz="4" w:space="0" w:color="auto"/>
              <w:bottom w:val="single" w:sz="4" w:space="0" w:color="auto"/>
            </w:tcBorders>
            <w:shd w:val="clear" w:color="auto" w:fill="auto"/>
          </w:tcPr>
          <w:p w14:paraId="1E82D610" w14:textId="77777777" w:rsidR="00D22483" w:rsidRPr="0081146C" w:rsidRDefault="00F3656C" w:rsidP="00E67FFD">
            <w:pPr>
              <w:pStyle w:val="ENoteTableText"/>
            </w:pPr>
            <w:r w:rsidRPr="0081146C">
              <w:t>—</w:t>
            </w:r>
          </w:p>
        </w:tc>
      </w:tr>
      <w:tr w:rsidR="0031754D" w:rsidRPr="0081146C" w14:paraId="33D17971" w14:textId="77777777" w:rsidTr="00DB476F">
        <w:trPr>
          <w:cantSplit/>
        </w:trPr>
        <w:tc>
          <w:tcPr>
            <w:tcW w:w="1843" w:type="dxa"/>
            <w:tcBorders>
              <w:top w:val="single" w:sz="4" w:space="0" w:color="auto"/>
              <w:bottom w:val="single" w:sz="4" w:space="0" w:color="auto"/>
            </w:tcBorders>
            <w:shd w:val="clear" w:color="auto" w:fill="auto"/>
          </w:tcPr>
          <w:p w14:paraId="64CE1A5F" w14:textId="77777777" w:rsidR="0031754D" w:rsidRPr="0081146C" w:rsidRDefault="0031754D" w:rsidP="00C72BA2">
            <w:pPr>
              <w:pStyle w:val="ENoteTableText"/>
            </w:pPr>
            <w:r w:rsidRPr="0081146C">
              <w:t>Clean Energy Legislation (Carbon Tax Repeal Act) 2014</w:t>
            </w:r>
          </w:p>
        </w:tc>
        <w:tc>
          <w:tcPr>
            <w:tcW w:w="992" w:type="dxa"/>
            <w:tcBorders>
              <w:top w:val="single" w:sz="4" w:space="0" w:color="auto"/>
              <w:bottom w:val="single" w:sz="4" w:space="0" w:color="auto"/>
            </w:tcBorders>
            <w:shd w:val="clear" w:color="auto" w:fill="auto"/>
          </w:tcPr>
          <w:p w14:paraId="51D69636" w14:textId="77777777" w:rsidR="0031754D" w:rsidRPr="0081146C" w:rsidRDefault="0031754D" w:rsidP="00C72BA2">
            <w:pPr>
              <w:pStyle w:val="ENoteTableText"/>
            </w:pPr>
            <w:r w:rsidRPr="0081146C">
              <w:t>83, 2014</w:t>
            </w:r>
          </w:p>
        </w:tc>
        <w:tc>
          <w:tcPr>
            <w:tcW w:w="959" w:type="dxa"/>
            <w:tcBorders>
              <w:top w:val="single" w:sz="4" w:space="0" w:color="auto"/>
              <w:bottom w:val="single" w:sz="4" w:space="0" w:color="auto"/>
            </w:tcBorders>
            <w:shd w:val="clear" w:color="auto" w:fill="auto"/>
          </w:tcPr>
          <w:p w14:paraId="304D7E71" w14:textId="77777777" w:rsidR="0031754D" w:rsidRPr="0081146C" w:rsidRDefault="0031754D" w:rsidP="00C72BA2">
            <w:pPr>
              <w:pStyle w:val="ENoteTableText"/>
            </w:pPr>
            <w:r w:rsidRPr="0081146C">
              <w:t>17</w:t>
            </w:r>
            <w:r w:rsidR="004F64A4" w:rsidRPr="0081146C">
              <w:t> </w:t>
            </w:r>
            <w:r w:rsidRPr="0081146C">
              <w:t>July 2014</w:t>
            </w:r>
          </w:p>
        </w:tc>
        <w:tc>
          <w:tcPr>
            <w:tcW w:w="2099" w:type="dxa"/>
            <w:tcBorders>
              <w:top w:val="single" w:sz="4" w:space="0" w:color="auto"/>
              <w:bottom w:val="single" w:sz="4" w:space="0" w:color="auto"/>
            </w:tcBorders>
            <w:shd w:val="clear" w:color="auto" w:fill="auto"/>
          </w:tcPr>
          <w:p w14:paraId="27F89350" w14:textId="77777777" w:rsidR="0031754D" w:rsidRPr="0081146C" w:rsidRDefault="0031754D" w:rsidP="009B38C8">
            <w:pPr>
              <w:pStyle w:val="ENoteTableText"/>
            </w:pPr>
            <w:r w:rsidRPr="0081146C">
              <w:t>Sch 1 (</w:t>
            </w:r>
            <w:r w:rsidR="00CA78AA" w:rsidRPr="0081146C">
              <w:t>items 1</w:t>
            </w:r>
            <w:r w:rsidRPr="0081146C">
              <w:t>0</w:t>
            </w:r>
            <w:r w:rsidR="00DD3A66" w:rsidRPr="0081146C">
              <w:t>–</w:t>
            </w:r>
            <w:r w:rsidRPr="0081146C">
              <w:t>12</w:t>
            </w:r>
            <w:r w:rsidR="002E70CE" w:rsidRPr="0081146C">
              <w:t>, 331</w:t>
            </w:r>
            <w:r w:rsidRPr="0081146C">
              <w:t xml:space="preserve">): </w:t>
            </w:r>
            <w:r w:rsidR="001E59AD" w:rsidRPr="0081146C">
              <w:t>1 July</w:t>
            </w:r>
            <w:r w:rsidRPr="0081146C">
              <w:t xml:space="preserve"> 2014 (s 2(1) </w:t>
            </w:r>
            <w:r w:rsidR="001E59AD" w:rsidRPr="0081146C">
              <w:t>items 2</w:t>
            </w:r>
            <w:r w:rsidR="002E70CE" w:rsidRPr="0081146C">
              <w:t>,</w:t>
            </w:r>
            <w:r w:rsidR="009B38C8" w:rsidRPr="0081146C">
              <w:t> </w:t>
            </w:r>
            <w:r w:rsidR="002E70CE" w:rsidRPr="0081146C">
              <w:t>3</w:t>
            </w:r>
            <w:r w:rsidRPr="0081146C">
              <w:t>)</w:t>
            </w:r>
          </w:p>
        </w:tc>
        <w:tc>
          <w:tcPr>
            <w:tcW w:w="1195" w:type="dxa"/>
            <w:tcBorders>
              <w:top w:val="single" w:sz="4" w:space="0" w:color="auto"/>
              <w:bottom w:val="single" w:sz="4" w:space="0" w:color="auto"/>
            </w:tcBorders>
            <w:shd w:val="clear" w:color="auto" w:fill="auto"/>
          </w:tcPr>
          <w:p w14:paraId="06382AE0" w14:textId="77777777" w:rsidR="0031754D" w:rsidRPr="0081146C" w:rsidRDefault="002E70CE" w:rsidP="00E67FFD">
            <w:pPr>
              <w:pStyle w:val="ENoteTableText"/>
            </w:pPr>
            <w:r w:rsidRPr="0081146C">
              <w:t>Sch 1 (</w:t>
            </w:r>
            <w:r w:rsidR="003B7E15" w:rsidRPr="0081146C">
              <w:t>item 3</w:t>
            </w:r>
            <w:r w:rsidRPr="0081146C">
              <w:t>31)</w:t>
            </w:r>
          </w:p>
        </w:tc>
      </w:tr>
      <w:tr w:rsidR="00F43DF5" w:rsidRPr="0081146C" w14:paraId="1EE061C8" w14:textId="77777777" w:rsidTr="00DB476F">
        <w:trPr>
          <w:cantSplit/>
        </w:trPr>
        <w:tc>
          <w:tcPr>
            <w:tcW w:w="1843" w:type="dxa"/>
            <w:tcBorders>
              <w:top w:val="single" w:sz="4" w:space="0" w:color="auto"/>
              <w:bottom w:val="single" w:sz="4" w:space="0" w:color="auto"/>
            </w:tcBorders>
            <w:shd w:val="clear" w:color="auto" w:fill="auto"/>
          </w:tcPr>
          <w:p w14:paraId="062CA205" w14:textId="77777777" w:rsidR="00F43DF5" w:rsidRPr="0081146C" w:rsidRDefault="00F43DF5" w:rsidP="007034F7">
            <w:pPr>
              <w:pStyle w:val="ENoteTableText"/>
            </w:pPr>
            <w:r w:rsidRPr="0081146C">
              <w:t>National Security Legislation Amendment Act (No.</w:t>
            </w:r>
            <w:r w:rsidR="004F64A4" w:rsidRPr="0081146C">
              <w:t> </w:t>
            </w:r>
            <w:r w:rsidRPr="0081146C">
              <w:t>1) 2014</w:t>
            </w:r>
          </w:p>
        </w:tc>
        <w:tc>
          <w:tcPr>
            <w:tcW w:w="992" w:type="dxa"/>
            <w:tcBorders>
              <w:top w:val="single" w:sz="4" w:space="0" w:color="auto"/>
              <w:bottom w:val="single" w:sz="4" w:space="0" w:color="auto"/>
            </w:tcBorders>
            <w:shd w:val="clear" w:color="auto" w:fill="auto"/>
          </w:tcPr>
          <w:p w14:paraId="7950559B" w14:textId="77777777" w:rsidR="00F43DF5" w:rsidRPr="0081146C" w:rsidRDefault="00535A84" w:rsidP="009B38C8">
            <w:pPr>
              <w:pStyle w:val="ENoteTableText"/>
            </w:pPr>
            <w:r w:rsidRPr="0081146C">
              <w:t>108,</w:t>
            </w:r>
            <w:r w:rsidR="00F43DF5" w:rsidRPr="0081146C">
              <w:t xml:space="preserve"> 2014</w:t>
            </w:r>
          </w:p>
        </w:tc>
        <w:tc>
          <w:tcPr>
            <w:tcW w:w="959" w:type="dxa"/>
            <w:tcBorders>
              <w:top w:val="single" w:sz="4" w:space="0" w:color="auto"/>
              <w:bottom w:val="single" w:sz="4" w:space="0" w:color="auto"/>
            </w:tcBorders>
            <w:shd w:val="clear" w:color="auto" w:fill="auto"/>
          </w:tcPr>
          <w:p w14:paraId="19F11991" w14:textId="77777777" w:rsidR="00F43DF5" w:rsidRPr="0081146C" w:rsidRDefault="00F43DF5" w:rsidP="00C72BA2">
            <w:pPr>
              <w:pStyle w:val="ENoteTableText"/>
            </w:pPr>
            <w:r w:rsidRPr="0081146C">
              <w:t>2 Oct 2014</w:t>
            </w:r>
          </w:p>
        </w:tc>
        <w:tc>
          <w:tcPr>
            <w:tcW w:w="2099" w:type="dxa"/>
            <w:tcBorders>
              <w:top w:val="single" w:sz="4" w:space="0" w:color="auto"/>
              <w:bottom w:val="single" w:sz="4" w:space="0" w:color="auto"/>
            </w:tcBorders>
            <w:shd w:val="clear" w:color="auto" w:fill="auto"/>
          </w:tcPr>
          <w:p w14:paraId="516E85B3" w14:textId="77777777" w:rsidR="00F43DF5" w:rsidRPr="0081146C" w:rsidRDefault="00F43DF5" w:rsidP="00012C9D">
            <w:pPr>
              <w:pStyle w:val="ENoteTableText"/>
            </w:pPr>
            <w:r w:rsidRPr="0081146C">
              <w:t>Sch 7 (items</w:t>
            </w:r>
            <w:r w:rsidR="004F64A4" w:rsidRPr="0081146C">
              <w:t> </w:t>
            </w:r>
            <w:r w:rsidRPr="0081146C">
              <w:t>58</w:t>
            </w:r>
            <w:r w:rsidR="00DD3A66" w:rsidRPr="0081146C">
              <w:t>–</w:t>
            </w:r>
            <w:r w:rsidRPr="0081146C">
              <w:t>66</w:t>
            </w:r>
            <w:r w:rsidR="00671DE3" w:rsidRPr="0081146C">
              <w:t>, 144, 145</w:t>
            </w:r>
            <w:r w:rsidRPr="0081146C">
              <w:t>): 3 Oct 2014 (s 2(1) items</w:t>
            </w:r>
            <w:r w:rsidR="004F64A4" w:rsidRPr="0081146C">
              <w:t> </w:t>
            </w:r>
            <w:r w:rsidRPr="0081146C">
              <w:t xml:space="preserve">3, </w:t>
            </w:r>
            <w:r w:rsidR="00F003CC" w:rsidRPr="0081146C">
              <w:t>5</w:t>
            </w:r>
            <w:r w:rsidRPr="0081146C">
              <w:t>)</w:t>
            </w:r>
          </w:p>
        </w:tc>
        <w:tc>
          <w:tcPr>
            <w:tcW w:w="1195" w:type="dxa"/>
            <w:tcBorders>
              <w:top w:val="single" w:sz="4" w:space="0" w:color="auto"/>
              <w:bottom w:val="single" w:sz="4" w:space="0" w:color="auto"/>
            </w:tcBorders>
            <w:shd w:val="clear" w:color="auto" w:fill="auto"/>
          </w:tcPr>
          <w:p w14:paraId="180BFC72" w14:textId="77777777" w:rsidR="00F43DF5" w:rsidRPr="0081146C" w:rsidRDefault="00F43DF5" w:rsidP="00E67FFD">
            <w:pPr>
              <w:pStyle w:val="ENoteTableText"/>
            </w:pPr>
            <w:r w:rsidRPr="0081146C">
              <w:t>Sch 7 (</w:t>
            </w:r>
            <w:r w:rsidR="00CA78AA" w:rsidRPr="0081146C">
              <w:t>items 1</w:t>
            </w:r>
            <w:r w:rsidRPr="0081146C">
              <w:t>44, 145)</w:t>
            </w:r>
          </w:p>
        </w:tc>
      </w:tr>
      <w:tr w:rsidR="00655079" w:rsidRPr="0081146C" w14:paraId="7119AD3A" w14:textId="77777777" w:rsidTr="00DB476F">
        <w:trPr>
          <w:cantSplit/>
        </w:trPr>
        <w:tc>
          <w:tcPr>
            <w:tcW w:w="1843" w:type="dxa"/>
            <w:tcBorders>
              <w:top w:val="single" w:sz="4" w:space="0" w:color="auto"/>
              <w:bottom w:val="single" w:sz="4" w:space="0" w:color="auto"/>
            </w:tcBorders>
            <w:shd w:val="clear" w:color="auto" w:fill="auto"/>
          </w:tcPr>
          <w:p w14:paraId="2113EA42" w14:textId="77777777" w:rsidR="00655079" w:rsidRPr="0081146C" w:rsidRDefault="00655079" w:rsidP="007034F7">
            <w:pPr>
              <w:pStyle w:val="ENoteTableText"/>
            </w:pPr>
            <w:r w:rsidRPr="0081146C">
              <w:t>Counter</w:t>
            </w:r>
            <w:r w:rsidR="003B7E15" w:rsidRPr="0081146C">
              <w:noBreakHyphen/>
            </w:r>
            <w:r w:rsidRPr="0081146C">
              <w:t>Terrorism Legislation Amendment (Foreign Fighters) Act 2014</w:t>
            </w:r>
          </w:p>
        </w:tc>
        <w:tc>
          <w:tcPr>
            <w:tcW w:w="992" w:type="dxa"/>
            <w:tcBorders>
              <w:top w:val="single" w:sz="4" w:space="0" w:color="auto"/>
              <w:bottom w:val="single" w:sz="4" w:space="0" w:color="auto"/>
            </w:tcBorders>
            <w:shd w:val="clear" w:color="auto" w:fill="auto"/>
          </w:tcPr>
          <w:p w14:paraId="140EAD16" w14:textId="77777777" w:rsidR="00655079" w:rsidRPr="0081146C" w:rsidRDefault="00655079" w:rsidP="009B38C8">
            <w:pPr>
              <w:pStyle w:val="ENoteTableText"/>
            </w:pPr>
            <w:r w:rsidRPr="0081146C">
              <w:t>116, 2014</w:t>
            </w:r>
          </w:p>
        </w:tc>
        <w:tc>
          <w:tcPr>
            <w:tcW w:w="959" w:type="dxa"/>
            <w:tcBorders>
              <w:top w:val="single" w:sz="4" w:space="0" w:color="auto"/>
              <w:bottom w:val="single" w:sz="4" w:space="0" w:color="auto"/>
            </w:tcBorders>
            <w:shd w:val="clear" w:color="auto" w:fill="auto"/>
          </w:tcPr>
          <w:p w14:paraId="1212E6EF" w14:textId="77777777" w:rsidR="00655079" w:rsidRPr="0081146C" w:rsidRDefault="00655079" w:rsidP="00C72BA2">
            <w:pPr>
              <w:pStyle w:val="ENoteTableText"/>
            </w:pPr>
            <w:r w:rsidRPr="0081146C">
              <w:t>3 Nov 2014</w:t>
            </w:r>
          </w:p>
        </w:tc>
        <w:tc>
          <w:tcPr>
            <w:tcW w:w="2099" w:type="dxa"/>
            <w:tcBorders>
              <w:top w:val="single" w:sz="4" w:space="0" w:color="auto"/>
              <w:bottom w:val="single" w:sz="4" w:space="0" w:color="auto"/>
            </w:tcBorders>
            <w:shd w:val="clear" w:color="auto" w:fill="auto"/>
          </w:tcPr>
          <w:p w14:paraId="7A320C4D" w14:textId="77777777" w:rsidR="00655079" w:rsidRPr="0081146C" w:rsidRDefault="00655079" w:rsidP="008D431E">
            <w:pPr>
              <w:pStyle w:val="ENoteTableText"/>
            </w:pPr>
            <w:r w:rsidRPr="0081146C">
              <w:t>Sch 1 (</w:t>
            </w:r>
            <w:r w:rsidR="001E59AD" w:rsidRPr="0081146C">
              <w:t>items 2</w:t>
            </w:r>
            <w:r w:rsidR="00DD3A66" w:rsidRPr="0081146C">
              <w:t>–</w:t>
            </w:r>
            <w:r w:rsidRPr="0081146C">
              <w:t xml:space="preserve">8): 1 Dec 2014 (s 2(1)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6D0EEFFD" w14:textId="77777777" w:rsidR="00655079" w:rsidRPr="0081146C" w:rsidRDefault="00655079" w:rsidP="00E67FFD">
            <w:pPr>
              <w:pStyle w:val="ENoteTableText"/>
            </w:pPr>
            <w:r w:rsidRPr="0081146C">
              <w:t>Sch 1 (</w:t>
            </w:r>
            <w:r w:rsidR="008D5917" w:rsidRPr="0081146C">
              <w:t>items 4</w:t>
            </w:r>
            <w:r w:rsidRPr="0081146C">
              <w:t>, 8)</w:t>
            </w:r>
          </w:p>
        </w:tc>
      </w:tr>
      <w:tr w:rsidR="00634564" w:rsidRPr="0081146C" w14:paraId="3542BCC5" w14:textId="77777777" w:rsidTr="00DB476F">
        <w:trPr>
          <w:cantSplit/>
        </w:trPr>
        <w:tc>
          <w:tcPr>
            <w:tcW w:w="1843" w:type="dxa"/>
            <w:tcBorders>
              <w:top w:val="single" w:sz="4" w:space="0" w:color="auto"/>
              <w:bottom w:val="single" w:sz="4" w:space="0" w:color="auto"/>
            </w:tcBorders>
            <w:shd w:val="clear" w:color="auto" w:fill="auto"/>
          </w:tcPr>
          <w:p w14:paraId="01176EB4" w14:textId="77777777" w:rsidR="00634564" w:rsidRPr="0081146C" w:rsidRDefault="00634564" w:rsidP="007034F7">
            <w:pPr>
              <w:pStyle w:val="ENoteTableText"/>
            </w:pPr>
            <w:r w:rsidRPr="0081146C">
              <w:t>Crimes Legislation Amendment (Psychoactive Substances and Other Measures) Act 2015</w:t>
            </w:r>
          </w:p>
        </w:tc>
        <w:tc>
          <w:tcPr>
            <w:tcW w:w="992" w:type="dxa"/>
            <w:tcBorders>
              <w:top w:val="single" w:sz="4" w:space="0" w:color="auto"/>
              <w:bottom w:val="single" w:sz="4" w:space="0" w:color="auto"/>
            </w:tcBorders>
            <w:shd w:val="clear" w:color="auto" w:fill="auto"/>
          </w:tcPr>
          <w:p w14:paraId="7AFEA0C4" w14:textId="77777777" w:rsidR="00634564" w:rsidRPr="0081146C" w:rsidRDefault="00634564" w:rsidP="009B38C8">
            <w:pPr>
              <w:pStyle w:val="ENoteTableText"/>
            </w:pPr>
            <w:r w:rsidRPr="0081146C">
              <w:t>12, 2015</w:t>
            </w:r>
          </w:p>
        </w:tc>
        <w:tc>
          <w:tcPr>
            <w:tcW w:w="959" w:type="dxa"/>
            <w:tcBorders>
              <w:top w:val="single" w:sz="4" w:space="0" w:color="auto"/>
              <w:bottom w:val="single" w:sz="4" w:space="0" w:color="auto"/>
            </w:tcBorders>
            <w:shd w:val="clear" w:color="auto" w:fill="auto"/>
          </w:tcPr>
          <w:p w14:paraId="156A73F2" w14:textId="77777777" w:rsidR="00634564" w:rsidRPr="0081146C" w:rsidRDefault="00634564" w:rsidP="00C72BA2">
            <w:pPr>
              <w:pStyle w:val="ENoteTableText"/>
            </w:pPr>
            <w:r w:rsidRPr="0081146C">
              <w:t>5 Mar 2015</w:t>
            </w:r>
          </w:p>
        </w:tc>
        <w:tc>
          <w:tcPr>
            <w:tcW w:w="2099" w:type="dxa"/>
            <w:tcBorders>
              <w:top w:val="single" w:sz="4" w:space="0" w:color="auto"/>
              <w:bottom w:val="single" w:sz="4" w:space="0" w:color="auto"/>
            </w:tcBorders>
            <w:shd w:val="clear" w:color="auto" w:fill="auto"/>
          </w:tcPr>
          <w:p w14:paraId="2FEEC9C8" w14:textId="77777777" w:rsidR="00634564" w:rsidRPr="0081146C" w:rsidRDefault="00634564" w:rsidP="008D431E">
            <w:pPr>
              <w:pStyle w:val="ENoteTableText"/>
            </w:pPr>
            <w:r w:rsidRPr="0081146C">
              <w:t>Sch 6 (</w:t>
            </w:r>
            <w:r w:rsidR="00CA78AA" w:rsidRPr="0081146C">
              <w:t>items 1</w:t>
            </w:r>
            <w:r w:rsidRPr="0081146C">
              <w:t>A</w:t>
            </w:r>
            <w:r w:rsidR="004D625F" w:rsidRPr="0081146C">
              <w:t>–</w:t>
            </w:r>
            <w:r w:rsidRPr="0081146C">
              <w:t>1E): 6 Mar 2015 (s 2(1) item</w:t>
            </w:r>
            <w:r w:rsidR="004F64A4" w:rsidRPr="0081146C">
              <w:t> </w:t>
            </w:r>
            <w:r w:rsidR="004D625F" w:rsidRPr="0081146C">
              <w:t>7)</w:t>
            </w:r>
          </w:p>
        </w:tc>
        <w:tc>
          <w:tcPr>
            <w:tcW w:w="1195" w:type="dxa"/>
            <w:tcBorders>
              <w:top w:val="single" w:sz="4" w:space="0" w:color="auto"/>
              <w:bottom w:val="single" w:sz="4" w:space="0" w:color="auto"/>
            </w:tcBorders>
            <w:shd w:val="clear" w:color="auto" w:fill="auto"/>
          </w:tcPr>
          <w:p w14:paraId="76BFC057" w14:textId="77777777" w:rsidR="00634564" w:rsidRPr="0081146C" w:rsidRDefault="004D625F" w:rsidP="00E67FFD">
            <w:pPr>
              <w:pStyle w:val="ENoteTableText"/>
            </w:pPr>
            <w:r w:rsidRPr="0081146C">
              <w:t>Sch 6 (</w:t>
            </w:r>
            <w:r w:rsidR="003B7E15" w:rsidRPr="0081146C">
              <w:t>item 1</w:t>
            </w:r>
            <w:r w:rsidRPr="0081146C">
              <w:t>E)</w:t>
            </w:r>
          </w:p>
        </w:tc>
      </w:tr>
      <w:tr w:rsidR="009E325D" w:rsidRPr="0081146C" w14:paraId="1027957F" w14:textId="77777777" w:rsidTr="00DB476F">
        <w:trPr>
          <w:cantSplit/>
        </w:trPr>
        <w:tc>
          <w:tcPr>
            <w:tcW w:w="1843" w:type="dxa"/>
            <w:tcBorders>
              <w:top w:val="single" w:sz="4" w:space="0" w:color="auto"/>
              <w:bottom w:val="nil"/>
            </w:tcBorders>
            <w:shd w:val="clear" w:color="auto" w:fill="auto"/>
          </w:tcPr>
          <w:p w14:paraId="5C50B273" w14:textId="77777777" w:rsidR="009E325D" w:rsidRPr="0081146C" w:rsidRDefault="009E325D" w:rsidP="007034F7">
            <w:pPr>
              <w:pStyle w:val="ENoteTableText"/>
            </w:pPr>
            <w:r w:rsidRPr="0081146C">
              <w:rPr>
                <w:szCs w:val="16"/>
              </w:rPr>
              <w:t>Customs and Other Legislation Amendment (Australian Border Force) Act 2015</w:t>
            </w:r>
          </w:p>
        </w:tc>
        <w:tc>
          <w:tcPr>
            <w:tcW w:w="992" w:type="dxa"/>
            <w:tcBorders>
              <w:top w:val="single" w:sz="4" w:space="0" w:color="auto"/>
              <w:bottom w:val="nil"/>
            </w:tcBorders>
            <w:shd w:val="clear" w:color="auto" w:fill="auto"/>
          </w:tcPr>
          <w:p w14:paraId="1EDABA4C" w14:textId="77777777" w:rsidR="009E325D" w:rsidRPr="0081146C" w:rsidRDefault="009E325D" w:rsidP="009B38C8">
            <w:pPr>
              <w:pStyle w:val="ENoteTableText"/>
            </w:pPr>
            <w:r w:rsidRPr="0081146C">
              <w:rPr>
                <w:szCs w:val="16"/>
              </w:rPr>
              <w:t>41, 2015</w:t>
            </w:r>
          </w:p>
        </w:tc>
        <w:tc>
          <w:tcPr>
            <w:tcW w:w="959" w:type="dxa"/>
            <w:tcBorders>
              <w:top w:val="single" w:sz="4" w:space="0" w:color="auto"/>
              <w:bottom w:val="nil"/>
            </w:tcBorders>
            <w:shd w:val="clear" w:color="auto" w:fill="auto"/>
          </w:tcPr>
          <w:p w14:paraId="4829CB41" w14:textId="77777777" w:rsidR="009E325D" w:rsidRPr="0081146C" w:rsidRDefault="009E325D" w:rsidP="00C72BA2">
            <w:pPr>
              <w:pStyle w:val="ENoteTableText"/>
            </w:pPr>
            <w:r w:rsidRPr="0081146C">
              <w:rPr>
                <w:szCs w:val="16"/>
              </w:rPr>
              <w:t>20</w:t>
            </w:r>
            <w:r w:rsidR="004F64A4" w:rsidRPr="0081146C">
              <w:rPr>
                <w:szCs w:val="16"/>
              </w:rPr>
              <w:t> </w:t>
            </w:r>
            <w:r w:rsidRPr="0081146C">
              <w:rPr>
                <w:szCs w:val="16"/>
              </w:rPr>
              <w:t>May 2015</w:t>
            </w:r>
          </w:p>
        </w:tc>
        <w:tc>
          <w:tcPr>
            <w:tcW w:w="2099" w:type="dxa"/>
            <w:tcBorders>
              <w:top w:val="single" w:sz="4" w:space="0" w:color="auto"/>
              <w:bottom w:val="nil"/>
            </w:tcBorders>
            <w:shd w:val="clear" w:color="auto" w:fill="auto"/>
          </w:tcPr>
          <w:p w14:paraId="066747B2" w14:textId="77777777" w:rsidR="009E325D" w:rsidRPr="0081146C" w:rsidRDefault="009E325D" w:rsidP="004D2BCD">
            <w:pPr>
              <w:pStyle w:val="ENoteTableText"/>
            </w:pPr>
            <w:r w:rsidRPr="0081146C">
              <w:rPr>
                <w:szCs w:val="16"/>
              </w:rPr>
              <w:t>Sch 5 (items</w:t>
            </w:r>
            <w:r w:rsidR="004F64A4" w:rsidRPr="0081146C">
              <w:rPr>
                <w:szCs w:val="16"/>
              </w:rPr>
              <w:t> </w:t>
            </w:r>
            <w:r w:rsidRPr="0081146C">
              <w:rPr>
                <w:szCs w:val="16"/>
              </w:rPr>
              <w:t>5, 6) and Sch 6 (items</w:t>
            </w:r>
            <w:r w:rsidR="004F64A4" w:rsidRPr="0081146C">
              <w:rPr>
                <w:szCs w:val="16"/>
              </w:rPr>
              <w:t> </w:t>
            </w:r>
            <w:r w:rsidRPr="0081146C">
              <w:rPr>
                <w:szCs w:val="16"/>
              </w:rPr>
              <w:t>3</w:t>
            </w:r>
            <w:r w:rsidRPr="0081146C">
              <w:t>–</w:t>
            </w:r>
            <w:r w:rsidRPr="0081146C">
              <w:rPr>
                <w:szCs w:val="16"/>
              </w:rPr>
              <w:t xml:space="preserve">10) and Sch 9: </w:t>
            </w:r>
            <w:r w:rsidR="001E59AD" w:rsidRPr="0081146C">
              <w:rPr>
                <w:szCs w:val="16"/>
              </w:rPr>
              <w:t>1 July</w:t>
            </w:r>
            <w:r w:rsidRPr="0081146C">
              <w:rPr>
                <w:szCs w:val="16"/>
              </w:rPr>
              <w:t xml:space="preserve"> 2015 (s 2(1) </w:t>
            </w:r>
            <w:r w:rsidR="001E59AD" w:rsidRPr="0081146C">
              <w:rPr>
                <w:szCs w:val="16"/>
              </w:rPr>
              <w:t>items 2</w:t>
            </w:r>
            <w:r w:rsidRPr="0081146C">
              <w:rPr>
                <w:szCs w:val="16"/>
              </w:rPr>
              <w:t>, 7)</w:t>
            </w:r>
          </w:p>
        </w:tc>
        <w:tc>
          <w:tcPr>
            <w:tcW w:w="1195" w:type="dxa"/>
            <w:tcBorders>
              <w:top w:val="single" w:sz="4" w:space="0" w:color="auto"/>
              <w:bottom w:val="nil"/>
            </w:tcBorders>
            <w:shd w:val="clear" w:color="auto" w:fill="auto"/>
          </w:tcPr>
          <w:p w14:paraId="43362B4A" w14:textId="77777777" w:rsidR="009E325D" w:rsidRPr="0081146C" w:rsidRDefault="009E325D" w:rsidP="004D2BCD">
            <w:pPr>
              <w:pStyle w:val="ENoteTableText"/>
            </w:pPr>
            <w:r w:rsidRPr="0081146C">
              <w:rPr>
                <w:szCs w:val="16"/>
              </w:rPr>
              <w:t>Sch 5 (</w:t>
            </w:r>
            <w:r w:rsidR="00753679" w:rsidRPr="0081146C">
              <w:rPr>
                <w:szCs w:val="16"/>
              </w:rPr>
              <w:t>item 6</w:t>
            </w:r>
            <w:r w:rsidRPr="0081146C">
              <w:rPr>
                <w:szCs w:val="16"/>
              </w:rPr>
              <w:t>), Sch 6 (</w:t>
            </w:r>
            <w:r w:rsidR="003B7E15" w:rsidRPr="0081146C">
              <w:rPr>
                <w:szCs w:val="16"/>
              </w:rPr>
              <w:t>item 1</w:t>
            </w:r>
            <w:r w:rsidRPr="0081146C">
              <w:rPr>
                <w:szCs w:val="16"/>
              </w:rPr>
              <w:t>0) and Sch 9</w:t>
            </w:r>
          </w:p>
        </w:tc>
      </w:tr>
      <w:tr w:rsidR="00F95123" w:rsidRPr="0081146C" w14:paraId="00D12D36" w14:textId="77777777" w:rsidTr="00DB476F">
        <w:trPr>
          <w:cantSplit/>
        </w:trPr>
        <w:tc>
          <w:tcPr>
            <w:tcW w:w="1843" w:type="dxa"/>
            <w:tcBorders>
              <w:top w:val="nil"/>
              <w:bottom w:val="nil"/>
            </w:tcBorders>
            <w:shd w:val="clear" w:color="auto" w:fill="auto"/>
          </w:tcPr>
          <w:p w14:paraId="599ED3EB" w14:textId="77777777" w:rsidR="00F95123" w:rsidRPr="0081146C" w:rsidRDefault="00F95123" w:rsidP="00724DC1">
            <w:pPr>
              <w:pStyle w:val="ENoteTTIndentHeading"/>
            </w:pPr>
            <w:r w:rsidRPr="0081146C">
              <w:t>as amended by</w:t>
            </w:r>
          </w:p>
        </w:tc>
        <w:tc>
          <w:tcPr>
            <w:tcW w:w="992" w:type="dxa"/>
            <w:tcBorders>
              <w:top w:val="nil"/>
              <w:bottom w:val="nil"/>
            </w:tcBorders>
            <w:shd w:val="clear" w:color="auto" w:fill="auto"/>
          </w:tcPr>
          <w:p w14:paraId="3D34D3B6" w14:textId="77777777" w:rsidR="00F95123" w:rsidRPr="0081146C" w:rsidRDefault="00F95123" w:rsidP="009B38C8">
            <w:pPr>
              <w:pStyle w:val="ENoteTableText"/>
              <w:rPr>
                <w:szCs w:val="16"/>
              </w:rPr>
            </w:pPr>
          </w:p>
        </w:tc>
        <w:tc>
          <w:tcPr>
            <w:tcW w:w="959" w:type="dxa"/>
            <w:tcBorders>
              <w:top w:val="nil"/>
              <w:bottom w:val="nil"/>
            </w:tcBorders>
            <w:shd w:val="clear" w:color="auto" w:fill="auto"/>
          </w:tcPr>
          <w:p w14:paraId="2EAAB1D4" w14:textId="77777777" w:rsidR="00F95123" w:rsidRPr="0081146C" w:rsidRDefault="00F95123" w:rsidP="00C72BA2">
            <w:pPr>
              <w:pStyle w:val="ENoteTableText"/>
              <w:rPr>
                <w:szCs w:val="16"/>
              </w:rPr>
            </w:pPr>
          </w:p>
        </w:tc>
        <w:tc>
          <w:tcPr>
            <w:tcW w:w="2099" w:type="dxa"/>
            <w:tcBorders>
              <w:top w:val="nil"/>
              <w:bottom w:val="nil"/>
            </w:tcBorders>
            <w:shd w:val="clear" w:color="auto" w:fill="auto"/>
          </w:tcPr>
          <w:p w14:paraId="6574DB25" w14:textId="77777777" w:rsidR="00F95123" w:rsidRPr="0081146C" w:rsidRDefault="00F95123" w:rsidP="004D2BCD">
            <w:pPr>
              <w:pStyle w:val="ENoteTableText"/>
              <w:rPr>
                <w:szCs w:val="16"/>
              </w:rPr>
            </w:pPr>
          </w:p>
        </w:tc>
        <w:tc>
          <w:tcPr>
            <w:tcW w:w="1195" w:type="dxa"/>
            <w:tcBorders>
              <w:top w:val="nil"/>
              <w:bottom w:val="nil"/>
            </w:tcBorders>
            <w:shd w:val="clear" w:color="auto" w:fill="auto"/>
          </w:tcPr>
          <w:p w14:paraId="4F07FF12" w14:textId="77777777" w:rsidR="00F95123" w:rsidRPr="0081146C" w:rsidRDefault="00F95123" w:rsidP="004D2BCD">
            <w:pPr>
              <w:pStyle w:val="ENoteTableText"/>
              <w:rPr>
                <w:szCs w:val="16"/>
              </w:rPr>
            </w:pPr>
          </w:p>
        </w:tc>
      </w:tr>
      <w:tr w:rsidR="00F95123" w:rsidRPr="0081146C" w14:paraId="2AB2FF15" w14:textId="77777777" w:rsidTr="00DB476F">
        <w:trPr>
          <w:cantSplit/>
        </w:trPr>
        <w:tc>
          <w:tcPr>
            <w:tcW w:w="1843" w:type="dxa"/>
            <w:tcBorders>
              <w:top w:val="nil"/>
              <w:bottom w:val="single" w:sz="4" w:space="0" w:color="auto"/>
            </w:tcBorders>
            <w:shd w:val="clear" w:color="auto" w:fill="auto"/>
          </w:tcPr>
          <w:p w14:paraId="73C011A8" w14:textId="77777777" w:rsidR="00F95123" w:rsidRPr="0081146C" w:rsidRDefault="00F95123" w:rsidP="00724DC1">
            <w:pPr>
              <w:pStyle w:val="ENoteTTi"/>
              <w:rPr>
                <w:szCs w:val="16"/>
              </w:rPr>
            </w:pPr>
            <w:r w:rsidRPr="0081146C">
              <w:t>Australian Border Force Amendment (Protected Information) Act 2017</w:t>
            </w:r>
          </w:p>
        </w:tc>
        <w:tc>
          <w:tcPr>
            <w:tcW w:w="992" w:type="dxa"/>
            <w:tcBorders>
              <w:top w:val="nil"/>
              <w:bottom w:val="single" w:sz="4" w:space="0" w:color="auto"/>
            </w:tcBorders>
            <w:shd w:val="clear" w:color="auto" w:fill="auto"/>
          </w:tcPr>
          <w:p w14:paraId="2A725E35" w14:textId="77777777" w:rsidR="00F95123" w:rsidRPr="0081146C" w:rsidRDefault="00F95123" w:rsidP="009B38C8">
            <w:pPr>
              <w:pStyle w:val="ENoteTableText"/>
              <w:rPr>
                <w:szCs w:val="16"/>
              </w:rPr>
            </w:pPr>
            <w:r w:rsidRPr="0081146C">
              <w:t>115, 2017</w:t>
            </w:r>
          </w:p>
        </w:tc>
        <w:tc>
          <w:tcPr>
            <w:tcW w:w="959" w:type="dxa"/>
            <w:tcBorders>
              <w:top w:val="nil"/>
              <w:bottom w:val="single" w:sz="4" w:space="0" w:color="auto"/>
            </w:tcBorders>
            <w:shd w:val="clear" w:color="auto" w:fill="auto"/>
          </w:tcPr>
          <w:p w14:paraId="0094E628" w14:textId="77777777" w:rsidR="00F95123" w:rsidRPr="0081146C" w:rsidRDefault="00F95123" w:rsidP="00C72BA2">
            <w:pPr>
              <w:pStyle w:val="ENoteTableText"/>
              <w:rPr>
                <w:szCs w:val="16"/>
              </w:rPr>
            </w:pPr>
            <w:r w:rsidRPr="0081146C">
              <w:t>30 Oct 2017</w:t>
            </w:r>
          </w:p>
        </w:tc>
        <w:tc>
          <w:tcPr>
            <w:tcW w:w="2099" w:type="dxa"/>
            <w:tcBorders>
              <w:top w:val="nil"/>
              <w:bottom w:val="single" w:sz="4" w:space="0" w:color="auto"/>
            </w:tcBorders>
            <w:shd w:val="clear" w:color="auto" w:fill="auto"/>
          </w:tcPr>
          <w:p w14:paraId="6B4E4A45" w14:textId="77777777" w:rsidR="00F95123" w:rsidRPr="0081146C" w:rsidRDefault="00F95123" w:rsidP="004D2BCD">
            <w:pPr>
              <w:pStyle w:val="ENoteTableText"/>
              <w:rPr>
                <w:szCs w:val="16"/>
              </w:rPr>
            </w:pPr>
            <w:r w:rsidRPr="0081146C">
              <w:t>Sch 1 (</w:t>
            </w:r>
            <w:r w:rsidR="003B7E15" w:rsidRPr="0081146C">
              <w:t>item 2</w:t>
            </w:r>
            <w:r w:rsidRPr="0081146C">
              <w:t xml:space="preserve">6): </w:t>
            </w:r>
            <w:r w:rsidR="001E59AD" w:rsidRPr="0081146C">
              <w:t>1 July</w:t>
            </w:r>
            <w:r w:rsidRPr="0081146C">
              <w:t xml:space="preserve"> 2015 (s 2(1) </w:t>
            </w:r>
            <w:r w:rsidR="003B7E15" w:rsidRPr="0081146C">
              <w:t>item 2</w:t>
            </w:r>
            <w:r w:rsidRPr="0081146C">
              <w:t>)</w:t>
            </w:r>
          </w:p>
        </w:tc>
        <w:tc>
          <w:tcPr>
            <w:tcW w:w="1195" w:type="dxa"/>
            <w:tcBorders>
              <w:top w:val="nil"/>
              <w:bottom w:val="single" w:sz="4" w:space="0" w:color="auto"/>
            </w:tcBorders>
            <w:shd w:val="clear" w:color="auto" w:fill="auto"/>
          </w:tcPr>
          <w:p w14:paraId="35842CAF" w14:textId="77777777" w:rsidR="00F95123" w:rsidRPr="0081146C" w:rsidRDefault="00F95123" w:rsidP="004D2BCD">
            <w:pPr>
              <w:pStyle w:val="ENoteTableText"/>
              <w:rPr>
                <w:szCs w:val="16"/>
              </w:rPr>
            </w:pPr>
            <w:r w:rsidRPr="0081146C">
              <w:t>—</w:t>
            </w:r>
          </w:p>
        </w:tc>
      </w:tr>
      <w:tr w:rsidR="00791ED8" w:rsidRPr="0081146C" w14:paraId="7E3EE7DE" w14:textId="77777777" w:rsidTr="00DB476F">
        <w:trPr>
          <w:cantSplit/>
        </w:trPr>
        <w:tc>
          <w:tcPr>
            <w:tcW w:w="1843" w:type="dxa"/>
            <w:tcBorders>
              <w:top w:val="single" w:sz="4" w:space="0" w:color="auto"/>
              <w:bottom w:val="nil"/>
            </w:tcBorders>
            <w:shd w:val="clear" w:color="auto" w:fill="auto"/>
          </w:tcPr>
          <w:p w14:paraId="2FF08360" w14:textId="77777777" w:rsidR="00791ED8" w:rsidRPr="0081146C" w:rsidRDefault="00791ED8" w:rsidP="00261CB4">
            <w:pPr>
              <w:pStyle w:val="ENoteTableText"/>
            </w:pPr>
            <w:r w:rsidRPr="0081146C">
              <w:rPr>
                <w:szCs w:val="16"/>
              </w:rPr>
              <w:t>Norfolk Island Legislation Amendment Act 2015</w:t>
            </w:r>
          </w:p>
        </w:tc>
        <w:tc>
          <w:tcPr>
            <w:tcW w:w="992" w:type="dxa"/>
            <w:tcBorders>
              <w:top w:val="single" w:sz="4" w:space="0" w:color="auto"/>
              <w:bottom w:val="nil"/>
            </w:tcBorders>
            <w:shd w:val="clear" w:color="auto" w:fill="auto"/>
          </w:tcPr>
          <w:p w14:paraId="38ECBCF0" w14:textId="77777777" w:rsidR="00791ED8" w:rsidRPr="0081146C" w:rsidRDefault="00791ED8" w:rsidP="00261CB4">
            <w:pPr>
              <w:pStyle w:val="ENoteTableText"/>
            </w:pPr>
            <w:r w:rsidRPr="0081146C">
              <w:rPr>
                <w:szCs w:val="16"/>
              </w:rPr>
              <w:t>59, 2015</w:t>
            </w:r>
          </w:p>
        </w:tc>
        <w:tc>
          <w:tcPr>
            <w:tcW w:w="959" w:type="dxa"/>
            <w:tcBorders>
              <w:top w:val="single" w:sz="4" w:space="0" w:color="auto"/>
              <w:bottom w:val="nil"/>
            </w:tcBorders>
            <w:shd w:val="clear" w:color="auto" w:fill="auto"/>
          </w:tcPr>
          <w:p w14:paraId="6D190C77" w14:textId="77777777" w:rsidR="00791ED8" w:rsidRPr="0081146C" w:rsidRDefault="00791ED8" w:rsidP="00261CB4">
            <w:pPr>
              <w:pStyle w:val="ENoteTableText"/>
            </w:pPr>
            <w:r w:rsidRPr="0081146C">
              <w:rPr>
                <w:szCs w:val="16"/>
              </w:rPr>
              <w:t>26</w:t>
            </w:r>
            <w:r w:rsidR="004F64A4" w:rsidRPr="0081146C">
              <w:rPr>
                <w:szCs w:val="16"/>
              </w:rPr>
              <w:t> </w:t>
            </w:r>
            <w:r w:rsidRPr="0081146C">
              <w:rPr>
                <w:szCs w:val="16"/>
              </w:rPr>
              <w:t>May 2015</w:t>
            </w:r>
          </w:p>
        </w:tc>
        <w:tc>
          <w:tcPr>
            <w:tcW w:w="2099" w:type="dxa"/>
            <w:tcBorders>
              <w:top w:val="single" w:sz="4" w:space="0" w:color="auto"/>
              <w:bottom w:val="nil"/>
            </w:tcBorders>
            <w:shd w:val="clear" w:color="auto" w:fill="auto"/>
          </w:tcPr>
          <w:p w14:paraId="750023CB" w14:textId="77777777" w:rsidR="00791ED8" w:rsidRPr="0081146C" w:rsidRDefault="00791ED8" w:rsidP="00791ED8">
            <w:pPr>
              <w:pStyle w:val="ENoteTableText"/>
              <w:rPr>
                <w:szCs w:val="16"/>
              </w:rPr>
            </w:pPr>
            <w:r w:rsidRPr="0081146C">
              <w:rPr>
                <w:szCs w:val="16"/>
              </w:rPr>
              <w:t>Sch 2 (</w:t>
            </w:r>
            <w:r w:rsidR="003B7E15" w:rsidRPr="0081146C">
              <w:rPr>
                <w:szCs w:val="16"/>
              </w:rPr>
              <w:t>item 5</w:t>
            </w:r>
            <w:r w:rsidRPr="0081146C">
              <w:rPr>
                <w:szCs w:val="16"/>
              </w:rPr>
              <w:t xml:space="preserve">6): </w:t>
            </w:r>
            <w:r w:rsidR="001E59AD" w:rsidRPr="0081146C">
              <w:rPr>
                <w:szCs w:val="16"/>
              </w:rPr>
              <w:t>1 July</w:t>
            </w:r>
            <w:r w:rsidRPr="0081146C">
              <w:rPr>
                <w:szCs w:val="16"/>
              </w:rPr>
              <w:t xml:space="preserve"> 2016 (s 2(1) </w:t>
            </w:r>
            <w:r w:rsidR="003B7E15" w:rsidRPr="0081146C">
              <w:rPr>
                <w:szCs w:val="16"/>
              </w:rPr>
              <w:t>item 5</w:t>
            </w:r>
            <w:r w:rsidR="00F071CC" w:rsidRPr="0081146C">
              <w:rPr>
                <w:szCs w:val="16"/>
              </w:rPr>
              <w:t>)</w:t>
            </w:r>
            <w:r w:rsidR="00F071CC" w:rsidRPr="0081146C">
              <w:rPr>
                <w:szCs w:val="16"/>
              </w:rPr>
              <w:br/>
              <w:t>Sch </w:t>
            </w:r>
            <w:r w:rsidRPr="0081146C">
              <w:rPr>
                <w:szCs w:val="16"/>
              </w:rPr>
              <w:t>2 (</w:t>
            </w:r>
            <w:r w:rsidR="000F7D74" w:rsidRPr="0081146C">
              <w:rPr>
                <w:szCs w:val="16"/>
              </w:rPr>
              <w:t>items</w:t>
            </w:r>
            <w:r w:rsidR="004F64A4" w:rsidRPr="0081146C">
              <w:rPr>
                <w:szCs w:val="16"/>
              </w:rPr>
              <w:t> </w:t>
            </w:r>
            <w:r w:rsidRPr="0081146C">
              <w:rPr>
                <w:szCs w:val="16"/>
              </w:rPr>
              <w:t>356–396): 18</w:t>
            </w:r>
            <w:r w:rsidR="004F64A4" w:rsidRPr="0081146C">
              <w:rPr>
                <w:szCs w:val="16"/>
              </w:rPr>
              <w:t> </w:t>
            </w:r>
            <w:r w:rsidRPr="0081146C">
              <w:rPr>
                <w:szCs w:val="16"/>
              </w:rPr>
              <w:t xml:space="preserve">June 2015 (s 2(1) </w:t>
            </w:r>
            <w:r w:rsidR="00753679" w:rsidRPr="0081146C">
              <w:rPr>
                <w:szCs w:val="16"/>
              </w:rPr>
              <w:t>item 6</w:t>
            </w:r>
            <w:r w:rsidRPr="0081146C">
              <w:rPr>
                <w:szCs w:val="16"/>
              </w:rPr>
              <w:t>)</w:t>
            </w:r>
          </w:p>
        </w:tc>
        <w:tc>
          <w:tcPr>
            <w:tcW w:w="1195" w:type="dxa"/>
            <w:tcBorders>
              <w:top w:val="single" w:sz="4" w:space="0" w:color="auto"/>
              <w:bottom w:val="nil"/>
            </w:tcBorders>
            <w:shd w:val="clear" w:color="auto" w:fill="auto"/>
          </w:tcPr>
          <w:p w14:paraId="216A189C" w14:textId="77777777" w:rsidR="00791ED8" w:rsidRPr="0081146C" w:rsidRDefault="00791ED8" w:rsidP="004D2BCD">
            <w:pPr>
              <w:pStyle w:val="ENoteTableText"/>
              <w:rPr>
                <w:szCs w:val="16"/>
              </w:rPr>
            </w:pPr>
            <w:r w:rsidRPr="0081146C">
              <w:rPr>
                <w:szCs w:val="16"/>
              </w:rPr>
              <w:t>Sch 2 (items</w:t>
            </w:r>
            <w:r w:rsidR="004F64A4" w:rsidRPr="0081146C">
              <w:rPr>
                <w:szCs w:val="16"/>
              </w:rPr>
              <w:t> </w:t>
            </w:r>
            <w:r w:rsidRPr="0081146C">
              <w:rPr>
                <w:szCs w:val="16"/>
              </w:rPr>
              <w:t>356–396)</w:t>
            </w:r>
          </w:p>
        </w:tc>
      </w:tr>
      <w:tr w:rsidR="007477C9" w:rsidRPr="0081146C" w14:paraId="418F911B" w14:textId="77777777" w:rsidTr="00DB476F">
        <w:trPr>
          <w:cantSplit/>
        </w:trPr>
        <w:tc>
          <w:tcPr>
            <w:tcW w:w="1843" w:type="dxa"/>
            <w:tcBorders>
              <w:top w:val="nil"/>
              <w:bottom w:val="nil"/>
            </w:tcBorders>
            <w:shd w:val="clear" w:color="auto" w:fill="auto"/>
          </w:tcPr>
          <w:p w14:paraId="4E522FA0" w14:textId="77777777" w:rsidR="007477C9" w:rsidRPr="0081146C" w:rsidRDefault="007477C9" w:rsidP="008645CD">
            <w:pPr>
              <w:pStyle w:val="ENoteTTIndentHeading"/>
            </w:pPr>
            <w:r w:rsidRPr="0081146C">
              <w:t>as amended by</w:t>
            </w:r>
          </w:p>
        </w:tc>
        <w:tc>
          <w:tcPr>
            <w:tcW w:w="992" w:type="dxa"/>
            <w:tcBorders>
              <w:top w:val="nil"/>
              <w:bottom w:val="nil"/>
            </w:tcBorders>
            <w:shd w:val="clear" w:color="auto" w:fill="auto"/>
          </w:tcPr>
          <w:p w14:paraId="41F9F041" w14:textId="77777777" w:rsidR="007477C9" w:rsidRPr="0081146C" w:rsidRDefault="007477C9" w:rsidP="00261CB4">
            <w:pPr>
              <w:pStyle w:val="ENoteTableText"/>
              <w:rPr>
                <w:szCs w:val="16"/>
              </w:rPr>
            </w:pPr>
          </w:p>
        </w:tc>
        <w:tc>
          <w:tcPr>
            <w:tcW w:w="959" w:type="dxa"/>
            <w:tcBorders>
              <w:top w:val="nil"/>
              <w:bottom w:val="nil"/>
            </w:tcBorders>
            <w:shd w:val="clear" w:color="auto" w:fill="auto"/>
          </w:tcPr>
          <w:p w14:paraId="2C82D35E" w14:textId="77777777" w:rsidR="007477C9" w:rsidRPr="0081146C" w:rsidRDefault="007477C9" w:rsidP="00261CB4">
            <w:pPr>
              <w:pStyle w:val="ENoteTableText"/>
              <w:rPr>
                <w:szCs w:val="16"/>
              </w:rPr>
            </w:pPr>
          </w:p>
        </w:tc>
        <w:tc>
          <w:tcPr>
            <w:tcW w:w="2099" w:type="dxa"/>
            <w:tcBorders>
              <w:top w:val="nil"/>
              <w:bottom w:val="nil"/>
            </w:tcBorders>
            <w:shd w:val="clear" w:color="auto" w:fill="auto"/>
          </w:tcPr>
          <w:p w14:paraId="31F38A40" w14:textId="77777777" w:rsidR="007477C9" w:rsidRPr="0081146C" w:rsidRDefault="007477C9" w:rsidP="00791ED8">
            <w:pPr>
              <w:pStyle w:val="ENoteTableText"/>
              <w:rPr>
                <w:szCs w:val="16"/>
              </w:rPr>
            </w:pPr>
          </w:p>
        </w:tc>
        <w:tc>
          <w:tcPr>
            <w:tcW w:w="1195" w:type="dxa"/>
            <w:tcBorders>
              <w:top w:val="nil"/>
              <w:bottom w:val="nil"/>
            </w:tcBorders>
            <w:shd w:val="clear" w:color="auto" w:fill="auto"/>
          </w:tcPr>
          <w:p w14:paraId="670B8F91" w14:textId="77777777" w:rsidR="007477C9" w:rsidRPr="0081146C" w:rsidRDefault="007477C9" w:rsidP="004D2BCD">
            <w:pPr>
              <w:pStyle w:val="ENoteTableText"/>
              <w:rPr>
                <w:szCs w:val="16"/>
              </w:rPr>
            </w:pPr>
          </w:p>
        </w:tc>
      </w:tr>
      <w:tr w:rsidR="000D0441" w:rsidRPr="0081146C" w14:paraId="52E697E8" w14:textId="77777777" w:rsidTr="00DB476F">
        <w:trPr>
          <w:cantSplit/>
        </w:trPr>
        <w:tc>
          <w:tcPr>
            <w:tcW w:w="1843" w:type="dxa"/>
            <w:tcBorders>
              <w:top w:val="nil"/>
              <w:bottom w:val="single" w:sz="4" w:space="0" w:color="auto"/>
            </w:tcBorders>
            <w:shd w:val="clear" w:color="auto" w:fill="auto"/>
          </w:tcPr>
          <w:p w14:paraId="3BBE9412" w14:textId="77777777" w:rsidR="000D0441" w:rsidRPr="0081146C" w:rsidRDefault="000D0441" w:rsidP="008645CD">
            <w:pPr>
              <w:pStyle w:val="ENoteTTi"/>
            </w:pPr>
            <w:r w:rsidRPr="0081146C">
              <w:t>Territories Legislation Amendment Act 2016</w:t>
            </w:r>
          </w:p>
        </w:tc>
        <w:tc>
          <w:tcPr>
            <w:tcW w:w="992" w:type="dxa"/>
            <w:tcBorders>
              <w:top w:val="nil"/>
              <w:bottom w:val="single" w:sz="4" w:space="0" w:color="auto"/>
            </w:tcBorders>
            <w:shd w:val="clear" w:color="auto" w:fill="auto"/>
          </w:tcPr>
          <w:p w14:paraId="19435986" w14:textId="77777777" w:rsidR="000D0441" w:rsidRPr="0081146C" w:rsidRDefault="000D0441" w:rsidP="00261CB4">
            <w:pPr>
              <w:pStyle w:val="ENoteTableText"/>
              <w:rPr>
                <w:szCs w:val="16"/>
              </w:rPr>
            </w:pPr>
            <w:r w:rsidRPr="0081146C">
              <w:rPr>
                <w:szCs w:val="16"/>
              </w:rPr>
              <w:t>33, 2016</w:t>
            </w:r>
          </w:p>
        </w:tc>
        <w:tc>
          <w:tcPr>
            <w:tcW w:w="959" w:type="dxa"/>
            <w:tcBorders>
              <w:top w:val="nil"/>
              <w:bottom w:val="single" w:sz="4" w:space="0" w:color="auto"/>
            </w:tcBorders>
            <w:shd w:val="clear" w:color="auto" w:fill="auto"/>
          </w:tcPr>
          <w:p w14:paraId="47CE1B22" w14:textId="77777777" w:rsidR="000D0441" w:rsidRPr="0081146C" w:rsidRDefault="009B3570" w:rsidP="00261CB4">
            <w:pPr>
              <w:pStyle w:val="ENoteTableText"/>
              <w:rPr>
                <w:szCs w:val="16"/>
              </w:rPr>
            </w:pPr>
            <w:r w:rsidRPr="0081146C">
              <w:rPr>
                <w:szCs w:val="16"/>
              </w:rPr>
              <w:t>23 Mar 2016</w:t>
            </w:r>
          </w:p>
        </w:tc>
        <w:tc>
          <w:tcPr>
            <w:tcW w:w="2099" w:type="dxa"/>
            <w:tcBorders>
              <w:top w:val="nil"/>
              <w:bottom w:val="single" w:sz="4" w:space="0" w:color="auto"/>
            </w:tcBorders>
            <w:shd w:val="clear" w:color="auto" w:fill="auto"/>
          </w:tcPr>
          <w:p w14:paraId="48F3BCB2" w14:textId="77777777" w:rsidR="000D0441" w:rsidRPr="0081146C" w:rsidRDefault="00BA71EB" w:rsidP="000F7D74">
            <w:pPr>
              <w:pStyle w:val="ENoteTableText"/>
              <w:rPr>
                <w:szCs w:val="16"/>
              </w:rPr>
            </w:pPr>
            <w:r w:rsidRPr="0081146C">
              <w:rPr>
                <w:szCs w:val="16"/>
              </w:rPr>
              <w:t>Sch 2 (</w:t>
            </w:r>
            <w:r w:rsidR="00CA78AA" w:rsidRPr="0081146C">
              <w:rPr>
                <w:szCs w:val="16"/>
              </w:rPr>
              <w:t>items 1</w:t>
            </w:r>
            <w:r w:rsidR="000F7D74" w:rsidRPr="0081146C">
              <w:rPr>
                <w:szCs w:val="16"/>
              </w:rPr>
              <w:t>–3</w:t>
            </w:r>
            <w:r w:rsidRPr="0081146C">
              <w:rPr>
                <w:szCs w:val="16"/>
              </w:rPr>
              <w:t>)</w:t>
            </w:r>
            <w:r w:rsidR="009B3570" w:rsidRPr="0081146C">
              <w:rPr>
                <w:szCs w:val="16"/>
              </w:rPr>
              <w:t>: 24 Mar 2016</w:t>
            </w:r>
            <w:r w:rsidRPr="0081146C">
              <w:rPr>
                <w:szCs w:val="16"/>
              </w:rPr>
              <w:t xml:space="preserve"> (s 2(1) </w:t>
            </w:r>
            <w:r w:rsidR="003B7E15" w:rsidRPr="0081146C">
              <w:rPr>
                <w:szCs w:val="16"/>
              </w:rPr>
              <w:t>item 2</w:t>
            </w:r>
            <w:r w:rsidRPr="0081146C">
              <w:rPr>
                <w:szCs w:val="16"/>
              </w:rPr>
              <w:t>)</w:t>
            </w:r>
          </w:p>
        </w:tc>
        <w:tc>
          <w:tcPr>
            <w:tcW w:w="1195" w:type="dxa"/>
            <w:tcBorders>
              <w:top w:val="nil"/>
              <w:bottom w:val="single" w:sz="4" w:space="0" w:color="auto"/>
            </w:tcBorders>
            <w:shd w:val="clear" w:color="auto" w:fill="auto"/>
          </w:tcPr>
          <w:p w14:paraId="499ACE3B" w14:textId="77777777" w:rsidR="000D0441" w:rsidRPr="0081146C" w:rsidRDefault="00BA71EB" w:rsidP="004D2BCD">
            <w:pPr>
              <w:pStyle w:val="ENoteTableText"/>
              <w:rPr>
                <w:szCs w:val="16"/>
              </w:rPr>
            </w:pPr>
            <w:r w:rsidRPr="0081146C">
              <w:t>—</w:t>
            </w:r>
          </w:p>
        </w:tc>
      </w:tr>
      <w:tr w:rsidR="009E325D" w:rsidRPr="0081146C" w14:paraId="60E81092" w14:textId="77777777" w:rsidTr="00DB476F">
        <w:trPr>
          <w:cantSplit/>
        </w:trPr>
        <w:tc>
          <w:tcPr>
            <w:tcW w:w="1843" w:type="dxa"/>
            <w:tcBorders>
              <w:top w:val="single" w:sz="4" w:space="0" w:color="auto"/>
              <w:bottom w:val="single" w:sz="4" w:space="0" w:color="auto"/>
            </w:tcBorders>
            <w:shd w:val="clear" w:color="auto" w:fill="auto"/>
          </w:tcPr>
          <w:p w14:paraId="735E7D63" w14:textId="77777777" w:rsidR="009E325D" w:rsidRPr="0081146C" w:rsidRDefault="009E325D" w:rsidP="007034F7">
            <w:pPr>
              <w:pStyle w:val="ENoteTableText"/>
            </w:pPr>
            <w:r w:rsidRPr="0081146C">
              <w:t>Tax and Superannuation Laws Amendment (2015 Measures No.</w:t>
            </w:r>
            <w:r w:rsidR="004F64A4" w:rsidRPr="0081146C">
              <w:t> </w:t>
            </w:r>
            <w:r w:rsidRPr="0081146C">
              <w:t>1) Act 2015</w:t>
            </w:r>
          </w:p>
        </w:tc>
        <w:tc>
          <w:tcPr>
            <w:tcW w:w="992" w:type="dxa"/>
            <w:tcBorders>
              <w:top w:val="single" w:sz="4" w:space="0" w:color="auto"/>
              <w:bottom w:val="single" w:sz="4" w:space="0" w:color="auto"/>
            </w:tcBorders>
            <w:shd w:val="clear" w:color="auto" w:fill="auto"/>
          </w:tcPr>
          <w:p w14:paraId="0AFD4491" w14:textId="77777777" w:rsidR="009E325D" w:rsidRPr="0081146C" w:rsidRDefault="009E325D" w:rsidP="009B38C8">
            <w:pPr>
              <w:pStyle w:val="ENoteTableText"/>
            </w:pPr>
            <w:r w:rsidRPr="0081146C">
              <w:t>70, 2015</w:t>
            </w:r>
          </w:p>
        </w:tc>
        <w:tc>
          <w:tcPr>
            <w:tcW w:w="959" w:type="dxa"/>
            <w:tcBorders>
              <w:top w:val="single" w:sz="4" w:space="0" w:color="auto"/>
              <w:bottom w:val="single" w:sz="4" w:space="0" w:color="auto"/>
            </w:tcBorders>
            <w:shd w:val="clear" w:color="auto" w:fill="auto"/>
          </w:tcPr>
          <w:p w14:paraId="313C1D0F" w14:textId="77777777" w:rsidR="009E325D" w:rsidRPr="0081146C" w:rsidRDefault="009E325D" w:rsidP="00C72BA2">
            <w:pPr>
              <w:pStyle w:val="ENoteTableText"/>
            </w:pPr>
            <w:r w:rsidRPr="0081146C">
              <w:t>25</w:t>
            </w:r>
            <w:r w:rsidR="004F64A4" w:rsidRPr="0081146C">
              <w:t> </w:t>
            </w:r>
            <w:r w:rsidRPr="0081146C">
              <w:t>June 2015</w:t>
            </w:r>
          </w:p>
        </w:tc>
        <w:tc>
          <w:tcPr>
            <w:tcW w:w="2099" w:type="dxa"/>
            <w:tcBorders>
              <w:top w:val="single" w:sz="4" w:space="0" w:color="auto"/>
              <w:bottom w:val="single" w:sz="4" w:space="0" w:color="auto"/>
            </w:tcBorders>
            <w:shd w:val="clear" w:color="auto" w:fill="auto"/>
          </w:tcPr>
          <w:p w14:paraId="6A338CA2" w14:textId="77777777" w:rsidR="009E325D" w:rsidRPr="0081146C" w:rsidRDefault="009E325D" w:rsidP="004D2BCD">
            <w:pPr>
              <w:pStyle w:val="ENoteTableText"/>
            </w:pPr>
            <w:r w:rsidRPr="0081146C">
              <w:t xml:space="preserve">Sch </w:t>
            </w:r>
            <w:r w:rsidR="00F952DD" w:rsidRPr="0081146C">
              <w:t xml:space="preserve">1 </w:t>
            </w:r>
            <w:r w:rsidRPr="0081146C">
              <w:t>(</w:t>
            </w:r>
            <w:r w:rsidR="008D5917" w:rsidRPr="0081146C">
              <w:t>items 4</w:t>
            </w:r>
            <w:r w:rsidR="00F952DD" w:rsidRPr="0081146C">
              <w:t>–7, 195–205</w:t>
            </w:r>
            <w:r w:rsidRPr="0081146C">
              <w:t xml:space="preserve">) </w:t>
            </w:r>
            <w:r w:rsidR="001E59AD" w:rsidRPr="0081146C">
              <w:t>1 July</w:t>
            </w:r>
            <w:r w:rsidRPr="0081146C">
              <w:t xml:space="preserve"> 2015 (s 2(1) item</w:t>
            </w:r>
            <w:r w:rsidR="00F952DD" w:rsidRPr="0081146C">
              <w:t>s</w:t>
            </w:r>
            <w:r w:rsidR="004F64A4" w:rsidRPr="0081146C">
              <w:t> </w:t>
            </w:r>
            <w:r w:rsidRPr="0081146C">
              <w:t>3</w:t>
            </w:r>
            <w:r w:rsidR="00F952DD" w:rsidRPr="0081146C">
              <w:t>, 6</w:t>
            </w:r>
            <w:r w:rsidRPr="0081146C">
              <w:t>)</w:t>
            </w:r>
          </w:p>
        </w:tc>
        <w:tc>
          <w:tcPr>
            <w:tcW w:w="1195" w:type="dxa"/>
            <w:tcBorders>
              <w:top w:val="single" w:sz="4" w:space="0" w:color="auto"/>
              <w:bottom w:val="single" w:sz="4" w:space="0" w:color="auto"/>
            </w:tcBorders>
            <w:shd w:val="clear" w:color="auto" w:fill="auto"/>
          </w:tcPr>
          <w:p w14:paraId="56A707EE" w14:textId="77777777" w:rsidR="009E325D" w:rsidRPr="0081146C" w:rsidRDefault="00F952DD" w:rsidP="00E67FFD">
            <w:pPr>
              <w:pStyle w:val="ENoteTableText"/>
            </w:pPr>
            <w:r w:rsidRPr="0081146C">
              <w:t>Sch 1 (</w:t>
            </w:r>
            <w:r w:rsidR="00CA78AA" w:rsidRPr="0081146C">
              <w:t>items 1</w:t>
            </w:r>
            <w:r w:rsidRPr="0081146C">
              <w:t>95–205)</w:t>
            </w:r>
          </w:p>
        </w:tc>
      </w:tr>
      <w:tr w:rsidR="0004715C" w:rsidRPr="0081146C" w14:paraId="18962328" w14:textId="77777777" w:rsidTr="00DB476F">
        <w:trPr>
          <w:cantSplit/>
        </w:trPr>
        <w:tc>
          <w:tcPr>
            <w:tcW w:w="1843" w:type="dxa"/>
            <w:tcBorders>
              <w:top w:val="single" w:sz="4" w:space="0" w:color="auto"/>
              <w:bottom w:val="single" w:sz="4" w:space="0" w:color="auto"/>
            </w:tcBorders>
            <w:shd w:val="clear" w:color="auto" w:fill="auto"/>
          </w:tcPr>
          <w:p w14:paraId="41D0AC72" w14:textId="77777777" w:rsidR="0004715C" w:rsidRPr="0081146C" w:rsidRDefault="0004715C" w:rsidP="007034F7">
            <w:pPr>
              <w:pStyle w:val="ENoteTableText"/>
            </w:pPr>
            <w:r w:rsidRPr="0081146C">
              <w:t>Acts and Instruments (Framework Reform) (Consequential Provisions) Act 2015</w:t>
            </w:r>
          </w:p>
        </w:tc>
        <w:tc>
          <w:tcPr>
            <w:tcW w:w="992" w:type="dxa"/>
            <w:tcBorders>
              <w:top w:val="single" w:sz="4" w:space="0" w:color="auto"/>
              <w:bottom w:val="single" w:sz="4" w:space="0" w:color="auto"/>
            </w:tcBorders>
            <w:shd w:val="clear" w:color="auto" w:fill="auto"/>
          </w:tcPr>
          <w:p w14:paraId="7D747178" w14:textId="77777777" w:rsidR="0004715C" w:rsidRPr="0081146C" w:rsidRDefault="0004715C" w:rsidP="009B38C8">
            <w:pPr>
              <w:pStyle w:val="ENoteTableText"/>
            </w:pPr>
            <w:r w:rsidRPr="0081146C">
              <w:t>126, 2015</w:t>
            </w:r>
          </w:p>
        </w:tc>
        <w:tc>
          <w:tcPr>
            <w:tcW w:w="959" w:type="dxa"/>
            <w:tcBorders>
              <w:top w:val="single" w:sz="4" w:space="0" w:color="auto"/>
              <w:bottom w:val="single" w:sz="4" w:space="0" w:color="auto"/>
            </w:tcBorders>
            <w:shd w:val="clear" w:color="auto" w:fill="auto"/>
          </w:tcPr>
          <w:p w14:paraId="7732038C" w14:textId="77777777" w:rsidR="0004715C" w:rsidRPr="0081146C" w:rsidRDefault="0004715C" w:rsidP="00C72BA2">
            <w:pPr>
              <w:pStyle w:val="ENoteTableText"/>
            </w:pPr>
            <w:r w:rsidRPr="0081146C">
              <w:t>10 Sept 2015</w:t>
            </w:r>
          </w:p>
        </w:tc>
        <w:tc>
          <w:tcPr>
            <w:tcW w:w="2099" w:type="dxa"/>
            <w:tcBorders>
              <w:top w:val="single" w:sz="4" w:space="0" w:color="auto"/>
              <w:bottom w:val="single" w:sz="4" w:space="0" w:color="auto"/>
            </w:tcBorders>
            <w:shd w:val="clear" w:color="auto" w:fill="auto"/>
          </w:tcPr>
          <w:p w14:paraId="54BF14E8" w14:textId="77777777" w:rsidR="0004715C" w:rsidRPr="0081146C" w:rsidRDefault="002D7A2F" w:rsidP="0060306F">
            <w:pPr>
              <w:pStyle w:val="ENoteTableText"/>
            </w:pPr>
            <w:r w:rsidRPr="0081146C">
              <w:t>Sch 1 (</w:t>
            </w:r>
            <w:r w:rsidR="001E59AD" w:rsidRPr="0081146C">
              <w:t>items 2</w:t>
            </w:r>
            <w:r w:rsidRPr="0081146C">
              <w:t xml:space="preserve">4–31): </w:t>
            </w:r>
            <w:r w:rsidR="00503747" w:rsidRPr="0081146C">
              <w:t>5 Mar 2016</w:t>
            </w:r>
            <w:r w:rsidRPr="0081146C">
              <w:t xml:space="preserve"> (s 2(1)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4191FCA5" w14:textId="77777777" w:rsidR="0004715C" w:rsidRPr="0081146C" w:rsidRDefault="002D7A2F" w:rsidP="00E67FFD">
            <w:pPr>
              <w:pStyle w:val="ENoteTableText"/>
            </w:pPr>
            <w:r w:rsidRPr="0081146C">
              <w:t>—</w:t>
            </w:r>
          </w:p>
        </w:tc>
      </w:tr>
      <w:tr w:rsidR="00261CB4" w:rsidRPr="0081146C" w14:paraId="0022D39F" w14:textId="77777777" w:rsidTr="00DB476F">
        <w:trPr>
          <w:cantSplit/>
        </w:trPr>
        <w:tc>
          <w:tcPr>
            <w:tcW w:w="1843" w:type="dxa"/>
            <w:tcBorders>
              <w:top w:val="single" w:sz="4" w:space="0" w:color="auto"/>
              <w:bottom w:val="single" w:sz="4" w:space="0" w:color="auto"/>
            </w:tcBorders>
            <w:shd w:val="clear" w:color="auto" w:fill="auto"/>
          </w:tcPr>
          <w:p w14:paraId="52CF6782" w14:textId="77777777" w:rsidR="00261CB4" w:rsidRPr="0081146C" w:rsidRDefault="00261CB4" w:rsidP="007034F7">
            <w:pPr>
              <w:pStyle w:val="ENoteTableText"/>
            </w:pPr>
            <w:r w:rsidRPr="0081146C">
              <w:t>Foreign Acquisitions and Takeovers Legislation Amendment Act 2015</w:t>
            </w:r>
          </w:p>
        </w:tc>
        <w:tc>
          <w:tcPr>
            <w:tcW w:w="992" w:type="dxa"/>
            <w:tcBorders>
              <w:top w:val="single" w:sz="4" w:space="0" w:color="auto"/>
              <w:bottom w:val="single" w:sz="4" w:space="0" w:color="auto"/>
            </w:tcBorders>
            <w:shd w:val="clear" w:color="auto" w:fill="auto"/>
          </w:tcPr>
          <w:p w14:paraId="79C2C5FB" w14:textId="77777777" w:rsidR="00261CB4" w:rsidRPr="0081146C" w:rsidRDefault="00261CB4" w:rsidP="00681145">
            <w:pPr>
              <w:pStyle w:val="ENoteTableText"/>
            </w:pPr>
            <w:r w:rsidRPr="0081146C">
              <w:t>150, 2015</w:t>
            </w:r>
          </w:p>
        </w:tc>
        <w:tc>
          <w:tcPr>
            <w:tcW w:w="959" w:type="dxa"/>
            <w:tcBorders>
              <w:top w:val="single" w:sz="4" w:space="0" w:color="auto"/>
              <w:bottom w:val="single" w:sz="4" w:space="0" w:color="auto"/>
            </w:tcBorders>
            <w:shd w:val="clear" w:color="auto" w:fill="auto"/>
          </w:tcPr>
          <w:p w14:paraId="403233A2" w14:textId="77777777" w:rsidR="00261CB4" w:rsidRPr="0081146C" w:rsidRDefault="00261CB4" w:rsidP="00C72BA2">
            <w:pPr>
              <w:pStyle w:val="ENoteTableText"/>
            </w:pPr>
            <w:r w:rsidRPr="0081146C">
              <w:t>25 Nov 2015</w:t>
            </w:r>
          </w:p>
        </w:tc>
        <w:tc>
          <w:tcPr>
            <w:tcW w:w="2099" w:type="dxa"/>
            <w:tcBorders>
              <w:top w:val="single" w:sz="4" w:space="0" w:color="auto"/>
              <w:bottom w:val="single" w:sz="4" w:space="0" w:color="auto"/>
            </w:tcBorders>
            <w:shd w:val="clear" w:color="auto" w:fill="auto"/>
          </w:tcPr>
          <w:p w14:paraId="60F394A8" w14:textId="77777777" w:rsidR="00261CB4" w:rsidRPr="0081146C" w:rsidRDefault="00261CB4" w:rsidP="002D7A2F">
            <w:pPr>
              <w:pStyle w:val="ENoteTableText"/>
            </w:pPr>
            <w:r w:rsidRPr="0081146C">
              <w:t>Sch 4 (</w:t>
            </w:r>
            <w:r w:rsidR="00CA78AA" w:rsidRPr="0081146C">
              <w:t>items 1</w:t>
            </w:r>
            <w:r w:rsidR="00DE7DF1" w:rsidRPr="0081146C">
              <w:t>, 12</w:t>
            </w:r>
            <w:r w:rsidRPr="0081146C">
              <w:t xml:space="preserve">): </w:t>
            </w:r>
            <w:r w:rsidR="00DE7DF1" w:rsidRPr="0081146C">
              <w:t>1 Dec 2015 (s 2(1) item</w:t>
            </w:r>
            <w:r w:rsidR="004F64A4" w:rsidRPr="0081146C">
              <w:t> </w:t>
            </w:r>
            <w:r w:rsidR="00DE7DF1" w:rsidRPr="0081146C">
              <w:t>4)</w:t>
            </w:r>
          </w:p>
        </w:tc>
        <w:tc>
          <w:tcPr>
            <w:tcW w:w="1195" w:type="dxa"/>
            <w:tcBorders>
              <w:top w:val="single" w:sz="4" w:space="0" w:color="auto"/>
              <w:bottom w:val="single" w:sz="4" w:space="0" w:color="auto"/>
            </w:tcBorders>
            <w:shd w:val="clear" w:color="auto" w:fill="auto"/>
          </w:tcPr>
          <w:p w14:paraId="7B9AE3D1" w14:textId="77777777" w:rsidR="00261CB4" w:rsidRPr="0081146C" w:rsidRDefault="00261CB4" w:rsidP="00681145">
            <w:pPr>
              <w:pStyle w:val="ENoteTableText"/>
            </w:pPr>
            <w:r w:rsidRPr="0081146C">
              <w:t>Sch 4 (</w:t>
            </w:r>
            <w:r w:rsidR="003B7E15" w:rsidRPr="0081146C">
              <w:t>item 1</w:t>
            </w:r>
            <w:r w:rsidRPr="0081146C">
              <w:t>2)</w:t>
            </w:r>
          </w:p>
        </w:tc>
      </w:tr>
      <w:tr w:rsidR="00C930DE" w:rsidRPr="0081146C" w14:paraId="4DC3FBEE" w14:textId="77777777" w:rsidTr="00DB476F">
        <w:trPr>
          <w:cantSplit/>
        </w:trPr>
        <w:tc>
          <w:tcPr>
            <w:tcW w:w="1843" w:type="dxa"/>
            <w:tcBorders>
              <w:top w:val="single" w:sz="4" w:space="0" w:color="auto"/>
              <w:bottom w:val="single" w:sz="4" w:space="0" w:color="auto"/>
            </w:tcBorders>
            <w:shd w:val="clear" w:color="auto" w:fill="auto"/>
          </w:tcPr>
          <w:p w14:paraId="531D36A1" w14:textId="77777777" w:rsidR="00C930DE" w:rsidRPr="0081146C" w:rsidRDefault="00C930DE" w:rsidP="007034F7">
            <w:pPr>
              <w:pStyle w:val="ENoteTableText"/>
            </w:pPr>
            <w:r w:rsidRPr="0081146C">
              <w:t>Crimes Legislation Amendment (Powers, Offences and Other Measures) Act 2015</w:t>
            </w:r>
          </w:p>
        </w:tc>
        <w:tc>
          <w:tcPr>
            <w:tcW w:w="992" w:type="dxa"/>
            <w:tcBorders>
              <w:top w:val="single" w:sz="4" w:space="0" w:color="auto"/>
              <w:bottom w:val="single" w:sz="4" w:space="0" w:color="auto"/>
            </w:tcBorders>
            <w:shd w:val="clear" w:color="auto" w:fill="auto"/>
          </w:tcPr>
          <w:p w14:paraId="22C59D5A" w14:textId="77777777" w:rsidR="00C930DE" w:rsidRPr="0081146C" w:rsidRDefault="00C930DE" w:rsidP="00DE7DF1">
            <w:pPr>
              <w:pStyle w:val="ENoteTableText"/>
            </w:pPr>
            <w:r w:rsidRPr="0081146C">
              <w:t>153, 2015</w:t>
            </w:r>
          </w:p>
        </w:tc>
        <w:tc>
          <w:tcPr>
            <w:tcW w:w="959" w:type="dxa"/>
            <w:tcBorders>
              <w:top w:val="single" w:sz="4" w:space="0" w:color="auto"/>
              <w:bottom w:val="single" w:sz="4" w:space="0" w:color="auto"/>
            </w:tcBorders>
            <w:shd w:val="clear" w:color="auto" w:fill="auto"/>
          </w:tcPr>
          <w:p w14:paraId="123245E9" w14:textId="77777777" w:rsidR="00C930DE" w:rsidRPr="0081146C" w:rsidRDefault="00C930DE" w:rsidP="00C72BA2">
            <w:pPr>
              <w:pStyle w:val="ENoteTableText"/>
            </w:pPr>
            <w:r w:rsidRPr="0081146C">
              <w:t>26 Nov 2015</w:t>
            </w:r>
          </w:p>
        </w:tc>
        <w:tc>
          <w:tcPr>
            <w:tcW w:w="2099" w:type="dxa"/>
            <w:tcBorders>
              <w:top w:val="single" w:sz="4" w:space="0" w:color="auto"/>
              <w:bottom w:val="single" w:sz="4" w:space="0" w:color="auto"/>
            </w:tcBorders>
            <w:shd w:val="clear" w:color="auto" w:fill="auto"/>
          </w:tcPr>
          <w:p w14:paraId="2DB0C8AC" w14:textId="77777777" w:rsidR="00C930DE" w:rsidRPr="0081146C" w:rsidRDefault="00902784" w:rsidP="00681145">
            <w:pPr>
              <w:pStyle w:val="ENoteTableText"/>
            </w:pPr>
            <w:r w:rsidRPr="0081146C">
              <w:t>Sch 10: 27 Nov 2015</w:t>
            </w:r>
            <w:r w:rsidRPr="0081146C">
              <w:rPr>
                <w:szCs w:val="16"/>
              </w:rPr>
              <w:t xml:space="preserve"> (s 2(1) </w:t>
            </w:r>
            <w:r w:rsidR="003B7E15" w:rsidRPr="0081146C">
              <w:rPr>
                <w:szCs w:val="16"/>
              </w:rPr>
              <w:t>item 2</w:t>
            </w:r>
            <w:r w:rsidRPr="0081146C">
              <w:rPr>
                <w:szCs w:val="16"/>
              </w:rPr>
              <w:t>)</w:t>
            </w:r>
          </w:p>
        </w:tc>
        <w:tc>
          <w:tcPr>
            <w:tcW w:w="1195" w:type="dxa"/>
            <w:tcBorders>
              <w:top w:val="single" w:sz="4" w:space="0" w:color="auto"/>
              <w:bottom w:val="single" w:sz="4" w:space="0" w:color="auto"/>
            </w:tcBorders>
            <w:shd w:val="clear" w:color="auto" w:fill="auto"/>
          </w:tcPr>
          <w:p w14:paraId="720F3DD5" w14:textId="77777777" w:rsidR="00C930DE" w:rsidRPr="0081146C" w:rsidRDefault="00902784" w:rsidP="00681145">
            <w:pPr>
              <w:pStyle w:val="ENoteTableText"/>
            </w:pPr>
            <w:r w:rsidRPr="0081146C">
              <w:t>Sch 10 (item</w:t>
            </w:r>
            <w:r w:rsidR="004F64A4" w:rsidRPr="0081146C">
              <w:t> </w:t>
            </w:r>
            <w:r w:rsidRPr="0081146C">
              <w:t>4)</w:t>
            </w:r>
          </w:p>
        </w:tc>
      </w:tr>
      <w:tr w:rsidR="0020310F" w:rsidRPr="0081146C" w14:paraId="6BD54E32" w14:textId="77777777" w:rsidTr="00DB476F">
        <w:trPr>
          <w:cantSplit/>
        </w:trPr>
        <w:tc>
          <w:tcPr>
            <w:tcW w:w="1843" w:type="dxa"/>
            <w:tcBorders>
              <w:top w:val="single" w:sz="4" w:space="0" w:color="auto"/>
              <w:bottom w:val="single" w:sz="4" w:space="0" w:color="auto"/>
            </w:tcBorders>
            <w:shd w:val="clear" w:color="auto" w:fill="auto"/>
          </w:tcPr>
          <w:p w14:paraId="72A4B47F" w14:textId="77777777" w:rsidR="0020310F" w:rsidRPr="0081146C" w:rsidRDefault="0020310F" w:rsidP="007034F7">
            <w:pPr>
              <w:pStyle w:val="ENoteTableText"/>
            </w:pPr>
            <w:r w:rsidRPr="0081146C">
              <w:t>Crimes Legislation Amendment (Proceeds of Crime and Other Measures) Act 2016</w:t>
            </w:r>
          </w:p>
        </w:tc>
        <w:tc>
          <w:tcPr>
            <w:tcW w:w="992" w:type="dxa"/>
            <w:tcBorders>
              <w:top w:val="single" w:sz="4" w:space="0" w:color="auto"/>
              <w:bottom w:val="single" w:sz="4" w:space="0" w:color="auto"/>
            </w:tcBorders>
            <w:shd w:val="clear" w:color="auto" w:fill="auto"/>
          </w:tcPr>
          <w:p w14:paraId="33AD6094" w14:textId="77777777" w:rsidR="0020310F" w:rsidRPr="0081146C" w:rsidRDefault="0020310F" w:rsidP="00DE7DF1">
            <w:pPr>
              <w:pStyle w:val="ENoteTableText"/>
            </w:pPr>
            <w:r w:rsidRPr="0081146C">
              <w:t>15, 201</w:t>
            </w:r>
            <w:r w:rsidR="00503747" w:rsidRPr="0081146C">
              <w:t>6</w:t>
            </w:r>
          </w:p>
        </w:tc>
        <w:tc>
          <w:tcPr>
            <w:tcW w:w="959" w:type="dxa"/>
            <w:tcBorders>
              <w:top w:val="single" w:sz="4" w:space="0" w:color="auto"/>
              <w:bottom w:val="single" w:sz="4" w:space="0" w:color="auto"/>
            </w:tcBorders>
            <w:shd w:val="clear" w:color="auto" w:fill="auto"/>
          </w:tcPr>
          <w:p w14:paraId="1D5ECBBC" w14:textId="77777777" w:rsidR="0020310F" w:rsidRPr="0081146C" w:rsidRDefault="0020310F" w:rsidP="00C72BA2">
            <w:pPr>
              <w:pStyle w:val="ENoteTableText"/>
            </w:pPr>
            <w:r w:rsidRPr="0081146C">
              <w:t>29 Feb 2016</w:t>
            </w:r>
          </w:p>
        </w:tc>
        <w:tc>
          <w:tcPr>
            <w:tcW w:w="2099" w:type="dxa"/>
            <w:tcBorders>
              <w:top w:val="single" w:sz="4" w:space="0" w:color="auto"/>
              <w:bottom w:val="single" w:sz="4" w:space="0" w:color="auto"/>
            </w:tcBorders>
            <w:shd w:val="clear" w:color="auto" w:fill="auto"/>
          </w:tcPr>
          <w:p w14:paraId="58BAA717" w14:textId="77777777" w:rsidR="0020310F" w:rsidRPr="0081146C" w:rsidRDefault="0020310F" w:rsidP="00681145">
            <w:pPr>
              <w:pStyle w:val="ENoteTableText"/>
            </w:pPr>
            <w:r w:rsidRPr="0081146C">
              <w:t xml:space="preserve">Sch 4: 1 Mar 2016 (s 2(1)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0BA8F540" w14:textId="77777777" w:rsidR="0020310F" w:rsidRPr="0081146C" w:rsidRDefault="0020310F" w:rsidP="00681145">
            <w:pPr>
              <w:pStyle w:val="ENoteTableText"/>
            </w:pPr>
            <w:r w:rsidRPr="0081146C">
              <w:t>Sch 4 (</w:t>
            </w:r>
            <w:r w:rsidR="003B7E15" w:rsidRPr="0081146C">
              <w:t>item 5</w:t>
            </w:r>
            <w:r w:rsidRPr="0081146C">
              <w:t>)</w:t>
            </w:r>
          </w:p>
        </w:tc>
      </w:tr>
      <w:tr w:rsidR="00252E5E" w:rsidRPr="0081146C" w14:paraId="786A7A13" w14:textId="77777777" w:rsidTr="00DB476F">
        <w:trPr>
          <w:cantSplit/>
        </w:trPr>
        <w:tc>
          <w:tcPr>
            <w:tcW w:w="1843" w:type="dxa"/>
            <w:tcBorders>
              <w:top w:val="single" w:sz="4" w:space="0" w:color="auto"/>
              <w:bottom w:val="single" w:sz="4" w:space="0" w:color="auto"/>
            </w:tcBorders>
            <w:shd w:val="clear" w:color="auto" w:fill="auto"/>
          </w:tcPr>
          <w:p w14:paraId="7125CBF9" w14:textId="77777777" w:rsidR="00252E5E" w:rsidRPr="0081146C" w:rsidRDefault="00252E5E" w:rsidP="007034F7">
            <w:pPr>
              <w:pStyle w:val="ENoteTableText"/>
            </w:pPr>
            <w:r w:rsidRPr="0081146C">
              <w:t>Law Enforcement Legislation Amendment (State Bodies and Other Measures) Act 2016</w:t>
            </w:r>
          </w:p>
        </w:tc>
        <w:tc>
          <w:tcPr>
            <w:tcW w:w="992" w:type="dxa"/>
            <w:tcBorders>
              <w:top w:val="single" w:sz="4" w:space="0" w:color="auto"/>
              <w:bottom w:val="single" w:sz="4" w:space="0" w:color="auto"/>
            </w:tcBorders>
            <w:shd w:val="clear" w:color="auto" w:fill="auto"/>
          </w:tcPr>
          <w:p w14:paraId="520EFA61" w14:textId="77777777" w:rsidR="00252E5E" w:rsidRPr="0081146C" w:rsidRDefault="00252E5E" w:rsidP="00DE7DF1">
            <w:pPr>
              <w:pStyle w:val="ENoteTableText"/>
            </w:pPr>
            <w:r w:rsidRPr="0081146C">
              <w:t>86, 2016</w:t>
            </w:r>
          </w:p>
        </w:tc>
        <w:tc>
          <w:tcPr>
            <w:tcW w:w="959" w:type="dxa"/>
            <w:tcBorders>
              <w:top w:val="single" w:sz="4" w:space="0" w:color="auto"/>
              <w:bottom w:val="single" w:sz="4" w:space="0" w:color="auto"/>
            </w:tcBorders>
            <w:shd w:val="clear" w:color="auto" w:fill="auto"/>
          </w:tcPr>
          <w:p w14:paraId="23A83CDF" w14:textId="77777777" w:rsidR="00252E5E" w:rsidRPr="0081146C" w:rsidRDefault="00252E5E" w:rsidP="00C72BA2">
            <w:pPr>
              <w:pStyle w:val="ENoteTableText"/>
            </w:pPr>
            <w:r w:rsidRPr="0081146C">
              <w:t>30 Nov 2016</w:t>
            </w:r>
          </w:p>
        </w:tc>
        <w:tc>
          <w:tcPr>
            <w:tcW w:w="2099" w:type="dxa"/>
            <w:tcBorders>
              <w:top w:val="single" w:sz="4" w:space="0" w:color="auto"/>
              <w:bottom w:val="single" w:sz="4" w:space="0" w:color="auto"/>
            </w:tcBorders>
            <w:shd w:val="clear" w:color="auto" w:fill="auto"/>
          </w:tcPr>
          <w:p w14:paraId="0834047E" w14:textId="77777777" w:rsidR="00252E5E" w:rsidRPr="0081146C" w:rsidRDefault="00474986" w:rsidP="0051043A">
            <w:pPr>
              <w:pStyle w:val="ENoteTableText"/>
            </w:pPr>
            <w:r w:rsidRPr="0081146C">
              <w:t>Sch 1 (</w:t>
            </w:r>
            <w:r w:rsidR="00CA78AA" w:rsidRPr="0081146C">
              <w:t>items 1</w:t>
            </w:r>
            <w:r w:rsidRPr="0081146C">
              <w:t>, 56–58):</w:t>
            </w:r>
            <w:r w:rsidR="0051043A" w:rsidRPr="0081146C">
              <w:t xml:space="preserve"> </w:t>
            </w:r>
            <w:r w:rsidRPr="0081146C">
              <w:t>1</w:t>
            </w:r>
            <w:r w:rsidR="0051043A" w:rsidRPr="0081146C">
              <w:t> </w:t>
            </w:r>
            <w:r w:rsidRPr="0081146C">
              <w:t xml:space="preserve">Dec 2016 (s 2(1) </w:t>
            </w:r>
            <w:r w:rsidR="001E59AD" w:rsidRPr="0081146C">
              <w:t>items 2</w:t>
            </w:r>
            <w:r w:rsidRPr="0081146C">
              <w:t>, 4)</w:t>
            </w:r>
            <w:r w:rsidRPr="0081146C">
              <w:br/>
              <w:t>Sch 1 (</w:t>
            </w:r>
            <w:r w:rsidR="008D5917" w:rsidRPr="0081146C">
              <w:t>items 4</w:t>
            </w:r>
            <w:r w:rsidRPr="0081146C">
              <w:t xml:space="preserve">2, 43, 54, 55): </w:t>
            </w:r>
            <w:r w:rsidR="001E59AD" w:rsidRPr="0081146C">
              <w:t>1 July</w:t>
            </w:r>
            <w:r w:rsidRPr="0081146C">
              <w:t xml:space="preserve"> 2017 (s 2(1) </w:t>
            </w:r>
            <w:r w:rsidR="003B7E15" w:rsidRPr="0081146C">
              <w:t>item 3</w:t>
            </w:r>
            <w:r w:rsidRPr="0081146C">
              <w:t>)</w:t>
            </w:r>
          </w:p>
        </w:tc>
        <w:tc>
          <w:tcPr>
            <w:tcW w:w="1195" w:type="dxa"/>
            <w:tcBorders>
              <w:top w:val="single" w:sz="4" w:space="0" w:color="auto"/>
              <w:bottom w:val="single" w:sz="4" w:space="0" w:color="auto"/>
            </w:tcBorders>
            <w:shd w:val="clear" w:color="auto" w:fill="auto"/>
          </w:tcPr>
          <w:p w14:paraId="4E9D0235" w14:textId="77777777" w:rsidR="00252E5E" w:rsidRPr="0081146C" w:rsidRDefault="00611CAB" w:rsidP="00681145">
            <w:pPr>
              <w:pStyle w:val="ENoteTableText"/>
            </w:pPr>
            <w:r w:rsidRPr="0081146C">
              <w:t>Sch 1 (</w:t>
            </w:r>
            <w:r w:rsidR="00CA78AA" w:rsidRPr="0081146C">
              <w:t>items 1</w:t>
            </w:r>
            <w:r w:rsidR="00474986" w:rsidRPr="0081146C">
              <w:t>,</w:t>
            </w:r>
            <w:r w:rsidRPr="0081146C">
              <w:t xml:space="preserve"> 43</w:t>
            </w:r>
            <w:r w:rsidR="000D0441" w:rsidRPr="0081146C">
              <w:t>, 54–</w:t>
            </w:r>
            <w:r w:rsidR="00474986" w:rsidRPr="0081146C">
              <w:t>58</w:t>
            </w:r>
            <w:r w:rsidRPr="0081146C">
              <w:t>)</w:t>
            </w:r>
          </w:p>
        </w:tc>
      </w:tr>
      <w:tr w:rsidR="00F50A06" w:rsidRPr="0081146C" w14:paraId="7618DC08" w14:textId="77777777" w:rsidTr="00DB476F">
        <w:trPr>
          <w:cantSplit/>
        </w:trPr>
        <w:tc>
          <w:tcPr>
            <w:tcW w:w="1843" w:type="dxa"/>
            <w:tcBorders>
              <w:top w:val="single" w:sz="4" w:space="0" w:color="auto"/>
              <w:bottom w:val="single" w:sz="4" w:space="0" w:color="auto"/>
            </w:tcBorders>
            <w:shd w:val="clear" w:color="auto" w:fill="auto"/>
          </w:tcPr>
          <w:p w14:paraId="27DA2E67" w14:textId="77777777" w:rsidR="00F50A06" w:rsidRPr="0081146C" w:rsidRDefault="00F50A06" w:rsidP="007034F7">
            <w:pPr>
              <w:pStyle w:val="ENoteTableText"/>
            </w:pPr>
            <w:r w:rsidRPr="0081146C">
              <w:t>Public Governance and Resources Legislation Amendment Act (No.</w:t>
            </w:r>
            <w:r w:rsidR="004F64A4" w:rsidRPr="0081146C">
              <w:t> </w:t>
            </w:r>
            <w:r w:rsidRPr="0081146C">
              <w:t>1) 2017</w:t>
            </w:r>
          </w:p>
        </w:tc>
        <w:tc>
          <w:tcPr>
            <w:tcW w:w="992" w:type="dxa"/>
            <w:tcBorders>
              <w:top w:val="single" w:sz="4" w:space="0" w:color="auto"/>
              <w:bottom w:val="single" w:sz="4" w:space="0" w:color="auto"/>
            </w:tcBorders>
            <w:shd w:val="clear" w:color="auto" w:fill="auto"/>
          </w:tcPr>
          <w:p w14:paraId="7832F6DD" w14:textId="77777777" w:rsidR="00F50A06" w:rsidRPr="0081146C" w:rsidRDefault="00F50A06" w:rsidP="00DE7DF1">
            <w:pPr>
              <w:pStyle w:val="ENoteTableText"/>
            </w:pPr>
            <w:r w:rsidRPr="0081146C">
              <w:t>92, 2017</w:t>
            </w:r>
          </w:p>
        </w:tc>
        <w:tc>
          <w:tcPr>
            <w:tcW w:w="959" w:type="dxa"/>
            <w:tcBorders>
              <w:top w:val="single" w:sz="4" w:space="0" w:color="auto"/>
              <w:bottom w:val="single" w:sz="4" w:space="0" w:color="auto"/>
            </w:tcBorders>
            <w:shd w:val="clear" w:color="auto" w:fill="auto"/>
          </w:tcPr>
          <w:p w14:paraId="56356722" w14:textId="77777777" w:rsidR="00F50A06" w:rsidRPr="0081146C" w:rsidRDefault="00F50A06" w:rsidP="00C72BA2">
            <w:pPr>
              <w:pStyle w:val="ENoteTableText"/>
            </w:pPr>
            <w:r w:rsidRPr="0081146C">
              <w:t>23 Aug 2017</w:t>
            </w:r>
          </w:p>
        </w:tc>
        <w:tc>
          <w:tcPr>
            <w:tcW w:w="2099" w:type="dxa"/>
            <w:tcBorders>
              <w:top w:val="single" w:sz="4" w:space="0" w:color="auto"/>
              <w:bottom w:val="single" w:sz="4" w:space="0" w:color="auto"/>
            </w:tcBorders>
            <w:shd w:val="clear" w:color="auto" w:fill="auto"/>
          </w:tcPr>
          <w:p w14:paraId="59C25E17" w14:textId="77777777" w:rsidR="00F50A06" w:rsidRPr="0081146C" w:rsidRDefault="00F50A06" w:rsidP="002B06CE">
            <w:pPr>
              <w:pStyle w:val="ENoteTableText"/>
            </w:pPr>
            <w:r w:rsidRPr="0081146C">
              <w:t>Sch 1 (</w:t>
            </w:r>
            <w:r w:rsidR="003B7E15" w:rsidRPr="0081146C">
              <w:t>item 1</w:t>
            </w:r>
            <w:r w:rsidRPr="0081146C">
              <w:t>)</w:t>
            </w:r>
            <w:r w:rsidR="000805F1" w:rsidRPr="0081146C">
              <w:t>,</w:t>
            </w:r>
            <w:r w:rsidRPr="0081146C">
              <w:t xml:space="preserve"> Sch 2 (</w:t>
            </w:r>
            <w:r w:rsidR="00CA78AA" w:rsidRPr="0081146C">
              <w:t>items 1</w:t>
            </w:r>
            <w:r w:rsidRPr="0081146C">
              <w:t xml:space="preserve">–4) and Sch 4: 23 Aug 2017 (s 2(1) </w:t>
            </w:r>
            <w:r w:rsidR="003B7E15" w:rsidRPr="0081146C">
              <w:t>item 1</w:t>
            </w:r>
            <w:r w:rsidRPr="0081146C">
              <w:t>)</w:t>
            </w:r>
          </w:p>
        </w:tc>
        <w:tc>
          <w:tcPr>
            <w:tcW w:w="1195" w:type="dxa"/>
            <w:tcBorders>
              <w:top w:val="single" w:sz="4" w:space="0" w:color="auto"/>
              <w:bottom w:val="single" w:sz="4" w:space="0" w:color="auto"/>
            </w:tcBorders>
            <w:shd w:val="clear" w:color="auto" w:fill="auto"/>
          </w:tcPr>
          <w:p w14:paraId="10A070ED" w14:textId="77777777" w:rsidR="00F50A06" w:rsidRPr="0081146C" w:rsidRDefault="00F50A06" w:rsidP="00681145">
            <w:pPr>
              <w:pStyle w:val="ENoteTableText"/>
            </w:pPr>
            <w:r w:rsidRPr="0081146C">
              <w:t>Sch 4</w:t>
            </w:r>
          </w:p>
        </w:tc>
      </w:tr>
      <w:tr w:rsidR="00154E96" w:rsidRPr="0081146C" w14:paraId="594C7DD0" w14:textId="77777777" w:rsidTr="009A365B">
        <w:trPr>
          <w:cantSplit/>
        </w:trPr>
        <w:tc>
          <w:tcPr>
            <w:tcW w:w="1843" w:type="dxa"/>
            <w:tcBorders>
              <w:top w:val="single" w:sz="4" w:space="0" w:color="auto"/>
              <w:bottom w:val="single" w:sz="4" w:space="0" w:color="auto"/>
            </w:tcBorders>
            <w:shd w:val="clear" w:color="auto" w:fill="auto"/>
          </w:tcPr>
          <w:p w14:paraId="32BE17FE" w14:textId="77777777" w:rsidR="00154E96" w:rsidRPr="0081146C" w:rsidRDefault="00154E96" w:rsidP="007034F7">
            <w:pPr>
              <w:pStyle w:val="ENoteTableText"/>
            </w:pPr>
            <w:r w:rsidRPr="0081146C">
              <w:t>Anti</w:t>
            </w:r>
            <w:r w:rsidR="003B7E15" w:rsidRPr="0081146C">
              <w:noBreakHyphen/>
            </w:r>
            <w:r w:rsidRPr="0081146C">
              <w:t>Money Laundering and Counter</w:t>
            </w:r>
            <w:r w:rsidR="003B7E15" w:rsidRPr="0081146C">
              <w:noBreakHyphen/>
            </w:r>
            <w:r w:rsidRPr="0081146C">
              <w:t>Terrorism Financing Amendment Act 2017</w:t>
            </w:r>
          </w:p>
        </w:tc>
        <w:tc>
          <w:tcPr>
            <w:tcW w:w="992" w:type="dxa"/>
            <w:tcBorders>
              <w:top w:val="single" w:sz="4" w:space="0" w:color="auto"/>
              <w:bottom w:val="single" w:sz="4" w:space="0" w:color="auto"/>
            </w:tcBorders>
            <w:shd w:val="clear" w:color="auto" w:fill="auto"/>
          </w:tcPr>
          <w:p w14:paraId="41AB3321" w14:textId="77777777" w:rsidR="00154E96" w:rsidRPr="0081146C" w:rsidRDefault="00154E96" w:rsidP="00DE7DF1">
            <w:pPr>
              <w:pStyle w:val="ENoteTableText"/>
            </w:pPr>
            <w:r w:rsidRPr="0081146C">
              <w:t>130, 2017</w:t>
            </w:r>
          </w:p>
        </w:tc>
        <w:tc>
          <w:tcPr>
            <w:tcW w:w="959" w:type="dxa"/>
            <w:tcBorders>
              <w:top w:val="single" w:sz="4" w:space="0" w:color="auto"/>
              <w:bottom w:val="single" w:sz="4" w:space="0" w:color="auto"/>
            </w:tcBorders>
            <w:shd w:val="clear" w:color="auto" w:fill="auto"/>
          </w:tcPr>
          <w:p w14:paraId="5FD55A3E" w14:textId="77777777" w:rsidR="00154E96" w:rsidRPr="0081146C" w:rsidRDefault="00154E96" w:rsidP="00C72BA2">
            <w:pPr>
              <w:pStyle w:val="ENoteTableText"/>
            </w:pPr>
            <w:r w:rsidRPr="0081146C">
              <w:t>13 Dec 2017</w:t>
            </w:r>
          </w:p>
        </w:tc>
        <w:tc>
          <w:tcPr>
            <w:tcW w:w="2099" w:type="dxa"/>
            <w:tcBorders>
              <w:top w:val="single" w:sz="4" w:space="0" w:color="auto"/>
              <w:bottom w:val="single" w:sz="4" w:space="0" w:color="auto"/>
            </w:tcBorders>
            <w:shd w:val="clear" w:color="auto" w:fill="auto"/>
          </w:tcPr>
          <w:p w14:paraId="16F3F3E3" w14:textId="77777777" w:rsidR="00154E96" w:rsidRPr="0081146C" w:rsidRDefault="00E82B59" w:rsidP="002B06CE">
            <w:pPr>
              <w:pStyle w:val="ENoteTableText"/>
            </w:pPr>
            <w:r w:rsidRPr="0081146C">
              <w:t>Sch 1 (</w:t>
            </w:r>
            <w:r w:rsidR="00CA78AA" w:rsidRPr="0081146C">
              <w:t>items 1</w:t>
            </w:r>
            <w:r w:rsidRPr="0081146C">
              <w:t xml:space="preserve">–55, 58–85): 3 Apr 2018 (s 2(1) </w:t>
            </w:r>
            <w:r w:rsidR="003B7E15" w:rsidRPr="0081146C">
              <w:t>item 1</w:t>
            </w:r>
            <w:r w:rsidRPr="0081146C">
              <w:t>)</w:t>
            </w:r>
          </w:p>
        </w:tc>
        <w:tc>
          <w:tcPr>
            <w:tcW w:w="1195" w:type="dxa"/>
            <w:tcBorders>
              <w:top w:val="single" w:sz="4" w:space="0" w:color="auto"/>
              <w:bottom w:val="single" w:sz="4" w:space="0" w:color="auto"/>
            </w:tcBorders>
            <w:shd w:val="clear" w:color="auto" w:fill="auto"/>
          </w:tcPr>
          <w:p w14:paraId="27E00C81" w14:textId="77777777" w:rsidR="00154E96" w:rsidRPr="0081146C" w:rsidRDefault="00154E96" w:rsidP="00681145">
            <w:pPr>
              <w:pStyle w:val="ENoteTableText"/>
            </w:pPr>
            <w:r w:rsidRPr="0081146C">
              <w:t>Sch 1 (</w:t>
            </w:r>
            <w:r w:rsidR="00753679" w:rsidRPr="0081146C">
              <w:t>item 6</w:t>
            </w:r>
            <w:r w:rsidRPr="0081146C">
              <w:t>4)</w:t>
            </w:r>
          </w:p>
        </w:tc>
      </w:tr>
      <w:tr w:rsidR="009A365B" w:rsidRPr="0081146C" w14:paraId="62949933" w14:textId="77777777" w:rsidTr="009A365B">
        <w:trPr>
          <w:cantSplit/>
        </w:trPr>
        <w:tc>
          <w:tcPr>
            <w:tcW w:w="1843" w:type="dxa"/>
            <w:tcBorders>
              <w:top w:val="single" w:sz="4" w:space="0" w:color="auto"/>
              <w:bottom w:val="single" w:sz="4" w:space="0" w:color="auto"/>
            </w:tcBorders>
            <w:shd w:val="clear" w:color="auto" w:fill="auto"/>
          </w:tcPr>
          <w:p w14:paraId="6683834E" w14:textId="77777777" w:rsidR="009A365B" w:rsidRPr="0081146C" w:rsidRDefault="009A365B" w:rsidP="007034F7">
            <w:pPr>
              <w:pStyle w:val="ENoteTableText"/>
            </w:pPr>
            <w:r w:rsidRPr="0081146C">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5E513302" w14:textId="77777777" w:rsidR="009A365B" w:rsidRPr="0081146C" w:rsidRDefault="009A365B" w:rsidP="00DE7DF1">
            <w:pPr>
              <w:pStyle w:val="ENoteTableText"/>
            </w:pPr>
            <w:r w:rsidRPr="0081146C">
              <w:t>25, 2018</w:t>
            </w:r>
          </w:p>
        </w:tc>
        <w:tc>
          <w:tcPr>
            <w:tcW w:w="959" w:type="dxa"/>
            <w:tcBorders>
              <w:top w:val="single" w:sz="4" w:space="0" w:color="auto"/>
              <w:bottom w:val="single" w:sz="4" w:space="0" w:color="auto"/>
            </w:tcBorders>
            <w:shd w:val="clear" w:color="auto" w:fill="auto"/>
          </w:tcPr>
          <w:p w14:paraId="6C1EAE3D" w14:textId="77777777" w:rsidR="009A365B" w:rsidRPr="0081146C" w:rsidRDefault="009A365B" w:rsidP="00C72BA2">
            <w:pPr>
              <w:pStyle w:val="ENoteTableText"/>
            </w:pPr>
            <w:r w:rsidRPr="0081146C">
              <w:t>11 Apr 2018</w:t>
            </w:r>
          </w:p>
        </w:tc>
        <w:tc>
          <w:tcPr>
            <w:tcW w:w="2099" w:type="dxa"/>
            <w:tcBorders>
              <w:top w:val="single" w:sz="4" w:space="0" w:color="auto"/>
              <w:bottom w:val="single" w:sz="4" w:space="0" w:color="auto"/>
            </w:tcBorders>
            <w:shd w:val="clear" w:color="auto" w:fill="auto"/>
          </w:tcPr>
          <w:p w14:paraId="700F442E" w14:textId="77777777" w:rsidR="009A365B" w:rsidRPr="0081146C" w:rsidRDefault="009A365B" w:rsidP="002B06CE">
            <w:pPr>
              <w:pStyle w:val="ENoteTableText"/>
            </w:pPr>
            <w:r w:rsidRPr="0081146C">
              <w:t>Sch 1 (items</w:t>
            </w:r>
            <w:r w:rsidR="004F64A4" w:rsidRPr="0081146C">
              <w:t> </w:t>
            </w:r>
            <w:r w:rsidRPr="0081146C">
              <w:t xml:space="preserve">36–43, 100–108): </w:t>
            </w:r>
            <w:r w:rsidR="001E59AD" w:rsidRPr="0081146C">
              <w:t>1 July</w:t>
            </w:r>
            <w:r w:rsidRPr="0081146C">
              <w:t xml:space="preserve"> 2018 (s 2(1)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14B799D1" w14:textId="77777777" w:rsidR="009A365B" w:rsidRPr="0081146C" w:rsidRDefault="009A365B" w:rsidP="00681145">
            <w:pPr>
              <w:pStyle w:val="ENoteTableText"/>
            </w:pPr>
            <w:r w:rsidRPr="0081146C">
              <w:t>Sch 1 (</w:t>
            </w:r>
            <w:r w:rsidR="00CA78AA" w:rsidRPr="0081146C">
              <w:t>items 1</w:t>
            </w:r>
            <w:r w:rsidRPr="0081146C">
              <w:t>00–108)</w:t>
            </w:r>
          </w:p>
        </w:tc>
      </w:tr>
      <w:tr w:rsidR="008C2F83" w:rsidRPr="0081146C" w14:paraId="274D1A0A" w14:textId="77777777" w:rsidTr="000F021C">
        <w:trPr>
          <w:cantSplit/>
        </w:trPr>
        <w:tc>
          <w:tcPr>
            <w:tcW w:w="1843" w:type="dxa"/>
            <w:tcBorders>
              <w:top w:val="single" w:sz="4" w:space="0" w:color="auto"/>
              <w:bottom w:val="single" w:sz="4" w:space="0" w:color="auto"/>
            </w:tcBorders>
            <w:shd w:val="clear" w:color="auto" w:fill="auto"/>
          </w:tcPr>
          <w:p w14:paraId="79C63528" w14:textId="77777777" w:rsidR="008C2F83" w:rsidRPr="0081146C" w:rsidRDefault="008C2F83" w:rsidP="007034F7">
            <w:pPr>
              <w:pStyle w:val="ENoteTableText"/>
            </w:pPr>
            <w:r w:rsidRPr="0081146C">
              <w:t>Home Affairs and Integrity Agencies Legislation Amendment Act 2018</w:t>
            </w:r>
          </w:p>
        </w:tc>
        <w:tc>
          <w:tcPr>
            <w:tcW w:w="992" w:type="dxa"/>
            <w:tcBorders>
              <w:top w:val="single" w:sz="4" w:space="0" w:color="auto"/>
              <w:bottom w:val="single" w:sz="4" w:space="0" w:color="auto"/>
            </w:tcBorders>
            <w:shd w:val="clear" w:color="auto" w:fill="auto"/>
          </w:tcPr>
          <w:p w14:paraId="43F2347F" w14:textId="77777777" w:rsidR="008C2F83" w:rsidRPr="0081146C" w:rsidRDefault="008C2F83" w:rsidP="00DE7DF1">
            <w:pPr>
              <w:pStyle w:val="ENoteTableText"/>
            </w:pPr>
            <w:r w:rsidRPr="0081146C">
              <w:t>31, 2018</w:t>
            </w:r>
          </w:p>
        </w:tc>
        <w:tc>
          <w:tcPr>
            <w:tcW w:w="959" w:type="dxa"/>
            <w:tcBorders>
              <w:top w:val="single" w:sz="4" w:space="0" w:color="auto"/>
              <w:bottom w:val="single" w:sz="4" w:space="0" w:color="auto"/>
            </w:tcBorders>
            <w:shd w:val="clear" w:color="auto" w:fill="auto"/>
          </w:tcPr>
          <w:p w14:paraId="3DD4B471" w14:textId="77777777" w:rsidR="008C2F83" w:rsidRPr="0081146C" w:rsidRDefault="008C2F83" w:rsidP="00C72BA2">
            <w:pPr>
              <w:pStyle w:val="ENoteTableText"/>
            </w:pPr>
            <w:r w:rsidRPr="0081146C">
              <w:t>9</w:t>
            </w:r>
            <w:r w:rsidR="004F64A4" w:rsidRPr="0081146C">
              <w:t> </w:t>
            </w:r>
            <w:r w:rsidRPr="0081146C">
              <w:t>May 2018</w:t>
            </w:r>
          </w:p>
        </w:tc>
        <w:tc>
          <w:tcPr>
            <w:tcW w:w="2099" w:type="dxa"/>
            <w:tcBorders>
              <w:top w:val="single" w:sz="4" w:space="0" w:color="auto"/>
              <w:bottom w:val="single" w:sz="4" w:space="0" w:color="auto"/>
            </w:tcBorders>
            <w:shd w:val="clear" w:color="auto" w:fill="auto"/>
          </w:tcPr>
          <w:p w14:paraId="241B37C2" w14:textId="77777777" w:rsidR="008C2F83" w:rsidRPr="0081146C" w:rsidRDefault="00D74DE7" w:rsidP="002B06CE">
            <w:pPr>
              <w:pStyle w:val="ENoteTableText"/>
            </w:pPr>
            <w:r w:rsidRPr="0081146C">
              <w:t>Sch 1 (</w:t>
            </w:r>
            <w:r w:rsidR="00CA78AA" w:rsidRPr="0081146C">
              <w:t>items 1</w:t>
            </w:r>
            <w:r w:rsidRPr="0081146C">
              <w:t>–3) and Sch 2 (</w:t>
            </w:r>
            <w:r w:rsidR="001E59AD" w:rsidRPr="0081146C">
              <w:t>items 2</w:t>
            </w:r>
            <w:r w:rsidRPr="0081146C">
              <w:t>6, 284): 11</w:t>
            </w:r>
            <w:r w:rsidR="004F64A4" w:rsidRPr="0081146C">
              <w:t> </w:t>
            </w:r>
            <w:r w:rsidRPr="0081146C">
              <w:t xml:space="preserve">May 2018 (s 2(1) </w:t>
            </w:r>
            <w:r w:rsidR="001E59AD" w:rsidRPr="0081146C">
              <w:t>items 2</w:t>
            </w:r>
            <w:r w:rsidRPr="0081146C">
              <w:t>, 3, 7)</w:t>
            </w:r>
          </w:p>
        </w:tc>
        <w:tc>
          <w:tcPr>
            <w:tcW w:w="1195" w:type="dxa"/>
            <w:tcBorders>
              <w:top w:val="single" w:sz="4" w:space="0" w:color="auto"/>
              <w:bottom w:val="single" w:sz="4" w:space="0" w:color="auto"/>
            </w:tcBorders>
            <w:shd w:val="clear" w:color="auto" w:fill="auto"/>
          </w:tcPr>
          <w:p w14:paraId="4336C5BF" w14:textId="77777777" w:rsidR="008C2F83" w:rsidRPr="0081146C" w:rsidRDefault="00D74DE7" w:rsidP="00681145">
            <w:pPr>
              <w:pStyle w:val="ENoteTableText"/>
            </w:pPr>
            <w:r w:rsidRPr="0081146C">
              <w:t>Sch 2 (</w:t>
            </w:r>
            <w:r w:rsidR="003B7E15" w:rsidRPr="0081146C">
              <w:t>item 2</w:t>
            </w:r>
            <w:r w:rsidRPr="0081146C">
              <w:t>84)</w:t>
            </w:r>
          </w:p>
        </w:tc>
      </w:tr>
      <w:tr w:rsidR="00057311" w:rsidRPr="0081146C" w14:paraId="14E48881" w14:textId="77777777" w:rsidTr="000F021C">
        <w:trPr>
          <w:cantSplit/>
        </w:trPr>
        <w:tc>
          <w:tcPr>
            <w:tcW w:w="1843" w:type="dxa"/>
            <w:tcBorders>
              <w:top w:val="single" w:sz="4" w:space="0" w:color="auto"/>
              <w:bottom w:val="single" w:sz="4" w:space="0" w:color="auto"/>
            </w:tcBorders>
            <w:shd w:val="clear" w:color="auto" w:fill="auto"/>
          </w:tcPr>
          <w:p w14:paraId="53ECA974" w14:textId="77777777" w:rsidR="00057311" w:rsidRPr="0081146C" w:rsidRDefault="00EE5945" w:rsidP="007034F7">
            <w:pPr>
              <w:pStyle w:val="ENoteTableText"/>
            </w:pPr>
            <w:r w:rsidRPr="0081146C">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14:paraId="392DAD58" w14:textId="77777777" w:rsidR="00057311" w:rsidRPr="0081146C" w:rsidRDefault="00EE5945" w:rsidP="00DE7DF1">
            <w:pPr>
              <w:pStyle w:val="ENoteTableText"/>
            </w:pPr>
            <w:r w:rsidRPr="0081146C">
              <w:t>34, 2018</w:t>
            </w:r>
          </w:p>
        </w:tc>
        <w:tc>
          <w:tcPr>
            <w:tcW w:w="959" w:type="dxa"/>
            <w:tcBorders>
              <w:top w:val="single" w:sz="4" w:space="0" w:color="auto"/>
              <w:bottom w:val="single" w:sz="4" w:space="0" w:color="auto"/>
            </w:tcBorders>
            <w:shd w:val="clear" w:color="auto" w:fill="auto"/>
          </w:tcPr>
          <w:p w14:paraId="285FD985" w14:textId="77777777" w:rsidR="00057311" w:rsidRPr="0081146C" w:rsidRDefault="00EE5945" w:rsidP="00C72BA2">
            <w:pPr>
              <w:pStyle w:val="ENoteTableText"/>
            </w:pPr>
            <w:r w:rsidRPr="0081146C">
              <w:t>22</w:t>
            </w:r>
            <w:r w:rsidR="004F64A4" w:rsidRPr="0081146C">
              <w:t> </w:t>
            </w:r>
            <w:r w:rsidRPr="0081146C">
              <w:t>May 2018</w:t>
            </w:r>
          </w:p>
        </w:tc>
        <w:tc>
          <w:tcPr>
            <w:tcW w:w="2099" w:type="dxa"/>
            <w:tcBorders>
              <w:top w:val="single" w:sz="4" w:space="0" w:color="auto"/>
              <w:bottom w:val="single" w:sz="4" w:space="0" w:color="auto"/>
            </w:tcBorders>
            <w:shd w:val="clear" w:color="auto" w:fill="auto"/>
          </w:tcPr>
          <w:p w14:paraId="002880E9" w14:textId="77777777" w:rsidR="00057311" w:rsidRPr="0081146C" w:rsidRDefault="00EE5945" w:rsidP="002B06CE">
            <w:pPr>
              <w:pStyle w:val="ENoteTableText"/>
            </w:pPr>
            <w:r w:rsidRPr="0081146C">
              <w:t>Sch 9: 23</w:t>
            </w:r>
            <w:r w:rsidR="004F64A4" w:rsidRPr="0081146C">
              <w:t> </w:t>
            </w:r>
            <w:r w:rsidRPr="0081146C">
              <w:t xml:space="preserve">May 2018 (s 2(1) </w:t>
            </w:r>
            <w:r w:rsidR="003B7E15" w:rsidRPr="0081146C">
              <w:t>item 1</w:t>
            </w:r>
            <w:r w:rsidRPr="0081146C">
              <w:t>1)</w:t>
            </w:r>
          </w:p>
        </w:tc>
        <w:tc>
          <w:tcPr>
            <w:tcW w:w="1195" w:type="dxa"/>
            <w:tcBorders>
              <w:top w:val="single" w:sz="4" w:space="0" w:color="auto"/>
              <w:bottom w:val="single" w:sz="4" w:space="0" w:color="auto"/>
            </w:tcBorders>
            <w:shd w:val="clear" w:color="auto" w:fill="auto"/>
          </w:tcPr>
          <w:p w14:paraId="2CE629F6" w14:textId="77777777" w:rsidR="00057311" w:rsidRPr="0081146C" w:rsidRDefault="00EE5945" w:rsidP="00681145">
            <w:pPr>
              <w:pStyle w:val="ENoteTableText"/>
            </w:pPr>
            <w:r w:rsidRPr="0081146C">
              <w:t>Sch 9 (items</w:t>
            </w:r>
            <w:r w:rsidR="004F64A4" w:rsidRPr="0081146C">
              <w:t> </w:t>
            </w:r>
            <w:r w:rsidRPr="0081146C">
              <w:t>5, 7)</w:t>
            </w:r>
          </w:p>
        </w:tc>
      </w:tr>
      <w:tr w:rsidR="00057311" w:rsidRPr="0081146C" w14:paraId="32FB1EE9" w14:textId="77777777" w:rsidTr="00C5467D">
        <w:trPr>
          <w:cantSplit/>
        </w:trPr>
        <w:tc>
          <w:tcPr>
            <w:tcW w:w="1843" w:type="dxa"/>
            <w:tcBorders>
              <w:top w:val="single" w:sz="4" w:space="0" w:color="auto"/>
              <w:bottom w:val="single" w:sz="4" w:space="0" w:color="auto"/>
            </w:tcBorders>
            <w:shd w:val="clear" w:color="auto" w:fill="auto"/>
          </w:tcPr>
          <w:p w14:paraId="1E557F54" w14:textId="77777777" w:rsidR="00057311" w:rsidRPr="0081146C" w:rsidRDefault="00EE5945" w:rsidP="007034F7">
            <w:pPr>
              <w:pStyle w:val="ENoteTableText"/>
            </w:pPr>
            <w:r w:rsidRPr="0081146C">
              <w:t>Statute Update (Autumn 2018) Act 2018</w:t>
            </w:r>
          </w:p>
        </w:tc>
        <w:tc>
          <w:tcPr>
            <w:tcW w:w="992" w:type="dxa"/>
            <w:tcBorders>
              <w:top w:val="single" w:sz="4" w:space="0" w:color="auto"/>
              <w:bottom w:val="single" w:sz="4" w:space="0" w:color="auto"/>
            </w:tcBorders>
            <w:shd w:val="clear" w:color="auto" w:fill="auto"/>
          </w:tcPr>
          <w:p w14:paraId="51027169" w14:textId="77777777" w:rsidR="00057311" w:rsidRPr="0081146C" w:rsidRDefault="00EE5945" w:rsidP="00DE7DF1">
            <w:pPr>
              <w:pStyle w:val="ENoteTableText"/>
            </w:pPr>
            <w:r w:rsidRPr="0081146C">
              <w:t>41, 2018</w:t>
            </w:r>
          </w:p>
        </w:tc>
        <w:tc>
          <w:tcPr>
            <w:tcW w:w="959" w:type="dxa"/>
            <w:tcBorders>
              <w:top w:val="single" w:sz="4" w:space="0" w:color="auto"/>
              <w:bottom w:val="single" w:sz="4" w:space="0" w:color="auto"/>
            </w:tcBorders>
            <w:shd w:val="clear" w:color="auto" w:fill="auto"/>
          </w:tcPr>
          <w:p w14:paraId="65C5B650" w14:textId="77777777" w:rsidR="00057311" w:rsidRPr="0081146C" w:rsidRDefault="00EE5945" w:rsidP="00C72BA2">
            <w:pPr>
              <w:pStyle w:val="ENoteTableText"/>
            </w:pPr>
            <w:r w:rsidRPr="0081146C">
              <w:t>22</w:t>
            </w:r>
            <w:r w:rsidR="004F64A4" w:rsidRPr="0081146C">
              <w:t> </w:t>
            </w:r>
            <w:r w:rsidRPr="0081146C">
              <w:t>May 2018</w:t>
            </w:r>
          </w:p>
        </w:tc>
        <w:tc>
          <w:tcPr>
            <w:tcW w:w="2099" w:type="dxa"/>
            <w:tcBorders>
              <w:top w:val="single" w:sz="4" w:space="0" w:color="auto"/>
              <w:bottom w:val="single" w:sz="4" w:space="0" w:color="auto"/>
            </w:tcBorders>
            <w:shd w:val="clear" w:color="auto" w:fill="auto"/>
          </w:tcPr>
          <w:p w14:paraId="6CF00DDA" w14:textId="77777777" w:rsidR="00057311" w:rsidRPr="0081146C" w:rsidRDefault="00EE5945" w:rsidP="002B06CE">
            <w:pPr>
              <w:pStyle w:val="ENoteTableText"/>
            </w:pPr>
            <w:r w:rsidRPr="0081146C">
              <w:t>Sch 2 (</w:t>
            </w:r>
            <w:r w:rsidR="003B7E15" w:rsidRPr="0081146C">
              <w:t>item 1</w:t>
            </w:r>
            <w:r w:rsidRPr="0081146C">
              <w:t>): 19</w:t>
            </w:r>
            <w:r w:rsidR="004F64A4" w:rsidRPr="0081146C">
              <w:t> </w:t>
            </w:r>
            <w:r w:rsidRPr="0081146C">
              <w:t>June 2018 (s</w:t>
            </w:r>
            <w:r w:rsidR="000F021C" w:rsidRPr="0081146C">
              <w:t> </w:t>
            </w:r>
            <w:r w:rsidRPr="0081146C">
              <w:t>2(1) item</w:t>
            </w:r>
            <w:r w:rsidR="004F64A4" w:rsidRPr="0081146C">
              <w:t> </w:t>
            </w:r>
            <w:r w:rsidRPr="0081146C">
              <w:t>4)</w:t>
            </w:r>
          </w:p>
        </w:tc>
        <w:tc>
          <w:tcPr>
            <w:tcW w:w="1195" w:type="dxa"/>
            <w:tcBorders>
              <w:top w:val="single" w:sz="4" w:space="0" w:color="auto"/>
              <w:bottom w:val="single" w:sz="4" w:space="0" w:color="auto"/>
            </w:tcBorders>
            <w:shd w:val="clear" w:color="auto" w:fill="auto"/>
          </w:tcPr>
          <w:p w14:paraId="50504886" w14:textId="77777777" w:rsidR="00057311" w:rsidRPr="0081146C" w:rsidRDefault="00EE5945" w:rsidP="00681145">
            <w:pPr>
              <w:pStyle w:val="ENoteTableText"/>
            </w:pPr>
            <w:r w:rsidRPr="0081146C">
              <w:t>—</w:t>
            </w:r>
          </w:p>
        </w:tc>
      </w:tr>
      <w:tr w:rsidR="003F6178" w:rsidRPr="0081146C" w14:paraId="30D15C89" w14:textId="77777777" w:rsidTr="00CD57DE">
        <w:trPr>
          <w:cantSplit/>
        </w:trPr>
        <w:tc>
          <w:tcPr>
            <w:tcW w:w="1843" w:type="dxa"/>
            <w:tcBorders>
              <w:top w:val="single" w:sz="4" w:space="0" w:color="auto"/>
              <w:bottom w:val="single" w:sz="4" w:space="0" w:color="auto"/>
            </w:tcBorders>
            <w:shd w:val="clear" w:color="auto" w:fill="auto"/>
          </w:tcPr>
          <w:p w14:paraId="66DDAF80" w14:textId="77777777" w:rsidR="003F6178" w:rsidRPr="0081146C" w:rsidRDefault="003F6178" w:rsidP="007034F7">
            <w:pPr>
              <w:pStyle w:val="ENoteTableText"/>
            </w:pPr>
            <w:r w:rsidRPr="0081146C">
              <w:t>Corporations Amendment (Asia Region Funds Passport) Act 2018</w:t>
            </w:r>
          </w:p>
        </w:tc>
        <w:tc>
          <w:tcPr>
            <w:tcW w:w="992" w:type="dxa"/>
            <w:tcBorders>
              <w:top w:val="single" w:sz="4" w:space="0" w:color="auto"/>
              <w:bottom w:val="single" w:sz="4" w:space="0" w:color="auto"/>
            </w:tcBorders>
            <w:shd w:val="clear" w:color="auto" w:fill="auto"/>
          </w:tcPr>
          <w:p w14:paraId="61A2C00D" w14:textId="77777777" w:rsidR="003F6178" w:rsidRPr="0081146C" w:rsidRDefault="00656BB0" w:rsidP="00DE7DF1">
            <w:pPr>
              <w:pStyle w:val="ENoteTableText"/>
            </w:pPr>
            <w:r w:rsidRPr="0081146C">
              <w:t>61, 2018</w:t>
            </w:r>
          </w:p>
        </w:tc>
        <w:tc>
          <w:tcPr>
            <w:tcW w:w="959" w:type="dxa"/>
            <w:tcBorders>
              <w:top w:val="single" w:sz="4" w:space="0" w:color="auto"/>
              <w:bottom w:val="single" w:sz="4" w:space="0" w:color="auto"/>
            </w:tcBorders>
            <w:shd w:val="clear" w:color="auto" w:fill="auto"/>
          </w:tcPr>
          <w:p w14:paraId="3BAEAAE9" w14:textId="77777777" w:rsidR="003F6178" w:rsidRPr="0081146C" w:rsidRDefault="00656BB0" w:rsidP="00C72BA2">
            <w:pPr>
              <w:pStyle w:val="ENoteTableText"/>
            </w:pPr>
            <w:r w:rsidRPr="0081146C">
              <w:t>29</w:t>
            </w:r>
            <w:r w:rsidR="004F64A4" w:rsidRPr="0081146C">
              <w:t> </w:t>
            </w:r>
            <w:r w:rsidRPr="0081146C">
              <w:t>June 2018</w:t>
            </w:r>
          </w:p>
        </w:tc>
        <w:tc>
          <w:tcPr>
            <w:tcW w:w="2099" w:type="dxa"/>
            <w:tcBorders>
              <w:top w:val="single" w:sz="4" w:space="0" w:color="auto"/>
              <w:bottom w:val="single" w:sz="4" w:space="0" w:color="auto"/>
            </w:tcBorders>
            <w:shd w:val="clear" w:color="auto" w:fill="auto"/>
          </w:tcPr>
          <w:p w14:paraId="36DF6D9C" w14:textId="77777777" w:rsidR="003F6178" w:rsidRPr="0081146C" w:rsidRDefault="00656BB0" w:rsidP="00A64B62">
            <w:pPr>
              <w:pStyle w:val="ENoteTableText"/>
            </w:pPr>
            <w:r w:rsidRPr="0081146C">
              <w:t>Sch 2 (</w:t>
            </w:r>
            <w:r w:rsidR="00CA78AA" w:rsidRPr="0081146C">
              <w:t>items 1</w:t>
            </w:r>
            <w:r w:rsidRPr="0081146C">
              <w:t xml:space="preserve">–5): </w:t>
            </w:r>
            <w:r w:rsidR="00CC3DD3" w:rsidRPr="0081146C">
              <w:t>18 Sept 2018</w:t>
            </w:r>
            <w:r w:rsidRPr="0081146C">
              <w:t xml:space="preserve"> (s 2(1)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347CBFA8" w14:textId="77777777" w:rsidR="003F6178" w:rsidRPr="0081146C" w:rsidRDefault="00656BB0" w:rsidP="00681145">
            <w:pPr>
              <w:pStyle w:val="ENoteTableText"/>
            </w:pPr>
            <w:r w:rsidRPr="0081146C">
              <w:t>—</w:t>
            </w:r>
          </w:p>
        </w:tc>
      </w:tr>
      <w:tr w:rsidR="00C41F94" w:rsidRPr="0081146C" w14:paraId="284BADA0" w14:textId="77777777" w:rsidTr="000D74BC">
        <w:trPr>
          <w:cantSplit/>
        </w:trPr>
        <w:tc>
          <w:tcPr>
            <w:tcW w:w="1843" w:type="dxa"/>
            <w:tcBorders>
              <w:top w:val="single" w:sz="4" w:space="0" w:color="auto"/>
              <w:bottom w:val="single" w:sz="4" w:space="0" w:color="auto"/>
            </w:tcBorders>
            <w:shd w:val="clear" w:color="auto" w:fill="auto"/>
          </w:tcPr>
          <w:p w14:paraId="6AD7B8B4" w14:textId="77777777" w:rsidR="00C41F94" w:rsidRPr="0081146C" w:rsidRDefault="00E47DB3" w:rsidP="007034F7">
            <w:pPr>
              <w:pStyle w:val="ENoteTableText"/>
            </w:pPr>
            <w:r w:rsidRPr="0081146C">
              <w:t>Office of National Intelligence (Consequential and Transitional Provisions) Act 2018</w:t>
            </w:r>
          </w:p>
        </w:tc>
        <w:tc>
          <w:tcPr>
            <w:tcW w:w="992" w:type="dxa"/>
            <w:tcBorders>
              <w:top w:val="single" w:sz="4" w:space="0" w:color="auto"/>
              <w:bottom w:val="single" w:sz="4" w:space="0" w:color="auto"/>
            </w:tcBorders>
            <w:shd w:val="clear" w:color="auto" w:fill="auto"/>
          </w:tcPr>
          <w:p w14:paraId="70D5AF6C" w14:textId="77777777" w:rsidR="00C41F94" w:rsidRPr="0081146C" w:rsidRDefault="00E47DB3" w:rsidP="00DE7DF1">
            <w:pPr>
              <w:pStyle w:val="ENoteTableText"/>
            </w:pPr>
            <w:r w:rsidRPr="0081146C">
              <w:t>156, 2018</w:t>
            </w:r>
          </w:p>
        </w:tc>
        <w:tc>
          <w:tcPr>
            <w:tcW w:w="959" w:type="dxa"/>
            <w:tcBorders>
              <w:top w:val="single" w:sz="4" w:space="0" w:color="auto"/>
              <w:bottom w:val="single" w:sz="4" w:space="0" w:color="auto"/>
            </w:tcBorders>
            <w:shd w:val="clear" w:color="auto" w:fill="auto"/>
          </w:tcPr>
          <w:p w14:paraId="50B7C0F0" w14:textId="77777777" w:rsidR="00C41F94" w:rsidRPr="0081146C" w:rsidRDefault="00E47DB3" w:rsidP="00C72BA2">
            <w:pPr>
              <w:pStyle w:val="ENoteTableText"/>
            </w:pPr>
            <w:r w:rsidRPr="0081146C">
              <w:t>10 Dec 2018</w:t>
            </w:r>
          </w:p>
        </w:tc>
        <w:tc>
          <w:tcPr>
            <w:tcW w:w="2099" w:type="dxa"/>
            <w:tcBorders>
              <w:top w:val="single" w:sz="4" w:space="0" w:color="auto"/>
              <w:bottom w:val="single" w:sz="4" w:space="0" w:color="auto"/>
            </w:tcBorders>
            <w:shd w:val="clear" w:color="auto" w:fill="auto"/>
          </w:tcPr>
          <w:p w14:paraId="34719706" w14:textId="77777777" w:rsidR="00C41F94" w:rsidRPr="0081146C" w:rsidRDefault="00E47DB3" w:rsidP="00CD57DE">
            <w:pPr>
              <w:pStyle w:val="ENoteTableText"/>
            </w:pPr>
            <w:r w:rsidRPr="0081146C">
              <w:t xml:space="preserve">Sch </w:t>
            </w:r>
            <w:r w:rsidR="006A0D4A" w:rsidRPr="0081146C">
              <w:t>2</w:t>
            </w:r>
            <w:r w:rsidRPr="0081146C">
              <w:t xml:space="preserve"> (</w:t>
            </w:r>
            <w:r w:rsidR="008D5917" w:rsidRPr="0081146C">
              <w:t>items 4</w:t>
            </w:r>
            <w:r w:rsidRPr="0081146C">
              <w:t xml:space="preserve">–14) </w:t>
            </w:r>
            <w:r w:rsidR="00CD57DE" w:rsidRPr="0081146C">
              <w:t xml:space="preserve">and </w:t>
            </w:r>
            <w:r w:rsidRPr="0081146C">
              <w:t xml:space="preserve">Sch 4: 20 Dec 2018 (s 2(1) </w:t>
            </w:r>
            <w:r w:rsidR="001E59AD" w:rsidRPr="0081146C">
              <w:t>items 2</w:t>
            </w:r>
            <w:r w:rsidR="00CD57DE" w:rsidRPr="0081146C">
              <w:t>,</w:t>
            </w:r>
            <w:r w:rsidRPr="0081146C">
              <w:t xml:space="preserve"> 4)</w:t>
            </w:r>
          </w:p>
        </w:tc>
        <w:tc>
          <w:tcPr>
            <w:tcW w:w="1195" w:type="dxa"/>
            <w:tcBorders>
              <w:top w:val="single" w:sz="4" w:space="0" w:color="auto"/>
              <w:bottom w:val="single" w:sz="4" w:space="0" w:color="auto"/>
            </w:tcBorders>
            <w:shd w:val="clear" w:color="auto" w:fill="auto"/>
          </w:tcPr>
          <w:p w14:paraId="04BB80DF" w14:textId="77777777" w:rsidR="00C41F94" w:rsidRPr="0081146C" w:rsidRDefault="00E47DB3" w:rsidP="00681145">
            <w:pPr>
              <w:pStyle w:val="ENoteTableText"/>
            </w:pPr>
            <w:r w:rsidRPr="0081146C">
              <w:t xml:space="preserve">Sch </w:t>
            </w:r>
            <w:r w:rsidR="006A0D4A" w:rsidRPr="0081146C">
              <w:t>2</w:t>
            </w:r>
            <w:r w:rsidRPr="0081146C">
              <w:t xml:space="preserve"> (</w:t>
            </w:r>
            <w:r w:rsidR="003B7E15" w:rsidRPr="0081146C">
              <w:t>item 1</w:t>
            </w:r>
            <w:r w:rsidRPr="0081146C">
              <w:t>4) and Sch 4</w:t>
            </w:r>
          </w:p>
        </w:tc>
      </w:tr>
      <w:tr w:rsidR="003641AE" w:rsidRPr="0081146C" w14:paraId="224FCE39" w14:textId="77777777" w:rsidTr="00325D6F">
        <w:trPr>
          <w:cantSplit/>
        </w:trPr>
        <w:tc>
          <w:tcPr>
            <w:tcW w:w="1843" w:type="dxa"/>
            <w:tcBorders>
              <w:top w:val="single" w:sz="4" w:space="0" w:color="auto"/>
              <w:bottom w:val="single" w:sz="4" w:space="0" w:color="auto"/>
            </w:tcBorders>
            <w:shd w:val="clear" w:color="auto" w:fill="auto"/>
          </w:tcPr>
          <w:p w14:paraId="7A5098F4" w14:textId="77777777" w:rsidR="003641AE" w:rsidRPr="0081146C" w:rsidRDefault="003641AE" w:rsidP="007034F7">
            <w:pPr>
              <w:pStyle w:val="ENoteTableText"/>
            </w:pPr>
            <w:r w:rsidRPr="0081146C">
              <w:t>Services Australia Governance Amendment Act 2020</w:t>
            </w:r>
          </w:p>
        </w:tc>
        <w:tc>
          <w:tcPr>
            <w:tcW w:w="992" w:type="dxa"/>
            <w:tcBorders>
              <w:top w:val="single" w:sz="4" w:space="0" w:color="auto"/>
              <w:bottom w:val="single" w:sz="4" w:space="0" w:color="auto"/>
            </w:tcBorders>
            <w:shd w:val="clear" w:color="auto" w:fill="auto"/>
          </w:tcPr>
          <w:p w14:paraId="0108D3F0" w14:textId="77777777" w:rsidR="003641AE" w:rsidRPr="0081146C" w:rsidRDefault="003641AE" w:rsidP="00DE7DF1">
            <w:pPr>
              <w:pStyle w:val="ENoteTableText"/>
            </w:pPr>
            <w:r w:rsidRPr="0081146C">
              <w:t>104, 2020</w:t>
            </w:r>
          </w:p>
        </w:tc>
        <w:tc>
          <w:tcPr>
            <w:tcW w:w="959" w:type="dxa"/>
            <w:tcBorders>
              <w:top w:val="single" w:sz="4" w:space="0" w:color="auto"/>
              <w:bottom w:val="single" w:sz="4" w:space="0" w:color="auto"/>
            </w:tcBorders>
            <w:shd w:val="clear" w:color="auto" w:fill="auto"/>
          </w:tcPr>
          <w:p w14:paraId="4AB74513" w14:textId="77777777" w:rsidR="003641AE" w:rsidRPr="0081146C" w:rsidRDefault="003641AE" w:rsidP="00C72BA2">
            <w:pPr>
              <w:pStyle w:val="ENoteTableText"/>
            </w:pPr>
            <w:r w:rsidRPr="0081146C">
              <w:t>20 Nov 2020</w:t>
            </w:r>
          </w:p>
        </w:tc>
        <w:tc>
          <w:tcPr>
            <w:tcW w:w="2099" w:type="dxa"/>
            <w:tcBorders>
              <w:top w:val="single" w:sz="4" w:space="0" w:color="auto"/>
              <w:bottom w:val="single" w:sz="4" w:space="0" w:color="auto"/>
            </w:tcBorders>
            <w:shd w:val="clear" w:color="auto" w:fill="auto"/>
          </w:tcPr>
          <w:p w14:paraId="73E1CE28" w14:textId="77777777" w:rsidR="003641AE" w:rsidRPr="0081146C" w:rsidRDefault="003641AE" w:rsidP="00CD57DE">
            <w:pPr>
              <w:pStyle w:val="ENoteTableText"/>
            </w:pPr>
            <w:r w:rsidRPr="0081146C">
              <w:t>Sch 1 (</w:t>
            </w:r>
            <w:r w:rsidR="00CA78AA" w:rsidRPr="0081146C">
              <w:t>items 1</w:t>
            </w:r>
            <w:r w:rsidRPr="0081146C">
              <w:t xml:space="preserve">1, 12, 66): </w:t>
            </w:r>
            <w:r w:rsidR="00645870" w:rsidRPr="0081146C">
              <w:t xml:space="preserve">1 Feb 2020 (s 2(1) </w:t>
            </w:r>
            <w:r w:rsidR="003B7E15" w:rsidRPr="0081146C">
              <w:t>item 2</w:t>
            </w:r>
            <w:r w:rsidR="00645870" w:rsidRPr="0081146C">
              <w:t>)</w:t>
            </w:r>
          </w:p>
        </w:tc>
        <w:tc>
          <w:tcPr>
            <w:tcW w:w="1195" w:type="dxa"/>
            <w:tcBorders>
              <w:top w:val="single" w:sz="4" w:space="0" w:color="auto"/>
              <w:bottom w:val="single" w:sz="4" w:space="0" w:color="auto"/>
            </w:tcBorders>
            <w:shd w:val="clear" w:color="auto" w:fill="auto"/>
          </w:tcPr>
          <w:p w14:paraId="38AEBB2F" w14:textId="77777777" w:rsidR="003641AE" w:rsidRPr="0081146C" w:rsidRDefault="00645870" w:rsidP="00681145">
            <w:pPr>
              <w:pStyle w:val="ENoteTableText"/>
            </w:pPr>
            <w:r w:rsidRPr="0081146C">
              <w:t>Sch 1 (</w:t>
            </w:r>
            <w:r w:rsidR="00753679" w:rsidRPr="0081146C">
              <w:t>item 6</w:t>
            </w:r>
            <w:r w:rsidRPr="0081146C">
              <w:t>6)</w:t>
            </w:r>
          </w:p>
        </w:tc>
      </w:tr>
      <w:tr w:rsidR="009B38A5" w:rsidRPr="0081146C" w14:paraId="6835CE5B" w14:textId="77777777" w:rsidTr="008546E2">
        <w:trPr>
          <w:cantSplit/>
        </w:trPr>
        <w:tc>
          <w:tcPr>
            <w:tcW w:w="1843" w:type="dxa"/>
            <w:tcBorders>
              <w:top w:val="single" w:sz="4" w:space="0" w:color="auto"/>
              <w:bottom w:val="single" w:sz="4" w:space="0" w:color="auto"/>
            </w:tcBorders>
            <w:shd w:val="clear" w:color="auto" w:fill="auto"/>
          </w:tcPr>
          <w:p w14:paraId="6AA71382" w14:textId="77777777" w:rsidR="009B38A5" w:rsidRPr="0081146C" w:rsidRDefault="009B38A5" w:rsidP="007034F7">
            <w:pPr>
              <w:pStyle w:val="ENoteTableText"/>
            </w:pPr>
            <w:r w:rsidRPr="0081146C">
              <w:t>Anti</w:t>
            </w:r>
            <w:r w:rsidR="003B7E15" w:rsidRPr="0081146C">
              <w:noBreakHyphen/>
            </w:r>
            <w:r w:rsidRPr="0081146C">
              <w:t xml:space="preserve">Money Laundering and </w:t>
            </w:r>
            <w:r w:rsidR="005A5F88" w:rsidRPr="0081146C">
              <w:t>Counter</w:t>
            </w:r>
            <w:r w:rsidR="003B7E15" w:rsidRPr="0081146C">
              <w:noBreakHyphen/>
            </w:r>
            <w:r w:rsidRPr="0081146C">
              <w:t>Terrorism Financing and Other Legislation Amendment Act 2020</w:t>
            </w:r>
          </w:p>
        </w:tc>
        <w:tc>
          <w:tcPr>
            <w:tcW w:w="992" w:type="dxa"/>
            <w:tcBorders>
              <w:top w:val="single" w:sz="4" w:space="0" w:color="auto"/>
              <w:bottom w:val="single" w:sz="4" w:space="0" w:color="auto"/>
            </w:tcBorders>
            <w:shd w:val="clear" w:color="auto" w:fill="auto"/>
          </w:tcPr>
          <w:p w14:paraId="26A441E9" w14:textId="77777777" w:rsidR="009B38A5" w:rsidRPr="0081146C" w:rsidRDefault="009B38A5" w:rsidP="00DE7DF1">
            <w:pPr>
              <w:pStyle w:val="ENoteTableText"/>
            </w:pPr>
            <w:r w:rsidRPr="0081146C">
              <w:t>1</w:t>
            </w:r>
            <w:r w:rsidR="00591B91" w:rsidRPr="0081146C">
              <w:t>3</w:t>
            </w:r>
            <w:r w:rsidRPr="0081146C">
              <w:t>3, 2020</w:t>
            </w:r>
          </w:p>
        </w:tc>
        <w:tc>
          <w:tcPr>
            <w:tcW w:w="959" w:type="dxa"/>
            <w:tcBorders>
              <w:top w:val="single" w:sz="4" w:space="0" w:color="auto"/>
              <w:bottom w:val="single" w:sz="4" w:space="0" w:color="auto"/>
            </w:tcBorders>
            <w:shd w:val="clear" w:color="auto" w:fill="auto"/>
          </w:tcPr>
          <w:p w14:paraId="06815FC4" w14:textId="77777777" w:rsidR="009B38A5" w:rsidRPr="0081146C" w:rsidRDefault="009B38A5" w:rsidP="00C72BA2">
            <w:pPr>
              <w:pStyle w:val="ENoteTableText"/>
            </w:pPr>
            <w:r w:rsidRPr="0081146C">
              <w:t>17 Dec 2020</w:t>
            </w:r>
          </w:p>
        </w:tc>
        <w:tc>
          <w:tcPr>
            <w:tcW w:w="2099" w:type="dxa"/>
            <w:tcBorders>
              <w:top w:val="single" w:sz="4" w:space="0" w:color="auto"/>
              <w:bottom w:val="single" w:sz="4" w:space="0" w:color="auto"/>
            </w:tcBorders>
            <w:shd w:val="clear" w:color="auto" w:fill="auto"/>
          </w:tcPr>
          <w:p w14:paraId="2C4386B2" w14:textId="77777777" w:rsidR="009B38A5" w:rsidRPr="0081146C" w:rsidRDefault="009B38A5" w:rsidP="00CD57DE">
            <w:pPr>
              <w:pStyle w:val="ENoteTableText"/>
              <w:rPr>
                <w:u w:val="single"/>
              </w:rPr>
            </w:pPr>
            <w:r w:rsidRPr="0081146C">
              <w:t>Sch 1 (</w:t>
            </w:r>
            <w:r w:rsidR="00CA78AA" w:rsidRPr="0081146C">
              <w:t>items 1</w:t>
            </w:r>
            <w:r w:rsidRPr="0081146C">
              <w:t>–63</w:t>
            </w:r>
            <w:r w:rsidR="00CF3C44" w:rsidRPr="0081146C">
              <w:t>, 65</w:t>
            </w:r>
            <w:r w:rsidR="0078434A" w:rsidRPr="0081146C">
              <w:t>, 66</w:t>
            </w:r>
            <w:r w:rsidRPr="0081146C">
              <w:t xml:space="preserve">): </w:t>
            </w:r>
            <w:r w:rsidR="00DF6689" w:rsidRPr="0081146C">
              <w:t>17 June</w:t>
            </w:r>
            <w:r w:rsidRPr="0081146C">
              <w:t xml:space="preserve"> 2021 (s 2(1) </w:t>
            </w:r>
            <w:r w:rsidR="003B7E15" w:rsidRPr="0081146C">
              <w:t>item 2</w:t>
            </w:r>
            <w:r w:rsidRPr="0081146C">
              <w:t>)</w:t>
            </w:r>
            <w:r w:rsidRPr="0081146C">
              <w:br/>
              <w:t>Sch 1 (</w:t>
            </w:r>
            <w:r w:rsidR="008D5917" w:rsidRPr="0081146C">
              <w:t>items 6</w:t>
            </w:r>
            <w:r w:rsidRPr="0081146C">
              <w:t>7–118</w:t>
            </w:r>
            <w:r w:rsidR="00861656" w:rsidRPr="0081146C">
              <w:t>, 123</w:t>
            </w:r>
            <w:r w:rsidRPr="0081146C">
              <w:t xml:space="preserve">): </w:t>
            </w:r>
            <w:r w:rsidR="00DF6689" w:rsidRPr="0081146C">
              <w:t>17 June</w:t>
            </w:r>
            <w:r w:rsidR="005A5F88" w:rsidRPr="0081146C">
              <w:t xml:space="preserve"> 2022</w:t>
            </w:r>
            <w:r w:rsidR="00875F6F" w:rsidRPr="0081146C">
              <w:t xml:space="preserve"> (s 2(1) </w:t>
            </w:r>
            <w:r w:rsidR="003B7E15" w:rsidRPr="0081146C">
              <w:t>item 3</w:t>
            </w:r>
            <w:r w:rsidR="00875F6F" w:rsidRPr="0081146C">
              <w:t>)</w:t>
            </w:r>
          </w:p>
        </w:tc>
        <w:tc>
          <w:tcPr>
            <w:tcW w:w="1195" w:type="dxa"/>
            <w:tcBorders>
              <w:top w:val="single" w:sz="4" w:space="0" w:color="auto"/>
              <w:bottom w:val="single" w:sz="4" w:space="0" w:color="auto"/>
            </w:tcBorders>
            <w:shd w:val="clear" w:color="auto" w:fill="auto"/>
          </w:tcPr>
          <w:p w14:paraId="35931FC0" w14:textId="77777777" w:rsidR="009B38A5" w:rsidRPr="0081146C" w:rsidRDefault="009B38A5" w:rsidP="00681145">
            <w:pPr>
              <w:pStyle w:val="ENoteTableText"/>
              <w:rPr>
                <w:u w:val="single"/>
              </w:rPr>
            </w:pPr>
            <w:r w:rsidRPr="0081146C">
              <w:t>Sch 1 (</w:t>
            </w:r>
            <w:r w:rsidR="00CA78AA" w:rsidRPr="0081146C">
              <w:t>items 1</w:t>
            </w:r>
            <w:r w:rsidRPr="0081146C">
              <w:t>0, 17, 18, 37</w:t>
            </w:r>
            <w:r w:rsidR="00E911AC" w:rsidRPr="0081146C">
              <w:t>, 65, 66</w:t>
            </w:r>
            <w:r w:rsidR="005A5F88" w:rsidRPr="0081146C">
              <w:t>, 123</w:t>
            </w:r>
            <w:r w:rsidRPr="0081146C">
              <w:t>)</w:t>
            </w:r>
          </w:p>
        </w:tc>
      </w:tr>
      <w:tr w:rsidR="00FF5F4E" w:rsidRPr="0081146C" w14:paraId="610D7F7D" w14:textId="77777777" w:rsidTr="00B835F0">
        <w:trPr>
          <w:cantSplit/>
        </w:trPr>
        <w:tc>
          <w:tcPr>
            <w:tcW w:w="1843" w:type="dxa"/>
            <w:tcBorders>
              <w:top w:val="single" w:sz="4" w:space="0" w:color="auto"/>
              <w:bottom w:val="single" w:sz="4" w:space="0" w:color="auto"/>
            </w:tcBorders>
            <w:shd w:val="clear" w:color="auto" w:fill="auto"/>
          </w:tcPr>
          <w:p w14:paraId="733A6F71" w14:textId="77777777" w:rsidR="00FF5F4E" w:rsidRPr="0081146C" w:rsidRDefault="00FF5F4E" w:rsidP="007034F7">
            <w:pPr>
              <w:pStyle w:val="ENoteTableText"/>
            </w:pPr>
            <w:r w:rsidRPr="0081146C">
              <w:t>National Anti</w:t>
            </w:r>
            <w:r w:rsidR="003B7E15" w:rsidRPr="0081146C">
              <w:noBreakHyphen/>
            </w:r>
            <w:r w:rsidRPr="0081146C">
              <w:t>Corruption Commission (Consequential and Transitional Provisions) Act 2022</w:t>
            </w:r>
          </w:p>
        </w:tc>
        <w:tc>
          <w:tcPr>
            <w:tcW w:w="992" w:type="dxa"/>
            <w:tcBorders>
              <w:top w:val="single" w:sz="4" w:space="0" w:color="auto"/>
              <w:bottom w:val="single" w:sz="4" w:space="0" w:color="auto"/>
            </w:tcBorders>
            <w:shd w:val="clear" w:color="auto" w:fill="auto"/>
          </w:tcPr>
          <w:p w14:paraId="23D241F5" w14:textId="77777777" w:rsidR="00FF5F4E" w:rsidRPr="0081146C" w:rsidRDefault="00FF5F4E" w:rsidP="00DE7DF1">
            <w:pPr>
              <w:pStyle w:val="ENoteTableText"/>
            </w:pPr>
            <w:r w:rsidRPr="0081146C">
              <w:t>89, 2022</w:t>
            </w:r>
          </w:p>
        </w:tc>
        <w:tc>
          <w:tcPr>
            <w:tcW w:w="959" w:type="dxa"/>
            <w:tcBorders>
              <w:top w:val="single" w:sz="4" w:space="0" w:color="auto"/>
              <w:bottom w:val="single" w:sz="4" w:space="0" w:color="auto"/>
            </w:tcBorders>
            <w:shd w:val="clear" w:color="auto" w:fill="auto"/>
          </w:tcPr>
          <w:p w14:paraId="543909E0" w14:textId="77777777" w:rsidR="00FF5F4E" w:rsidRPr="0081146C" w:rsidRDefault="00FF5F4E" w:rsidP="00C72BA2">
            <w:pPr>
              <w:pStyle w:val="ENoteTableText"/>
            </w:pPr>
            <w:r w:rsidRPr="0081146C">
              <w:t>12 Dec 2022</w:t>
            </w:r>
          </w:p>
        </w:tc>
        <w:tc>
          <w:tcPr>
            <w:tcW w:w="2099" w:type="dxa"/>
            <w:tcBorders>
              <w:top w:val="single" w:sz="4" w:space="0" w:color="auto"/>
              <w:bottom w:val="single" w:sz="4" w:space="0" w:color="auto"/>
            </w:tcBorders>
            <w:shd w:val="clear" w:color="auto" w:fill="auto"/>
          </w:tcPr>
          <w:p w14:paraId="2B3CC738" w14:textId="77777777" w:rsidR="00FF5F4E" w:rsidRPr="0081146C" w:rsidRDefault="00FF5F4E" w:rsidP="00CD57DE">
            <w:pPr>
              <w:pStyle w:val="ENoteTableText"/>
            </w:pPr>
            <w:r w:rsidRPr="0081146C">
              <w:t>Sch 1 (</w:t>
            </w:r>
            <w:r w:rsidR="008D5917" w:rsidRPr="0081146C">
              <w:t>items 4</w:t>
            </w:r>
            <w:r w:rsidRPr="0081146C">
              <w:t>–10)</w:t>
            </w:r>
            <w:r w:rsidR="00883046" w:rsidRPr="0081146C">
              <w:t xml:space="preserve"> and Sch 2</w:t>
            </w:r>
            <w:r w:rsidR="00B25205" w:rsidRPr="0081146C">
              <w:t xml:space="preserve"> (items 1, 20)</w:t>
            </w:r>
            <w:r w:rsidRPr="0081146C">
              <w:t xml:space="preserve">: </w:t>
            </w:r>
            <w:r w:rsidR="001E59AD" w:rsidRPr="0081146C">
              <w:t>1 July</w:t>
            </w:r>
            <w:r w:rsidRPr="0081146C">
              <w:t xml:space="preserve"> 2023 (s 2(1) </w:t>
            </w:r>
            <w:r w:rsidR="001E59AD" w:rsidRPr="0081146C">
              <w:t>items 2</w:t>
            </w:r>
            <w:r w:rsidR="00883046" w:rsidRPr="0081146C">
              <w:t>, 3</w:t>
            </w:r>
            <w:r w:rsidRPr="0081146C">
              <w:t>)</w:t>
            </w:r>
          </w:p>
        </w:tc>
        <w:tc>
          <w:tcPr>
            <w:tcW w:w="1195" w:type="dxa"/>
            <w:tcBorders>
              <w:top w:val="single" w:sz="4" w:space="0" w:color="auto"/>
              <w:bottom w:val="single" w:sz="4" w:space="0" w:color="auto"/>
            </w:tcBorders>
            <w:shd w:val="clear" w:color="auto" w:fill="auto"/>
          </w:tcPr>
          <w:p w14:paraId="55B377F3" w14:textId="77777777" w:rsidR="00FF5F4E" w:rsidRPr="0081146C" w:rsidRDefault="007E2BE6" w:rsidP="00681145">
            <w:pPr>
              <w:pStyle w:val="ENoteTableText"/>
            </w:pPr>
            <w:r w:rsidRPr="0081146C">
              <w:t>Sch 2 (items 1, 20)</w:t>
            </w:r>
          </w:p>
        </w:tc>
      </w:tr>
      <w:tr w:rsidR="005D71C3" w:rsidRPr="0081146C" w14:paraId="776A92F2" w14:textId="77777777" w:rsidTr="008523F3">
        <w:trPr>
          <w:cantSplit/>
        </w:trPr>
        <w:tc>
          <w:tcPr>
            <w:tcW w:w="1843" w:type="dxa"/>
            <w:tcBorders>
              <w:top w:val="single" w:sz="4" w:space="0" w:color="auto"/>
              <w:bottom w:val="single" w:sz="4" w:space="0" w:color="auto"/>
            </w:tcBorders>
            <w:shd w:val="clear" w:color="auto" w:fill="auto"/>
          </w:tcPr>
          <w:p w14:paraId="5DE0D2EC" w14:textId="77777777" w:rsidR="005D71C3" w:rsidRPr="0081146C" w:rsidRDefault="005D71C3" w:rsidP="007034F7">
            <w:pPr>
              <w:pStyle w:val="ENoteTableText"/>
            </w:pPr>
            <w:r w:rsidRPr="0081146C">
              <w:t>Crimes and Other Legislation Amendment (Omnibus) Act 2023</w:t>
            </w:r>
          </w:p>
        </w:tc>
        <w:tc>
          <w:tcPr>
            <w:tcW w:w="992" w:type="dxa"/>
            <w:tcBorders>
              <w:top w:val="single" w:sz="4" w:space="0" w:color="auto"/>
              <w:bottom w:val="single" w:sz="4" w:space="0" w:color="auto"/>
            </w:tcBorders>
            <w:shd w:val="clear" w:color="auto" w:fill="auto"/>
          </w:tcPr>
          <w:p w14:paraId="150892E3" w14:textId="77777777" w:rsidR="005D71C3" w:rsidRPr="0081146C" w:rsidRDefault="005D71C3" w:rsidP="00DE7DF1">
            <w:pPr>
              <w:pStyle w:val="ENoteTableText"/>
            </w:pPr>
            <w:r w:rsidRPr="0081146C">
              <w:t>63, 2023</w:t>
            </w:r>
          </w:p>
        </w:tc>
        <w:tc>
          <w:tcPr>
            <w:tcW w:w="959" w:type="dxa"/>
            <w:tcBorders>
              <w:top w:val="single" w:sz="4" w:space="0" w:color="auto"/>
              <w:bottom w:val="single" w:sz="4" w:space="0" w:color="auto"/>
            </w:tcBorders>
            <w:shd w:val="clear" w:color="auto" w:fill="auto"/>
          </w:tcPr>
          <w:p w14:paraId="04F7B834" w14:textId="77777777" w:rsidR="005D71C3" w:rsidRPr="0081146C" w:rsidRDefault="005D71C3" w:rsidP="00C72BA2">
            <w:pPr>
              <w:pStyle w:val="ENoteTableText"/>
            </w:pPr>
            <w:r w:rsidRPr="0081146C">
              <w:t>13 Sept 2023</w:t>
            </w:r>
          </w:p>
        </w:tc>
        <w:tc>
          <w:tcPr>
            <w:tcW w:w="2099" w:type="dxa"/>
            <w:tcBorders>
              <w:top w:val="single" w:sz="4" w:space="0" w:color="auto"/>
              <w:bottom w:val="single" w:sz="4" w:space="0" w:color="auto"/>
            </w:tcBorders>
            <w:shd w:val="clear" w:color="auto" w:fill="auto"/>
          </w:tcPr>
          <w:p w14:paraId="2E625D09" w14:textId="77777777" w:rsidR="005D71C3" w:rsidRPr="0081146C" w:rsidRDefault="005D71C3" w:rsidP="00CD57DE">
            <w:pPr>
              <w:pStyle w:val="ENoteTableText"/>
            </w:pPr>
            <w:r w:rsidRPr="0081146C">
              <w:t>Sch 1 (items 1</w:t>
            </w:r>
            <w:r w:rsidR="00F3674A" w:rsidRPr="0081146C">
              <w:t xml:space="preserve">–3): 11 Oct 2023 (s 2(1) </w:t>
            </w:r>
            <w:r w:rsidR="003B7E15" w:rsidRPr="0081146C">
              <w:t>item 2</w:t>
            </w:r>
            <w:r w:rsidR="00F3674A" w:rsidRPr="0081146C">
              <w:t>)</w:t>
            </w:r>
            <w:r w:rsidR="00F3674A" w:rsidRPr="0081146C">
              <w:br/>
              <w:t>Sch 1 (</w:t>
            </w:r>
            <w:r w:rsidR="008D5917" w:rsidRPr="0081146C">
              <w:t>items 4</w:t>
            </w:r>
            <w:r w:rsidR="00F3674A" w:rsidRPr="0081146C">
              <w:t xml:space="preserve">–9): 14 Sept 2023 (s 2(1) </w:t>
            </w:r>
            <w:r w:rsidR="003B7E15" w:rsidRPr="0081146C">
              <w:t>item 3</w:t>
            </w:r>
            <w:r w:rsidR="00F3674A" w:rsidRPr="0081146C">
              <w:t>)</w:t>
            </w:r>
          </w:p>
        </w:tc>
        <w:tc>
          <w:tcPr>
            <w:tcW w:w="1195" w:type="dxa"/>
            <w:tcBorders>
              <w:top w:val="single" w:sz="4" w:space="0" w:color="auto"/>
              <w:bottom w:val="single" w:sz="4" w:space="0" w:color="auto"/>
            </w:tcBorders>
            <w:shd w:val="clear" w:color="auto" w:fill="auto"/>
          </w:tcPr>
          <w:p w14:paraId="0E97FA50" w14:textId="77777777" w:rsidR="005D71C3" w:rsidRPr="0081146C" w:rsidRDefault="00F3674A" w:rsidP="00681145">
            <w:pPr>
              <w:pStyle w:val="ENoteTableText"/>
            </w:pPr>
            <w:r w:rsidRPr="0081146C">
              <w:t>Sch 1 (</w:t>
            </w:r>
            <w:r w:rsidR="003B7E15" w:rsidRPr="0081146C">
              <w:t>item 3</w:t>
            </w:r>
            <w:r w:rsidRPr="0081146C">
              <w:t>)</w:t>
            </w:r>
            <w:r w:rsidR="001A05A5" w:rsidRPr="0081146C">
              <w:t xml:space="preserve"> and</w:t>
            </w:r>
            <w:r w:rsidR="00110E58" w:rsidRPr="0081146C">
              <w:t xml:space="preserve"> </w:t>
            </w:r>
            <w:r w:rsidRPr="0081146C">
              <w:t>Sch 1 (item 6)</w:t>
            </w:r>
          </w:p>
        </w:tc>
      </w:tr>
      <w:tr w:rsidR="003E6B66" w:rsidRPr="0081146C" w14:paraId="7A5D20EA" w14:textId="77777777" w:rsidTr="008523F3">
        <w:trPr>
          <w:cantSplit/>
        </w:trPr>
        <w:tc>
          <w:tcPr>
            <w:tcW w:w="1843" w:type="dxa"/>
            <w:tcBorders>
              <w:top w:val="single" w:sz="4" w:space="0" w:color="auto"/>
              <w:bottom w:val="single" w:sz="4" w:space="0" w:color="auto"/>
            </w:tcBorders>
            <w:shd w:val="clear" w:color="auto" w:fill="auto"/>
          </w:tcPr>
          <w:p w14:paraId="4E943D7B" w14:textId="77777777" w:rsidR="003E6B66" w:rsidRPr="0081146C" w:rsidRDefault="003E6B66" w:rsidP="007034F7">
            <w:pPr>
              <w:pStyle w:val="ENoteTableText"/>
            </w:pPr>
            <w:r w:rsidRPr="0081146C">
              <w:t>Statute Law Amendment (Prescribed Forms and Other Updates) Act 2023</w:t>
            </w:r>
          </w:p>
        </w:tc>
        <w:tc>
          <w:tcPr>
            <w:tcW w:w="992" w:type="dxa"/>
            <w:tcBorders>
              <w:top w:val="single" w:sz="4" w:space="0" w:color="auto"/>
              <w:bottom w:val="single" w:sz="4" w:space="0" w:color="auto"/>
            </w:tcBorders>
            <w:shd w:val="clear" w:color="auto" w:fill="auto"/>
          </w:tcPr>
          <w:p w14:paraId="2807835B" w14:textId="77777777" w:rsidR="003E6B66" w:rsidRPr="0081146C" w:rsidRDefault="003E6B66" w:rsidP="00DE7DF1">
            <w:pPr>
              <w:pStyle w:val="ENoteTableText"/>
            </w:pPr>
            <w:r w:rsidRPr="0081146C">
              <w:t>74, 2023</w:t>
            </w:r>
          </w:p>
        </w:tc>
        <w:tc>
          <w:tcPr>
            <w:tcW w:w="959" w:type="dxa"/>
            <w:tcBorders>
              <w:top w:val="single" w:sz="4" w:space="0" w:color="auto"/>
              <w:bottom w:val="single" w:sz="4" w:space="0" w:color="auto"/>
            </w:tcBorders>
            <w:shd w:val="clear" w:color="auto" w:fill="auto"/>
          </w:tcPr>
          <w:p w14:paraId="43471492" w14:textId="77777777" w:rsidR="003E6B66" w:rsidRPr="0081146C" w:rsidRDefault="00354122" w:rsidP="00C72BA2">
            <w:pPr>
              <w:pStyle w:val="ENoteTableText"/>
            </w:pPr>
            <w:r w:rsidRPr="0081146C">
              <w:t>20 Sept 2023</w:t>
            </w:r>
          </w:p>
        </w:tc>
        <w:tc>
          <w:tcPr>
            <w:tcW w:w="2099" w:type="dxa"/>
            <w:tcBorders>
              <w:top w:val="single" w:sz="4" w:space="0" w:color="auto"/>
              <w:bottom w:val="single" w:sz="4" w:space="0" w:color="auto"/>
            </w:tcBorders>
            <w:shd w:val="clear" w:color="auto" w:fill="auto"/>
          </w:tcPr>
          <w:p w14:paraId="18ED0F11" w14:textId="77777777" w:rsidR="003E6B66" w:rsidRPr="0081146C" w:rsidRDefault="00354122" w:rsidP="00CD57DE">
            <w:pPr>
              <w:pStyle w:val="ENoteTableText"/>
            </w:pPr>
            <w:r w:rsidRPr="0081146C">
              <w:t>Sch 4 (</w:t>
            </w:r>
            <w:r w:rsidR="008D5917" w:rsidRPr="0081146C">
              <w:t>items 4</w:t>
            </w:r>
            <w:r w:rsidRPr="0081146C">
              <w:t xml:space="preserve">–7): 18 Oct 2023 (s 2(1) </w:t>
            </w:r>
            <w:r w:rsidR="003B7E15" w:rsidRPr="0081146C">
              <w:t>item 3</w:t>
            </w:r>
            <w:r w:rsidRPr="0081146C">
              <w:t>)</w:t>
            </w:r>
          </w:p>
        </w:tc>
        <w:tc>
          <w:tcPr>
            <w:tcW w:w="1195" w:type="dxa"/>
            <w:tcBorders>
              <w:top w:val="single" w:sz="4" w:space="0" w:color="auto"/>
              <w:bottom w:val="single" w:sz="4" w:space="0" w:color="auto"/>
            </w:tcBorders>
            <w:shd w:val="clear" w:color="auto" w:fill="auto"/>
          </w:tcPr>
          <w:p w14:paraId="5967B379" w14:textId="77777777" w:rsidR="003E6B66" w:rsidRPr="0081146C" w:rsidRDefault="00354122" w:rsidP="00681145">
            <w:pPr>
              <w:pStyle w:val="ENoteTableText"/>
            </w:pPr>
            <w:r w:rsidRPr="0081146C">
              <w:t>—</w:t>
            </w:r>
          </w:p>
        </w:tc>
      </w:tr>
      <w:tr w:rsidR="00F0749B" w:rsidRPr="0081146C" w14:paraId="7BC2AC20" w14:textId="77777777" w:rsidTr="009F70E0">
        <w:trPr>
          <w:cantSplit/>
        </w:trPr>
        <w:tc>
          <w:tcPr>
            <w:tcW w:w="1843" w:type="dxa"/>
            <w:tcBorders>
              <w:top w:val="single" w:sz="4" w:space="0" w:color="auto"/>
              <w:bottom w:val="single" w:sz="4" w:space="0" w:color="auto"/>
            </w:tcBorders>
            <w:shd w:val="clear" w:color="auto" w:fill="auto"/>
          </w:tcPr>
          <w:p w14:paraId="61C4A9CA" w14:textId="77777777" w:rsidR="00F0749B" w:rsidRPr="0081146C" w:rsidRDefault="00F0749B" w:rsidP="007034F7">
            <w:pPr>
              <w:pStyle w:val="ENoteTableText"/>
            </w:pPr>
            <w:r w:rsidRPr="0081146C">
              <w:t>Treasury Laws Amendment (2023 Law Improvement Package No. 1) Act 2023</w:t>
            </w:r>
          </w:p>
        </w:tc>
        <w:tc>
          <w:tcPr>
            <w:tcW w:w="992" w:type="dxa"/>
            <w:tcBorders>
              <w:top w:val="single" w:sz="4" w:space="0" w:color="auto"/>
              <w:bottom w:val="single" w:sz="4" w:space="0" w:color="auto"/>
            </w:tcBorders>
            <w:shd w:val="clear" w:color="auto" w:fill="auto"/>
          </w:tcPr>
          <w:p w14:paraId="50B2A317" w14:textId="77777777" w:rsidR="00F0749B" w:rsidRPr="0081146C" w:rsidRDefault="00F0749B" w:rsidP="00DE7DF1">
            <w:pPr>
              <w:pStyle w:val="ENoteTableText"/>
            </w:pPr>
            <w:r w:rsidRPr="0081146C">
              <w:t>76, 2023</w:t>
            </w:r>
          </w:p>
        </w:tc>
        <w:tc>
          <w:tcPr>
            <w:tcW w:w="959" w:type="dxa"/>
            <w:tcBorders>
              <w:top w:val="single" w:sz="4" w:space="0" w:color="auto"/>
              <w:bottom w:val="single" w:sz="4" w:space="0" w:color="auto"/>
            </w:tcBorders>
            <w:shd w:val="clear" w:color="auto" w:fill="auto"/>
          </w:tcPr>
          <w:p w14:paraId="70279B18" w14:textId="77777777" w:rsidR="00F0749B" w:rsidRPr="0081146C" w:rsidRDefault="00F0749B" w:rsidP="00C72BA2">
            <w:pPr>
              <w:pStyle w:val="ENoteTableText"/>
            </w:pPr>
            <w:r w:rsidRPr="0081146C">
              <w:t>20 Sept 2023</w:t>
            </w:r>
          </w:p>
        </w:tc>
        <w:tc>
          <w:tcPr>
            <w:tcW w:w="2099" w:type="dxa"/>
            <w:tcBorders>
              <w:top w:val="single" w:sz="4" w:space="0" w:color="auto"/>
              <w:bottom w:val="single" w:sz="4" w:space="0" w:color="auto"/>
            </w:tcBorders>
            <w:shd w:val="clear" w:color="auto" w:fill="auto"/>
          </w:tcPr>
          <w:p w14:paraId="3A75DD95" w14:textId="77777777" w:rsidR="00F0749B" w:rsidRPr="0081146C" w:rsidRDefault="00F0749B" w:rsidP="00CD57DE">
            <w:pPr>
              <w:pStyle w:val="ENoteTableText"/>
            </w:pPr>
            <w:r w:rsidRPr="0081146C">
              <w:t>Sch 2 (</w:t>
            </w:r>
            <w:r w:rsidR="008D5917" w:rsidRPr="0081146C">
              <w:t>items 6</w:t>
            </w:r>
            <w:r w:rsidRPr="0081146C">
              <w:t xml:space="preserve">20–622): 20 Oct 2023 (s 2(1) </w:t>
            </w:r>
            <w:r w:rsidR="003B7E15" w:rsidRPr="0081146C">
              <w:t>item 2</w:t>
            </w:r>
            <w:r w:rsidRPr="0081146C">
              <w:t>)</w:t>
            </w:r>
          </w:p>
        </w:tc>
        <w:tc>
          <w:tcPr>
            <w:tcW w:w="1195" w:type="dxa"/>
            <w:tcBorders>
              <w:top w:val="single" w:sz="4" w:space="0" w:color="auto"/>
              <w:bottom w:val="single" w:sz="4" w:space="0" w:color="auto"/>
            </w:tcBorders>
            <w:shd w:val="clear" w:color="auto" w:fill="auto"/>
          </w:tcPr>
          <w:p w14:paraId="56C26C54" w14:textId="77777777" w:rsidR="00F0749B" w:rsidRPr="0081146C" w:rsidRDefault="00E53154" w:rsidP="00681145">
            <w:pPr>
              <w:pStyle w:val="ENoteTableText"/>
            </w:pPr>
            <w:r w:rsidRPr="0081146C">
              <w:t>—</w:t>
            </w:r>
          </w:p>
        </w:tc>
      </w:tr>
      <w:tr w:rsidR="00A17DF0" w:rsidRPr="0081146C" w14:paraId="15D5B43E" w14:textId="77777777" w:rsidTr="00DB476F">
        <w:trPr>
          <w:cantSplit/>
        </w:trPr>
        <w:tc>
          <w:tcPr>
            <w:tcW w:w="1843" w:type="dxa"/>
            <w:tcBorders>
              <w:top w:val="single" w:sz="4" w:space="0" w:color="auto"/>
              <w:bottom w:val="single" w:sz="12" w:space="0" w:color="auto"/>
            </w:tcBorders>
            <w:shd w:val="clear" w:color="auto" w:fill="auto"/>
          </w:tcPr>
          <w:p w14:paraId="7652511E" w14:textId="77777777" w:rsidR="00A17DF0" w:rsidRPr="0081146C" w:rsidRDefault="00EE2433" w:rsidP="007034F7">
            <w:pPr>
              <w:pStyle w:val="ENoteTableText"/>
            </w:pPr>
            <w:r w:rsidRPr="0081146C">
              <w:t>Administrative Review Tribunal (Consequential and Transitional Provisions No. 1) Act 2024</w:t>
            </w:r>
          </w:p>
        </w:tc>
        <w:tc>
          <w:tcPr>
            <w:tcW w:w="992" w:type="dxa"/>
            <w:tcBorders>
              <w:top w:val="single" w:sz="4" w:space="0" w:color="auto"/>
              <w:bottom w:val="single" w:sz="12" w:space="0" w:color="auto"/>
            </w:tcBorders>
            <w:shd w:val="clear" w:color="auto" w:fill="auto"/>
          </w:tcPr>
          <w:p w14:paraId="4EFED1BA" w14:textId="77777777" w:rsidR="00A17DF0" w:rsidRPr="0081146C" w:rsidRDefault="00A17DF0" w:rsidP="00DE7DF1">
            <w:pPr>
              <w:pStyle w:val="ENoteTableText"/>
            </w:pPr>
            <w:r w:rsidRPr="0081146C">
              <w:t>38, 2024</w:t>
            </w:r>
          </w:p>
        </w:tc>
        <w:tc>
          <w:tcPr>
            <w:tcW w:w="959" w:type="dxa"/>
            <w:tcBorders>
              <w:top w:val="single" w:sz="4" w:space="0" w:color="auto"/>
              <w:bottom w:val="single" w:sz="12" w:space="0" w:color="auto"/>
            </w:tcBorders>
            <w:shd w:val="clear" w:color="auto" w:fill="auto"/>
          </w:tcPr>
          <w:p w14:paraId="20C0A0B8" w14:textId="77777777" w:rsidR="00A17DF0" w:rsidRPr="0081146C" w:rsidRDefault="003B7E15" w:rsidP="00C72BA2">
            <w:pPr>
              <w:pStyle w:val="ENoteTableText"/>
            </w:pPr>
            <w:r w:rsidRPr="0081146C">
              <w:t>31 May</w:t>
            </w:r>
            <w:r w:rsidR="00A17DF0" w:rsidRPr="0081146C">
              <w:t xml:space="preserve"> 2024</w:t>
            </w:r>
          </w:p>
        </w:tc>
        <w:tc>
          <w:tcPr>
            <w:tcW w:w="2099" w:type="dxa"/>
            <w:tcBorders>
              <w:top w:val="single" w:sz="4" w:space="0" w:color="auto"/>
              <w:bottom w:val="single" w:sz="12" w:space="0" w:color="auto"/>
            </w:tcBorders>
            <w:shd w:val="clear" w:color="auto" w:fill="auto"/>
          </w:tcPr>
          <w:p w14:paraId="18E265A6" w14:textId="77777777" w:rsidR="00A17DF0" w:rsidRPr="0081146C" w:rsidRDefault="00EE2433" w:rsidP="00CD57DE">
            <w:pPr>
              <w:pStyle w:val="ENoteTableText"/>
            </w:pPr>
            <w:r w:rsidRPr="0081146C">
              <w:t>Sch 6 (</w:t>
            </w:r>
            <w:r w:rsidR="003B7E15" w:rsidRPr="0081146C">
              <w:t>item 8</w:t>
            </w:r>
            <w:r w:rsidRPr="0081146C">
              <w:t xml:space="preserve">): 14 Oct 2024 (s (2) </w:t>
            </w:r>
            <w:r w:rsidR="003B7E15" w:rsidRPr="0081146C">
              <w:t>item 2</w:t>
            </w:r>
            <w:r w:rsidRPr="0081146C">
              <w:t>)</w:t>
            </w:r>
          </w:p>
        </w:tc>
        <w:tc>
          <w:tcPr>
            <w:tcW w:w="1195" w:type="dxa"/>
            <w:tcBorders>
              <w:top w:val="single" w:sz="4" w:space="0" w:color="auto"/>
              <w:bottom w:val="single" w:sz="12" w:space="0" w:color="auto"/>
            </w:tcBorders>
            <w:shd w:val="clear" w:color="auto" w:fill="auto"/>
          </w:tcPr>
          <w:p w14:paraId="40624AA0" w14:textId="77777777" w:rsidR="00A17DF0" w:rsidRPr="0081146C" w:rsidRDefault="00EE2433" w:rsidP="00681145">
            <w:pPr>
              <w:pStyle w:val="ENoteTableText"/>
            </w:pPr>
            <w:r w:rsidRPr="0081146C">
              <w:t>—</w:t>
            </w:r>
          </w:p>
        </w:tc>
      </w:tr>
    </w:tbl>
    <w:p w14:paraId="42707961" w14:textId="77777777" w:rsidR="008D1BB8" w:rsidRPr="0081146C" w:rsidRDefault="008D1BB8" w:rsidP="008D1BB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06"/>
        <w:gridCol w:w="1806"/>
        <w:gridCol w:w="1665"/>
      </w:tblGrid>
      <w:tr w:rsidR="008D1BB8" w:rsidRPr="0081146C" w14:paraId="2E498394" w14:textId="77777777" w:rsidTr="00724DC1">
        <w:trPr>
          <w:tblHeader/>
        </w:trPr>
        <w:tc>
          <w:tcPr>
            <w:tcW w:w="1811" w:type="dxa"/>
            <w:tcBorders>
              <w:top w:val="single" w:sz="12" w:space="0" w:color="auto"/>
              <w:bottom w:val="single" w:sz="12" w:space="0" w:color="auto"/>
            </w:tcBorders>
            <w:shd w:val="clear" w:color="auto" w:fill="auto"/>
          </w:tcPr>
          <w:p w14:paraId="6FED4352" w14:textId="77777777" w:rsidR="008D1BB8" w:rsidRPr="0081146C" w:rsidRDefault="008D1BB8" w:rsidP="00DB476F">
            <w:pPr>
              <w:pStyle w:val="ENoteTableHeading"/>
            </w:pPr>
            <w:r w:rsidRPr="0081146C">
              <w:t>Number and year</w:t>
            </w:r>
          </w:p>
        </w:tc>
        <w:tc>
          <w:tcPr>
            <w:tcW w:w="1806" w:type="dxa"/>
            <w:tcBorders>
              <w:top w:val="single" w:sz="12" w:space="0" w:color="auto"/>
              <w:bottom w:val="single" w:sz="12" w:space="0" w:color="auto"/>
            </w:tcBorders>
            <w:shd w:val="clear" w:color="auto" w:fill="auto"/>
          </w:tcPr>
          <w:p w14:paraId="7C3C8CC2" w14:textId="77777777" w:rsidR="008D1BB8" w:rsidRPr="0081146C" w:rsidRDefault="00804466" w:rsidP="00DB476F">
            <w:pPr>
              <w:pStyle w:val="ENoteTableHeading"/>
            </w:pPr>
            <w:r w:rsidRPr="0081146C">
              <w:t>R</w:t>
            </w:r>
            <w:r w:rsidR="008D1BB8" w:rsidRPr="0081146C">
              <w:t>egistration</w:t>
            </w:r>
          </w:p>
        </w:tc>
        <w:tc>
          <w:tcPr>
            <w:tcW w:w="1806" w:type="dxa"/>
            <w:tcBorders>
              <w:top w:val="single" w:sz="12" w:space="0" w:color="auto"/>
              <w:bottom w:val="single" w:sz="12" w:space="0" w:color="auto"/>
            </w:tcBorders>
            <w:shd w:val="clear" w:color="auto" w:fill="auto"/>
          </w:tcPr>
          <w:p w14:paraId="39F0E4F0" w14:textId="77777777" w:rsidR="008D1BB8" w:rsidRPr="0081146C" w:rsidRDefault="008D1BB8" w:rsidP="00DB476F">
            <w:pPr>
              <w:pStyle w:val="ENoteTableHeading"/>
            </w:pPr>
            <w:r w:rsidRPr="0081146C">
              <w:t>Commencement</w:t>
            </w:r>
          </w:p>
        </w:tc>
        <w:tc>
          <w:tcPr>
            <w:tcW w:w="1665" w:type="dxa"/>
            <w:tcBorders>
              <w:top w:val="single" w:sz="12" w:space="0" w:color="auto"/>
              <w:bottom w:val="single" w:sz="12" w:space="0" w:color="auto"/>
            </w:tcBorders>
            <w:shd w:val="clear" w:color="auto" w:fill="auto"/>
          </w:tcPr>
          <w:p w14:paraId="698BABC5" w14:textId="77777777" w:rsidR="008D1BB8" w:rsidRPr="0081146C" w:rsidRDefault="008D1BB8" w:rsidP="00DB476F">
            <w:pPr>
              <w:pStyle w:val="ENoteTableHeading"/>
            </w:pPr>
            <w:r w:rsidRPr="0081146C">
              <w:t>Application, saving and transitional provisions</w:t>
            </w:r>
          </w:p>
        </w:tc>
      </w:tr>
      <w:tr w:rsidR="008D1BB8" w:rsidRPr="0081146C" w14:paraId="067A6F56" w14:textId="77777777" w:rsidTr="00724DC1">
        <w:tc>
          <w:tcPr>
            <w:tcW w:w="1811" w:type="dxa"/>
            <w:tcBorders>
              <w:top w:val="nil"/>
              <w:bottom w:val="single" w:sz="12" w:space="0" w:color="auto"/>
            </w:tcBorders>
            <w:shd w:val="clear" w:color="auto" w:fill="auto"/>
          </w:tcPr>
          <w:p w14:paraId="55498487" w14:textId="77777777" w:rsidR="008D1BB8" w:rsidRPr="0081146C" w:rsidRDefault="008D1BB8" w:rsidP="00DB476F">
            <w:pPr>
              <w:pStyle w:val="ENoteTableText"/>
            </w:pPr>
            <w:r w:rsidRPr="0081146C">
              <w:t>2</w:t>
            </w:r>
            <w:r w:rsidR="00724DC1" w:rsidRPr="0081146C">
              <w:t>, 2008</w:t>
            </w:r>
          </w:p>
        </w:tc>
        <w:tc>
          <w:tcPr>
            <w:tcW w:w="1806" w:type="dxa"/>
            <w:tcBorders>
              <w:top w:val="nil"/>
              <w:bottom w:val="single" w:sz="12" w:space="0" w:color="auto"/>
            </w:tcBorders>
            <w:shd w:val="clear" w:color="auto" w:fill="auto"/>
          </w:tcPr>
          <w:p w14:paraId="006E1EFD" w14:textId="77777777" w:rsidR="008D1BB8" w:rsidRPr="0081146C" w:rsidRDefault="008D1BB8" w:rsidP="00DB476F">
            <w:pPr>
              <w:pStyle w:val="ENoteTableText"/>
            </w:pPr>
            <w:r w:rsidRPr="0081146C">
              <w:t xml:space="preserve">30 Jan 2008 </w:t>
            </w:r>
            <w:r w:rsidR="001A64A5" w:rsidRPr="0081146C">
              <w:t>(F2008L00137)</w:t>
            </w:r>
          </w:p>
        </w:tc>
        <w:tc>
          <w:tcPr>
            <w:tcW w:w="1806" w:type="dxa"/>
            <w:tcBorders>
              <w:top w:val="nil"/>
              <w:bottom w:val="single" w:sz="12" w:space="0" w:color="auto"/>
            </w:tcBorders>
            <w:shd w:val="clear" w:color="auto" w:fill="auto"/>
          </w:tcPr>
          <w:p w14:paraId="1BA791A0" w14:textId="77777777" w:rsidR="008D1BB8" w:rsidRPr="0081146C" w:rsidRDefault="008D1BB8" w:rsidP="00DB476F">
            <w:pPr>
              <w:pStyle w:val="ENoteTableText"/>
            </w:pPr>
            <w:r w:rsidRPr="0081146C">
              <w:t>31 Jan 2008</w:t>
            </w:r>
            <w:r w:rsidR="007D23F6" w:rsidRPr="0081146C">
              <w:t xml:space="preserve"> (r 2)</w:t>
            </w:r>
          </w:p>
        </w:tc>
        <w:tc>
          <w:tcPr>
            <w:tcW w:w="1665" w:type="dxa"/>
            <w:tcBorders>
              <w:top w:val="nil"/>
              <w:bottom w:val="single" w:sz="12" w:space="0" w:color="auto"/>
            </w:tcBorders>
            <w:shd w:val="clear" w:color="auto" w:fill="auto"/>
          </w:tcPr>
          <w:p w14:paraId="068A6612" w14:textId="77777777" w:rsidR="008D1BB8" w:rsidRPr="0081146C" w:rsidRDefault="008D1BB8" w:rsidP="00DB476F">
            <w:pPr>
              <w:pStyle w:val="ENoteTableText"/>
            </w:pPr>
            <w:r w:rsidRPr="0081146C">
              <w:t>—</w:t>
            </w:r>
          </w:p>
        </w:tc>
      </w:tr>
    </w:tbl>
    <w:p w14:paraId="220DE736" w14:textId="77777777" w:rsidR="003C77C7" w:rsidRPr="0081146C" w:rsidRDefault="003C77C7" w:rsidP="003C77C7">
      <w:pPr>
        <w:pStyle w:val="Tabletext"/>
      </w:pPr>
    </w:p>
    <w:p w14:paraId="0A6BBDDA" w14:textId="77777777" w:rsidR="00AF391E" w:rsidRPr="0081146C" w:rsidRDefault="00AF391E" w:rsidP="003209EC">
      <w:pPr>
        <w:pStyle w:val="ENotesHeading2"/>
        <w:pageBreakBefore/>
        <w:outlineLvl w:val="9"/>
      </w:pPr>
      <w:bookmarkStart w:id="716" w:name="_Toc185416138"/>
      <w:r w:rsidRPr="0081146C">
        <w:t>Endnote 4—Amendment history</w:t>
      </w:r>
      <w:bookmarkEnd w:id="716"/>
    </w:p>
    <w:p w14:paraId="625F0B01" w14:textId="77777777" w:rsidR="00C72BA2" w:rsidRPr="0081146C" w:rsidRDefault="00C72BA2" w:rsidP="008539BE">
      <w:pPr>
        <w:pStyle w:val="Tabletext"/>
      </w:pPr>
    </w:p>
    <w:tbl>
      <w:tblPr>
        <w:tblW w:w="7088" w:type="dxa"/>
        <w:tblInd w:w="108" w:type="dxa"/>
        <w:tblLayout w:type="fixed"/>
        <w:tblLook w:val="0000" w:firstRow="0" w:lastRow="0" w:firstColumn="0" w:lastColumn="0" w:noHBand="0" w:noVBand="0"/>
      </w:tblPr>
      <w:tblGrid>
        <w:gridCol w:w="2551"/>
        <w:gridCol w:w="4537"/>
      </w:tblGrid>
      <w:tr w:rsidR="00C72BA2" w:rsidRPr="0081146C" w14:paraId="35902312" w14:textId="77777777" w:rsidTr="00965397">
        <w:trPr>
          <w:cantSplit/>
          <w:tblHeader/>
        </w:trPr>
        <w:tc>
          <w:tcPr>
            <w:tcW w:w="2551" w:type="dxa"/>
            <w:tcBorders>
              <w:top w:val="single" w:sz="12" w:space="0" w:color="auto"/>
              <w:bottom w:val="single" w:sz="12" w:space="0" w:color="auto"/>
            </w:tcBorders>
            <w:shd w:val="clear" w:color="auto" w:fill="auto"/>
          </w:tcPr>
          <w:p w14:paraId="73360D66" w14:textId="77777777" w:rsidR="00C72BA2" w:rsidRPr="0081146C" w:rsidRDefault="00C72BA2" w:rsidP="008539BE">
            <w:pPr>
              <w:pStyle w:val="ENoteTableHeading"/>
            </w:pPr>
            <w:r w:rsidRPr="0081146C">
              <w:t>Provision affected</w:t>
            </w:r>
          </w:p>
        </w:tc>
        <w:tc>
          <w:tcPr>
            <w:tcW w:w="4537" w:type="dxa"/>
            <w:tcBorders>
              <w:top w:val="single" w:sz="12" w:space="0" w:color="auto"/>
              <w:bottom w:val="single" w:sz="12" w:space="0" w:color="auto"/>
            </w:tcBorders>
            <w:shd w:val="clear" w:color="auto" w:fill="auto"/>
          </w:tcPr>
          <w:p w14:paraId="7BACF717" w14:textId="77777777" w:rsidR="00C72BA2" w:rsidRPr="0081146C" w:rsidRDefault="00C72BA2" w:rsidP="008539BE">
            <w:pPr>
              <w:pStyle w:val="ENoteTableHeading"/>
            </w:pPr>
            <w:r w:rsidRPr="0081146C">
              <w:t>How affected</w:t>
            </w:r>
          </w:p>
        </w:tc>
      </w:tr>
      <w:tr w:rsidR="00C72BA2" w:rsidRPr="0081146C" w14:paraId="66FD650B" w14:textId="77777777" w:rsidTr="00965397">
        <w:trPr>
          <w:cantSplit/>
        </w:trPr>
        <w:tc>
          <w:tcPr>
            <w:tcW w:w="2551" w:type="dxa"/>
            <w:tcBorders>
              <w:top w:val="single" w:sz="12" w:space="0" w:color="auto"/>
            </w:tcBorders>
            <w:shd w:val="clear" w:color="auto" w:fill="auto"/>
          </w:tcPr>
          <w:p w14:paraId="759E2ACC" w14:textId="77777777" w:rsidR="00C72BA2" w:rsidRPr="0081146C" w:rsidRDefault="00CA78AA" w:rsidP="00C72BA2">
            <w:pPr>
              <w:pStyle w:val="ENoteTableText"/>
            </w:pPr>
            <w:r w:rsidRPr="0081146C">
              <w:rPr>
                <w:b/>
              </w:rPr>
              <w:t>Part 1</w:t>
            </w:r>
          </w:p>
        </w:tc>
        <w:tc>
          <w:tcPr>
            <w:tcW w:w="4537" w:type="dxa"/>
            <w:tcBorders>
              <w:top w:val="single" w:sz="12" w:space="0" w:color="auto"/>
            </w:tcBorders>
            <w:shd w:val="clear" w:color="auto" w:fill="auto"/>
          </w:tcPr>
          <w:p w14:paraId="4FDCDC54" w14:textId="77777777" w:rsidR="00C72BA2" w:rsidRPr="0081146C" w:rsidRDefault="00C72BA2" w:rsidP="00C72BA2">
            <w:pPr>
              <w:pStyle w:val="ENoteTableText"/>
            </w:pPr>
          </w:p>
        </w:tc>
      </w:tr>
      <w:tr w:rsidR="00C72BA2" w:rsidRPr="0081146C" w14:paraId="2ADC78E6" w14:textId="77777777" w:rsidTr="00965397">
        <w:trPr>
          <w:cantSplit/>
        </w:trPr>
        <w:tc>
          <w:tcPr>
            <w:tcW w:w="2551" w:type="dxa"/>
            <w:shd w:val="clear" w:color="auto" w:fill="auto"/>
          </w:tcPr>
          <w:p w14:paraId="221A51BB" w14:textId="77777777" w:rsidR="00C72BA2" w:rsidRPr="0081146C" w:rsidRDefault="00C72BA2" w:rsidP="001F2742">
            <w:pPr>
              <w:pStyle w:val="ENoteTableText"/>
              <w:tabs>
                <w:tab w:val="center" w:leader="dot" w:pos="2268"/>
              </w:tabs>
            </w:pPr>
            <w:r w:rsidRPr="0081146C">
              <w:t>s 3</w:t>
            </w:r>
            <w:r w:rsidR="00AE2DA2" w:rsidRPr="0081146C">
              <w:tab/>
            </w:r>
          </w:p>
        </w:tc>
        <w:tc>
          <w:tcPr>
            <w:tcW w:w="4537" w:type="dxa"/>
            <w:shd w:val="clear" w:color="auto" w:fill="auto"/>
          </w:tcPr>
          <w:p w14:paraId="66BE3AA3" w14:textId="77777777" w:rsidR="00C72BA2" w:rsidRPr="0081146C" w:rsidRDefault="00C72BA2" w:rsidP="00D3528B">
            <w:pPr>
              <w:pStyle w:val="ENoteTableText"/>
            </w:pPr>
            <w:r w:rsidRPr="0081146C">
              <w:t>am No</w:t>
            </w:r>
            <w:r w:rsidR="00D3528B" w:rsidRPr="0081146C">
              <w:t xml:space="preserve"> </w:t>
            </w:r>
            <w:r w:rsidRPr="0081146C">
              <w:t>8, 2010</w:t>
            </w:r>
            <w:r w:rsidR="00A97E3C" w:rsidRPr="0081146C">
              <w:t>; No 130, 2017</w:t>
            </w:r>
          </w:p>
        </w:tc>
      </w:tr>
      <w:tr w:rsidR="00C72BA2" w:rsidRPr="0081146C" w14:paraId="5A490F0C" w14:textId="77777777" w:rsidTr="00965397">
        <w:trPr>
          <w:cantSplit/>
        </w:trPr>
        <w:tc>
          <w:tcPr>
            <w:tcW w:w="2551" w:type="dxa"/>
            <w:shd w:val="clear" w:color="auto" w:fill="auto"/>
          </w:tcPr>
          <w:p w14:paraId="6716E8CB" w14:textId="77777777" w:rsidR="00C72BA2" w:rsidRPr="0081146C" w:rsidRDefault="00AE2DA2" w:rsidP="00D3528B">
            <w:pPr>
              <w:pStyle w:val="ENoteTableText"/>
              <w:tabs>
                <w:tab w:val="center" w:leader="dot" w:pos="2268"/>
              </w:tabs>
            </w:pPr>
            <w:r w:rsidRPr="0081146C">
              <w:t>s</w:t>
            </w:r>
            <w:r w:rsidR="00C72BA2" w:rsidRPr="0081146C">
              <w:t xml:space="preserve"> 4</w:t>
            </w:r>
            <w:r w:rsidR="00C72BA2" w:rsidRPr="0081146C">
              <w:tab/>
            </w:r>
          </w:p>
        </w:tc>
        <w:tc>
          <w:tcPr>
            <w:tcW w:w="4537" w:type="dxa"/>
            <w:shd w:val="clear" w:color="auto" w:fill="auto"/>
          </w:tcPr>
          <w:p w14:paraId="74ED9A65" w14:textId="77777777" w:rsidR="00C72BA2" w:rsidRPr="0081146C" w:rsidRDefault="00C72BA2" w:rsidP="00D3528B">
            <w:pPr>
              <w:pStyle w:val="ENoteTableText"/>
              <w:rPr>
                <w:u w:val="single"/>
              </w:rPr>
            </w:pPr>
            <w:r w:rsidRPr="0081146C">
              <w:t>am No</w:t>
            </w:r>
            <w:r w:rsidR="00D3528B" w:rsidRPr="0081146C">
              <w:t xml:space="preserve"> </w:t>
            </w:r>
            <w:r w:rsidRPr="0081146C">
              <w:t>60, 2011</w:t>
            </w:r>
            <w:r w:rsidR="00A97E3C" w:rsidRPr="0081146C">
              <w:t>; No 130, 2017</w:t>
            </w:r>
            <w:r w:rsidR="000E7DE9" w:rsidRPr="0081146C">
              <w:t>; No 133, 2020</w:t>
            </w:r>
          </w:p>
        </w:tc>
      </w:tr>
      <w:tr w:rsidR="00C72BA2" w:rsidRPr="0081146C" w14:paraId="13B28627" w14:textId="77777777" w:rsidTr="00965397">
        <w:trPr>
          <w:cantSplit/>
        </w:trPr>
        <w:tc>
          <w:tcPr>
            <w:tcW w:w="2551" w:type="dxa"/>
            <w:shd w:val="clear" w:color="auto" w:fill="auto"/>
          </w:tcPr>
          <w:p w14:paraId="3FD33107" w14:textId="77777777" w:rsidR="00C72BA2" w:rsidRPr="0081146C" w:rsidRDefault="00AE2DA2" w:rsidP="000054AF">
            <w:pPr>
              <w:pStyle w:val="ENoteTableText"/>
              <w:tabs>
                <w:tab w:val="center" w:leader="dot" w:pos="2268"/>
              </w:tabs>
            </w:pPr>
            <w:r w:rsidRPr="0081146C">
              <w:t>s</w:t>
            </w:r>
            <w:r w:rsidR="00C72BA2" w:rsidRPr="0081146C">
              <w:t xml:space="preserve"> 5</w:t>
            </w:r>
            <w:r w:rsidR="00C72BA2" w:rsidRPr="0081146C">
              <w:tab/>
            </w:r>
          </w:p>
        </w:tc>
        <w:tc>
          <w:tcPr>
            <w:tcW w:w="4537" w:type="dxa"/>
            <w:shd w:val="clear" w:color="auto" w:fill="auto"/>
          </w:tcPr>
          <w:p w14:paraId="240CA213" w14:textId="77777777" w:rsidR="00C72BA2" w:rsidRPr="0081146C" w:rsidRDefault="00C72BA2" w:rsidP="000054AF">
            <w:pPr>
              <w:pStyle w:val="ENoteTableText"/>
            </w:pPr>
            <w:r w:rsidRPr="0081146C">
              <w:t>am No 52</w:t>
            </w:r>
            <w:r w:rsidR="000054AF" w:rsidRPr="0081146C">
              <w:t>, 2007; No</w:t>
            </w:r>
            <w:r w:rsidRPr="0081146C">
              <w:t xml:space="preserve"> 154, 2007; No 45</w:t>
            </w:r>
            <w:r w:rsidR="000054AF" w:rsidRPr="0081146C">
              <w:t>, 2008; No</w:t>
            </w:r>
            <w:r w:rsidRPr="0081146C">
              <w:t xml:space="preserve"> 92, 2008; No</w:t>
            </w:r>
            <w:r w:rsidR="00614C25" w:rsidRPr="0081146C">
              <w:t> </w:t>
            </w:r>
            <w:r w:rsidRPr="0081146C">
              <w:t>33, 2009; No 4</w:t>
            </w:r>
            <w:r w:rsidR="000054AF" w:rsidRPr="0081146C">
              <w:t>, 2010; No</w:t>
            </w:r>
            <w:r w:rsidRPr="0081146C">
              <w:t xml:space="preserve"> 8</w:t>
            </w:r>
            <w:r w:rsidR="000054AF" w:rsidRPr="0081146C">
              <w:t>, 2010;</w:t>
            </w:r>
            <w:r w:rsidRPr="0081146C">
              <w:t xml:space="preserve"> </w:t>
            </w:r>
            <w:r w:rsidR="000054AF" w:rsidRPr="0081146C">
              <w:t>No 103, 2010; No</w:t>
            </w:r>
            <w:r w:rsidRPr="0081146C">
              <w:t> 32</w:t>
            </w:r>
            <w:r w:rsidR="000054AF" w:rsidRPr="0081146C">
              <w:t>, 2011; No</w:t>
            </w:r>
            <w:r w:rsidRPr="0081146C">
              <w:t xml:space="preserve"> 56</w:t>
            </w:r>
            <w:r w:rsidR="000054AF" w:rsidRPr="0081146C">
              <w:t>, 2011; No</w:t>
            </w:r>
            <w:r w:rsidRPr="0081146C">
              <w:t xml:space="preserve"> 60</w:t>
            </w:r>
            <w:r w:rsidR="000054AF" w:rsidRPr="0081146C">
              <w:t>, 2011; No</w:t>
            </w:r>
            <w:r w:rsidRPr="0081146C">
              <w:t xml:space="preserve"> 102</w:t>
            </w:r>
            <w:r w:rsidR="000054AF" w:rsidRPr="0081146C">
              <w:t>, 2011; No</w:t>
            </w:r>
            <w:r w:rsidRPr="0081146C">
              <w:t xml:space="preserve"> 118</w:t>
            </w:r>
            <w:r w:rsidR="000054AF" w:rsidRPr="0081146C">
              <w:t>, 2011; No</w:t>
            </w:r>
            <w:r w:rsidRPr="0081146C">
              <w:t xml:space="preserve"> 132, 2011; No</w:t>
            </w:r>
            <w:r w:rsidR="00AE2DA2" w:rsidRPr="0081146C">
              <w:t> </w:t>
            </w:r>
            <w:r w:rsidRPr="0081146C">
              <w:t>169</w:t>
            </w:r>
            <w:r w:rsidR="000054AF" w:rsidRPr="0081146C">
              <w:t>, 2012; No</w:t>
            </w:r>
            <w:r w:rsidR="00AF391E" w:rsidRPr="0081146C">
              <w:t xml:space="preserve"> 197</w:t>
            </w:r>
            <w:r w:rsidRPr="0081146C">
              <w:t>, 2012</w:t>
            </w:r>
            <w:r w:rsidR="005407EA" w:rsidRPr="0081146C">
              <w:t>; No</w:t>
            </w:r>
            <w:r w:rsidR="00614C25" w:rsidRPr="0081146C">
              <w:t> </w:t>
            </w:r>
            <w:r w:rsidR="005407EA" w:rsidRPr="0081146C">
              <w:t>74, 2013</w:t>
            </w:r>
            <w:r w:rsidR="00F3656C" w:rsidRPr="0081146C">
              <w:t>; No 31</w:t>
            </w:r>
            <w:r w:rsidR="000054AF" w:rsidRPr="0081146C">
              <w:t>, 2014; No</w:t>
            </w:r>
            <w:r w:rsidR="0031754D" w:rsidRPr="0081146C">
              <w:t xml:space="preserve"> 83</w:t>
            </w:r>
            <w:r w:rsidR="000054AF" w:rsidRPr="0081146C">
              <w:t>, 2014; No</w:t>
            </w:r>
            <w:r w:rsidR="00AF7E17" w:rsidRPr="0081146C">
              <w:t xml:space="preserve"> 108</w:t>
            </w:r>
            <w:r w:rsidR="000054AF" w:rsidRPr="0081146C">
              <w:t>, 2014; No</w:t>
            </w:r>
            <w:r w:rsidR="00F43DF5" w:rsidRPr="0081146C">
              <w:t xml:space="preserve"> </w:t>
            </w:r>
            <w:r w:rsidR="00AF7E17" w:rsidRPr="0081146C">
              <w:t>116</w:t>
            </w:r>
            <w:r w:rsidR="008A1FA1" w:rsidRPr="0081146C">
              <w:t>,</w:t>
            </w:r>
            <w:r w:rsidR="00F3656C" w:rsidRPr="0081146C">
              <w:t xml:space="preserve"> 2014</w:t>
            </w:r>
            <w:r w:rsidR="004D625F" w:rsidRPr="0081146C">
              <w:t>; No 12, 2015</w:t>
            </w:r>
            <w:r w:rsidR="00F952DD" w:rsidRPr="0081146C">
              <w:t>; No 41, 2015; No 70, 2015</w:t>
            </w:r>
            <w:r w:rsidR="00910C23" w:rsidRPr="0081146C">
              <w:t>; No 126, 2015</w:t>
            </w:r>
            <w:r w:rsidR="0020310F" w:rsidRPr="0081146C">
              <w:t>; No 15, 2016</w:t>
            </w:r>
            <w:r w:rsidR="00611CAB" w:rsidRPr="0081146C">
              <w:t>; No 86, 2016</w:t>
            </w:r>
            <w:r w:rsidR="00A97E3C" w:rsidRPr="0081146C">
              <w:t>; No 130, 2017</w:t>
            </w:r>
            <w:r w:rsidR="00D74DE7" w:rsidRPr="0081146C">
              <w:t xml:space="preserve">; </w:t>
            </w:r>
            <w:r w:rsidR="00FF5CDF" w:rsidRPr="0081146C">
              <w:t xml:space="preserve">No 25, 2018; </w:t>
            </w:r>
            <w:r w:rsidR="00D74DE7" w:rsidRPr="0081146C">
              <w:t>No 31, 2018</w:t>
            </w:r>
            <w:r w:rsidR="00B31518" w:rsidRPr="0081146C">
              <w:t>; No 34, 2018; No 41, 2018</w:t>
            </w:r>
            <w:r w:rsidR="00656BB0" w:rsidRPr="0081146C">
              <w:t>; No 61, 2018</w:t>
            </w:r>
            <w:r w:rsidR="00E47DB3" w:rsidRPr="0081146C">
              <w:t>; No 156, 2018</w:t>
            </w:r>
            <w:r w:rsidR="003D65A7" w:rsidRPr="0081146C">
              <w:t>; No 104, 2020</w:t>
            </w:r>
            <w:r w:rsidR="00B44C2C" w:rsidRPr="0081146C">
              <w:t>; No 133, 2020 (amdt never applied (Sch 1 par 44(d))</w:t>
            </w:r>
            <w:r w:rsidR="00F64F64" w:rsidRPr="0081146C">
              <w:t>)</w:t>
            </w:r>
            <w:r w:rsidR="007E2BE6" w:rsidRPr="0081146C">
              <w:t>; No 89, 2022</w:t>
            </w:r>
            <w:r w:rsidR="0041570D" w:rsidRPr="0081146C">
              <w:t>; No 63, 2023</w:t>
            </w:r>
            <w:r w:rsidR="009A4D45" w:rsidRPr="0081146C">
              <w:t>; No 76, 2023</w:t>
            </w:r>
          </w:p>
        </w:tc>
      </w:tr>
      <w:tr w:rsidR="00C72BA2" w:rsidRPr="0081146C" w14:paraId="7CFCD977" w14:textId="77777777" w:rsidTr="00965397">
        <w:trPr>
          <w:cantSplit/>
        </w:trPr>
        <w:tc>
          <w:tcPr>
            <w:tcW w:w="2551" w:type="dxa"/>
            <w:shd w:val="clear" w:color="auto" w:fill="auto"/>
          </w:tcPr>
          <w:p w14:paraId="42D13213" w14:textId="77777777" w:rsidR="00C72BA2" w:rsidRPr="0081146C" w:rsidRDefault="00AE2DA2" w:rsidP="00AE2DA2">
            <w:pPr>
              <w:pStyle w:val="ENoteTableText"/>
              <w:tabs>
                <w:tab w:val="center" w:leader="dot" w:pos="2268"/>
              </w:tabs>
            </w:pPr>
            <w:r w:rsidRPr="0081146C">
              <w:t>s</w:t>
            </w:r>
            <w:r w:rsidR="00C72BA2" w:rsidRPr="0081146C">
              <w:t xml:space="preserve"> 6</w:t>
            </w:r>
            <w:r w:rsidR="00C72BA2" w:rsidRPr="0081146C">
              <w:tab/>
            </w:r>
          </w:p>
        </w:tc>
        <w:tc>
          <w:tcPr>
            <w:tcW w:w="4537" w:type="dxa"/>
            <w:shd w:val="clear" w:color="auto" w:fill="auto"/>
          </w:tcPr>
          <w:p w14:paraId="6E7AEDAC" w14:textId="77777777" w:rsidR="00C72BA2" w:rsidRPr="0081146C" w:rsidRDefault="00C72BA2" w:rsidP="00E37248">
            <w:pPr>
              <w:pStyle w:val="ENoteTableText"/>
            </w:pPr>
            <w:r w:rsidRPr="0081146C">
              <w:t>am No</w:t>
            </w:r>
            <w:r w:rsidR="00D93EB4" w:rsidRPr="0081146C">
              <w:t> </w:t>
            </w:r>
            <w:r w:rsidRPr="0081146C">
              <w:t>52, 2007; SLI</w:t>
            </w:r>
            <w:r w:rsidR="004F64A4" w:rsidRPr="0081146C">
              <w:t> </w:t>
            </w:r>
            <w:r w:rsidRPr="0081146C">
              <w:t>2008 No</w:t>
            </w:r>
            <w:r w:rsidR="00D93EB4" w:rsidRPr="0081146C">
              <w:t> </w:t>
            </w:r>
            <w:r w:rsidRPr="0081146C">
              <w:t>2; No</w:t>
            </w:r>
            <w:r w:rsidR="00D93EB4" w:rsidRPr="0081146C">
              <w:t> </w:t>
            </w:r>
            <w:r w:rsidRPr="0081146C">
              <w:t>45, 2008; No</w:t>
            </w:r>
            <w:r w:rsidR="00E37248" w:rsidRPr="0081146C">
              <w:t xml:space="preserve"> </w:t>
            </w:r>
            <w:r w:rsidRPr="0081146C">
              <w:t>4</w:t>
            </w:r>
            <w:r w:rsidR="00E37248" w:rsidRPr="0081146C">
              <w:t>, 2010; No</w:t>
            </w:r>
            <w:r w:rsidRPr="0081146C">
              <w:t xml:space="preserve"> 103, 2010; No</w:t>
            </w:r>
            <w:r w:rsidR="00E37248" w:rsidRPr="0081146C">
              <w:t xml:space="preserve"> </w:t>
            </w:r>
            <w:r w:rsidRPr="0081146C">
              <w:t>60,</w:t>
            </w:r>
            <w:r w:rsidR="00E37248" w:rsidRPr="0081146C">
              <w:t xml:space="preserve"> 2011; No</w:t>
            </w:r>
            <w:r w:rsidRPr="0081146C">
              <w:t xml:space="preserve"> 102</w:t>
            </w:r>
            <w:r w:rsidR="00E37248" w:rsidRPr="0081146C">
              <w:t>, 2011; No</w:t>
            </w:r>
            <w:r w:rsidRPr="0081146C">
              <w:t xml:space="preserve"> 132, 2011; No</w:t>
            </w:r>
            <w:r w:rsidR="00D93EB4" w:rsidRPr="0081146C">
              <w:t> </w:t>
            </w:r>
            <w:r w:rsidRPr="0081146C">
              <w:t>169, 2012</w:t>
            </w:r>
            <w:r w:rsidR="0031754D" w:rsidRPr="0081146C">
              <w:t>; No 83, 2014</w:t>
            </w:r>
            <w:r w:rsidR="00F952DD" w:rsidRPr="0081146C">
              <w:t>; No 70, 2015</w:t>
            </w:r>
            <w:r w:rsidR="00910C23" w:rsidRPr="0081146C">
              <w:t>; No 126, 2015</w:t>
            </w:r>
            <w:r w:rsidR="00A97E3C" w:rsidRPr="0081146C">
              <w:t>; No 130, 2017</w:t>
            </w:r>
            <w:r w:rsidR="00656BB0" w:rsidRPr="0081146C">
              <w:t>; No 61, 2018</w:t>
            </w:r>
          </w:p>
        </w:tc>
      </w:tr>
      <w:tr w:rsidR="00C72BA2" w:rsidRPr="0081146C" w14:paraId="6233F914" w14:textId="77777777" w:rsidTr="00965397">
        <w:trPr>
          <w:cantSplit/>
        </w:trPr>
        <w:tc>
          <w:tcPr>
            <w:tcW w:w="2551" w:type="dxa"/>
            <w:shd w:val="clear" w:color="auto" w:fill="auto"/>
          </w:tcPr>
          <w:p w14:paraId="0B2F9F59" w14:textId="77777777" w:rsidR="00C72BA2" w:rsidRPr="0081146C" w:rsidRDefault="00AE2DA2" w:rsidP="00D3528B">
            <w:pPr>
              <w:pStyle w:val="ENoteTableText"/>
              <w:tabs>
                <w:tab w:val="center" w:leader="dot" w:pos="2268"/>
              </w:tabs>
            </w:pPr>
            <w:r w:rsidRPr="0081146C">
              <w:t>s</w:t>
            </w:r>
            <w:r w:rsidR="00C72BA2" w:rsidRPr="0081146C">
              <w:t xml:space="preserve"> 10</w:t>
            </w:r>
            <w:r w:rsidR="00C72BA2" w:rsidRPr="0081146C">
              <w:tab/>
            </w:r>
          </w:p>
        </w:tc>
        <w:tc>
          <w:tcPr>
            <w:tcW w:w="4537" w:type="dxa"/>
            <w:shd w:val="clear" w:color="auto" w:fill="auto"/>
          </w:tcPr>
          <w:p w14:paraId="3D00C936" w14:textId="77777777" w:rsidR="00C8240B" w:rsidRPr="0081146C" w:rsidRDefault="00C72BA2" w:rsidP="00D3528B">
            <w:pPr>
              <w:pStyle w:val="ENoteTableText"/>
            </w:pPr>
            <w:r w:rsidRPr="0081146C">
              <w:t>am No</w:t>
            </w:r>
            <w:r w:rsidR="00D3528B" w:rsidRPr="0081146C">
              <w:t xml:space="preserve"> </w:t>
            </w:r>
            <w:r w:rsidRPr="0081146C">
              <w:t>4, 2010</w:t>
            </w:r>
          </w:p>
        </w:tc>
      </w:tr>
      <w:tr w:rsidR="00F3656C" w:rsidRPr="0081146C" w14:paraId="6B9A6AFB" w14:textId="77777777" w:rsidTr="00965397">
        <w:trPr>
          <w:cantSplit/>
        </w:trPr>
        <w:tc>
          <w:tcPr>
            <w:tcW w:w="2551" w:type="dxa"/>
            <w:shd w:val="clear" w:color="auto" w:fill="auto"/>
          </w:tcPr>
          <w:p w14:paraId="7EE753A5" w14:textId="77777777" w:rsidR="00F3656C" w:rsidRPr="0081146C" w:rsidRDefault="00F3656C" w:rsidP="00AE2DA2">
            <w:pPr>
              <w:pStyle w:val="ENoteTableText"/>
              <w:tabs>
                <w:tab w:val="center" w:leader="dot" w:pos="2268"/>
              </w:tabs>
            </w:pPr>
            <w:r w:rsidRPr="0081146C">
              <w:t>s 12</w:t>
            </w:r>
            <w:r w:rsidRPr="0081146C">
              <w:tab/>
            </w:r>
          </w:p>
        </w:tc>
        <w:tc>
          <w:tcPr>
            <w:tcW w:w="4537" w:type="dxa"/>
            <w:shd w:val="clear" w:color="auto" w:fill="auto"/>
          </w:tcPr>
          <w:p w14:paraId="0B80E9EA" w14:textId="77777777" w:rsidR="00F3656C" w:rsidRPr="0081146C" w:rsidRDefault="00F3656C" w:rsidP="00C72BA2">
            <w:pPr>
              <w:pStyle w:val="ENoteTableText"/>
            </w:pPr>
            <w:r w:rsidRPr="0081146C">
              <w:t>am No 31, 2014</w:t>
            </w:r>
          </w:p>
        </w:tc>
      </w:tr>
      <w:tr w:rsidR="00A97E3C" w:rsidRPr="0081146C" w14:paraId="15CA2ED2" w14:textId="77777777" w:rsidTr="00965397">
        <w:trPr>
          <w:cantSplit/>
        </w:trPr>
        <w:tc>
          <w:tcPr>
            <w:tcW w:w="2551" w:type="dxa"/>
            <w:shd w:val="clear" w:color="auto" w:fill="auto"/>
          </w:tcPr>
          <w:p w14:paraId="1E070922" w14:textId="77777777" w:rsidR="00A97E3C" w:rsidRPr="0081146C" w:rsidRDefault="00A97E3C" w:rsidP="00AE2DA2">
            <w:pPr>
              <w:pStyle w:val="ENoteTableText"/>
              <w:tabs>
                <w:tab w:val="center" w:leader="dot" w:pos="2268"/>
              </w:tabs>
            </w:pPr>
            <w:r w:rsidRPr="0081146C">
              <w:t>s 19</w:t>
            </w:r>
            <w:r w:rsidRPr="0081146C">
              <w:tab/>
            </w:r>
          </w:p>
        </w:tc>
        <w:tc>
          <w:tcPr>
            <w:tcW w:w="4537" w:type="dxa"/>
            <w:shd w:val="clear" w:color="auto" w:fill="auto"/>
          </w:tcPr>
          <w:p w14:paraId="0EF63133" w14:textId="77777777" w:rsidR="00A97E3C" w:rsidRPr="0081146C" w:rsidRDefault="00A97E3C" w:rsidP="00C72BA2">
            <w:pPr>
              <w:pStyle w:val="ENoteTableText"/>
            </w:pPr>
            <w:r w:rsidRPr="0081146C">
              <w:t>am No 130, 2017</w:t>
            </w:r>
          </w:p>
        </w:tc>
      </w:tr>
      <w:tr w:rsidR="0020310F" w:rsidRPr="0081146C" w14:paraId="6BE8C72E" w14:textId="77777777" w:rsidTr="00965397">
        <w:trPr>
          <w:cantSplit/>
        </w:trPr>
        <w:tc>
          <w:tcPr>
            <w:tcW w:w="2551" w:type="dxa"/>
            <w:shd w:val="clear" w:color="auto" w:fill="auto"/>
          </w:tcPr>
          <w:p w14:paraId="0872F819" w14:textId="77777777" w:rsidR="0020310F" w:rsidRPr="0081146C" w:rsidRDefault="0020310F" w:rsidP="00AE2DA2">
            <w:pPr>
              <w:pStyle w:val="ENoteTableText"/>
              <w:tabs>
                <w:tab w:val="center" w:leader="dot" w:pos="2268"/>
              </w:tabs>
            </w:pPr>
            <w:r w:rsidRPr="0081146C">
              <w:t>s 22</w:t>
            </w:r>
            <w:r w:rsidRPr="0081146C">
              <w:tab/>
            </w:r>
          </w:p>
        </w:tc>
        <w:tc>
          <w:tcPr>
            <w:tcW w:w="4537" w:type="dxa"/>
            <w:shd w:val="clear" w:color="auto" w:fill="auto"/>
          </w:tcPr>
          <w:p w14:paraId="3DA48756" w14:textId="77777777" w:rsidR="0020310F" w:rsidRPr="0081146C" w:rsidRDefault="0020310F" w:rsidP="00C72BA2">
            <w:pPr>
              <w:pStyle w:val="ENoteTableText"/>
            </w:pPr>
            <w:r w:rsidRPr="0081146C">
              <w:t>am No 15, 2016</w:t>
            </w:r>
          </w:p>
        </w:tc>
      </w:tr>
      <w:tr w:rsidR="004E3F00" w:rsidRPr="0081146C" w14:paraId="0BCA8952" w14:textId="77777777" w:rsidTr="00965397">
        <w:trPr>
          <w:cantSplit/>
        </w:trPr>
        <w:tc>
          <w:tcPr>
            <w:tcW w:w="2551" w:type="dxa"/>
            <w:shd w:val="clear" w:color="auto" w:fill="auto"/>
          </w:tcPr>
          <w:p w14:paraId="5C2E20DA" w14:textId="77777777" w:rsidR="004E3F00" w:rsidRPr="0081146C" w:rsidRDefault="004E3F00" w:rsidP="00AE2DA2">
            <w:pPr>
              <w:pStyle w:val="ENoteTableText"/>
              <w:tabs>
                <w:tab w:val="center" w:leader="dot" w:pos="2268"/>
              </w:tabs>
            </w:pPr>
          </w:p>
        </w:tc>
        <w:tc>
          <w:tcPr>
            <w:tcW w:w="4537" w:type="dxa"/>
            <w:shd w:val="clear" w:color="auto" w:fill="auto"/>
          </w:tcPr>
          <w:p w14:paraId="70AF2FD2" w14:textId="77777777" w:rsidR="004E3F00" w:rsidRPr="0081146C" w:rsidRDefault="004E3F00" w:rsidP="00C72BA2">
            <w:pPr>
              <w:pStyle w:val="ENoteTableText"/>
            </w:pPr>
            <w:r w:rsidRPr="0081146C">
              <w:t>rs No 133, 2020</w:t>
            </w:r>
          </w:p>
        </w:tc>
      </w:tr>
      <w:tr w:rsidR="00C72BA2" w:rsidRPr="0081146C" w14:paraId="2BDE231D" w14:textId="77777777" w:rsidTr="00965397">
        <w:trPr>
          <w:cantSplit/>
        </w:trPr>
        <w:tc>
          <w:tcPr>
            <w:tcW w:w="2551" w:type="dxa"/>
            <w:shd w:val="clear" w:color="auto" w:fill="auto"/>
          </w:tcPr>
          <w:p w14:paraId="7402D658" w14:textId="77777777" w:rsidR="00C72BA2" w:rsidRPr="0081146C" w:rsidRDefault="00C72BA2" w:rsidP="00C72BA2">
            <w:pPr>
              <w:pStyle w:val="ENoteTableText"/>
            </w:pPr>
            <w:r w:rsidRPr="0081146C">
              <w:rPr>
                <w:b/>
              </w:rPr>
              <w:t>Part</w:t>
            </w:r>
            <w:r w:rsidR="004F64A4" w:rsidRPr="0081146C">
              <w:rPr>
                <w:b/>
              </w:rPr>
              <w:t> </w:t>
            </w:r>
            <w:r w:rsidRPr="0081146C">
              <w:rPr>
                <w:b/>
              </w:rPr>
              <w:t>2</w:t>
            </w:r>
          </w:p>
        </w:tc>
        <w:tc>
          <w:tcPr>
            <w:tcW w:w="4537" w:type="dxa"/>
            <w:shd w:val="clear" w:color="auto" w:fill="auto"/>
          </w:tcPr>
          <w:p w14:paraId="2BE5D9B8" w14:textId="77777777" w:rsidR="00C72BA2" w:rsidRPr="0081146C" w:rsidRDefault="00C72BA2" w:rsidP="00C72BA2">
            <w:pPr>
              <w:pStyle w:val="ENoteTableText"/>
            </w:pPr>
          </w:p>
        </w:tc>
      </w:tr>
      <w:tr w:rsidR="00910C23" w:rsidRPr="0081146C" w14:paraId="6A72694A" w14:textId="77777777" w:rsidTr="00965397">
        <w:trPr>
          <w:cantSplit/>
        </w:trPr>
        <w:tc>
          <w:tcPr>
            <w:tcW w:w="2551" w:type="dxa"/>
            <w:shd w:val="clear" w:color="auto" w:fill="auto"/>
          </w:tcPr>
          <w:p w14:paraId="03F5DD04" w14:textId="77777777" w:rsidR="00910C23" w:rsidRPr="0081146C" w:rsidRDefault="00CA78AA" w:rsidP="00DB283D">
            <w:pPr>
              <w:pStyle w:val="ENoteTableText"/>
            </w:pPr>
            <w:r w:rsidRPr="0081146C">
              <w:rPr>
                <w:b/>
              </w:rPr>
              <w:t>Division 4</w:t>
            </w:r>
          </w:p>
        </w:tc>
        <w:tc>
          <w:tcPr>
            <w:tcW w:w="4537" w:type="dxa"/>
            <w:shd w:val="clear" w:color="auto" w:fill="auto"/>
          </w:tcPr>
          <w:p w14:paraId="0A2C8EE4" w14:textId="77777777" w:rsidR="00910C23" w:rsidRPr="0081146C" w:rsidRDefault="00910C23" w:rsidP="00261CB4">
            <w:pPr>
              <w:pStyle w:val="ENoteTableText"/>
            </w:pPr>
          </w:p>
        </w:tc>
      </w:tr>
      <w:tr w:rsidR="0054156C" w:rsidRPr="0081146C" w14:paraId="74BE6350" w14:textId="77777777" w:rsidTr="00965397">
        <w:trPr>
          <w:cantSplit/>
        </w:trPr>
        <w:tc>
          <w:tcPr>
            <w:tcW w:w="2551" w:type="dxa"/>
            <w:shd w:val="clear" w:color="auto" w:fill="auto"/>
          </w:tcPr>
          <w:p w14:paraId="423E1905" w14:textId="77777777" w:rsidR="0054156C" w:rsidRPr="0081146C" w:rsidRDefault="0054156C" w:rsidP="00186B81">
            <w:pPr>
              <w:pStyle w:val="ENoteTableText"/>
              <w:tabs>
                <w:tab w:val="center" w:leader="dot" w:pos="2268"/>
              </w:tabs>
            </w:pPr>
            <w:r w:rsidRPr="0081146C">
              <w:t>s 32</w:t>
            </w:r>
            <w:r w:rsidRPr="0081146C">
              <w:tab/>
            </w:r>
          </w:p>
        </w:tc>
        <w:tc>
          <w:tcPr>
            <w:tcW w:w="4537" w:type="dxa"/>
            <w:shd w:val="clear" w:color="auto" w:fill="auto"/>
          </w:tcPr>
          <w:p w14:paraId="6352A630" w14:textId="77777777" w:rsidR="0054156C" w:rsidRPr="0081146C" w:rsidRDefault="0054156C" w:rsidP="00261CB4">
            <w:pPr>
              <w:pStyle w:val="ENoteTableText"/>
            </w:pPr>
            <w:r w:rsidRPr="0081146C">
              <w:t>rs No 1</w:t>
            </w:r>
            <w:r w:rsidR="00591B91" w:rsidRPr="0081146C">
              <w:t>3</w:t>
            </w:r>
            <w:r w:rsidRPr="0081146C">
              <w:t>3, 2020</w:t>
            </w:r>
          </w:p>
        </w:tc>
      </w:tr>
      <w:tr w:rsidR="00910C23" w:rsidRPr="0081146C" w14:paraId="771B6D28" w14:textId="77777777" w:rsidTr="00965397">
        <w:trPr>
          <w:cantSplit/>
        </w:trPr>
        <w:tc>
          <w:tcPr>
            <w:tcW w:w="2551" w:type="dxa"/>
            <w:shd w:val="clear" w:color="auto" w:fill="auto"/>
          </w:tcPr>
          <w:p w14:paraId="46F4F923" w14:textId="77777777" w:rsidR="00910C23" w:rsidRPr="0081146C" w:rsidRDefault="00DB283D" w:rsidP="00357D52">
            <w:pPr>
              <w:pStyle w:val="ENoteTableText"/>
              <w:tabs>
                <w:tab w:val="center" w:leader="dot" w:pos="2268"/>
              </w:tabs>
            </w:pPr>
            <w:r w:rsidRPr="0081146C">
              <w:t>s 33</w:t>
            </w:r>
            <w:r w:rsidRPr="0081146C">
              <w:tab/>
            </w:r>
          </w:p>
        </w:tc>
        <w:tc>
          <w:tcPr>
            <w:tcW w:w="4537" w:type="dxa"/>
            <w:shd w:val="clear" w:color="auto" w:fill="auto"/>
          </w:tcPr>
          <w:p w14:paraId="3F067DF8" w14:textId="77777777" w:rsidR="00910C23" w:rsidRPr="0081146C" w:rsidRDefault="00910C23" w:rsidP="00C72BA2">
            <w:pPr>
              <w:pStyle w:val="ENoteTableText"/>
            </w:pPr>
            <w:r w:rsidRPr="0081146C">
              <w:t>am No 126, 2015</w:t>
            </w:r>
          </w:p>
        </w:tc>
      </w:tr>
      <w:tr w:rsidR="00591B91" w:rsidRPr="0081146C" w14:paraId="1DB5E4D3" w14:textId="77777777" w:rsidTr="00965397">
        <w:trPr>
          <w:cantSplit/>
        </w:trPr>
        <w:tc>
          <w:tcPr>
            <w:tcW w:w="2551" w:type="dxa"/>
            <w:shd w:val="clear" w:color="auto" w:fill="auto"/>
          </w:tcPr>
          <w:p w14:paraId="72377E1B" w14:textId="77777777" w:rsidR="00591B91" w:rsidRPr="0081146C" w:rsidRDefault="00591B91" w:rsidP="00357D52">
            <w:pPr>
              <w:pStyle w:val="ENoteTableText"/>
              <w:tabs>
                <w:tab w:val="center" w:leader="dot" w:pos="2268"/>
              </w:tabs>
            </w:pPr>
            <w:r w:rsidRPr="0081146C">
              <w:t>s 34</w:t>
            </w:r>
            <w:r w:rsidRPr="0081146C">
              <w:tab/>
            </w:r>
          </w:p>
        </w:tc>
        <w:tc>
          <w:tcPr>
            <w:tcW w:w="4537" w:type="dxa"/>
            <w:shd w:val="clear" w:color="auto" w:fill="auto"/>
          </w:tcPr>
          <w:p w14:paraId="55EDC546" w14:textId="77777777" w:rsidR="00591B91" w:rsidRPr="0081146C" w:rsidRDefault="00591B91" w:rsidP="00C72BA2">
            <w:pPr>
              <w:pStyle w:val="ENoteTableText"/>
            </w:pPr>
            <w:r w:rsidRPr="0081146C">
              <w:t>am No 133, 2020</w:t>
            </w:r>
          </w:p>
        </w:tc>
      </w:tr>
      <w:tr w:rsidR="00591B91" w:rsidRPr="0081146C" w14:paraId="1D59439F" w14:textId="77777777" w:rsidTr="00965397">
        <w:trPr>
          <w:cantSplit/>
        </w:trPr>
        <w:tc>
          <w:tcPr>
            <w:tcW w:w="2551" w:type="dxa"/>
            <w:shd w:val="clear" w:color="auto" w:fill="auto"/>
          </w:tcPr>
          <w:p w14:paraId="661836AF" w14:textId="77777777" w:rsidR="00591B91" w:rsidRPr="0081146C" w:rsidRDefault="00CA78AA" w:rsidP="00357D52">
            <w:pPr>
              <w:pStyle w:val="ENoteTableText"/>
              <w:tabs>
                <w:tab w:val="center" w:leader="dot" w:pos="2268"/>
              </w:tabs>
              <w:rPr>
                <w:b/>
              </w:rPr>
            </w:pPr>
            <w:r w:rsidRPr="0081146C">
              <w:rPr>
                <w:b/>
              </w:rPr>
              <w:t>Division 5</w:t>
            </w:r>
          </w:p>
        </w:tc>
        <w:tc>
          <w:tcPr>
            <w:tcW w:w="4537" w:type="dxa"/>
            <w:shd w:val="clear" w:color="auto" w:fill="auto"/>
          </w:tcPr>
          <w:p w14:paraId="49F6D514" w14:textId="77777777" w:rsidR="00591B91" w:rsidRPr="0081146C" w:rsidRDefault="00591B91" w:rsidP="00C72BA2">
            <w:pPr>
              <w:pStyle w:val="ENoteTableText"/>
            </w:pPr>
          </w:p>
        </w:tc>
      </w:tr>
      <w:tr w:rsidR="00591B91" w:rsidRPr="0081146C" w14:paraId="696D3FE0" w14:textId="77777777" w:rsidTr="00965397">
        <w:trPr>
          <w:cantSplit/>
        </w:trPr>
        <w:tc>
          <w:tcPr>
            <w:tcW w:w="2551" w:type="dxa"/>
            <w:shd w:val="clear" w:color="auto" w:fill="auto"/>
          </w:tcPr>
          <w:p w14:paraId="0483FF0F" w14:textId="77777777" w:rsidR="00591B91" w:rsidRPr="0081146C" w:rsidRDefault="00591B91" w:rsidP="00357D52">
            <w:pPr>
              <w:pStyle w:val="ENoteTableText"/>
              <w:tabs>
                <w:tab w:val="center" w:leader="dot" w:pos="2268"/>
              </w:tabs>
            </w:pPr>
            <w:r w:rsidRPr="0081146C">
              <w:t>s 35</w:t>
            </w:r>
            <w:r w:rsidRPr="0081146C">
              <w:tab/>
            </w:r>
          </w:p>
        </w:tc>
        <w:tc>
          <w:tcPr>
            <w:tcW w:w="4537" w:type="dxa"/>
            <w:shd w:val="clear" w:color="auto" w:fill="auto"/>
          </w:tcPr>
          <w:p w14:paraId="56DCA330" w14:textId="77777777" w:rsidR="00591B91" w:rsidRPr="0081146C" w:rsidRDefault="00591B91" w:rsidP="00C72BA2">
            <w:pPr>
              <w:pStyle w:val="ENoteTableText"/>
            </w:pPr>
            <w:r w:rsidRPr="0081146C">
              <w:t>am No 133, 2020</w:t>
            </w:r>
          </w:p>
        </w:tc>
      </w:tr>
      <w:tr w:rsidR="00C72BA2" w:rsidRPr="0081146C" w14:paraId="4C11F87F" w14:textId="77777777" w:rsidTr="00965397">
        <w:trPr>
          <w:cantSplit/>
        </w:trPr>
        <w:tc>
          <w:tcPr>
            <w:tcW w:w="2551" w:type="dxa"/>
            <w:shd w:val="clear" w:color="auto" w:fill="auto"/>
          </w:tcPr>
          <w:p w14:paraId="1F38739B" w14:textId="77777777" w:rsidR="00C72BA2" w:rsidRPr="0081146C" w:rsidRDefault="00CA78AA" w:rsidP="00C72BA2">
            <w:pPr>
              <w:pStyle w:val="ENoteTableText"/>
            </w:pPr>
            <w:r w:rsidRPr="0081146C">
              <w:rPr>
                <w:b/>
              </w:rPr>
              <w:t>Division 5</w:t>
            </w:r>
            <w:r w:rsidR="00C72BA2" w:rsidRPr="0081146C">
              <w:rPr>
                <w:b/>
              </w:rPr>
              <w:t>A</w:t>
            </w:r>
          </w:p>
        </w:tc>
        <w:tc>
          <w:tcPr>
            <w:tcW w:w="4537" w:type="dxa"/>
            <w:shd w:val="clear" w:color="auto" w:fill="auto"/>
          </w:tcPr>
          <w:p w14:paraId="53B7C51E" w14:textId="77777777" w:rsidR="00C72BA2" w:rsidRPr="0081146C" w:rsidRDefault="00C72BA2" w:rsidP="00C72BA2">
            <w:pPr>
              <w:pStyle w:val="ENoteTableText"/>
            </w:pPr>
          </w:p>
        </w:tc>
      </w:tr>
      <w:tr w:rsidR="00C72BA2" w:rsidRPr="0081146C" w14:paraId="5DA32C3C" w14:textId="77777777" w:rsidTr="00965397">
        <w:trPr>
          <w:cantSplit/>
        </w:trPr>
        <w:tc>
          <w:tcPr>
            <w:tcW w:w="2551" w:type="dxa"/>
            <w:shd w:val="clear" w:color="auto" w:fill="auto"/>
          </w:tcPr>
          <w:p w14:paraId="68770FDA" w14:textId="77777777" w:rsidR="00C72BA2" w:rsidRPr="0081146C" w:rsidRDefault="00CA78AA" w:rsidP="001F2742">
            <w:pPr>
              <w:pStyle w:val="ENoteTableText"/>
              <w:tabs>
                <w:tab w:val="center" w:leader="dot" w:pos="2268"/>
              </w:tabs>
            </w:pPr>
            <w:r w:rsidRPr="0081146C">
              <w:t>Division 5</w:t>
            </w:r>
            <w:r w:rsidR="00C72BA2" w:rsidRPr="0081146C">
              <w:t>A</w:t>
            </w:r>
            <w:r w:rsidR="00C72BA2" w:rsidRPr="0081146C">
              <w:tab/>
            </w:r>
          </w:p>
        </w:tc>
        <w:tc>
          <w:tcPr>
            <w:tcW w:w="4537" w:type="dxa"/>
            <w:shd w:val="clear" w:color="auto" w:fill="auto"/>
          </w:tcPr>
          <w:p w14:paraId="3AA817BB" w14:textId="77777777" w:rsidR="00C72BA2" w:rsidRPr="0081146C" w:rsidRDefault="00C72BA2" w:rsidP="00D3528B">
            <w:pPr>
              <w:pStyle w:val="ENoteTableText"/>
            </w:pPr>
            <w:r w:rsidRPr="0081146C">
              <w:t>ad No</w:t>
            </w:r>
            <w:r w:rsidR="00D93EB4" w:rsidRPr="0081146C">
              <w:t> </w:t>
            </w:r>
            <w:r w:rsidRPr="0081146C">
              <w:t>60, 2011</w:t>
            </w:r>
          </w:p>
        </w:tc>
      </w:tr>
      <w:tr w:rsidR="005F3412" w:rsidRPr="0081146C" w14:paraId="69A54A21" w14:textId="77777777" w:rsidTr="00965397">
        <w:trPr>
          <w:cantSplit/>
        </w:trPr>
        <w:tc>
          <w:tcPr>
            <w:tcW w:w="2551" w:type="dxa"/>
            <w:shd w:val="clear" w:color="auto" w:fill="auto"/>
          </w:tcPr>
          <w:p w14:paraId="57E4E8B1" w14:textId="77777777" w:rsidR="005F3412" w:rsidRPr="0081146C" w:rsidRDefault="005F3412" w:rsidP="00B002CC">
            <w:pPr>
              <w:pStyle w:val="ENoteTableText"/>
              <w:tabs>
                <w:tab w:val="center" w:leader="dot" w:pos="2268"/>
              </w:tabs>
            </w:pPr>
            <w:r w:rsidRPr="0081146C">
              <w:t>s 35A</w:t>
            </w:r>
            <w:r w:rsidRPr="0081146C">
              <w:tab/>
            </w:r>
          </w:p>
        </w:tc>
        <w:tc>
          <w:tcPr>
            <w:tcW w:w="4537" w:type="dxa"/>
            <w:shd w:val="clear" w:color="auto" w:fill="auto"/>
          </w:tcPr>
          <w:p w14:paraId="03BFA18D" w14:textId="77777777" w:rsidR="005F3412" w:rsidRPr="0081146C" w:rsidRDefault="005F3412" w:rsidP="00621FB8">
            <w:pPr>
              <w:pStyle w:val="ENoteTableText"/>
            </w:pPr>
            <w:r w:rsidRPr="0081146C">
              <w:t>ad No 60, 2011</w:t>
            </w:r>
          </w:p>
        </w:tc>
      </w:tr>
      <w:tr w:rsidR="005F3412" w:rsidRPr="0081146C" w14:paraId="7BA9079D" w14:textId="77777777" w:rsidTr="00965397">
        <w:trPr>
          <w:cantSplit/>
        </w:trPr>
        <w:tc>
          <w:tcPr>
            <w:tcW w:w="2551" w:type="dxa"/>
            <w:shd w:val="clear" w:color="auto" w:fill="auto"/>
          </w:tcPr>
          <w:p w14:paraId="0519BEC4" w14:textId="77777777" w:rsidR="005F3412" w:rsidRPr="0081146C" w:rsidRDefault="005F3412" w:rsidP="00B002CC">
            <w:pPr>
              <w:pStyle w:val="ENoteTableText"/>
              <w:tabs>
                <w:tab w:val="center" w:leader="dot" w:pos="2268"/>
              </w:tabs>
            </w:pPr>
          </w:p>
        </w:tc>
        <w:tc>
          <w:tcPr>
            <w:tcW w:w="4537" w:type="dxa"/>
            <w:shd w:val="clear" w:color="auto" w:fill="auto"/>
          </w:tcPr>
          <w:p w14:paraId="47B81276" w14:textId="77777777" w:rsidR="005F3412" w:rsidRPr="0081146C" w:rsidRDefault="005F3412" w:rsidP="00621FB8">
            <w:pPr>
              <w:pStyle w:val="ENoteTableText"/>
            </w:pPr>
            <w:r w:rsidRPr="0081146C">
              <w:t>am No 197, 2012</w:t>
            </w:r>
          </w:p>
        </w:tc>
      </w:tr>
      <w:tr w:rsidR="005F3412" w:rsidRPr="0081146C" w14:paraId="562E62DE" w14:textId="77777777" w:rsidTr="00965397">
        <w:trPr>
          <w:cantSplit/>
        </w:trPr>
        <w:tc>
          <w:tcPr>
            <w:tcW w:w="2551" w:type="dxa"/>
            <w:shd w:val="clear" w:color="auto" w:fill="auto"/>
          </w:tcPr>
          <w:p w14:paraId="1E960E91" w14:textId="77777777" w:rsidR="005F3412" w:rsidRPr="0081146C" w:rsidRDefault="005F3412" w:rsidP="00B002CC">
            <w:pPr>
              <w:pStyle w:val="ENoteTableText"/>
              <w:tabs>
                <w:tab w:val="center" w:leader="dot" w:pos="2268"/>
              </w:tabs>
            </w:pPr>
            <w:r w:rsidRPr="0081146C">
              <w:t>s 35B</w:t>
            </w:r>
            <w:r w:rsidRPr="0081146C">
              <w:tab/>
            </w:r>
          </w:p>
        </w:tc>
        <w:tc>
          <w:tcPr>
            <w:tcW w:w="4537" w:type="dxa"/>
            <w:shd w:val="clear" w:color="auto" w:fill="auto"/>
          </w:tcPr>
          <w:p w14:paraId="7DB9A651" w14:textId="77777777" w:rsidR="005F3412" w:rsidRPr="0081146C" w:rsidRDefault="005F3412" w:rsidP="00B002CC">
            <w:pPr>
              <w:pStyle w:val="ENoteTableText"/>
            </w:pPr>
            <w:r w:rsidRPr="0081146C">
              <w:t>ad No 60, 2011</w:t>
            </w:r>
          </w:p>
        </w:tc>
      </w:tr>
      <w:tr w:rsidR="005F3412" w:rsidRPr="0081146C" w14:paraId="54615795" w14:textId="77777777" w:rsidTr="00965397">
        <w:trPr>
          <w:cantSplit/>
        </w:trPr>
        <w:tc>
          <w:tcPr>
            <w:tcW w:w="2551" w:type="dxa"/>
            <w:shd w:val="clear" w:color="auto" w:fill="auto"/>
          </w:tcPr>
          <w:p w14:paraId="4C93B8C9" w14:textId="77777777" w:rsidR="005F3412" w:rsidRPr="0081146C" w:rsidRDefault="005F3412" w:rsidP="00B002CC">
            <w:pPr>
              <w:pStyle w:val="ENoteTableText"/>
              <w:tabs>
                <w:tab w:val="center" w:leader="dot" w:pos="2268"/>
              </w:tabs>
            </w:pPr>
          </w:p>
        </w:tc>
        <w:tc>
          <w:tcPr>
            <w:tcW w:w="4537" w:type="dxa"/>
            <w:shd w:val="clear" w:color="auto" w:fill="auto"/>
          </w:tcPr>
          <w:p w14:paraId="5A24E490" w14:textId="77777777" w:rsidR="005F3412" w:rsidRPr="0081146C" w:rsidRDefault="005F3412" w:rsidP="00B002CC">
            <w:pPr>
              <w:pStyle w:val="ENoteTableText"/>
            </w:pPr>
            <w:r w:rsidRPr="0081146C">
              <w:t>am No 197, 2012</w:t>
            </w:r>
          </w:p>
        </w:tc>
      </w:tr>
      <w:tr w:rsidR="005F3412" w:rsidRPr="0081146C" w14:paraId="0128985B" w14:textId="77777777" w:rsidTr="00965397">
        <w:trPr>
          <w:cantSplit/>
        </w:trPr>
        <w:tc>
          <w:tcPr>
            <w:tcW w:w="2551" w:type="dxa"/>
            <w:shd w:val="clear" w:color="auto" w:fill="auto"/>
          </w:tcPr>
          <w:p w14:paraId="3569BEDB" w14:textId="77777777" w:rsidR="005F3412" w:rsidRPr="0081146C" w:rsidRDefault="005F3412" w:rsidP="00B002CC">
            <w:pPr>
              <w:pStyle w:val="ENoteTableText"/>
              <w:tabs>
                <w:tab w:val="center" w:leader="dot" w:pos="2268"/>
              </w:tabs>
            </w:pPr>
            <w:r w:rsidRPr="0081146C">
              <w:t>s 35C</w:t>
            </w:r>
            <w:r w:rsidRPr="0081146C">
              <w:tab/>
            </w:r>
          </w:p>
        </w:tc>
        <w:tc>
          <w:tcPr>
            <w:tcW w:w="4537" w:type="dxa"/>
            <w:shd w:val="clear" w:color="auto" w:fill="auto"/>
          </w:tcPr>
          <w:p w14:paraId="34CB953A" w14:textId="77777777" w:rsidR="005F3412" w:rsidRPr="0081146C" w:rsidRDefault="005F3412" w:rsidP="00B002CC">
            <w:pPr>
              <w:pStyle w:val="ENoteTableText"/>
            </w:pPr>
            <w:r w:rsidRPr="0081146C">
              <w:t>ad No 60, 2011</w:t>
            </w:r>
          </w:p>
        </w:tc>
      </w:tr>
      <w:tr w:rsidR="005F3412" w:rsidRPr="0081146C" w14:paraId="6283E5BB" w14:textId="77777777" w:rsidTr="00965397">
        <w:trPr>
          <w:cantSplit/>
        </w:trPr>
        <w:tc>
          <w:tcPr>
            <w:tcW w:w="2551" w:type="dxa"/>
            <w:shd w:val="clear" w:color="auto" w:fill="auto"/>
          </w:tcPr>
          <w:p w14:paraId="0D699D13" w14:textId="77777777" w:rsidR="005F3412" w:rsidRPr="0081146C" w:rsidRDefault="005F3412" w:rsidP="00B002CC">
            <w:pPr>
              <w:pStyle w:val="ENoteTableText"/>
              <w:tabs>
                <w:tab w:val="center" w:leader="dot" w:pos="2268"/>
              </w:tabs>
            </w:pPr>
          </w:p>
        </w:tc>
        <w:tc>
          <w:tcPr>
            <w:tcW w:w="4537" w:type="dxa"/>
            <w:shd w:val="clear" w:color="auto" w:fill="auto"/>
          </w:tcPr>
          <w:p w14:paraId="27BB965B" w14:textId="77777777" w:rsidR="005F3412" w:rsidRPr="0081146C" w:rsidRDefault="005F3412" w:rsidP="00B002CC">
            <w:pPr>
              <w:pStyle w:val="ENoteTableText"/>
            </w:pPr>
            <w:r w:rsidRPr="0081146C">
              <w:t>am No 197, 2012</w:t>
            </w:r>
          </w:p>
        </w:tc>
      </w:tr>
      <w:tr w:rsidR="005F3412" w:rsidRPr="0081146C" w14:paraId="0E9EE107" w14:textId="77777777" w:rsidTr="00965397">
        <w:trPr>
          <w:cantSplit/>
        </w:trPr>
        <w:tc>
          <w:tcPr>
            <w:tcW w:w="2551" w:type="dxa"/>
            <w:shd w:val="clear" w:color="auto" w:fill="auto"/>
          </w:tcPr>
          <w:p w14:paraId="79110FC2" w14:textId="77777777" w:rsidR="005F3412" w:rsidRPr="0081146C" w:rsidRDefault="005F3412" w:rsidP="00B002CC">
            <w:pPr>
              <w:pStyle w:val="ENoteTableText"/>
              <w:tabs>
                <w:tab w:val="center" w:leader="dot" w:pos="2268"/>
              </w:tabs>
            </w:pPr>
            <w:r w:rsidRPr="0081146C">
              <w:t>s 35D</w:t>
            </w:r>
            <w:r w:rsidRPr="0081146C">
              <w:tab/>
            </w:r>
          </w:p>
        </w:tc>
        <w:tc>
          <w:tcPr>
            <w:tcW w:w="4537" w:type="dxa"/>
            <w:shd w:val="clear" w:color="auto" w:fill="auto"/>
          </w:tcPr>
          <w:p w14:paraId="1E967F50" w14:textId="77777777" w:rsidR="005F3412" w:rsidRPr="0081146C" w:rsidRDefault="005F3412" w:rsidP="00B002CC">
            <w:pPr>
              <w:pStyle w:val="ENoteTableText"/>
            </w:pPr>
            <w:r w:rsidRPr="0081146C">
              <w:t>ad No 60, 2011</w:t>
            </w:r>
          </w:p>
        </w:tc>
      </w:tr>
      <w:tr w:rsidR="005F3412" w:rsidRPr="0081146C" w14:paraId="58F191CB" w14:textId="77777777" w:rsidTr="00965397">
        <w:trPr>
          <w:cantSplit/>
        </w:trPr>
        <w:tc>
          <w:tcPr>
            <w:tcW w:w="2551" w:type="dxa"/>
            <w:shd w:val="clear" w:color="auto" w:fill="auto"/>
          </w:tcPr>
          <w:p w14:paraId="002B8F88" w14:textId="77777777" w:rsidR="005F3412" w:rsidRPr="0081146C" w:rsidRDefault="005F3412" w:rsidP="00B002CC">
            <w:pPr>
              <w:pStyle w:val="ENoteTableText"/>
              <w:tabs>
                <w:tab w:val="center" w:leader="dot" w:pos="2268"/>
              </w:tabs>
            </w:pPr>
          </w:p>
        </w:tc>
        <w:tc>
          <w:tcPr>
            <w:tcW w:w="4537" w:type="dxa"/>
            <w:shd w:val="clear" w:color="auto" w:fill="auto"/>
          </w:tcPr>
          <w:p w14:paraId="222DFA8C" w14:textId="77777777" w:rsidR="005F3412" w:rsidRPr="0081146C" w:rsidRDefault="005F3412" w:rsidP="00B002CC">
            <w:pPr>
              <w:pStyle w:val="ENoteTableText"/>
            </w:pPr>
            <w:r w:rsidRPr="0081146C">
              <w:t>rs No 197, 2012</w:t>
            </w:r>
          </w:p>
        </w:tc>
      </w:tr>
      <w:tr w:rsidR="005F3412" w:rsidRPr="0081146C" w14:paraId="434E5788" w14:textId="77777777" w:rsidTr="00965397">
        <w:trPr>
          <w:cantSplit/>
        </w:trPr>
        <w:tc>
          <w:tcPr>
            <w:tcW w:w="2551" w:type="dxa"/>
            <w:shd w:val="clear" w:color="auto" w:fill="auto"/>
          </w:tcPr>
          <w:p w14:paraId="4673052B" w14:textId="77777777" w:rsidR="005F3412" w:rsidRPr="0081146C" w:rsidRDefault="005F3412" w:rsidP="00B002CC">
            <w:pPr>
              <w:pStyle w:val="ENoteTableText"/>
              <w:tabs>
                <w:tab w:val="center" w:leader="dot" w:pos="2268"/>
              </w:tabs>
            </w:pPr>
            <w:r w:rsidRPr="0081146C">
              <w:t>s 35E</w:t>
            </w:r>
            <w:r w:rsidRPr="0081146C">
              <w:tab/>
            </w:r>
          </w:p>
        </w:tc>
        <w:tc>
          <w:tcPr>
            <w:tcW w:w="4537" w:type="dxa"/>
            <w:shd w:val="clear" w:color="auto" w:fill="auto"/>
          </w:tcPr>
          <w:p w14:paraId="459A1617" w14:textId="77777777" w:rsidR="005F3412" w:rsidRPr="0081146C" w:rsidRDefault="00621FB8" w:rsidP="00B002CC">
            <w:pPr>
              <w:pStyle w:val="ENoteTableText"/>
            </w:pPr>
            <w:r w:rsidRPr="0081146C">
              <w:t>ad No 60, 2011</w:t>
            </w:r>
          </w:p>
        </w:tc>
      </w:tr>
      <w:tr w:rsidR="00621FB8" w:rsidRPr="0081146C" w14:paraId="1AF182AC" w14:textId="77777777" w:rsidTr="00965397">
        <w:trPr>
          <w:cantSplit/>
        </w:trPr>
        <w:tc>
          <w:tcPr>
            <w:tcW w:w="2551" w:type="dxa"/>
            <w:shd w:val="clear" w:color="auto" w:fill="auto"/>
          </w:tcPr>
          <w:p w14:paraId="2F80DAD1" w14:textId="77777777" w:rsidR="00621FB8" w:rsidRPr="0081146C" w:rsidRDefault="00621FB8" w:rsidP="00B002CC">
            <w:pPr>
              <w:pStyle w:val="ENoteTableText"/>
              <w:tabs>
                <w:tab w:val="center" w:leader="dot" w:pos="2268"/>
              </w:tabs>
            </w:pPr>
          </w:p>
        </w:tc>
        <w:tc>
          <w:tcPr>
            <w:tcW w:w="4537" w:type="dxa"/>
            <w:shd w:val="clear" w:color="auto" w:fill="auto"/>
          </w:tcPr>
          <w:p w14:paraId="7D5758AB" w14:textId="77777777" w:rsidR="00621FB8" w:rsidRPr="0081146C" w:rsidRDefault="00621FB8" w:rsidP="00B002CC">
            <w:pPr>
              <w:pStyle w:val="ENoteTableText"/>
            </w:pPr>
            <w:r w:rsidRPr="0081146C">
              <w:t>am No 197, 2012</w:t>
            </w:r>
          </w:p>
        </w:tc>
      </w:tr>
      <w:tr w:rsidR="00621FB8" w:rsidRPr="0081146C" w14:paraId="2FB55668" w14:textId="77777777" w:rsidTr="00965397">
        <w:trPr>
          <w:cantSplit/>
        </w:trPr>
        <w:tc>
          <w:tcPr>
            <w:tcW w:w="2551" w:type="dxa"/>
            <w:shd w:val="clear" w:color="auto" w:fill="auto"/>
          </w:tcPr>
          <w:p w14:paraId="3E2EBF5A" w14:textId="77777777" w:rsidR="00621FB8" w:rsidRPr="0081146C" w:rsidRDefault="00621FB8" w:rsidP="00B002CC">
            <w:pPr>
              <w:pStyle w:val="ENoteTableText"/>
              <w:tabs>
                <w:tab w:val="center" w:leader="dot" w:pos="2268"/>
              </w:tabs>
            </w:pPr>
            <w:r w:rsidRPr="0081146C">
              <w:t>s 35F</w:t>
            </w:r>
            <w:r w:rsidRPr="0081146C">
              <w:tab/>
            </w:r>
          </w:p>
        </w:tc>
        <w:tc>
          <w:tcPr>
            <w:tcW w:w="4537" w:type="dxa"/>
            <w:shd w:val="clear" w:color="auto" w:fill="auto"/>
          </w:tcPr>
          <w:p w14:paraId="226FA262" w14:textId="77777777" w:rsidR="00621FB8" w:rsidRPr="0081146C" w:rsidRDefault="00621FB8" w:rsidP="00B002CC">
            <w:pPr>
              <w:pStyle w:val="ENoteTableText"/>
            </w:pPr>
            <w:r w:rsidRPr="0081146C">
              <w:t>ad No 60, 2011</w:t>
            </w:r>
          </w:p>
        </w:tc>
      </w:tr>
      <w:tr w:rsidR="00621FB8" w:rsidRPr="0081146C" w14:paraId="7EACF186" w14:textId="77777777" w:rsidTr="00965397">
        <w:trPr>
          <w:cantSplit/>
        </w:trPr>
        <w:tc>
          <w:tcPr>
            <w:tcW w:w="2551" w:type="dxa"/>
            <w:shd w:val="clear" w:color="auto" w:fill="auto"/>
          </w:tcPr>
          <w:p w14:paraId="5AC08E39" w14:textId="77777777" w:rsidR="00621FB8" w:rsidRPr="0081146C" w:rsidRDefault="00621FB8" w:rsidP="00B002CC">
            <w:pPr>
              <w:pStyle w:val="ENoteTableText"/>
              <w:tabs>
                <w:tab w:val="center" w:leader="dot" w:pos="2268"/>
              </w:tabs>
            </w:pPr>
          </w:p>
        </w:tc>
        <w:tc>
          <w:tcPr>
            <w:tcW w:w="4537" w:type="dxa"/>
            <w:shd w:val="clear" w:color="auto" w:fill="auto"/>
          </w:tcPr>
          <w:p w14:paraId="281D149F" w14:textId="77777777" w:rsidR="00621FB8" w:rsidRPr="0081146C" w:rsidRDefault="00621FB8" w:rsidP="00B002CC">
            <w:pPr>
              <w:pStyle w:val="ENoteTableText"/>
            </w:pPr>
            <w:r w:rsidRPr="0081146C">
              <w:t>am No 197, 2012</w:t>
            </w:r>
          </w:p>
        </w:tc>
      </w:tr>
      <w:tr w:rsidR="00621FB8" w:rsidRPr="0081146C" w14:paraId="42F2D347" w14:textId="77777777" w:rsidTr="00965397">
        <w:trPr>
          <w:cantSplit/>
        </w:trPr>
        <w:tc>
          <w:tcPr>
            <w:tcW w:w="2551" w:type="dxa"/>
            <w:shd w:val="clear" w:color="auto" w:fill="auto"/>
          </w:tcPr>
          <w:p w14:paraId="4BBA92BF" w14:textId="77777777" w:rsidR="00621FB8" w:rsidRPr="0081146C" w:rsidRDefault="00621FB8" w:rsidP="00B002CC">
            <w:pPr>
              <w:pStyle w:val="ENoteTableText"/>
              <w:tabs>
                <w:tab w:val="center" w:leader="dot" w:pos="2268"/>
              </w:tabs>
            </w:pPr>
            <w:r w:rsidRPr="0081146C">
              <w:t>s 35G</w:t>
            </w:r>
            <w:r w:rsidRPr="0081146C">
              <w:tab/>
            </w:r>
          </w:p>
        </w:tc>
        <w:tc>
          <w:tcPr>
            <w:tcW w:w="4537" w:type="dxa"/>
            <w:shd w:val="clear" w:color="auto" w:fill="auto"/>
          </w:tcPr>
          <w:p w14:paraId="4F9C86F9" w14:textId="77777777" w:rsidR="00621FB8" w:rsidRPr="0081146C" w:rsidRDefault="00621FB8" w:rsidP="00B002CC">
            <w:pPr>
              <w:pStyle w:val="ENoteTableText"/>
            </w:pPr>
            <w:r w:rsidRPr="0081146C">
              <w:t>ad No 60, 2011</w:t>
            </w:r>
          </w:p>
        </w:tc>
      </w:tr>
      <w:tr w:rsidR="00621FB8" w:rsidRPr="0081146C" w14:paraId="5791D7A6" w14:textId="77777777" w:rsidTr="00965397">
        <w:trPr>
          <w:cantSplit/>
        </w:trPr>
        <w:tc>
          <w:tcPr>
            <w:tcW w:w="2551" w:type="dxa"/>
            <w:shd w:val="clear" w:color="auto" w:fill="auto"/>
          </w:tcPr>
          <w:p w14:paraId="78A015F1" w14:textId="77777777" w:rsidR="00621FB8" w:rsidRPr="0081146C" w:rsidRDefault="00621FB8" w:rsidP="00B002CC">
            <w:pPr>
              <w:pStyle w:val="ENoteTableText"/>
              <w:tabs>
                <w:tab w:val="center" w:leader="dot" w:pos="2268"/>
              </w:tabs>
            </w:pPr>
          </w:p>
        </w:tc>
        <w:tc>
          <w:tcPr>
            <w:tcW w:w="4537" w:type="dxa"/>
            <w:shd w:val="clear" w:color="auto" w:fill="auto"/>
          </w:tcPr>
          <w:p w14:paraId="3076C5DF" w14:textId="77777777" w:rsidR="00621FB8" w:rsidRPr="0081146C" w:rsidRDefault="00621FB8" w:rsidP="00B002CC">
            <w:pPr>
              <w:pStyle w:val="ENoteTableText"/>
            </w:pPr>
            <w:r w:rsidRPr="0081146C">
              <w:t>am No 197, 2012</w:t>
            </w:r>
          </w:p>
        </w:tc>
      </w:tr>
      <w:tr w:rsidR="00621FB8" w:rsidRPr="0081146C" w14:paraId="44EE3DB9" w14:textId="77777777" w:rsidTr="00965397">
        <w:trPr>
          <w:cantSplit/>
        </w:trPr>
        <w:tc>
          <w:tcPr>
            <w:tcW w:w="2551" w:type="dxa"/>
            <w:shd w:val="clear" w:color="auto" w:fill="auto"/>
          </w:tcPr>
          <w:p w14:paraId="110ADAC4" w14:textId="77777777" w:rsidR="00621FB8" w:rsidRPr="0081146C" w:rsidRDefault="00621FB8" w:rsidP="00B002CC">
            <w:pPr>
              <w:pStyle w:val="ENoteTableText"/>
              <w:tabs>
                <w:tab w:val="center" w:leader="dot" w:pos="2268"/>
              </w:tabs>
            </w:pPr>
            <w:r w:rsidRPr="0081146C">
              <w:t>s 35H</w:t>
            </w:r>
            <w:r w:rsidRPr="0081146C">
              <w:tab/>
            </w:r>
          </w:p>
        </w:tc>
        <w:tc>
          <w:tcPr>
            <w:tcW w:w="4537" w:type="dxa"/>
            <w:shd w:val="clear" w:color="auto" w:fill="auto"/>
          </w:tcPr>
          <w:p w14:paraId="68775469" w14:textId="77777777" w:rsidR="00621FB8" w:rsidRPr="0081146C" w:rsidRDefault="00621FB8" w:rsidP="00B002CC">
            <w:pPr>
              <w:pStyle w:val="ENoteTableText"/>
            </w:pPr>
            <w:r w:rsidRPr="0081146C">
              <w:t>ad No 60, 2011</w:t>
            </w:r>
          </w:p>
        </w:tc>
      </w:tr>
      <w:tr w:rsidR="00621FB8" w:rsidRPr="0081146C" w14:paraId="13060E3F" w14:textId="77777777" w:rsidTr="00965397">
        <w:trPr>
          <w:cantSplit/>
        </w:trPr>
        <w:tc>
          <w:tcPr>
            <w:tcW w:w="2551" w:type="dxa"/>
            <w:shd w:val="clear" w:color="auto" w:fill="auto"/>
          </w:tcPr>
          <w:p w14:paraId="02C2CC89" w14:textId="77777777" w:rsidR="00621FB8" w:rsidRPr="0081146C" w:rsidRDefault="00621FB8" w:rsidP="00621FB8">
            <w:pPr>
              <w:pStyle w:val="ENoteTableText"/>
              <w:tabs>
                <w:tab w:val="center" w:leader="dot" w:pos="2268"/>
              </w:tabs>
            </w:pPr>
            <w:r w:rsidRPr="0081146C">
              <w:t>s 35J</w:t>
            </w:r>
            <w:r w:rsidRPr="0081146C">
              <w:tab/>
            </w:r>
          </w:p>
        </w:tc>
        <w:tc>
          <w:tcPr>
            <w:tcW w:w="4537" w:type="dxa"/>
            <w:shd w:val="clear" w:color="auto" w:fill="auto"/>
          </w:tcPr>
          <w:p w14:paraId="062D4D95" w14:textId="77777777" w:rsidR="00621FB8" w:rsidRPr="0081146C" w:rsidRDefault="00621FB8" w:rsidP="00B002CC">
            <w:pPr>
              <w:pStyle w:val="ENoteTableText"/>
            </w:pPr>
            <w:r w:rsidRPr="0081146C">
              <w:t>ad No 60, 2011</w:t>
            </w:r>
          </w:p>
        </w:tc>
      </w:tr>
      <w:tr w:rsidR="00621FB8" w:rsidRPr="0081146C" w14:paraId="326EE6C0" w14:textId="77777777" w:rsidTr="00965397">
        <w:trPr>
          <w:cantSplit/>
        </w:trPr>
        <w:tc>
          <w:tcPr>
            <w:tcW w:w="2551" w:type="dxa"/>
            <w:shd w:val="clear" w:color="auto" w:fill="auto"/>
          </w:tcPr>
          <w:p w14:paraId="6A5D4B6F" w14:textId="77777777" w:rsidR="00621FB8" w:rsidRPr="0081146C" w:rsidRDefault="00621FB8" w:rsidP="00B002CC">
            <w:pPr>
              <w:pStyle w:val="ENoteTableText"/>
              <w:tabs>
                <w:tab w:val="center" w:leader="dot" w:pos="2268"/>
              </w:tabs>
            </w:pPr>
            <w:r w:rsidRPr="0081146C">
              <w:t>s 35K</w:t>
            </w:r>
            <w:r w:rsidRPr="0081146C">
              <w:tab/>
            </w:r>
          </w:p>
        </w:tc>
        <w:tc>
          <w:tcPr>
            <w:tcW w:w="4537" w:type="dxa"/>
            <w:shd w:val="clear" w:color="auto" w:fill="auto"/>
          </w:tcPr>
          <w:p w14:paraId="1823DA00" w14:textId="77777777" w:rsidR="00621FB8" w:rsidRPr="0081146C" w:rsidRDefault="00621FB8" w:rsidP="00B002CC">
            <w:pPr>
              <w:pStyle w:val="ENoteTableText"/>
            </w:pPr>
            <w:r w:rsidRPr="0081146C">
              <w:t>ad No 60, 2011</w:t>
            </w:r>
          </w:p>
        </w:tc>
      </w:tr>
      <w:tr w:rsidR="00621FB8" w:rsidRPr="0081146C" w14:paraId="093E5A6F" w14:textId="77777777" w:rsidTr="00965397">
        <w:trPr>
          <w:cantSplit/>
        </w:trPr>
        <w:tc>
          <w:tcPr>
            <w:tcW w:w="2551" w:type="dxa"/>
            <w:shd w:val="clear" w:color="auto" w:fill="auto"/>
          </w:tcPr>
          <w:p w14:paraId="639728CB" w14:textId="77777777" w:rsidR="00621FB8" w:rsidRPr="0081146C" w:rsidRDefault="00621FB8" w:rsidP="00B002CC">
            <w:pPr>
              <w:pStyle w:val="ENoteTableText"/>
              <w:tabs>
                <w:tab w:val="center" w:leader="dot" w:pos="2268"/>
              </w:tabs>
            </w:pPr>
            <w:r w:rsidRPr="0081146C">
              <w:t>s 35L</w:t>
            </w:r>
            <w:r w:rsidRPr="0081146C">
              <w:tab/>
            </w:r>
          </w:p>
        </w:tc>
        <w:tc>
          <w:tcPr>
            <w:tcW w:w="4537" w:type="dxa"/>
            <w:shd w:val="clear" w:color="auto" w:fill="auto"/>
          </w:tcPr>
          <w:p w14:paraId="3904D3CE" w14:textId="77777777" w:rsidR="00621FB8" w:rsidRPr="0081146C" w:rsidRDefault="00621FB8" w:rsidP="00B002CC">
            <w:pPr>
              <w:pStyle w:val="ENoteTableText"/>
            </w:pPr>
            <w:r w:rsidRPr="0081146C">
              <w:t>ad No 60, 2011</w:t>
            </w:r>
          </w:p>
        </w:tc>
      </w:tr>
      <w:tr w:rsidR="00621FB8" w:rsidRPr="0081146C" w14:paraId="4FDD53C9" w14:textId="77777777" w:rsidTr="00965397">
        <w:trPr>
          <w:cantSplit/>
        </w:trPr>
        <w:tc>
          <w:tcPr>
            <w:tcW w:w="2551" w:type="dxa"/>
            <w:shd w:val="clear" w:color="auto" w:fill="auto"/>
          </w:tcPr>
          <w:p w14:paraId="38200A93" w14:textId="77777777" w:rsidR="00621FB8" w:rsidRPr="0081146C" w:rsidRDefault="00621FB8" w:rsidP="00B002CC">
            <w:pPr>
              <w:pStyle w:val="ENoteTableText"/>
              <w:tabs>
                <w:tab w:val="center" w:leader="dot" w:pos="2268"/>
              </w:tabs>
            </w:pPr>
          </w:p>
        </w:tc>
        <w:tc>
          <w:tcPr>
            <w:tcW w:w="4537" w:type="dxa"/>
            <w:shd w:val="clear" w:color="auto" w:fill="auto"/>
          </w:tcPr>
          <w:p w14:paraId="4042705C" w14:textId="77777777" w:rsidR="00621FB8" w:rsidRPr="0081146C" w:rsidRDefault="00621FB8" w:rsidP="00621FB8">
            <w:pPr>
              <w:pStyle w:val="ENoteTableText"/>
            </w:pPr>
            <w:r w:rsidRPr="0081146C">
              <w:t>rs No 197, 2012</w:t>
            </w:r>
          </w:p>
        </w:tc>
      </w:tr>
      <w:tr w:rsidR="00621FB8" w:rsidRPr="0081146C" w14:paraId="29DB6554" w14:textId="77777777" w:rsidTr="00965397">
        <w:trPr>
          <w:cantSplit/>
        </w:trPr>
        <w:tc>
          <w:tcPr>
            <w:tcW w:w="2551" w:type="dxa"/>
            <w:shd w:val="clear" w:color="auto" w:fill="auto"/>
          </w:tcPr>
          <w:p w14:paraId="78E4221A" w14:textId="77777777" w:rsidR="00621FB8" w:rsidRPr="0081146C" w:rsidRDefault="003A364D" w:rsidP="00C72BA2">
            <w:pPr>
              <w:pStyle w:val="ENoteTableText"/>
            </w:pPr>
            <w:r w:rsidRPr="0081146C">
              <w:rPr>
                <w:b/>
              </w:rPr>
              <w:t>Division 6</w:t>
            </w:r>
          </w:p>
        </w:tc>
        <w:tc>
          <w:tcPr>
            <w:tcW w:w="4537" w:type="dxa"/>
            <w:shd w:val="clear" w:color="auto" w:fill="auto"/>
          </w:tcPr>
          <w:p w14:paraId="62FD48B6" w14:textId="77777777" w:rsidR="00621FB8" w:rsidRPr="0081146C" w:rsidRDefault="00621FB8" w:rsidP="00C72BA2">
            <w:pPr>
              <w:pStyle w:val="ENoteTableText"/>
            </w:pPr>
          </w:p>
        </w:tc>
      </w:tr>
      <w:tr w:rsidR="00621FB8" w:rsidRPr="0081146C" w14:paraId="4F76DADE" w14:textId="77777777" w:rsidTr="00965397">
        <w:trPr>
          <w:cantSplit/>
        </w:trPr>
        <w:tc>
          <w:tcPr>
            <w:tcW w:w="2551" w:type="dxa"/>
            <w:shd w:val="clear" w:color="auto" w:fill="auto"/>
          </w:tcPr>
          <w:p w14:paraId="60CB20FA" w14:textId="77777777" w:rsidR="00621FB8" w:rsidRPr="0081146C" w:rsidRDefault="00621FB8" w:rsidP="00D3528B">
            <w:pPr>
              <w:pStyle w:val="ENoteTableText"/>
              <w:tabs>
                <w:tab w:val="center" w:leader="dot" w:pos="2268"/>
              </w:tabs>
            </w:pPr>
            <w:r w:rsidRPr="0081146C">
              <w:t>s 36</w:t>
            </w:r>
            <w:r w:rsidRPr="0081146C">
              <w:tab/>
            </w:r>
          </w:p>
        </w:tc>
        <w:tc>
          <w:tcPr>
            <w:tcW w:w="4537" w:type="dxa"/>
            <w:shd w:val="clear" w:color="auto" w:fill="auto"/>
          </w:tcPr>
          <w:p w14:paraId="6BBD1260" w14:textId="77777777" w:rsidR="00621FB8" w:rsidRPr="0081146C" w:rsidRDefault="00621FB8" w:rsidP="00D3528B">
            <w:pPr>
              <w:pStyle w:val="ENoteTableText"/>
            </w:pPr>
            <w:r w:rsidRPr="0081146C">
              <w:t>am No</w:t>
            </w:r>
            <w:r w:rsidR="00D3528B" w:rsidRPr="0081146C">
              <w:t xml:space="preserve"> </w:t>
            </w:r>
            <w:r w:rsidRPr="0081146C">
              <w:t>60, 2011</w:t>
            </w:r>
          </w:p>
        </w:tc>
      </w:tr>
      <w:tr w:rsidR="00621FB8" w:rsidRPr="0081146C" w14:paraId="02C35BB9" w14:textId="77777777" w:rsidTr="00965397">
        <w:trPr>
          <w:cantSplit/>
        </w:trPr>
        <w:tc>
          <w:tcPr>
            <w:tcW w:w="2551" w:type="dxa"/>
            <w:shd w:val="clear" w:color="auto" w:fill="auto"/>
          </w:tcPr>
          <w:p w14:paraId="1DB7695E" w14:textId="77777777" w:rsidR="00621FB8" w:rsidRPr="0081146C" w:rsidRDefault="00CA78AA" w:rsidP="00C72BA2">
            <w:pPr>
              <w:pStyle w:val="ENoteTableText"/>
            </w:pPr>
            <w:r w:rsidRPr="0081146C">
              <w:rPr>
                <w:b/>
              </w:rPr>
              <w:t>Division 7</w:t>
            </w:r>
          </w:p>
        </w:tc>
        <w:tc>
          <w:tcPr>
            <w:tcW w:w="4537" w:type="dxa"/>
            <w:shd w:val="clear" w:color="auto" w:fill="auto"/>
          </w:tcPr>
          <w:p w14:paraId="2051F226" w14:textId="77777777" w:rsidR="00621FB8" w:rsidRPr="0081146C" w:rsidRDefault="00621FB8" w:rsidP="00C72BA2">
            <w:pPr>
              <w:pStyle w:val="ENoteTableText"/>
            </w:pPr>
          </w:p>
        </w:tc>
      </w:tr>
      <w:tr w:rsidR="00621FB8" w:rsidRPr="0081146C" w14:paraId="55C220AB" w14:textId="77777777" w:rsidTr="00965397">
        <w:trPr>
          <w:cantSplit/>
        </w:trPr>
        <w:tc>
          <w:tcPr>
            <w:tcW w:w="2551" w:type="dxa"/>
            <w:shd w:val="clear" w:color="auto" w:fill="auto"/>
          </w:tcPr>
          <w:p w14:paraId="1BA2795D" w14:textId="77777777" w:rsidR="00621FB8" w:rsidRPr="0081146C" w:rsidRDefault="00621FB8" w:rsidP="00D3528B">
            <w:pPr>
              <w:pStyle w:val="ENoteTableText"/>
              <w:tabs>
                <w:tab w:val="center" w:leader="dot" w:pos="2268"/>
              </w:tabs>
            </w:pPr>
            <w:r w:rsidRPr="0081146C">
              <w:t>s 37</w:t>
            </w:r>
            <w:r w:rsidRPr="0081146C">
              <w:tab/>
            </w:r>
          </w:p>
        </w:tc>
        <w:tc>
          <w:tcPr>
            <w:tcW w:w="4537" w:type="dxa"/>
            <w:shd w:val="clear" w:color="auto" w:fill="auto"/>
          </w:tcPr>
          <w:p w14:paraId="43169E42" w14:textId="77777777" w:rsidR="00621FB8" w:rsidRPr="0081146C" w:rsidRDefault="00621FB8" w:rsidP="00D3528B">
            <w:pPr>
              <w:pStyle w:val="ENoteTableText"/>
            </w:pPr>
            <w:r w:rsidRPr="0081146C">
              <w:t>am No</w:t>
            </w:r>
            <w:r w:rsidR="00D3528B" w:rsidRPr="0081146C">
              <w:t xml:space="preserve"> </w:t>
            </w:r>
            <w:r w:rsidRPr="0081146C">
              <w:t>60, 2011</w:t>
            </w:r>
            <w:r w:rsidR="00591B91" w:rsidRPr="0081146C">
              <w:t>; No 133, 2020</w:t>
            </w:r>
          </w:p>
        </w:tc>
      </w:tr>
      <w:tr w:rsidR="00591B91" w:rsidRPr="0081146C" w14:paraId="75B10E2A" w14:textId="77777777" w:rsidTr="00965397">
        <w:trPr>
          <w:cantSplit/>
        </w:trPr>
        <w:tc>
          <w:tcPr>
            <w:tcW w:w="2551" w:type="dxa"/>
            <w:shd w:val="clear" w:color="auto" w:fill="auto"/>
          </w:tcPr>
          <w:p w14:paraId="136C2008" w14:textId="77777777" w:rsidR="00591B91" w:rsidRPr="0081146C" w:rsidRDefault="00591B91" w:rsidP="00D3528B">
            <w:pPr>
              <w:pStyle w:val="ENoteTableText"/>
              <w:tabs>
                <w:tab w:val="center" w:leader="dot" w:pos="2268"/>
              </w:tabs>
            </w:pPr>
            <w:r w:rsidRPr="0081146C">
              <w:t>s 37A</w:t>
            </w:r>
            <w:r w:rsidRPr="0081146C">
              <w:tab/>
            </w:r>
          </w:p>
        </w:tc>
        <w:tc>
          <w:tcPr>
            <w:tcW w:w="4537" w:type="dxa"/>
            <w:shd w:val="clear" w:color="auto" w:fill="auto"/>
          </w:tcPr>
          <w:p w14:paraId="36159991" w14:textId="77777777" w:rsidR="00591B91" w:rsidRPr="0081146C" w:rsidRDefault="00591B91" w:rsidP="00D3528B">
            <w:pPr>
              <w:pStyle w:val="ENoteTableText"/>
            </w:pPr>
            <w:r w:rsidRPr="0081146C">
              <w:t>ad No 133, 2020</w:t>
            </w:r>
          </w:p>
        </w:tc>
      </w:tr>
      <w:tr w:rsidR="00591B91" w:rsidRPr="0081146C" w14:paraId="3F12B10A" w14:textId="77777777" w:rsidTr="00965397">
        <w:trPr>
          <w:cantSplit/>
        </w:trPr>
        <w:tc>
          <w:tcPr>
            <w:tcW w:w="2551" w:type="dxa"/>
            <w:shd w:val="clear" w:color="auto" w:fill="auto"/>
          </w:tcPr>
          <w:p w14:paraId="24794DD5" w14:textId="77777777" w:rsidR="00591B91" w:rsidRPr="0081146C" w:rsidRDefault="00591B91" w:rsidP="00D3528B">
            <w:pPr>
              <w:pStyle w:val="ENoteTableText"/>
              <w:tabs>
                <w:tab w:val="center" w:leader="dot" w:pos="2268"/>
              </w:tabs>
            </w:pPr>
            <w:r w:rsidRPr="0081146C">
              <w:t>s 37B</w:t>
            </w:r>
            <w:r w:rsidRPr="0081146C">
              <w:tab/>
            </w:r>
          </w:p>
        </w:tc>
        <w:tc>
          <w:tcPr>
            <w:tcW w:w="4537" w:type="dxa"/>
            <w:shd w:val="clear" w:color="auto" w:fill="auto"/>
          </w:tcPr>
          <w:p w14:paraId="5CAB9F7F" w14:textId="77777777" w:rsidR="00591B91" w:rsidRPr="0081146C" w:rsidRDefault="00591B91" w:rsidP="00D3528B">
            <w:pPr>
              <w:pStyle w:val="ENoteTableText"/>
            </w:pPr>
            <w:r w:rsidRPr="0081146C">
              <w:t>ad No 133, 2020</w:t>
            </w:r>
          </w:p>
        </w:tc>
      </w:tr>
      <w:tr w:rsidR="00591B91" w:rsidRPr="0081146C" w14:paraId="677A3520" w14:textId="77777777" w:rsidTr="00965397">
        <w:trPr>
          <w:cantSplit/>
        </w:trPr>
        <w:tc>
          <w:tcPr>
            <w:tcW w:w="2551" w:type="dxa"/>
            <w:shd w:val="clear" w:color="auto" w:fill="auto"/>
          </w:tcPr>
          <w:p w14:paraId="4B1EA7AC" w14:textId="77777777" w:rsidR="00591B91" w:rsidRPr="0081146C" w:rsidRDefault="00591B91" w:rsidP="00D3528B">
            <w:pPr>
              <w:pStyle w:val="ENoteTableText"/>
              <w:tabs>
                <w:tab w:val="center" w:leader="dot" w:pos="2268"/>
              </w:tabs>
            </w:pPr>
            <w:r w:rsidRPr="0081146C">
              <w:t>s 38</w:t>
            </w:r>
            <w:r w:rsidRPr="0081146C">
              <w:tab/>
            </w:r>
          </w:p>
        </w:tc>
        <w:tc>
          <w:tcPr>
            <w:tcW w:w="4537" w:type="dxa"/>
            <w:shd w:val="clear" w:color="auto" w:fill="auto"/>
          </w:tcPr>
          <w:p w14:paraId="72133F8F" w14:textId="77777777" w:rsidR="00591B91" w:rsidRPr="0081146C" w:rsidRDefault="00591B91" w:rsidP="00D3528B">
            <w:pPr>
              <w:pStyle w:val="ENoteTableText"/>
            </w:pPr>
            <w:r w:rsidRPr="0081146C">
              <w:t>rs No 133, 2020</w:t>
            </w:r>
          </w:p>
        </w:tc>
      </w:tr>
      <w:tr w:rsidR="00621FB8" w:rsidRPr="0081146C" w14:paraId="3EE5876B" w14:textId="77777777" w:rsidTr="00965397">
        <w:trPr>
          <w:cantSplit/>
        </w:trPr>
        <w:tc>
          <w:tcPr>
            <w:tcW w:w="2551" w:type="dxa"/>
            <w:shd w:val="clear" w:color="auto" w:fill="auto"/>
          </w:tcPr>
          <w:p w14:paraId="56550748" w14:textId="77777777" w:rsidR="00621FB8" w:rsidRPr="0081146C" w:rsidRDefault="00621FB8" w:rsidP="00C72BA2">
            <w:pPr>
              <w:pStyle w:val="ENoteTableText"/>
            </w:pPr>
            <w:r w:rsidRPr="0081146C">
              <w:rPr>
                <w:b/>
              </w:rPr>
              <w:t>Part</w:t>
            </w:r>
            <w:r w:rsidR="004F64A4" w:rsidRPr="0081146C">
              <w:rPr>
                <w:b/>
              </w:rPr>
              <w:t> </w:t>
            </w:r>
            <w:r w:rsidRPr="0081146C">
              <w:rPr>
                <w:b/>
              </w:rPr>
              <w:t>3</w:t>
            </w:r>
          </w:p>
        </w:tc>
        <w:tc>
          <w:tcPr>
            <w:tcW w:w="4537" w:type="dxa"/>
            <w:shd w:val="clear" w:color="auto" w:fill="auto"/>
          </w:tcPr>
          <w:p w14:paraId="17053C43" w14:textId="77777777" w:rsidR="00621FB8" w:rsidRPr="0081146C" w:rsidRDefault="00621FB8" w:rsidP="00C72BA2">
            <w:pPr>
              <w:pStyle w:val="ENoteTableText"/>
            </w:pPr>
          </w:p>
        </w:tc>
      </w:tr>
      <w:tr w:rsidR="00621FB8" w:rsidRPr="0081146C" w14:paraId="5E0D2E31" w14:textId="77777777" w:rsidTr="00965397">
        <w:trPr>
          <w:cantSplit/>
        </w:trPr>
        <w:tc>
          <w:tcPr>
            <w:tcW w:w="2551" w:type="dxa"/>
            <w:shd w:val="clear" w:color="auto" w:fill="auto"/>
          </w:tcPr>
          <w:p w14:paraId="0688ECBD" w14:textId="77777777" w:rsidR="00621FB8" w:rsidRPr="0081146C" w:rsidRDefault="00CA78AA" w:rsidP="00C72BA2">
            <w:pPr>
              <w:pStyle w:val="ENoteTableText"/>
            </w:pPr>
            <w:r w:rsidRPr="0081146C">
              <w:rPr>
                <w:b/>
              </w:rPr>
              <w:t>Division 2</w:t>
            </w:r>
          </w:p>
        </w:tc>
        <w:tc>
          <w:tcPr>
            <w:tcW w:w="4537" w:type="dxa"/>
            <w:shd w:val="clear" w:color="auto" w:fill="auto"/>
          </w:tcPr>
          <w:p w14:paraId="4DEED278" w14:textId="77777777" w:rsidR="00621FB8" w:rsidRPr="0081146C" w:rsidRDefault="00621FB8" w:rsidP="00C72BA2">
            <w:pPr>
              <w:pStyle w:val="ENoteTableText"/>
            </w:pPr>
          </w:p>
        </w:tc>
      </w:tr>
      <w:tr w:rsidR="00E91C12" w:rsidRPr="0081146C" w14:paraId="133448B7" w14:textId="77777777" w:rsidTr="00965397">
        <w:trPr>
          <w:cantSplit/>
        </w:trPr>
        <w:tc>
          <w:tcPr>
            <w:tcW w:w="2551" w:type="dxa"/>
            <w:shd w:val="clear" w:color="auto" w:fill="auto"/>
          </w:tcPr>
          <w:p w14:paraId="3AB1FD85" w14:textId="77777777" w:rsidR="00E91C12" w:rsidRPr="0081146C" w:rsidRDefault="00E91C12" w:rsidP="00681145">
            <w:pPr>
              <w:pStyle w:val="ENoteTableText"/>
              <w:tabs>
                <w:tab w:val="center" w:leader="dot" w:pos="2268"/>
              </w:tabs>
            </w:pPr>
            <w:r w:rsidRPr="0081146C">
              <w:t>s 41</w:t>
            </w:r>
            <w:r w:rsidRPr="0081146C">
              <w:tab/>
            </w:r>
          </w:p>
        </w:tc>
        <w:tc>
          <w:tcPr>
            <w:tcW w:w="4537" w:type="dxa"/>
            <w:shd w:val="clear" w:color="auto" w:fill="auto"/>
          </w:tcPr>
          <w:p w14:paraId="5957AA7C" w14:textId="77777777" w:rsidR="00E91C12" w:rsidRPr="0081146C" w:rsidRDefault="00E91C12" w:rsidP="00261CB4">
            <w:pPr>
              <w:pStyle w:val="ENoteTableText"/>
            </w:pPr>
            <w:r w:rsidRPr="0081146C">
              <w:t>am No 126, 2015</w:t>
            </w:r>
          </w:p>
        </w:tc>
      </w:tr>
      <w:tr w:rsidR="00621FB8" w:rsidRPr="0081146C" w14:paraId="04482884" w14:textId="77777777" w:rsidTr="00965397">
        <w:trPr>
          <w:cantSplit/>
        </w:trPr>
        <w:tc>
          <w:tcPr>
            <w:tcW w:w="2551" w:type="dxa"/>
            <w:shd w:val="clear" w:color="auto" w:fill="auto"/>
          </w:tcPr>
          <w:p w14:paraId="57D65D03" w14:textId="77777777" w:rsidR="00621FB8" w:rsidRPr="0081146C" w:rsidRDefault="00621FB8" w:rsidP="00D3528B">
            <w:pPr>
              <w:pStyle w:val="ENoteTableText"/>
              <w:tabs>
                <w:tab w:val="center" w:leader="dot" w:pos="2268"/>
              </w:tabs>
            </w:pPr>
            <w:r w:rsidRPr="0081146C">
              <w:t>s 42</w:t>
            </w:r>
            <w:r w:rsidRPr="0081146C">
              <w:tab/>
            </w:r>
          </w:p>
        </w:tc>
        <w:tc>
          <w:tcPr>
            <w:tcW w:w="4537" w:type="dxa"/>
            <w:shd w:val="clear" w:color="auto" w:fill="auto"/>
          </w:tcPr>
          <w:p w14:paraId="55BB0F56" w14:textId="77777777" w:rsidR="00621FB8" w:rsidRPr="0081146C" w:rsidRDefault="00621FB8" w:rsidP="00D3528B">
            <w:pPr>
              <w:pStyle w:val="ENoteTableText"/>
            </w:pPr>
            <w:r w:rsidRPr="0081146C">
              <w:t>am No</w:t>
            </w:r>
            <w:r w:rsidR="00D3528B" w:rsidRPr="0081146C">
              <w:t xml:space="preserve"> </w:t>
            </w:r>
            <w:r w:rsidRPr="0081146C">
              <w:t>52, 2007; No</w:t>
            </w:r>
            <w:r w:rsidR="00D3528B" w:rsidRPr="0081146C">
              <w:t xml:space="preserve"> </w:t>
            </w:r>
            <w:r w:rsidRPr="0081146C">
              <w:t>60, 2011</w:t>
            </w:r>
          </w:p>
        </w:tc>
      </w:tr>
      <w:tr w:rsidR="00621FB8" w:rsidRPr="0081146C" w14:paraId="2159EF88" w14:textId="77777777" w:rsidTr="00965397">
        <w:trPr>
          <w:cantSplit/>
        </w:trPr>
        <w:tc>
          <w:tcPr>
            <w:tcW w:w="2551" w:type="dxa"/>
            <w:shd w:val="clear" w:color="auto" w:fill="auto"/>
          </w:tcPr>
          <w:p w14:paraId="5F47145C" w14:textId="77777777" w:rsidR="00621FB8" w:rsidRPr="0081146C" w:rsidRDefault="00CA78AA" w:rsidP="00CC20F0">
            <w:pPr>
              <w:pStyle w:val="ENoteTableText"/>
              <w:keepNext/>
            </w:pPr>
            <w:r w:rsidRPr="0081146C">
              <w:rPr>
                <w:b/>
              </w:rPr>
              <w:t>Division 3</w:t>
            </w:r>
          </w:p>
        </w:tc>
        <w:tc>
          <w:tcPr>
            <w:tcW w:w="4537" w:type="dxa"/>
            <w:shd w:val="clear" w:color="auto" w:fill="auto"/>
          </w:tcPr>
          <w:p w14:paraId="44E50768" w14:textId="77777777" w:rsidR="00621FB8" w:rsidRPr="0081146C" w:rsidRDefault="00621FB8" w:rsidP="00C72BA2">
            <w:pPr>
              <w:pStyle w:val="ENoteTableText"/>
            </w:pPr>
          </w:p>
        </w:tc>
      </w:tr>
      <w:tr w:rsidR="00621FB8" w:rsidRPr="0081146C" w14:paraId="65A9FAB2" w14:textId="77777777" w:rsidTr="00965397">
        <w:trPr>
          <w:cantSplit/>
        </w:trPr>
        <w:tc>
          <w:tcPr>
            <w:tcW w:w="2551" w:type="dxa"/>
            <w:shd w:val="clear" w:color="auto" w:fill="auto"/>
          </w:tcPr>
          <w:p w14:paraId="12470A94" w14:textId="77777777" w:rsidR="00621FB8" w:rsidRPr="0081146C" w:rsidRDefault="00621FB8" w:rsidP="00D3528B">
            <w:pPr>
              <w:pStyle w:val="ENoteTableText"/>
              <w:tabs>
                <w:tab w:val="center" w:leader="dot" w:pos="2268"/>
              </w:tabs>
            </w:pPr>
            <w:r w:rsidRPr="0081146C">
              <w:t>s 44</w:t>
            </w:r>
            <w:r w:rsidRPr="0081146C">
              <w:tab/>
            </w:r>
          </w:p>
        </w:tc>
        <w:tc>
          <w:tcPr>
            <w:tcW w:w="4537" w:type="dxa"/>
            <w:shd w:val="clear" w:color="auto" w:fill="auto"/>
          </w:tcPr>
          <w:p w14:paraId="4A6D7EE5" w14:textId="77777777" w:rsidR="00621FB8" w:rsidRPr="0081146C" w:rsidRDefault="00621FB8" w:rsidP="00D3528B">
            <w:pPr>
              <w:pStyle w:val="ENoteTableText"/>
            </w:pPr>
            <w:r w:rsidRPr="0081146C">
              <w:t>am No</w:t>
            </w:r>
            <w:r w:rsidR="00D3528B" w:rsidRPr="0081146C">
              <w:t xml:space="preserve"> </w:t>
            </w:r>
            <w:r w:rsidRPr="0081146C">
              <w:t>60, 2011</w:t>
            </w:r>
          </w:p>
        </w:tc>
      </w:tr>
      <w:tr w:rsidR="00621FB8" w:rsidRPr="0081146C" w14:paraId="49D99AEA" w14:textId="77777777" w:rsidTr="00965397">
        <w:trPr>
          <w:cantSplit/>
        </w:trPr>
        <w:tc>
          <w:tcPr>
            <w:tcW w:w="2551" w:type="dxa"/>
            <w:shd w:val="clear" w:color="auto" w:fill="auto"/>
          </w:tcPr>
          <w:p w14:paraId="450360E5" w14:textId="77777777" w:rsidR="00621FB8" w:rsidRPr="0081146C" w:rsidRDefault="00CA78AA" w:rsidP="00E0079E">
            <w:pPr>
              <w:pStyle w:val="ENoteTableText"/>
              <w:keepNext/>
            </w:pPr>
            <w:r w:rsidRPr="0081146C">
              <w:rPr>
                <w:b/>
              </w:rPr>
              <w:t>Division 4</w:t>
            </w:r>
          </w:p>
        </w:tc>
        <w:tc>
          <w:tcPr>
            <w:tcW w:w="4537" w:type="dxa"/>
            <w:shd w:val="clear" w:color="auto" w:fill="auto"/>
          </w:tcPr>
          <w:p w14:paraId="2DA9100D" w14:textId="77777777" w:rsidR="00621FB8" w:rsidRPr="0081146C" w:rsidRDefault="00621FB8" w:rsidP="00C72BA2">
            <w:pPr>
              <w:pStyle w:val="ENoteTableText"/>
            </w:pPr>
          </w:p>
        </w:tc>
      </w:tr>
      <w:tr w:rsidR="00621FB8" w:rsidRPr="0081146C" w14:paraId="4BDEE5F4" w14:textId="77777777" w:rsidTr="00965397">
        <w:trPr>
          <w:cantSplit/>
        </w:trPr>
        <w:tc>
          <w:tcPr>
            <w:tcW w:w="2551" w:type="dxa"/>
            <w:shd w:val="clear" w:color="auto" w:fill="auto"/>
          </w:tcPr>
          <w:p w14:paraId="3C18D4D4" w14:textId="77777777" w:rsidR="00621FB8" w:rsidRPr="0081146C" w:rsidRDefault="00621FB8" w:rsidP="00D3528B">
            <w:pPr>
              <w:pStyle w:val="ENoteTableText"/>
              <w:tabs>
                <w:tab w:val="center" w:leader="dot" w:pos="2268"/>
              </w:tabs>
            </w:pPr>
            <w:r w:rsidRPr="0081146C">
              <w:t>s 46</w:t>
            </w:r>
            <w:r w:rsidRPr="0081146C">
              <w:tab/>
            </w:r>
          </w:p>
        </w:tc>
        <w:tc>
          <w:tcPr>
            <w:tcW w:w="4537" w:type="dxa"/>
            <w:shd w:val="clear" w:color="auto" w:fill="auto"/>
          </w:tcPr>
          <w:p w14:paraId="1FA9B058" w14:textId="77777777" w:rsidR="00621FB8" w:rsidRPr="0081146C" w:rsidRDefault="00621FB8" w:rsidP="00D3528B">
            <w:pPr>
              <w:pStyle w:val="ENoteTableText"/>
            </w:pPr>
            <w:r w:rsidRPr="0081146C">
              <w:t>am No</w:t>
            </w:r>
            <w:r w:rsidR="00D3528B" w:rsidRPr="0081146C">
              <w:t xml:space="preserve"> </w:t>
            </w:r>
            <w:r w:rsidRPr="0081146C">
              <w:t>4, 2010</w:t>
            </w:r>
          </w:p>
        </w:tc>
      </w:tr>
      <w:tr w:rsidR="00621FB8" w:rsidRPr="0081146C" w14:paraId="344FCEE9" w14:textId="77777777" w:rsidTr="00965397">
        <w:trPr>
          <w:cantSplit/>
        </w:trPr>
        <w:tc>
          <w:tcPr>
            <w:tcW w:w="2551" w:type="dxa"/>
            <w:shd w:val="clear" w:color="auto" w:fill="auto"/>
          </w:tcPr>
          <w:p w14:paraId="41288E25" w14:textId="77777777" w:rsidR="00621FB8" w:rsidRPr="0081146C" w:rsidRDefault="003A364D" w:rsidP="00C72BA2">
            <w:pPr>
              <w:pStyle w:val="ENoteTableText"/>
            </w:pPr>
            <w:r w:rsidRPr="0081146C">
              <w:rPr>
                <w:b/>
              </w:rPr>
              <w:t>Division 6</w:t>
            </w:r>
          </w:p>
        </w:tc>
        <w:tc>
          <w:tcPr>
            <w:tcW w:w="4537" w:type="dxa"/>
            <w:shd w:val="clear" w:color="auto" w:fill="auto"/>
          </w:tcPr>
          <w:p w14:paraId="4BE1E660" w14:textId="77777777" w:rsidR="00621FB8" w:rsidRPr="0081146C" w:rsidRDefault="00621FB8" w:rsidP="00C72BA2">
            <w:pPr>
              <w:pStyle w:val="ENoteTableText"/>
            </w:pPr>
          </w:p>
        </w:tc>
      </w:tr>
      <w:tr w:rsidR="00621FB8" w:rsidRPr="0081146C" w14:paraId="13A1B49B" w14:textId="77777777" w:rsidTr="00965397">
        <w:trPr>
          <w:cantSplit/>
        </w:trPr>
        <w:tc>
          <w:tcPr>
            <w:tcW w:w="2551" w:type="dxa"/>
            <w:shd w:val="clear" w:color="auto" w:fill="auto"/>
          </w:tcPr>
          <w:p w14:paraId="74C198E8" w14:textId="77777777" w:rsidR="00621FB8" w:rsidRPr="0081146C" w:rsidRDefault="00621FB8" w:rsidP="00D3528B">
            <w:pPr>
              <w:pStyle w:val="ENoteTableText"/>
              <w:tabs>
                <w:tab w:val="center" w:leader="dot" w:pos="2268"/>
              </w:tabs>
            </w:pPr>
            <w:r w:rsidRPr="0081146C">
              <w:t>s 49</w:t>
            </w:r>
            <w:r w:rsidRPr="0081146C">
              <w:tab/>
            </w:r>
          </w:p>
        </w:tc>
        <w:tc>
          <w:tcPr>
            <w:tcW w:w="4537" w:type="dxa"/>
            <w:shd w:val="clear" w:color="auto" w:fill="auto"/>
          </w:tcPr>
          <w:p w14:paraId="4213FB6F" w14:textId="77777777" w:rsidR="00621FB8" w:rsidRPr="0081146C" w:rsidRDefault="00621FB8" w:rsidP="00D3528B">
            <w:pPr>
              <w:pStyle w:val="ENoteTableText"/>
            </w:pPr>
            <w:r w:rsidRPr="0081146C">
              <w:t>am No</w:t>
            </w:r>
            <w:r w:rsidR="00D3528B" w:rsidRPr="0081146C">
              <w:t xml:space="preserve"> </w:t>
            </w:r>
            <w:r w:rsidRPr="0081146C">
              <w:t>60, 2011</w:t>
            </w:r>
            <w:r w:rsidR="00F952DD" w:rsidRPr="0081146C">
              <w:t>; No 41, 2015</w:t>
            </w:r>
            <w:r w:rsidR="007E2BE6" w:rsidRPr="0081146C">
              <w:t>; No 89, 2022</w:t>
            </w:r>
          </w:p>
        </w:tc>
      </w:tr>
      <w:tr w:rsidR="00621FB8" w:rsidRPr="0081146C" w14:paraId="313BDCF8" w14:textId="77777777" w:rsidTr="00965397">
        <w:trPr>
          <w:cantSplit/>
        </w:trPr>
        <w:tc>
          <w:tcPr>
            <w:tcW w:w="2551" w:type="dxa"/>
            <w:shd w:val="clear" w:color="auto" w:fill="auto"/>
          </w:tcPr>
          <w:p w14:paraId="3D9A6BA3" w14:textId="77777777" w:rsidR="00621FB8" w:rsidRPr="0081146C" w:rsidRDefault="00621FB8" w:rsidP="00D3528B">
            <w:pPr>
              <w:pStyle w:val="ENoteTableText"/>
              <w:tabs>
                <w:tab w:val="center" w:leader="dot" w:pos="2268"/>
              </w:tabs>
            </w:pPr>
            <w:r w:rsidRPr="0081146C">
              <w:t>s 49A</w:t>
            </w:r>
            <w:r w:rsidRPr="0081146C">
              <w:tab/>
            </w:r>
          </w:p>
        </w:tc>
        <w:tc>
          <w:tcPr>
            <w:tcW w:w="4537" w:type="dxa"/>
            <w:shd w:val="clear" w:color="auto" w:fill="auto"/>
          </w:tcPr>
          <w:p w14:paraId="68201112" w14:textId="77777777" w:rsidR="00621FB8" w:rsidRPr="0081146C" w:rsidRDefault="00621FB8" w:rsidP="00D3528B">
            <w:pPr>
              <w:pStyle w:val="ENoteTableText"/>
            </w:pPr>
            <w:r w:rsidRPr="0081146C">
              <w:t>ad No</w:t>
            </w:r>
            <w:r w:rsidR="00D3528B" w:rsidRPr="0081146C">
              <w:t xml:space="preserve"> </w:t>
            </w:r>
            <w:r w:rsidRPr="0081146C">
              <w:t>60, 2011</w:t>
            </w:r>
          </w:p>
        </w:tc>
      </w:tr>
      <w:tr w:rsidR="004E3F00" w:rsidRPr="0081146C" w14:paraId="6AB772CE" w14:textId="77777777" w:rsidTr="00965397">
        <w:trPr>
          <w:cantSplit/>
        </w:trPr>
        <w:tc>
          <w:tcPr>
            <w:tcW w:w="2551" w:type="dxa"/>
            <w:shd w:val="clear" w:color="auto" w:fill="auto"/>
          </w:tcPr>
          <w:p w14:paraId="6098F27B" w14:textId="77777777" w:rsidR="004E3F00" w:rsidRPr="0081146C" w:rsidRDefault="004E3F00" w:rsidP="00D3528B">
            <w:pPr>
              <w:pStyle w:val="ENoteTableText"/>
              <w:tabs>
                <w:tab w:val="center" w:leader="dot" w:pos="2268"/>
              </w:tabs>
            </w:pPr>
            <w:r w:rsidRPr="0081146C">
              <w:t>s 50A</w:t>
            </w:r>
            <w:r w:rsidRPr="0081146C">
              <w:tab/>
            </w:r>
          </w:p>
        </w:tc>
        <w:tc>
          <w:tcPr>
            <w:tcW w:w="4537" w:type="dxa"/>
            <w:shd w:val="clear" w:color="auto" w:fill="auto"/>
          </w:tcPr>
          <w:p w14:paraId="669B3119" w14:textId="77777777" w:rsidR="004E3F00" w:rsidRPr="0081146C" w:rsidRDefault="004E3F00" w:rsidP="00D3528B">
            <w:pPr>
              <w:pStyle w:val="ENoteTableText"/>
            </w:pPr>
            <w:r w:rsidRPr="0081146C">
              <w:t>ad No 133, 2020</w:t>
            </w:r>
          </w:p>
        </w:tc>
      </w:tr>
      <w:tr w:rsidR="00621FB8" w:rsidRPr="0081146C" w14:paraId="7C2C7C15" w14:textId="77777777" w:rsidTr="00965397">
        <w:trPr>
          <w:cantSplit/>
        </w:trPr>
        <w:tc>
          <w:tcPr>
            <w:tcW w:w="2551" w:type="dxa"/>
            <w:shd w:val="clear" w:color="auto" w:fill="auto"/>
          </w:tcPr>
          <w:p w14:paraId="1ABC4A2A" w14:textId="77777777" w:rsidR="00621FB8" w:rsidRPr="0081146C" w:rsidRDefault="00621FB8" w:rsidP="00C72BA2">
            <w:pPr>
              <w:pStyle w:val="ENoteTableText"/>
            </w:pPr>
            <w:r w:rsidRPr="0081146C">
              <w:rPr>
                <w:b/>
              </w:rPr>
              <w:t>Part</w:t>
            </w:r>
            <w:r w:rsidR="004F64A4" w:rsidRPr="0081146C">
              <w:rPr>
                <w:b/>
              </w:rPr>
              <w:t> </w:t>
            </w:r>
            <w:r w:rsidRPr="0081146C">
              <w:rPr>
                <w:b/>
              </w:rPr>
              <w:t>3A</w:t>
            </w:r>
          </w:p>
        </w:tc>
        <w:tc>
          <w:tcPr>
            <w:tcW w:w="4537" w:type="dxa"/>
            <w:shd w:val="clear" w:color="auto" w:fill="auto"/>
          </w:tcPr>
          <w:p w14:paraId="4475F45D" w14:textId="77777777" w:rsidR="00621FB8" w:rsidRPr="0081146C" w:rsidRDefault="00621FB8" w:rsidP="00C72BA2">
            <w:pPr>
              <w:pStyle w:val="ENoteTableText"/>
            </w:pPr>
          </w:p>
        </w:tc>
      </w:tr>
      <w:tr w:rsidR="00621FB8" w:rsidRPr="0081146C" w14:paraId="501BB6BB" w14:textId="77777777" w:rsidTr="00965397">
        <w:trPr>
          <w:cantSplit/>
        </w:trPr>
        <w:tc>
          <w:tcPr>
            <w:tcW w:w="2551" w:type="dxa"/>
            <w:shd w:val="clear" w:color="auto" w:fill="auto"/>
          </w:tcPr>
          <w:p w14:paraId="51A12BD6" w14:textId="77777777" w:rsidR="00621FB8" w:rsidRPr="0081146C" w:rsidRDefault="00621FB8" w:rsidP="00AE2DA2">
            <w:pPr>
              <w:pStyle w:val="ENoteTableText"/>
              <w:tabs>
                <w:tab w:val="center" w:leader="dot" w:pos="2268"/>
              </w:tabs>
            </w:pPr>
            <w:r w:rsidRPr="0081146C">
              <w:t>Part</w:t>
            </w:r>
            <w:r w:rsidR="004F64A4" w:rsidRPr="0081146C">
              <w:t> </w:t>
            </w:r>
            <w:r w:rsidRPr="0081146C">
              <w:t>3A</w:t>
            </w:r>
            <w:r w:rsidRPr="0081146C">
              <w:tab/>
            </w:r>
          </w:p>
        </w:tc>
        <w:tc>
          <w:tcPr>
            <w:tcW w:w="4537" w:type="dxa"/>
            <w:shd w:val="clear" w:color="auto" w:fill="auto"/>
          </w:tcPr>
          <w:p w14:paraId="2F1B9479" w14:textId="77777777" w:rsidR="00621FB8" w:rsidRPr="0081146C" w:rsidRDefault="00621FB8" w:rsidP="00D3528B">
            <w:pPr>
              <w:pStyle w:val="ENoteTableText"/>
            </w:pPr>
            <w:r w:rsidRPr="0081146C">
              <w:t>ad No</w:t>
            </w:r>
            <w:r w:rsidR="00D3528B" w:rsidRPr="0081146C">
              <w:t xml:space="preserve"> </w:t>
            </w:r>
            <w:r w:rsidRPr="0081146C">
              <w:t>56, 2011</w:t>
            </w:r>
          </w:p>
        </w:tc>
      </w:tr>
      <w:tr w:rsidR="00621FB8" w:rsidRPr="0081146C" w14:paraId="2AA1720D" w14:textId="77777777" w:rsidTr="00965397">
        <w:trPr>
          <w:cantSplit/>
        </w:trPr>
        <w:tc>
          <w:tcPr>
            <w:tcW w:w="2551" w:type="dxa"/>
            <w:shd w:val="clear" w:color="auto" w:fill="auto"/>
          </w:tcPr>
          <w:p w14:paraId="523DF66E" w14:textId="77777777" w:rsidR="00621FB8" w:rsidRPr="0081146C" w:rsidRDefault="00621FB8" w:rsidP="000E0B0C">
            <w:pPr>
              <w:pStyle w:val="ENoteTableText"/>
              <w:tabs>
                <w:tab w:val="center" w:leader="dot" w:pos="2268"/>
              </w:tabs>
            </w:pPr>
            <w:r w:rsidRPr="0081146C">
              <w:t>s</w:t>
            </w:r>
            <w:r w:rsidR="000E0B0C" w:rsidRPr="0081146C">
              <w:t xml:space="preserve"> </w:t>
            </w:r>
            <w:r w:rsidRPr="0081146C">
              <w:t>51A</w:t>
            </w:r>
            <w:r w:rsidRPr="0081146C">
              <w:tab/>
            </w:r>
          </w:p>
        </w:tc>
        <w:tc>
          <w:tcPr>
            <w:tcW w:w="4537" w:type="dxa"/>
            <w:shd w:val="clear" w:color="auto" w:fill="auto"/>
          </w:tcPr>
          <w:p w14:paraId="2E23B347" w14:textId="77777777" w:rsidR="00621FB8" w:rsidRPr="0081146C" w:rsidRDefault="00621FB8" w:rsidP="00D3528B">
            <w:pPr>
              <w:pStyle w:val="ENoteTableText"/>
            </w:pPr>
            <w:r w:rsidRPr="0081146C">
              <w:t>ad No</w:t>
            </w:r>
            <w:r w:rsidR="00D3528B" w:rsidRPr="0081146C">
              <w:t xml:space="preserve"> </w:t>
            </w:r>
            <w:r w:rsidRPr="0081146C">
              <w:t>56, 2011</w:t>
            </w:r>
          </w:p>
        </w:tc>
      </w:tr>
      <w:tr w:rsidR="000E0B0C" w:rsidRPr="0081146C" w14:paraId="128BB07B" w14:textId="77777777" w:rsidTr="00965397">
        <w:trPr>
          <w:cantSplit/>
        </w:trPr>
        <w:tc>
          <w:tcPr>
            <w:tcW w:w="2551" w:type="dxa"/>
            <w:shd w:val="clear" w:color="auto" w:fill="auto"/>
          </w:tcPr>
          <w:p w14:paraId="0EA12C99" w14:textId="77777777" w:rsidR="000E0B0C" w:rsidRPr="0081146C" w:rsidRDefault="000E0B0C" w:rsidP="000E0B0C">
            <w:pPr>
              <w:pStyle w:val="ENoteTableText"/>
              <w:tabs>
                <w:tab w:val="center" w:leader="dot" w:pos="2268"/>
              </w:tabs>
            </w:pPr>
            <w:r w:rsidRPr="0081146C">
              <w:t>s 51B</w:t>
            </w:r>
            <w:r w:rsidRPr="0081146C">
              <w:tab/>
            </w:r>
          </w:p>
        </w:tc>
        <w:tc>
          <w:tcPr>
            <w:tcW w:w="4537" w:type="dxa"/>
            <w:shd w:val="clear" w:color="auto" w:fill="auto"/>
          </w:tcPr>
          <w:p w14:paraId="5838B52F" w14:textId="77777777" w:rsidR="000E0B0C" w:rsidRPr="0081146C" w:rsidRDefault="000E0B0C" w:rsidP="00CC3DD3">
            <w:pPr>
              <w:pStyle w:val="ENoteTableText"/>
            </w:pPr>
            <w:r w:rsidRPr="0081146C">
              <w:t>ad No 56, 2011</w:t>
            </w:r>
          </w:p>
        </w:tc>
      </w:tr>
      <w:tr w:rsidR="00A21CC7" w:rsidRPr="0081146C" w14:paraId="556C75C2" w14:textId="77777777" w:rsidTr="00965397">
        <w:trPr>
          <w:cantSplit/>
        </w:trPr>
        <w:tc>
          <w:tcPr>
            <w:tcW w:w="2551" w:type="dxa"/>
            <w:shd w:val="clear" w:color="auto" w:fill="auto"/>
          </w:tcPr>
          <w:p w14:paraId="13FE2173" w14:textId="77777777" w:rsidR="00A21CC7" w:rsidRPr="0081146C" w:rsidRDefault="00A21CC7" w:rsidP="000E0B0C">
            <w:pPr>
              <w:pStyle w:val="ENoteTableText"/>
              <w:tabs>
                <w:tab w:val="center" w:leader="dot" w:pos="2268"/>
              </w:tabs>
            </w:pPr>
          </w:p>
        </w:tc>
        <w:tc>
          <w:tcPr>
            <w:tcW w:w="4537" w:type="dxa"/>
            <w:shd w:val="clear" w:color="auto" w:fill="auto"/>
          </w:tcPr>
          <w:p w14:paraId="1755E630" w14:textId="77777777" w:rsidR="00A21CC7" w:rsidRPr="0081146C" w:rsidRDefault="00A21CC7" w:rsidP="00CC3DD3">
            <w:pPr>
              <w:pStyle w:val="ENoteTableText"/>
            </w:pPr>
            <w:r w:rsidRPr="0081146C">
              <w:t>am No 63, 2023</w:t>
            </w:r>
          </w:p>
        </w:tc>
      </w:tr>
      <w:tr w:rsidR="000E0B0C" w:rsidRPr="0081146C" w14:paraId="674431E0" w14:textId="77777777" w:rsidTr="00965397">
        <w:trPr>
          <w:cantSplit/>
        </w:trPr>
        <w:tc>
          <w:tcPr>
            <w:tcW w:w="2551" w:type="dxa"/>
            <w:shd w:val="clear" w:color="auto" w:fill="auto"/>
          </w:tcPr>
          <w:p w14:paraId="3CEE87C4" w14:textId="77777777" w:rsidR="000E0B0C" w:rsidRPr="0081146C" w:rsidRDefault="000E0B0C" w:rsidP="00CC3DD3">
            <w:pPr>
              <w:pStyle w:val="ENoteTableText"/>
              <w:tabs>
                <w:tab w:val="center" w:leader="dot" w:pos="2268"/>
              </w:tabs>
            </w:pPr>
            <w:r w:rsidRPr="0081146C">
              <w:t>s 51C</w:t>
            </w:r>
            <w:r w:rsidRPr="0081146C">
              <w:tab/>
            </w:r>
          </w:p>
        </w:tc>
        <w:tc>
          <w:tcPr>
            <w:tcW w:w="4537" w:type="dxa"/>
            <w:shd w:val="clear" w:color="auto" w:fill="auto"/>
          </w:tcPr>
          <w:p w14:paraId="25DB4073" w14:textId="77777777" w:rsidR="000E0B0C" w:rsidRPr="0081146C" w:rsidRDefault="000E0B0C" w:rsidP="00CC3DD3">
            <w:pPr>
              <w:pStyle w:val="ENoteTableText"/>
            </w:pPr>
            <w:r w:rsidRPr="0081146C">
              <w:t>ad No 56, 2011</w:t>
            </w:r>
          </w:p>
        </w:tc>
      </w:tr>
      <w:tr w:rsidR="000E0B0C" w:rsidRPr="0081146C" w14:paraId="116EE6F8" w14:textId="77777777" w:rsidTr="00965397">
        <w:trPr>
          <w:cantSplit/>
        </w:trPr>
        <w:tc>
          <w:tcPr>
            <w:tcW w:w="2551" w:type="dxa"/>
            <w:shd w:val="clear" w:color="auto" w:fill="auto"/>
          </w:tcPr>
          <w:p w14:paraId="3E3A3DC2" w14:textId="77777777" w:rsidR="000E0B0C" w:rsidRPr="0081146C" w:rsidRDefault="000E0B0C" w:rsidP="00CC3DD3">
            <w:pPr>
              <w:pStyle w:val="ENoteTableText"/>
              <w:tabs>
                <w:tab w:val="center" w:leader="dot" w:pos="2268"/>
              </w:tabs>
            </w:pPr>
            <w:r w:rsidRPr="0081146C">
              <w:t>s 51D</w:t>
            </w:r>
            <w:r w:rsidRPr="0081146C">
              <w:tab/>
            </w:r>
          </w:p>
        </w:tc>
        <w:tc>
          <w:tcPr>
            <w:tcW w:w="4537" w:type="dxa"/>
            <w:shd w:val="clear" w:color="auto" w:fill="auto"/>
          </w:tcPr>
          <w:p w14:paraId="5B601E15" w14:textId="77777777" w:rsidR="000E0B0C" w:rsidRPr="0081146C" w:rsidRDefault="000E0B0C" w:rsidP="00CC3DD3">
            <w:pPr>
              <w:pStyle w:val="ENoteTableText"/>
            </w:pPr>
            <w:r w:rsidRPr="0081146C">
              <w:t>ad No 56, 2011</w:t>
            </w:r>
          </w:p>
        </w:tc>
      </w:tr>
      <w:tr w:rsidR="000E0B0C" w:rsidRPr="0081146C" w14:paraId="547BBB00" w14:textId="77777777" w:rsidTr="00965397">
        <w:trPr>
          <w:cantSplit/>
        </w:trPr>
        <w:tc>
          <w:tcPr>
            <w:tcW w:w="2551" w:type="dxa"/>
            <w:shd w:val="clear" w:color="auto" w:fill="auto"/>
          </w:tcPr>
          <w:p w14:paraId="669F7BAD" w14:textId="77777777" w:rsidR="000E0B0C" w:rsidRPr="0081146C" w:rsidRDefault="000E0B0C" w:rsidP="000E0B0C">
            <w:pPr>
              <w:pStyle w:val="ENoteTableText"/>
              <w:tabs>
                <w:tab w:val="center" w:leader="dot" w:pos="2268"/>
              </w:tabs>
            </w:pPr>
            <w:r w:rsidRPr="0081146C">
              <w:t>s 51E</w:t>
            </w:r>
            <w:r w:rsidRPr="0081146C">
              <w:tab/>
            </w:r>
          </w:p>
        </w:tc>
        <w:tc>
          <w:tcPr>
            <w:tcW w:w="4537" w:type="dxa"/>
            <w:shd w:val="clear" w:color="auto" w:fill="auto"/>
          </w:tcPr>
          <w:p w14:paraId="0F5895E9" w14:textId="77777777" w:rsidR="000E0B0C" w:rsidRPr="0081146C" w:rsidRDefault="000E0B0C" w:rsidP="00CC3DD3">
            <w:pPr>
              <w:pStyle w:val="ENoteTableText"/>
            </w:pPr>
            <w:r w:rsidRPr="0081146C">
              <w:t>ad No 56, 2011</w:t>
            </w:r>
          </w:p>
        </w:tc>
      </w:tr>
      <w:tr w:rsidR="000E0B0C" w:rsidRPr="0081146C" w14:paraId="6F0FF40D" w14:textId="77777777" w:rsidTr="00965397">
        <w:trPr>
          <w:cantSplit/>
        </w:trPr>
        <w:tc>
          <w:tcPr>
            <w:tcW w:w="2551" w:type="dxa"/>
            <w:shd w:val="clear" w:color="auto" w:fill="auto"/>
          </w:tcPr>
          <w:p w14:paraId="29C1C10C" w14:textId="77777777" w:rsidR="000E0B0C" w:rsidRPr="0081146C" w:rsidRDefault="000E0B0C" w:rsidP="000E0B0C">
            <w:pPr>
              <w:pStyle w:val="ENoteTableText"/>
              <w:tabs>
                <w:tab w:val="center" w:leader="dot" w:pos="2268"/>
              </w:tabs>
            </w:pPr>
            <w:r w:rsidRPr="0081146C">
              <w:t>s 51F</w:t>
            </w:r>
            <w:r w:rsidRPr="0081146C">
              <w:tab/>
            </w:r>
          </w:p>
        </w:tc>
        <w:tc>
          <w:tcPr>
            <w:tcW w:w="4537" w:type="dxa"/>
            <w:shd w:val="clear" w:color="auto" w:fill="auto"/>
          </w:tcPr>
          <w:p w14:paraId="0917BF3B" w14:textId="77777777" w:rsidR="000E0B0C" w:rsidRPr="0081146C" w:rsidRDefault="000E0B0C" w:rsidP="00CC3DD3">
            <w:pPr>
              <w:pStyle w:val="ENoteTableText"/>
            </w:pPr>
            <w:r w:rsidRPr="0081146C">
              <w:t>ad No 56, 2011</w:t>
            </w:r>
          </w:p>
        </w:tc>
      </w:tr>
      <w:tr w:rsidR="000E0B0C" w:rsidRPr="0081146C" w14:paraId="04D799C8" w14:textId="77777777" w:rsidTr="00965397">
        <w:trPr>
          <w:cantSplit/>
        </w:trPr>
        <w:tc>
          <w:tcPr>
            <w:tcW w:w="2551" w:type="dxa"/>
            <w:shd w:val="clear" w:color="auto" w:fill="auto"/>
          </w:tcPr>
          <w:p w14:paraId="52128AB6" w14:textId="77777777" w:rsidR="000E0B0C" w:rsidRPr="0081146C" w:rsidRDefault="000E0B0C" w:rsidP="000E0B0C">
            <w:pPr>
              <w:pStyle w:val="ENoteTableText"/>
              <w:tabs>
                <w:tab w:val="center" w:leader="dot" w:pos="2268"/>
              </w:tabs>
            </w:pPr>
            <w:r w:rsidRPr="0081146C">
              <w:t>s 51G</w:t>
            </w:r>
            <w:r w:rsidRPr="0081146C">
              <w:tab/>
            </w:r>
          </w:p>
        </w:tc>
        <w:tc>
          <w:tcPr>
            <w:tcW w:w="4537" w:type="dxa"/>
            <w:shd w:val="clear" w:color="auto" w:fill="auto"/>
          </w:tcPr>
          <w:p w14:paraId="2C6048DA" w14:textId="77777777" w:rsidR="000E0B0C" w:rsidRPr="0081146C" w:rsidRDefault="000E0B0C" w:rsidP="00CC3DD3">
            <w:pPr>
              <w:pStyle w:val="ENoteTableText"/>
            </w:pPr>
            <w:r w:rsidRPr="0081146C">
              <w:t>ad No 56, 2011</w:t>
            </w:r>
          </w:p>
        </w:tc>
      </w:tr>
      <w:tr w:rsidR="000E0B0C" w:rsidRPr="0081146C" w14:paraId="286120AB" w14:textId="77777777" w:rsidTr="00965397">
        <w:trPr>
          <w:cantSplit/>
        </w:trPr>
        <w:tc>
          <w:tcPr>
            <w:tcW w:w="2551" w:type="dxa"/>
            <w:shd w:val="clear" w:color="auto" w:fill="auto"/>
          </w:tcPr>
          <w:p w14:paraId="5E33452D" w14:textId="77777777" w:rsidR="000E0B0C" w:rsidRPr="0081146C" w:rsidRDefault="00CA78AA" w:rsidP="000F021C">
            <w:pPr>
              <w:pStyle w:val="ENoteTableText"/>
              <w:keepNext/>
            </w:pPr>
            <w:r w:rsidRPr="0081146C">
              <w:rPr>
                <w:b/>
              </w:rPr>
              <w:t>Part 4</w:t>
            </w:r>
          </w:p>
        </w:tc>
        <w:tc>
          <w:tcPr>
            <w:tcW w:w="4537" w:type="dxa"/>
            <w:shd w:val="clear" w:color="auto" w:fill="auto"/>
          </w:tcPr>
          <w:p w14:paraId="6FF1C00A" w14:textId="77777777" w:rsidR="000E0B0C" w:rsidRPr="0081146C" w:rsidRDefault="000E0B0C" w:rsidP="000F021C">
            <w:pPr>
              <w:pStyle w:val="ENoteTableText"/>
              <w:keepNext/>
            </w:pPr>
          </w:p>
        </w:tc>
      </w:tr>
      <w:tr w:rsidR="000E7DE9" w:rsidRPr="0081146C" w14:paraId="5198C052" w14:textId="77777777" w:rsidTr="00965397">
        <w:trPr>
          <w:cantSplit/>
        </w:trPr>
        <w:tc>
          <w:tcPr>
            <w:tcW w:w="2551" w:type="dxa"/>
            <w:shd w:val="clear" w:color="auto" w:fill="auto"/>
          </w:tcPr>
          <w:p w14:paraId="312EFC4A" w14:textId="77777777" w:rsidR="000E7DE9" w:rsidRPr="0081146C" w:rsidRDefault="00CA78AA" w:rsidP="00721A2C">
            <w:pPr>
              <w:pStyle w:val="ENoteTableText"/>
              <w:keepNext/>
              <w:tabs>
                <w:tab w:val="center" w:leader="dot" w:pos="2268"/>
              </w:tabs>
            </w:pPr>
            <w:r w:rsidRPr="0081146C">
              <w:t>Part 4</w:t>
            </w:r>
            <w:r w:rsidR="000E7DE9" w:rsidRPr="0081146C">
              <w:t xml:space="preserve"> heading</w:t>
            </w:r>
            <w:r w:rsidR="000E7DE9" w:rsidRPr="0081146C">
              <w:tab/>
            </w:r>
          </w:p>
        </w:tc>
        <w:tc>
          <w:tcPr>
            <w:tcW w:w="4537" w:type="dxa"/>
            <w:shd w:val="clear" w:color="auto" w:fill="auto"/>
          </w:tcPr>
          <w:p w14:paraId="72917740" w14:textId="77777777" w:rsidR="000E7DE9" w:rsidRPr="0081146C" w:rsidRDefault="000E7DE9" w:rsidP="000F021C">
            <w:pPr>
              <w:pStyle w:val="ENoteTableText"/>
              <w:keepNext/>
              <w:rPr>
                <w:u w:val="single"/>
              </w:rPr>
            </w:pPr>
            <w:r w:rsidRPr="0081146C">
              <w:t>rs No 133, 2020</w:t>
            </w:r>
          </w:p>
        </w:tc>
      </w:tr>
      <w:tr w:rsidR="00A427BF" w:rsidRPr="0081146C" w14:paraId="085290B1" w14:textId="77777777" w:rsidTr="00965397">
        <w:trPr>
          <w:cantSplit/>
        </w:trPr>
        <w:tc>
          <w:tcPr>
            <w:tcW w:w="2551" w:type="dxa"/>
            <w:shd w:val="clear" w:color="auto" w:fill="auto"/>
          </w:tcPr>
          <w:p w14:paraId="6C16DD2F" w14:textId="77777777" w:rsidR="00A427BF" w:rsidRPr="0081146C" w:rsidRDefault="00CA78AA">
            <w:pPr>
              <w:pStyle w:val="ENoteTableText"/>
              <w:keepNext/>
              <w:tabs>
                <w:tab w:val="center" w:leader="dot" w:pos="2268"/>
              </w:tabs>
              <w:rPr>
                <w:b/>
              </w:rPr>
            </w:pPr>
            <w:r w:rsidRPr="0081146C">
              <w:rPr>
                <w:b/>
              </w:rPr>
              <w:t>Division 1</w:t>
            </w:r>
          </w:p>
        </w:tc>
        <w:tc>
          <w:tcPr>
            <w:tcW w:w="4537" w:type="dxa"/>
            <w:shd w:val="clear" w:color="auto" w:fill="auto"/>
          </w:tcPr>
          <w:p w14:paraId="44303448" w14:textId="77777777" w:rsidR="00A427BF" w:rsidRPr="0081146C" w:rsidRDefault="00A427BF" w:rsidP="000F021C">
            <w:pPr>
              <w:pStyle w:val="ENoteTableText"/>
              <w:keepNext/>
            </w:pPr>
          </w:p>
        </w:tc>
      </w:tr>
      <w:tr w:rsidR="00A427BF" w:rsidRPr="0081146C" w14:paraId="03CA731B" w14:textId="77777777" w:rsidTr="00965397">
        <w:trPr>
          <w:cantSplit/>
        </w:trPr>
        <w:tc>
          <w:tcPr>
            <w:tcW w:w="2551" w:type="dxa"/>
            <w:shd w:val="clear" w:color="auto" w:fill="auto"/>
          </w:tcPr>
          <w:p w14:paraId="6285844E" w14:textId="77777777" w:rsidR="00A427BF" w:rsidRPr="0081146C" w:rsidRDefault="00CA78AA">
            <w:pPr>
              <w:pStyle w:val="ENoteTableText"/>
              <w:keepNext/>
              <w:tabs>
                <w:tab w:val="center" w:leader="dot" w:pos="2268"/>
              </w:tabs>
            </w:pPr>
            <w:r w:rsidRPr="0081146C">
              <w:t>Division 1</w:t>
            </w:r>
            <w:r w:rsidR="00A427BF" w:rsidRPr="0081146C">
              <w:tab/>
            </w:r>
          </w:p>
        </w:tc>
        <w:tc>
          <w:tcPr>
            <w:tcW w:w="4537" w:type="dxa"/>
            <w:shd w:val="clear" w:color="auto" w:fill="auto"/>
          </w:tcPr>
          <w:p w14:paraId="37319268" w14:textId="77777777" w:rsidR="00A427BF" w:rsidRPr="0081146C" w:rsidRDefault="00A427BF" w:rsidP="000F021C">
            <w:pPr>
              <w:pStyle w:val="ENoteTableText"/>
              <w:keepNext/>
              <w:rPr>
                <w:u w:val="single"/>
              </w:rPr>
            </w:pPr>
            <w:r w:rsidRPr="0081146C">
              <w:t>rs No 133, 2020</w:t>
            </w:r>
          </w:p>
        </w:tc>
      </w:tr>
      <w:tr w:rsidR="00A427BF" w:rsidRPr="0081146C" w14:paraId="2B439211" w14:textId="77777777" w:rsidTr="00965397">
        <w:trPr>
          <w:cantSplit/>
        </w:trPr>
        <w:tc>
          <w:tcPr>
            <w:tcW w:w="2551" w:type="dxa"/>
            <w:shd w:val="clear" w:color="auto" w:fill="auto"/>
          </w:tcPr>
          <w:p w14:paraId="08AE85B0" w14:textId="77777777" w:rsidR="00A427BF" w:rsidRPr="0081146C" w:rsidRDefault="00A427BF">
            <w:pPr>
              <w:pStyle w:val="ENoteTableText"/>
              <w:keepNext/>
              <w:tabs>
                <w:tab w:val="center" w:leader="dot" w:pos="2268"/>
              </w:tabs>
            </w:pPr>
            <w:r w:rsidRPr="0081146C">
              <w:t>s 52</w:t>
            </w:r>
            <w:r w:rsidRPr="0081146C">
              <w:tab/>
            </w:r>
          </w:p>
        </w:tc>
        <w:tc>
          <w:tcPr>
            <w:tcW w:w="4537" w:type="dxa"/>
            <w:shd w:val="clear" w:color="auto" w:fill="auto"/>
          </w:tcPr>
          <w:p w14:paraId="2A4B713A" w14:textId="77777777" w:rsidR="00A427BF" w:rsidRPr="0081146C" w:rsidRDefault="00A427BF" w:rsidP="000F021C">
            <w:pPr>
              <w:pStyle w:val="ENoteTableText"/>
              <w:keepNext/>
              <w:rPr>
                <w:u w:val="single"/>
              </w:rPr>
            </w:pPr>
            <w:r w:rsidRPr="0081146C">
              <w:t>rs No 133, 2020</w:t>
            </w:r>
          </w:p>
        </w:tc>
      </w:tr>
      <w:tr w:rsidR="000E0B0C" w:rsidRPr="0081146C" w14:paraId="1CF7CB56" w14:textId="77777777" w:rsidTr="00965397">
        <w:trPr>
          <w:cantSplit/>
        </w:trPr>
        <w:tc>
          <w:tcPr>
            <w:tcW w:w="2551" w:type="dxa"/>
            <w:shd w:val="clear" w:color="auto" w:fill="auto"/>
          </w:tcPr>
          <w:p w14:paraId="5A476167" w14:textId="77777777" w:rsidR="000E0B0C" w:rsidRPr="0081146C" w:rsidRDefault="00CA78AA" w:rsidP="000F021C">
            <w:pPr>
              <w:pStyle w:val="ENoteTableText"/>
              <w:keepNext/>
              <w:rPr>
                <w:b/>
              </w:rPr>
            </w:pPr>
            <w:r w:rsidRPr="0081146C">
              <w:rPr>
                <w:b/>
              </w:rPr>
              <w:t>Division 2</w:t>
            </w:r>
          </w:p>
        </w:tc>
        <w:tc>
          <w:tcPr>
            <w:tcW w:w="4537" w:type="dxa"/>
            <w:shd w:val="clear" w:color="auto" w:fill="auto"/>
          </w:tcPr>
          <w:p w14:paraId="7F709457" w14:textId="77777777" w:rsidR="000E0B0C" w:rsidRPr="0081146C" w:rsidRDefault="000E0B0C" w:rsidP="000F021C">
            <w:pPr>
              <w:pStyle w:val="ENoteTableText"/>
              <w:keepNext/>
            </w:pPr>
          </w:p>
        </w:tc>
      </w:tr>
      <w:tr w:rsidR="00A427BF" w:rsidRPr="0081146C" w14:paraId="452175BC" w14:textId="77777777" w:rsidTr="00965397">
        <w:trPr>
          <w:cantSplit/>
        </w:trPr>
        <w:tc>
          <w:tcPr>
            <w:tcW w:w="2551" w:type="dxa"/>
            <w:shd w:val="clear" w:color="auto" w:fill="auto"/>
          </w:tcPr>
          <w:p w14:paraId="69407449" w14:textId="77777777" w:rsidR="00A427BF" w:rsidRPr="0081146C" w:rsidRDefault="00CA78AA" w:rsidP="00721A2C">
            <w:pPr>
              <w:pStyle w:val="ENoteTableText"/>
              <w:keepNext/>
              <w:tabs>
                <w:tab w:val="center" w:leader="dot" w:pos="2268"/>
              </w:tabs>
            </w:pPr>
            <w:r w:rsidRPr="0081146C">
              <w:t>Division 2</w:t>
            </w:r>
            <w:r w:rsidR="00A427BF" w:rsidRPr="0081146C">
              <w:tab/>
            </w:r>
          </w:p>
        </w:tc>
        <w:tc>
          <w:tcPr>
            <w:tcW w:w="4537" w:type="dxa"/>
            <w:shd w:val="clear" w:color="auto" w:fill="auto"/>
          </w:tcPr>
          <w:p w14:paraId="68BA10C0" w14:textId="77777777" w:rsidR="00A427BF" w:rsidRPr="0081146C" w:rsidRDefault="00A427BF" w:rsidP="000F021C">
            <w:pPr>
              <w:pStyle w:val="ENoteTableText"/>
              <w:keepNext/>
              <w:rPr>
                <w:u w:val="single"/>
              </w:rPr>
            </w:pPr>
            <w:r w:rsidRPr="0081146C">
              <w:t>rs No 133, 2020</w:t>
            </w:r>
          </w:p>
        </w:tc>
      </w:tr>
      <w:tr w:rsidR="000E0B0C" w:rsidRPr="0081146C" w14:paraId="6AE9122D" w14:textId="77777777" w:rsidTr="00965397">
        <w:trPr>
          <w:cantSplit/>
        </w:trPr>
        <w:tc>
          <w:tcPr>
            <w:tcW w:w="2551" w:type="dxa"/>
            <w:shd w:val="clear" w:color="auto" w:fill="auto"/>
          </w:tcPr>
          <w:p w14:paraId="2FAE7AED" w14:textId="77777777" w:rsidR="000E0B0C" w:rsidRPr="0081146C" w:rsidRDefault="000E0B0C" w:rsidP="00992FEE">
            <w:pPr>
              <w:pStyle w:val="ENoteTableText"/>
              <w:tabs>
                <w:tab w:val="center" w:leader="dot" w:pos="2268"/>
              </w:tabs>
            </w:pPr>
            <w:r w:rsidRPr="0081146C">
              <w:t>s 53</w:t>
            </w:r>
            <w:r w:rsidRPr="0081146C">
              <w:tab/>
            </w:r>
          </w:p>
        </w:tc>
        <w:tc>
          <w:tcPr>
            <w:tcW w:w="4537" w:type="dxa"/>
            <w:shd w:val="clear" w:color="auto" w:fill="auto"/>
          </w:tcPr>
          <w:p w14:paraId="53AE9077" w14:textId="77777777" w:rsidR="000E0B0C" w:rsidRPr="0081146C" w:rsidRDefault="000E0B0C" w:rsidP="00992FEE">
            <w:pPr>
              <w:pStyle w:val="ENoteTableText"/>
            </w:pPr>
            <w:r w:rsidRPr="0081146C">
              <w:t>am No 34, 2018</w:t>
            </w:r>
          </w:p>
        </w:tc>
      </w:tr>
      <w:tr w:rsidR="00A427BF" w:rsidRPr="0081146C" w14:paraId="50DD0A87" w14:textId="77777777" w:rsidTr="00965397">
        <w:trPr>
          <w:cantSplit/>
        </w:trPr>
        <w:tc>
          <w:tcPr>
            <w:tcW w:w="2551" w:type="dxa"/>
            <w:shd w:val="clear" w:color="auto" w:fill="auto"/>
          </w:tcPr>
          <w:p w14:paraId="0A6B263D" w14:textId="77777777" w:rsidR="00A427BF" w:rsidRPr="0081146C" w:rsidRDefault="00A427BF" w:rsidP="00992FEE">
            <w:pPr>
              <w:pStyle w:val="ENoteTableText"/>
              <w:tabs>
                <w:tab w:val="center" w:leader="dot" w:pos="2268"/>
              </w:tabs>
            </w:pPr>
          </w:p>
        </w:tc>
        <w:tc>
          <w:tcPr>
            <w:tcW w:w="4537" w:type="dxa"/>
            <w:shd w:val="clear" w:color="auto" w:fill="auto"/>
          </w:tcPr>
          <w:p w14:paraId="4BA69633" w14:textId="77777777" w:rsidR="00A427BF" w:rsidRPr="0081146C" w:rsidRDefault="00A427BF" w:rsidP="00992FEE">
            <w:pPr>
              <w:pStyle w:val="ENoteTableText"/>
              <w:rPr>
                <w:u w:val="single"/>
              </w:rPr>
            </w:pPr>
            <w:r w:rsidRPr="0081146C">
              <w:t>rs No 133, 2020</w:t>
            </w:r>
          </w:p>
        </w:tc>
      </w:tr>
      <w:tr w:rsidR="000E0B0C" w:rsidRPr="0081146C" w14:paraId="6878CFC2" w14:textId="77777777" w:rsidTr="00965397">
        <w:trPr>
          <w:cantSplit/>
        </w:trPr>
        <w:tc>
          <w:tcPr>
            <w:tcW w:w="2551" w:type="dxa"/>
            <w:shd w:val="clear" w:color="auto" w:fill="auto"/>
          </w:tcPr>
          <w:p w14:paraId="4AE9BB61" w14:textId="77777777" w:rsidR="000E0B0C" w:rsidRPr="0081146C" w:rsidRDefault="000E0B0C" w:rsidP="00E01861">
            <w:pPr>
              <w:pStyle w:val="ENoteTableText"/>
              <w:tabs>
                <w:tab w:val="center" w:leader="dot" w:pos="2268"/>
              </w:tabs>
            </w:pPr>
            <w:r w:rsidRPr="0081146C">
              <w:t>s 54</w:t>
            </w:r>
            <w:r w:rsidRPr="0081146C">
              <w:tab/>
            </w:r>
          </w:p>
        </w:tc>
        <w:tc>
          <w:tcPr>
            <w:tcW w:w="4537" w:type="dxa"/>
            <w:shd w:val="clear" w:color="auto" w:fill="auto"/>
          </w:tcPr>
          <w:p w14:paraId="03C64605" w14:textId="77777777" w:rsidR="000E0B0C" w:rsidRPr="0081146C" w:rsidRDefault="000E0B0C" w:rsidP="00992FEE">
            <w:pPr>
              <w:pStyle w:val="ENoteTableText"/>
            </w:pPr>
            <w:r w:rsidRPr="0081146C">
              <w:t>am No 34, 2018</w:t>
            </w:r>
          </w:p>
        </w:tc>
      </w:tr>
      <w:tr w:rsidR="0002756C" w:rsidRPr="0081146C" w14:paraId="019BEAB2" w14:textId="77777777" w:rsidTr="00965397">
        <w:trPr>
          <w:cantSplit/>
        </w:trPr>
        <w:tc>
          <w:tcPr>
            <w:tcW w:w="2551" w:type="dxa"/>
            <w:shd w:val="clear" w:color="auto" w:fill="auto"/>
          </w:tcPr>
          <w:p w14:paraId="7DC72A2D" w14:textId="77777777" w:rsidR="0002756C" w:rsidRPr="0081146C" w:rsidRDefault="0002756C" w:rsidP="00E01861">
            <w:pPr>
              <w:pStyle w:val="ENoteTableText"/>
              <w:tabs>
                <w:tab w:val="center" w:leader="dot" w:pos="2268"/>
              </w:tabs>
            </w:pPr>
          </w:p>
        </w:tc>
        <w:tc>
          <w:tcPr>
            <w:tcW w:w="4537" w:type="dxa"/>
            <w:shd w:val="clear" w:color="auto" w:fill="auto"/>
          </w:tcPr>
          <w:p w14:paraId="5CAA0558" w14:textId="77777777" w:rsidR="0002756C" w:rsidRPr="0081146C" w:rsidRDefault="0002756C" w:rsidP="00992FEE">
            <w:pPr>
              <w:pStyle w:val="ENoteTableText"/>
            </w:pPr>
            <w:r w:rsidRPr="0081146C">
              <w:t>rs No 133, 2020</w:t>
            </w:r>
          </w:p>
        </w:tc>
      </w:tr>
      <w:tr w:rsidR="00A427BF" w:rsidRPr="0081146C" w14:paraId="68F9B017" w14:textId="77777777" w:rsidTr="00965397">
        <w:trPr>
          <w:cantSplit/>
        </w:trPr>
        <w:tc>
          <w:tcPr>
            <w:tcW w:w="2551" w:type="dxa"/>
            <w:shd w:val="clear" w:color="auto" w:fill="auto"/>
          </w:tcPr>
          <w:p w14:paraId="55876D74" w14:textId="77777777" w:rsidR="00A427BF" w:rsidRPr="0081146C" w:rsidRDefault="00A427BF" w:rsidP="00E01861">
            <w:pPr>
              <w:pStyle w:val="ENoteTableText"/>
              <w:tabs>
                <w:tab w:val="center" w:leader="dot" w:pos="2268"/>
              </w:tabs>
            </w:pPr>
            <w:r w:rsidRPr="0081146C">
              <w:t>s 55</w:t>
            </w:r>
            <w:r w:rsidRPr="0081146C">
              <w:tab/>
            </w:r>
          </w:p>
        </w:tc>
        <w:tc>
          <w:tcPr>
            <w:tcW w:w="4537" w:type="dxa"/>
            <w:shd w:val="clear" w:color="auto" w:fill="auto"/>
          </w:tcPr>
          <w:p w14:paraId="477EDD39" w14:textId="77777777" w:rsidR="00A427BF" w:rsidRPr="0081146C" w:rsidRDefault="00A427BF" w:rsidP="00992FEE">
            <w:pPr>
              <w:pStyle w:val="ENoteTableText"/>
              <w:rPr>
                <w:u w:val="single"/>
              </w:rPr>
            </w:pPr>
            <w:r w:rsidRPr="0081146C">
              <w:t>rs No 133, 2020</w:t>
            </w:r>
          </w:p>
        </w:tc>
      </w:tr>
      <w:tr w:rsidR="00A427BF" w:rsidRPr="0081146C" w14:paraId="7D29A63A" w14:textId="77777777" w:rsidTr="00965397">
        <w:trPr>
          <w:cantSplit/>
        </w:trPr>
        <w:tc>
          <w:tcPr>
            <w:tcW w:w="2551" w:type="dxa"/>
            <w:shd w:val="clear" w:color="auto" w:fill="auto"/>
          </w:tcPr>
          <w:p w14:paraId="4DE56122" w14:textId="77777777" w:rsidR="00A427BF" w:rsidRPr="0081146C" w:rsidRDefault="00A427BF" w:rsidP="00E01861">
            <w:pPr>
              <w:pStyle w:val="ENoteTableText"/>
              <w:tabs>
                <w:tab w:val="center" w:leader="dot" w:pos="2268"/>
              </w:tabs>
            </w:pPr>
            <w:r w:rsidRPr="0081146C">
              <w:t>s 56</w:t>
            </w:r>
            <w:r w:rsidRPr="0081146C">
              <w:tab/>
            </w:r>
          </w:p>
        </w:tc>
        <w:tc>
          <w:tcPr>
            <w:tcW w:w="4537" w:type="dxa"/>
            <w:shd w:val="clear" w:color="auto" w:fill="auto"/>
          </w:tcPr>
          <w:p w14:paraId="73CC3C13" w14:textId="77777777" w:rsidR="00A427BF" w:rsidRPr="0081146C" w:rsidRDefault="00A427BF" w:rsidP="00992FEE">
            <w:pPr>
              <w:pStyle w:val="ENoteTableText"/>
              <w:rPr>
                <w:u w:val="single"/>
              </w:rPr>
            </w:pPr>
            <w:r w:rsidRPr="0081146C">
              <w:t>rs No 133, 2020</w:t>
            </w:r>
          </w:p>
        </w:tc>
      </w:tr>
      <w:tr w:rsidR="00A427BF" w:rsidRPr="0081146C" w14:paraId="3843F3D2" w14:textId="77777777" w:rsidTr="00965397">
        <w:trPr>
          <w:cantSplit/>
        </w:trPr>
        <w:tc>
          <w:tcPr>
            <w:tcW w:w="2551" w:type="dxa"/>
            <w:shd w:val="clear" w:color="auto" w:fill="auto"/>
          </w:tcPr>
          <w:p w14:paraId="41DAECB1" w14:textId="77777777" w:rsidR="00A427BF" w:rsidRPr="0081146C" w:rsidRDefault="00A427BF" w:rsidP="00E01861">
            <w:pPr>
              <w:pStyle w:val="ENoteTableText"/>
              <w:tabs>
                <w:tab w:val="center" w:leader="dot" w:pos="2268"/>
              </w:tabs>
            </w:pPr>
            <w:r w:rsidRPr="0081146C">
              <w:t>s 57</w:t>
            </w:r>
            <w:r w:rsidRPr="0081146C">
              <w:tab/>
            </w:r>
          </w:p>
        </w:tc>
        <w:tc>
          <w:tcPr>
            <w:tcW w:w="4537" w:type="dxa"/>
            <w:shd w:val="clear" w:color="auto" w:fill="auto"/>
          </w:tcPr>
          <w:p w14:paraId="06B71241" w14:textId="77777777" w:rsidR="00A427BF" w:rsidRPr="0081146C" w:rsidRDefault="00A427BF" w:rsidP="00992FEE">
            <w:pPr>
              <w:pStyle w:val="ENoteTableText"/>
              <w:rPr>
                <w:u w:val="single"/>
              </w:rPr>
            </w:pPr>
            <w:r w:rsidRPr="0081146C">
              <w:t>rs No 133, 2020</w:t>
            </w:r>
          </w:p>
        </w:tc>
      </w:tr>
      <w:tr w:rsidR="00A427BF" w:rsidRPr="0081146C" w14:paraId="53B5B761" w14:textId="77777777" w:rsidTr="00965397">
        <w:trPr>
          <w:cantSplit/>
        </w:trPr>
        <w:tc>
          <w:tcPr>
            <w:tcW w:w="2551" w:type="dxa"/>
            <w:shd w:val="clear" w:color="auto" w:fill="auto"/>
          </w:tcPr>
          <w:p w14:paraId="21ED9F93" w14:textId="77777777" w:rsidR="00A427BF" w:rsidRPr="0081146C" w:rsidRDefault="00A427BF" w:rsidP="00E01861">
            <w:pPr>
              <w:pStyle w:val="ENoteTableText"/>
              <w:tabs>
                <w:tab w:val="center" w:leader="dot" w:pos="2268"/>
              </w:tabs>
            </w:pPr>
            <w:r w:rsidRPr="0081146C">
              <w:t>s 58</w:t>
            </w:r>
            <w:r w:rsidRPr="0081146C">
              <w:tab/>
            </w:r>
          </w:p>
        </w:tc>
        <w:tc>
          <w:tcPr>
            <w:tcW w:w="4537" w:type="dxa"/>
            <w:shd w:val="clear" w:color="auto" w:fill="auto"/>
          </w:tcPr>
          <w:p w14:paraId="340F8D8A" w14:textId="77777777" w:rsidR="00A427BF" w:rsidRPr="0081146C" w:rsidRDefault="00A427BF" w:rsidP="00992FEE">
            <w:pPr>
              <w:pStyle w:val="ENoteTableText"/>
              <w:rPr>
                <w:u w:val="single"/>
              </w:rPr>
            </w:pPr>
            <w:r w:rsidRPr="0081146C">
              <w:t>rep No 133, 2020</w:t>
            </w:r>
          </w:p>
        </w:tc>
      </w:tr>
      <w:tr w:rsidR="00A427BF" w:rsidRPr="0081146C" w14:paraId="0A8F6E96" w14:textId="77777777" w:rsidTr="00965397">
        <w:trPr>
          <w:cantSplit/>
        </w:trPr>
        <w:tc>
          <w:tcPr>
            <w:tcW w:w="2551" w:type="dxa"/>
            <w:shd w:val="clear" w:color="auto" w:fill="auto"/>
          </w:tcPr>
          <w:p w14:paraId="7D48F2AE" w14:textId="77777777" w:rsidR="00A427BF" w:rsidRPr="0081146C" w:rsidRDefault="00CA78AA" w:rsidP="00721A2C">
            <w:pPr>
              <w:pStyle w:val="ENoteTableText"/>
              <w:tabs>
                <w:tab w:val="center" w:leader="dot" w:pos="2268"/>
              </w:tabs>
            </w:pPr>
            <w:r w:rsidRPr="0081146C">
              <w:t>Division 3</w:t>
            </w:r>
            <w:r w:rsidR="00A427BF" w:rsidRPr="0081146C">
              <w:tab/>
            </w:r>
          </w:p>
        </w:tc>
        <w:tc>
          <w:tcPr>
            <w:tcW w:w="4537" w:type="dxa"/>
            <w:shd w:val="clear" w:color="auto" w:fill="auto"/>
          </w:tcPr>
          <w:p w14:paraId="7292F35F" w14:textId="77777777" w:rsidR="00A427BF" w:rsidRPr="0081146C" w:rsidRDefault="00A427BF" w:rsidP="00C72BA2">
            <w:pPr>
              <w:pStyle w:val="ENoteTableText"/>
              <w:rPr>
                <w:u w:val="single"/>
              </w:rPr>
            </w:pPr>
            <w:r w:rsidRPr="0081146C">
              <w:t>rep No 133, 2020</w:t>
            </w:r>
          </w:p>
        </w:tc>
      </w:tr>
      <w:tr w:rsidR="000E0B0C" w:rsidRPr="0081146C" w14:paraId="19ECD6E3" w14:textId="77777777" w:rsidTr="00965397">
        <w:trPr>
          <w:cantSplit/>
        </w:trPr>
        <w:tc>
          <w:tcPr>
            <w:tcW w:w="2551" w:type="dxa"/>
            <w:shd w:val="clear" w:color="auto" w:fill="auto"/>
          </w:tcPr>
          <w:p w14:paraId="3B9239B3" w14:textId="77777777" w:rsidR="000E0B0C" w:rsidRPr="0081146C" w:rsidRDefault="000E0B0C" w:rsidP="00D3528B">
            <w:pPr>
              <w:pStyle w:val="ENoteTableText"/>
              <w:tabs>
                <w:tab w:val="center" w:leader="dot" w:pos="2268"/>
              </w:tabs>
            </w:pPr>
            <w:r w:rsidRPr="0081146C">
              <w:t>s 59</w:t>
            </w:r>
            <w:r w:rsidRPr="0081146C">
              <w:tab/>
            </w:r>
          </w:p>
        </w:tc>
        <w:tc>
          <w:tcPr>
            <w:tcW w:w="4537" w:type="dxa"/>
            <w:shd w:val="clear" w:color="auto" w:fill="auto"/>
          </w:tcPr>
          <w:p w14:paraId="73BC4D42" w14:textId="77777777" w:rsidR="000E0B0C" w:rsidRPr="0081146C" w:rsidRDefault="000E0B0C" w:rsidP="00D3528B">
            <w:pPr>
              <w:pStyle w:val="ENoteTableText"/>
            </w:pPr>
            <w:r w:rsidRPr="0081146C">
              <w:t>am No 4, 2010</w:t>
            </w:r>
          </w:p>
        </w:tc>
      </w:tr>
      <w:tr w:rsidR="00A427BF" w:rsidRPr="0081146C" w14:paraId="32BF965C" w14:textId="77777777" w:rsidTr="00965397">
        <w:trPr>
          <w:cantSplit/>
        </w:trPr>
        <w:tc>
          <w:tcPr>
            <w:tcW w:w="2551" w:type="dxa"/>
            <w:shd w:val="clear" w:color="auto" w:fill="auto"/>
          </w:tcPr>
          <w:p w14:paraId="2DFC8A53" w14:textId="77777777" w:rsidR="00A427BF" w:rsidRPr="0081146C" w:rsidRDefault="00A427BF" w:rsidP="00D3528B">
            <w:pPr>
              <w:pStyle w:val="ENoteTableText"/>
              <w:tabs>
                <w:tab w:val="center" w:leader="dot" w:pos="2268"/>
              </w:tabs>
            </w:pPr>
          </w:p>
        </w:tc>
        <w:tc>
          <w:tcPr>
            <w:tcW w:w="4537" w:type="dxa"/>
            <w:shd w:val="clear" w:color="auto" w:fill="auto"/>
          </w:tcPr>
          <w:p w14:paraId="4C534D0C" w14:textId="77777777" w:rsidR="00A427BF" w:rsidRPr="0081146C" w:rsidRDefault="00A427BF" w:rsidP="00D3528B">
            <w:pPr>
              <w:pStyle w:val="ENoteTableText"/>
              <w:rPr>
                <w:u w:val="single"/>
              </w:rPr>
            </w:pPr>
            <w:r w:rsidRPr="0081146C">
              <w:t>rep No 133, 2020</w:t>
            </w:r>
          </w:p>
        </w:tc>
      </w:tr>
      <w:tr w:rsidR="00A427BF" w:rsidRPr="0081146C" w14:paraId="1E2737BF" w14:textId="77777777" w:rsidTr="00965397">
        <w:trPr>
          <w:cantSplit/>
        </w:trPr>
        <w:tc>
          <w:tcPr>
            <w:tcW w:w="2551" w:type="dxa"/>
            <w:shd w:val="clear" w:color="auto" w:fill="auto"/>
          </w:tcPr>
          <w:p w14:paraId="7AF80875" w14:textId="77777777" w:rsidR="00A427BF" w:rsidRPr="0081146C" w:rsidRDefault="00A427BF" w:rsidP="00D3528B">
            <w:pPr>
              <w:pStyle w:val="ENoteTableText"/>
              <w:tabs>
                <w:tab w:val="center" w:leader="dot" w:pos="2268"/>
              </w:tabs>
            </w:pPr>
            <w:r w:rsidRPr="0081146C">
              <w:t>s 60</w:t>
            </w:r>
            <w:r w:rsidRPr="0081146C">
              <w:tab/>
            </w:r>
          </w:p>
        </w:tc>
        <w:tc>
          <w:tcPr>
            <w:tcW w:w="4537" w:type="dxa"/>
            <w:shd w:val="clear" w:color="auto" w:fill="auto"/>
          </w:tcPr>
          <w:p w14:paraId="186963D2" w14:textId="77777777" w:rsidR="00A427BF" w:rsidRPr="0081146C" w:rsidRDefault="00A427BF" w:rsidP="00D3528B">
            <w:pPr>
              <w:pStyle w:val="ENoteTableText"/>
            </w:pPr>
            <w:r w:rsidRPr="0081146C">
              <w:t>rep No 133, 2020</w:t>
            </w:r>
          </w:p>
        </w:tc>
      </w:tr>
      <w:tr w:rsidR="000E0B0C" w:rsidRPr="0081146C" w14:paraId="731DC233" w14:textId="77777777" w:rsidTr="00965397">
        <w:trPr>
          <w:cantSplit/>
        </w:trPr>
        <w:tc>
          <w:tcPr>
            <w:tcW w:w="2551" w:type="dxa"/>
            <w:shd w:val="clear" w:color="auto" w:fill="auto"/>
          </w:tcPr>
          <w:p w14:paraId="619266A9" w14:textId="77777777" w:rsidR="000E0B0C" w:rsidRPr="0081146C" w:rsidRDefault="00CA78AA" w:rsidP="0099072C">
            <w:pPr>
              <w:pStyle w:val="ENoteTableText"/>
              <w:keepNext/>
            </w:pPr>
            <w:r w:rsidRPr="0081146C">
              <w:rPr>
                <w:b/>
              </w:rPr>
              <w:t>Division 4</w:t>
            </w:r>
          </w:p>
        </w:tc>
        <w:tc>
          <w:tcPr>
            <w:tcW w:w="4537" w:type="dxa"/>
            <w:shd w:val="clear" w:color="auto" w:fill="auto"/>
          </w:tcPr>
          <w:p w14:paraId="48795E26" w14:textId="77777777" w:rsidR="000E0B0C" w:rsidRPr="0081146C" w:rsidRDefault="000E0B0C" w:rsidP="00C72BA2">
            <w:pPr>
              <w:pStyle w:val="ENoteTableText"/>
            </w:pPr>
          </w:p>
        </w:tc>
      </w:tr>
      <w:tr w:rsidR="000E0B0C" w:rsidRPr="0081146C" w14:paraId="486DB881" w14:textId="77777777" w:rsidTr="00965397">
        <w:trPr>
          <w:cantSplit/>
        </w:trPr>
        <w:tc>
          <w:tcPr>
            <w:tcW w:w="2551" w:type="dxa"/>
            <w:shd w:val="clear" w:color="auto" w:fill="auto"/>
          </w:tcPr>
          <w:p w14:paraId="57B01C08" w14:textId="77777777" w:rsidR="000E0B0C" w:rsidRPr="0081146C" w:rsidRDefault="000E0B0C" w:rsidP="00D3528B">
            <w:pPr>
              <w:pStyle w:val="ENoteTableText"/>
              <w:tabs>
                <w:tab w:val="center" w:leader="dot" w:pos="2268"/>
              </w:tabs>
            </w:pPr>
            <w:r w:rsidRPr="0081146C">
              <w:t>s 61</w:t>
            </w:r>
            <w:r w:rsidRPr="0081146C">
              <w:tab/>
            </w:r>
          </w:p>
        </w:tc>
        <w:tc>
          <w:tcPr>
            <w:tcW w:w="4537" w:type="dxa"/>
            <w:shd w:val="clear" w:color="auto" w:fill="auto"/>
          </w:tcPr>
          <w:p w14:paraId="1A304257" w14:textId="77777777" w:rsidR="000E0B0C" w:rsidRPr="0081146C" w:rsidRDefault="000E0B0C" w:rsidP="00D3528B">
            <w:pPr>
              <w:pStyle w:val="ENoteTableText"/>
            </w:pPr>
            <w:r w:rsidRPr="0081146C">
              <w:t>am No 3, 2011; No 41, 2015</w:t>
            </w:r>
          </w:p>
        </w:tc>
      </w:tr>
      <w:tr w:rsidR="000E0B0C" w:rsidRPr="0081146C" w14:paraId="18532ADE" w14:textId="77777777" w:rsidTr="00965397">
        <w:trPr>
          <w:cantSplit/>
        </w:trPr>
        <w:tc>
          <w:tcPr>
            <w:tcW w:w="2551" w:type="dxa"/>
            <w:shd w:val="clear" w:color="auto" w:fill="auto"/>
          </w:tcPr>
          <w:p w14:paraId="344C0FD8" w14:textId="77777777" w:rsidR="000E0B0C" w:rsidRPr="0081146C" w:rsidRDefault="000E0B0C" w:rsidP="00F952DD">
            <w:pPr>
              <w:pStyle w:val="ENoteTableText"/>
              <w:tabs>
                <w:tab w:val="center" w:leader="dot" w:pos="2268"/>
              </w:tabs>
            </w:pPr>
            <w:r w:rsidRPr="0081146C">
              <w:t>s 62</w:t>
            </w:r>
            <w:r w:rsidRPr="0081146C">
              <w:tab/>
            </w:r>
          </w:p>
        </w:tc>
        <w:tc>
          <w:tcPr>
            <w:tcW w:w="4537" w:type="dxa"/>
            <w:shd w:val="clear" w:color="auto" w:fill="auto"/>
          </w:tcPr>
          <w:p w14:paraId="6508A948" w14:textId="77777777" w:rsidR="000E0B0C" w:rsidRPr="0081146C" w:rsidRDefault="000E0B0C" w:rsidP="00C72BA2">
            <w:pPr>
              <w:pStyle w:val="ENoteTableText"/>
            </w:pPr>
            <w:r w:rsidRPr="0081146C">
              <w:t>am No 3, 2011</w:t>
            </w:r>
          </w:p>
        </w:tc>
      </w:tr>
      <w:tr w:rsidR="000E0B0C" w:rsidRPr="0081146C" w14:paraId="5FBE3C3B" w14:textId="77777777" w:rsidTr="00965397">
        <w:trPr>
          <w:cantSplit/>
        </w:trPr>
        <w:tc>
          <w:tcPr>
            <w:tcW w:w="2551" w:type="dxa"/>
            <w:shd w:val="clear" w:color="auto" w:fill="auto"/>
          </w:tcPr>
          <w:p w14:paraId="49A035DA" w14:textId="77777777" w:rsidR="000E0B0C" w:rsidRPr="0081146C" w:rsidRDefault="000E0B0C" w:rsidP="0049404C">
            <w:pPr>
              <w:pStyle w:val="ENoteTableText"/>
              <w:keepNext/>
            </w:pPr>
            <w:r w:rsidRPr="0081146C">
              <w:rPr>
                <w:b/>
              </w:rPr>
              <w:t>Part</w:t>
            </w:r>
            <w:r w:rsidR="004F64A4" w:rsidRPr="0081146C">
              <w:rPr>
                <w:b/>
              </w:rPr>
              <w:t> </w:t>
            </w:r>
            <w:r w:rsidRPr="0081146C">
              <w:rPr>
                <w:b/>
              </w:rPr>
              <w:t>5</w:t>
            </w:r>
          </w:p>
        </w:tc>
        <w:tc>
          <w:tcPr>
            <w:tcW w:w="4537" w:type="dxa"/>
            <w:shd w:val="clear" w:color="auto" w:fill="auto"/>
          </w:tcPr>
          <w:p w14:paraId="223ED6AC" w14:textId="77777777" w:rsidR="000E0B0C" w:rsidRPr="0081146C" w:rsidRDefault="000E0B0C" w:rsidP="00C72BA2">
            <w:pPr>
              <w:pStyle w:val="ENoteTableText"/>
            </w:pPr>
          </w:p>
        </w:tc>
      </w:tr>
      <w:tr w:rsidR="000E0B0C" w:rsidRPr="0081146C" w14:paraId="345C5EF7" w14:textId="77777777" w:rsidTr="00965397">
        <w:trPr>
          <w:cantSplit/>
        </w:trPr>
        <w:tc>
          <w:tcPr>
            <w:tcW w:w="2551" w:type="dxa"/>
            <w:shd w:val="clear" w:color="auto" w:fill="auto"/>
          </w:tcPr>
          <w:p w14:paraId="201982AB" w14:textId="77777777" w:rsidR="000E0B0C" w:rsidRPr="0081146C" w:rsidRDefault="00CA78AA" w:rsidP="00C72BA2">
            <w:pPr>
              <w:pStyle w:val="ENoteTableText"/>
            </w:pPr>
            <w:r w:rsidRPr="0081146C">
              <w:rPr>
                <w:b/>
              </w:rPr>
              <w:t>Division 3</w:t>
            </w:r>
          </w:p>
        </w:tc>
        <w:tc>
          <w:tcPr>
            <w:tcW w:w="4537" w:type="dxa"/>
            <w:shd w:val="clear" w:color="auto" w:fill="auto"/>
          </w:tcPr>
          <w:p w14:paraId="0DB6AECB" w14:textId="77777777" w:rsidR="000E0B0C" w:rsidRPr="0081146C" w:rsidRDefault="000E0B0C" w:rsidP="00C72BA2">
            <w:pPr>
              <w:pStyle w:val="ENoteTableText"/>
            </w:pPr>
          </w:p>
        </w:tc>
      </w:tr>
      <w:tr w:rsidR="000E0B0C" w:rsidRPr="0081146C" w14:paraId="154B2813" w14:textId="77777777" w:rsidTr="00965397">
        <w:trPr>
          <w:cantSplit/>
        </w:trPr>
        <w:tc>
          <w:tcPr>
            <w:tcW w:w="2551" w:type="dxa"/>
            <w:shd w:val="clear" w:color="auto" w:fill="auto"/>
          </w:tcPr>
          <w:p w14:paraId="56B3EC91" w14:textId="77777777" w:rsidR="000E0B0C" w:rsidRPr="0081146C" w:rsidRDefault="000E0B0C" w:rsidP="00D3528B">
            <w:pPr>
              <w:pStyle w:val="ENoteTableText"/>
              <w:tabs>
                <w:tab w:val="center" w:leader="dot" w:pos="2268"/>
              </w:tabs>
            </w:pPr>
            <w:r w:rsidRPr="0081146C">
              <w:t>s 66</w:t>
            </w:r>
            <w:r w:rsidRPr="0081146C">
              <w:tab/>
            </w:r>
          </w:p>
        </w:tc>
        <w:tc>
          <w:tcPr>
            <w:tcW w:w="4537" w:type="dxa"/>
            <w:shd w:val="clear" w:color="auto" w:fill="auto"/>
          </w:tcPr>
          <w:p w14:paraId="4F87516A" w14:textId="77777777" w:rsidR="000E0B0C" w:rsidRPr="0081146C" w:rsidRDefault="000E0B0C" w:rsidP="00D3528B">
            <w:pPr>
              <w:pStyle w:val="ENoteTableText"/>
            </w:pPr>
            <w:r w:rsidRPr="0081146C">
              <w:t>am No 52, 2007</w:t>
            </w:r>
          </w:p>
        </w:tc>
      </w:tr>
      <w:tr w:rsidR="000E0B0C" w:rsidRPr="0081146C" w14:paraId="013C3EE5" w14:textId="77777777" w:rsidTr="00965397">
        <w:trPr>
          <w:cantSplit/>
        </w:trPr>
        <w:tc>
          <w:tcPr>
            <w:tcW w:w="2551" w:type="dxa"/>
            <w:shd w:val="clear" w:color="auto" w:fill="auto"/>
          </w:tcPr>
          <w:p w14:paraId="7F4D2F33" w14:textId="77777777" w:rsidR="000E0B0C" w:rsidRPr="0081146C" w:rsidRDefault="00CA78AA" w:rsidP="00C72BA2">
            <w:pPr>
              <w:pStyle w:val="ENoteTableText"/>
            </w:pPr>
            <w:r w:rsidRPr="0081146C">
              <w:rPr>
                <w:b/>
              </w:rPr>
              <w:t>Division 4</w:t>
            </w:r>
          </w:p>
        </w:tc>
        <w:tc>
          <w:tcPr>
            <w:tcW w:w="4537" w:type="dxa"/>
            <w:shd w:val="clear" w:color="auto" w:fill="auto"/>
          </w:tcPr>
          <w:p w14:paraId="4F18B09C" w14:textId="77777777" w:rsidR="000E0B0C" w:rsidRPr="0081146C" w:rsidRDefault="000E0B0C" w:rsidP="00C72BA2">
            <w:pPr>
              <w:pStyle w:val="ENoteTableText"/>
            </w:pPr>
          </w:p>
        </w:tc>
      </w:tr>
      <w:tr w:rsidR="000E0B0C" w:rsidRPr="0081146C" w14:paraId="0C9EAAEE" w14:textId="77777777" w:rsidTr="00965397">
        <w:trPr>
          <w:cantSplit/>
        </w:trPr>
        <w:tc>
          <w:tcPr>
            <w:tcW w:w="2551" w:type="dxa"/>
            <w:shd w:val="clear" w:color="auto" w:fill="auto"/>
          </w:tcPr>
          <w:p w14:paraId="7F459215" w14:textId="77777777" w:rsidR="000E0B0C" w:rsidRPr="0081146C" w:rsidRDefault="000E0B0C" w:rsidP="00D3528B">
            <w:pPr>
              <w:pStyle w:val="ENoteTableText"/>
              <w:tabs>
                <w:tab w:val="center" w:leader="dot" w:pos="2268"/>
              </w:tabs>
            </w:pPr>
            <w:r w:rsidRPr="0081146C">
              <w:t>s 67</w:t>
            </w:r>
            <w:r w:rsidRPr="0081146C">
              <w:tab/>
            </w:r>
          </w:p>
        </w:tc>
        <w:tc>
          <w:tcPr>
            <w:tcW w:w="4537" w:type="dxa"/>
            <w:shd w:val="clear" w:color="auto" w:fill="auto"/>
          </w:tcPr>
          <w:p w14:paraId="2B0226FE" w14:textId="77777777" w:rsidR="000E0B0C" w:rsidRPr="0081146C" w:rsidRDefault="000E0B0C" w:rsidP="00D3528B">
            <w:pPr>
              <w:pStyle w:val="ENoteTableText"/>
            </w:pPr>
            <w:r w:rsidRPr="0081146C">
              <w:t>am No 52, 2007</w:t>
            </w:r>
          </w:p>
        </w:tc>
      </w:tr>
      <w:tr w:rsidR="000E0B0C" w:rsidRPr="0081146C" w14:paraId="6C8D587A" w14:textId="77777777" w:rsidTr="00965397">
        <w:trPr>
          <w:cantSplit/>
        </w:trPr>
        <w:tc>
          <w:tcPr>
            <w:tcW w:w="2551" w:type="dxa"/>
            <w:shd w:val="clear" w:color="auto" w:fill="auto"/>
          </w:tcPr>
          <w:p w14:paraId="3E1018F8" w14:textId="77777777" w:rsidR="000E0B0C" w:rsidRPr="0081146C" w:rsidRDefault="000E0B0C" w:rsidP="00D3528B">
            <w:pPr>
              <w:pStyle w:val="ENoteTableText"/>
              <w:tabs>
                <w:tab w:val="center" w:leader="dot" w:pos="2268"/>
              </w:tabs>
            </w:pPr>
            <w:r w:rsidRPr="0081146C">
              <w:t>s 71</w:t>
            </w:r>
            <w:r w:rsidRPr="0081146C">
              <w:tab/>
            </w:r>
          </w:p>
        </w:tc>
        <w:tc>
          <w:tcPr>
            <w:tcW w:w="4537" w:type="dxa"/>
            <w:shd w:val="clear" w:color="auto" w:fill="auto"/>
          </w:tcPr>
          <w:p w14:paraId="0A9AB7E4" w14:textId="77777777" w:rsidR="000E0B0C" w:rsidRPr="0081146C" w:rsidRDefault="000E0B0C" w:rsidP="00D3528B">
            <w:pPr>
              <w:pStyle w:val="ENoteTableText"/>
            </w:pPr>
            <w:r w:rsidRPr="0081146C">
              <w:t>am No 52, 2007</w:t>
            </w:r>
          </w:p>
        </w:tc>
      </w:tr>
      <w:tr w:rsidR="000E0B0C" w:rsidRPr="0081146C" w14:paraId="01BA57C5" w14:textId="77777777" w:rsidTr="00965397">
        <w:trPr>
          <w:cantSplit/>
        </w:trPr>
        <w:tc>
          <w:tcPr>
            <w:tcW w:w="2551" w:type="dxa"/>
            <w:shd w:val="clear" w:color="auto" w:fill="auto"/>
          </w:tcPr>
          <w:p w14:paraId="0588386F" w14:textId="77777777" w:rsidR="000E0B0C" w:rsidRPr="0081146C" w:rsidRDefault="000E0B0C" w:rsidP="00C72BA2">
            <w:pPr>
              <w:pStyle w:val="ENoteTableText"/>
            </w:pPr>
            <w:r w:rsidRPr="0081146C">
              <w:rPr>
                <w:b/>
              </w:rPr>
              <w:t>Part</w:t>
            </w:r>
            <w:r w:rsidR="004F64A4" w:rsidRPr="0081146C">
              <w:rPr>
                <w:b/>
              </w:rPr>
              <w:t> </w:t>
            </w:r>
            <w:r w:rsidRPr="0081146C">
              <w:rPr>
                <w:b/>
              </w:rPr>
              <w:t>6</w:t>
            </w:r>
          </w:p>
        </w:tc>
        <w:tc>
          <w:tcPr>
            <w:tcW w:w="4537" w:type="dxa"/>
            <w:shd w:val="clear" w:color="auto" w:fill="auto"/>
          </w:tcPr>
          <w:p w14:paraId="55E9B465" w14:textId="77777777" w:rsidR="000E0B0C" w:rsidRPr="0081146C" w:rsidRDefault="000E0B0C" w:rsidP="00C72BA2">
            <w:pPr>
              <w:pStyle w:val="ENoteTableText"/>
            </w:pPr>
          </w:p>
        </w:tc>
      </w:tr>
      <w:tr w:rsidR="000E0B0C" w:rsidRPr="0081146C" w14:paraId="6872CD89" w14:textId="77777777" w:rsidTr="00965397">
        <w:trPr>
          <w:cantSplit/>
        </w:trPr>
        <w:tc>
          <w:tcPr>
            <w:tcW w:w="2551" w:type="dxa"/>
            <w:shd w:val="clear" w:color="auto" w:fill="auto"/>
          </w:tcPr>
          <w:p w14:paraId="64C5C235" w14:textId="77777777" w:rsidR="000E0B0C" w:rsidRPr="0081146C" w:rsidRDefault="000E0B0C" w:rsidP="00AE2DA2">
            <w:pPr>
              <w:pStyle w:val="ENoteTableText"/>
              <w:tabs>
                <w:tab w:val="center" w:leader="dot" w:pos="2268"/>
              </w:tabs>
            </w:pPr>
            <w:r w:rsidRPr="0081146C">
              <w:t>Part</w:t>
            </w:r>
            <w:r w:rsidR="004F64A4" w:rsidRPr="0081146C">
              <w:t> </w:t>
            </w:r>
            <w:r w:rsidRPr="0081146C">
              <w:t>6 heading</w:t>
            </w:r>
            <w:r w:rsidRPr="0081146C">
              <w:tab/>
            </w:r>
          </w:p>
        </w:tc>
        <w:tc>
          <w:tcPr>
            <w:tcW w:w="4537" w:type="dxa"/>
            <w:shd w:val="clear" w:color="auto" w:fill="auto"/>
          </w:tcPr>
          <w:p w14:paraId="11B85A74" w14:textId="77777777" w:rsidR="000E0B0C" w:rsidRPr="0081146C" w:rsidRDefault="000E0B0C" w:rsidP="00D3528B">
            <w:pPr>
              <w:pStyle w:val="ENoteTableText"/>
            </w:pPr>
            <w:r w:rsidRPr="0081146C">
              <w:t>rs No 60, 2011</w:t>
            </w:r>
          </w:p>
        </w:tc>
      </w:tr>
      <w:tr w:rsidR="000E0B0C" w:rsidRPr="0081146C" w14:paraId="002551B5" w14:textId="77777777" w:rsidTr="00965397">
        <w:trPr>
          <w:cantSplit/>
        </w:trPr>
        <w:tc>
          <w:tcPr>
            <w:tcW w:w="2551" w:type="dxa"/>
            <w:shd w:val="clear" w:color="auto" w:fill="auto"/>
          </w:tcPr>
          <w:p w14:paraId="1743DFDB" w14:textId="77777777" w:rsidR="000E0B0C" w:rsidRPr="0081146C" w:rsidRDefault="00CA78AA" w:rsidP="00C72BA2">
            <w:pPr>
              <w:pStyle w:val="ENoteTableText"/>
            </w:pPr>
            <w:r w:rsidRPr="0081146C">
              <w:rPr>
                <w:b/>
              </w:rPr>
              <w:t>Division 1</w:t>
            </w:r>
          </w:p>
        </w:tc>
        <w:tc>
          <w:tcPr>
            <w:tcW w:w="4537" w:type="dxa"/>
            <w:shd w:val="clear" w:color="auto" w:fill="auto"/>
          </w:tcPr>
          <w:p w14:paraId="21EF9B4B" w14:textId="77777777" w:rsidR="000E0B0C" w:rsidRPr="0081146C" w:rsidRDefault="000E0B0C" w:rsidP="00C72BA2">
            <w:pPr>
              <w:pStyle w:val="ENoteTableText"/>
            </w:pPr>
          </w:p>
        </w:tc>
      </w:tr>
      <w:tr w:rsidR="000E0B0C" w:rsidRPr="0081146C" w14:paraId="39B64144" w14:textId="77777777" w:rsidTr="00965397">
        <w:trPr>
          <w:cantSplit/>
        </w:trPr>
        <w:tc>
          <w:tcPr>
            <w:tcW w:w="2551" w:type="dxa"/>
            <w:shd w:val="clear" w:color="auto" w:fill="auto"/>
          </w:tcPr>
          <w:p w14:paraId="32BC4ED8" w14:textId="77777777" w:rsidR="000E0B0C" w:rsidRPr="0081146C" w:rsidRDefault="00CA78AA" w:rsidP="001F2742">
            <w:pPr>
              <w:pStyle w:val="ENoteTableText"/>
              <w:tabs>
                <w:tab w:val="center" w:leader="dot" w:pos="2268"/>
              </w:tabs>
            </w:pPr>
            <w:r w:rsidRPr="0081146C">
              <w:t>Division 1</w:t>
            </w:r>
            <w:r w:rsidR="000E0B0C" w:rsidRPr="0081146C">
              <w:t xml:space="preserve"> heading</w:t>
            </w:r>
            <w:r w:rsidR="000E0B0C" w:rsidRPr="0081146C">
              <w:tab/>
            </w:r>
          </w:p>
        </w:tc>
        <w:tc>
          <w:tcPr>
            <w:tcW w:w="4537" w:type="dxa"/>
            <w:shd w:val="clear" w:color="auto" w:fill="auto"/>
          </w:tcPr>
          <w:p w14:paraId="7D296FE3" w14:textId="77777777" w:rsidR="000E0B0C" w:rsidRPr="0081146C" w:rsidRDefault="000E0B0C" w:rsidP="00D3528B">
            <w:pPr>
              <w:pStyle w:val="ENoteTableText"/>
            </w:pPr>
            <w:r w:rsidRPr="0081146C">
              <w:t>ad No 60, 2011</w:t>
            </w:r>
          </w:p>
        </w:tc>
      </w:tr>
      <w:tr w:rsidR="000E0B0C" w:rsidRPr="0081146C" w14:paraId="5709DD50" w14:textId="77777777" w:rsidTr="00965397">
        <w:trPr>
          <w:cantSplit/>
        </w:trPr>
        <w:tc>
          <w:tcPr>
            <w:tcW w:w="2551" w:type="dxa"/>
            <w:shd w:val="clear" w:color="auto" w:fill="auto"/>
          </w:tcPr>
          <w:p w14:paraId="1FF29377" w14:textId="77777777" w:rsidR="000E0B0C" w:rsidRPr="0081146C" w:rsidRDefault="000E0B0C" w:rsidP="00D3528B">
            <w:pPr>
              <w:pStyle w:val="ENoteTableText"/>
              <w:tabs>
                <w:tab w:val="center" w:leader="dot" w:pos="2268"/>
              </w:tabs>
            </w:pPr>
            <w:r w:rsidRPr="0081146C">
              <w:t>s 73</w:t>
            </w:r>
            <w:r w:rsidRPr="0081146C">
              <w:tab/>
            </w:r>
          </w:p>
        </w:tc>
        <w:tc>
          <w:tcPr>
            <w:tcW w:w="4537" w:type="dxa"/>
            <w:shd w:val="clear" w:color="auto" w:fill="auto"/>
          </w:tcPr>
          <w:p w14:paraId="380FF3D4" w14:textId="77777777" w:rsidR="000E0B0C" w:rsidRPr="0081146C" w:rsidRDefault="000E0B0C" w:rsidP="00D3528B">
            <w:pPr>
              <w:pStyle w:val="ENoteTableText"/>
            </w:pPr>
            <w:r w:rsidRPr="0081146C">
              <w:t>am No 60, 2011; No 74, 2013</w:t>
            </w:r>
          </w:p>
        </w:tc>
      </w:tr>
      <w:tr w:rsidR="000E0B0C" w:rsidRPr="0081146C" w14:paraId="047719C4" w14:textId="77777777" w:rsidTr="00965397">
        <w:trPr>
          <w:cantSplit/>
        </w:trPr>
        <w:tc>
          <w:tcPr>
            <w:tcW w:w="2551" w:type="dxa"/>
            <w:shd w:val="clear" w:color="auto" w:fill="auto"/>
          </w:tcPr>
          <w:p w14:paraId="307C22FA" w14:textId="77777777" w:rsidR="000E0B0C" w:rsidRPr="0081146C" w:rsidRDefault="00CA78AA" w:rsidP="00C72BA2">
            <w:pPr>
              <w:pStyle w:val="ENoteTableText"/>
            </w:pPr>
            <w:r w:rsidRPr="0081146C">
              <w:rPr>
                <w:b/>
              </w:rPr>
              <w:t>Division 2</w:t>
            </w:r>
          </w:p>
        </w:tc>
        <w:tc>
          <w:tcPr>
            <w:tcW w:w="4537" w:type="dxa"/>
            <w:shd w:val="clear" w:color="auto" w:fill="auto"/>
          </w:tcPr>
          <w:p w14:paraId="25568D4A" w14:textId="77777777" w:rsidR="000E0B0C" w:rsidRPr="0081146C" w:rsidRDefault="000E0B0C" w:rsidP="00C72BA2">
            <w:pPr>
              <w:pStyle w:val="ENoteTableText"/>
            </w:pPr>
          </w:p>
        </w:tc>
      </w:tr>
      <w:tr w:rsidR="000E0B0C" w:rsidRPr="0081146C" w14:paraId="5615D906" w14:textId="77777777" w:rsidTr="00965397">
        <w:trPr>
          <w:cantSplit/>
        </w:trPr>
        <w:tc>
          <w:tcPr>
            <w:tcW w:w="2551" w:type="dxa"/>
            <w:shd w:val="clear" w:color="auto" w:fill="auto"/>
          </w:tcPr>
          <w:p w14:paraId="68242B6C" w14:textId="77777777" w:rsidR="000E0B0C" w:rsidRPr="0081146C" w:rsidRDefault="00CA78AA" w:rsidP="001F2742">
            <w:pPr>
              <w:pStyle w:val="ENoteTableText"/>
              <w:tabs>
                <w:tab w:val="center" w:leader="dot" w:pos="2268"/>
              </w:tabs>
            </w:pPr>
            <w:r w:rsidRPr="0081146C">
              <w:t>Division 2</w:t>
            </w:r>
            <w:r w:rsidR="000E0B0C" w:rsidRPr="0081146C">
              <w:t xml:space="preserve"> heading</w:t>
            </w:r>
            <w:r w:rsidR="000E0B0C" w:rsidRPr="0081146C">
              <w:tab/>
            </w:r>
          </w:p>
        </w:tc>
        <w:tc>
          <w:tcPr>
            <w:tcW w:w="4537" w:type="dxa"/>
            <w:shd w:val="clear" w:color="auto" w:fill="auto"/>
          </w:tcPr>
          <w:p w14:paraId="4EA2C96A" w14:textId="77777777" w:rsidR="000E0B0C" w:rsidRPr="0081146C" w:rsidRDefault="000E0B0C" w:rsidP="00D3528B">
            <w:pPr>
              <w:pStyle w:val="ENoteTableText"/>
            </w:pPr>
            <w:r w:rsidRPr="0081146C">
              <w:t>ad No 60, 2011</w:t>
            </w:r>
          </w:p>
        </w:tc>
      </w:tr>
      <w:tr w:rsidR="000E0B0C" w:rsidRPr="0081146C" w14:paraId="1E358A6A" w14:textId="77777777" w:rsidTr="00965397">
        <w:trPr>
          <w:cantSplit/>
        </w:trPr>
        <w:tc>
          <w:tcPr>
            <w:tcW w:w="2551" w:type="dxa"/>
            <w:shd w:val="clear" w:color="auto" w:fill="auto"/>
          </w:tcPr>
          <w:p w14:paraId="1F339C24" w14:textId="77777777" w:rsidR="000E0B0C" w:rsidRPr="0081146C" w:rsidRDefault="000E0B0C" w:rsidP="00D3528B">
            <w:pPr>
              <w:pStyle w:val="ENoteTableText"/>
              <w:tabs>
                <w:tab w:val="center" w:leader="dot" w:pos="2268"/>
              </w:tabs>
            </w:pPr>
            <w:r w:rsidRPr="0081146C">
              <w:t>s 74</w:t>
            </w:r>
            <w:r w:rsidRPr="0081146C">
              <w:tab/>
            </w:r>
          </w:p>
        </w:tc>
        <w:tc>
          <w:tcPr>
            <w:tcW w:w="4537" w:type="dxa"/>
            <w:shd w:val="clear" w:color="auto" w:fill="auto"/>
          </w:tcPr>
          <w:p w14:paraId="19F9C634" w14:textId="77777777" w:rsidR="000E0B0C" w:rsidRPr="0081146C" w:rsidRDefault="000E0B0C" w:rsidP="00D3528B">
            <w:pPr>
              <w:pStyle w:val="ENoteTableText"/>
            </w:pPr>
            <w:r w:rsidRPr="0081146C">
              <w:t>am No 60, 2011</w:t>
            </w:r>
          </w:p>
        </w:tc>
      </w:tr>
      <w:tr w:rsidR="000E0B0C" w:rsidRPr="0081146C" w14:paraId="0DE56AC0" w14:textId="77777777" w:rsidTr="00965397">
        <w:trPr>
          <w:cantSplit/>
        </w:trPr>
        <w:tc>
          <w:tcPr>
            <w:tcW w:w="2551" w:type="dxa"/>
            <w:shd w:val="clear" w:color="auto" w:fill="auto"/>
          </w:tcPr>
          <w:p w14:paraId="070BCFF7" w14:textId="77777777" w:rsidR="000E0B0C" w:rsidRPr="0081146C" w:rsidRDefault="00CA78AA" w:rsidP="00C72BA2">
            <w:pPr>
              <w:pStyle w:val="ENoteTableText"/>
            </w:pPr>
            <w:r w:rsidRPr="0081146C">
              <w:rPr>
                <w:b/>
              </w:rPr>
              <w:t>Division 3</w:t>
            </w:r>
          </w:p>
        </w:tc>
        <w:tc>
          <w:tcPr>
            <w:tcW w:w="4537" w:type="dxa"/>
            <w:shd w:val="clear" w:color="auto" w:fill="auto"/>
          </w:tcPr>
          <w:p w14:paraId="6B35E6D5" w14:textId="77777777" w:rsidR="000E0B0C" w:rsidRPr="0081146C" w:rsidRDefault="000E0B0C" w:rsidP="00C72BA2">
            <w:pPr>
              <w:pStyle w:val="ENoteTableText"/>
            </w:pPr>
          </w:p>
        </w:tc>
      </w:tr>
      <w:tr w:rsidR="000E0B0C" w:rsidRPr="0081146C" w14:paraId="75B46540" w14:textId="77777777" w:rsidTr="00965397">
        <w:trPr>
          <w:cantSplit/>
        </w:trPr>
        <w:tc>
          <w:tcPr>
            <w:tcW w:w="2551" w:type="dxa"/>
            <w:shd w:val="clear" w:color="auto" w:fill="auto"/>
          </w:tcPr>
          <w:p w14:paraId="353CF47C" w14:textId="77777777" w:rsidR="000E0B0C" w:rsidRPr="0081146C" w:rsidRDefault="00CA78AA" w:rsidP="001F2742">
            <w:pPr>
              <w:pStyle w:val="ENoteTableText"/>
              <w:tabs>
                <w:tab w:val="center" w:leader="dot" w:pos="2268"/>
              </w:tabs>
            </w:pPr>
            <w:r w:rsidRPr="0081146C">
              <w:t>Division 3</w:t>
            </w:r>
            <w:r w:rsidR="000E0B0C" w:rsidRPr="0081146C">
              <w:tab/>
            </w:r>
          </w:p>
        </w:tc>
        <w:tc>
          <w:tcPr>
            <w:tcW w:w="4537" w:type="dxa"/>
            <w:shd w:val="clear" w:color="auto" w:fill="auto"/>
          </w:tcPr>
          <w:p w14:paraId="7E7BFD61" w14:textId="77777777" w:rsidR="000E0B0C" w:rsidRPr="0081146C" w:rsidRDefault="000E0B0C" w:rsidP="00D3528B">
            <w:pPr>
              <w:pStyle w:val="ENoteTableText"/>
            </w:pPr>
            <w:r w:rsidRPr="0081146C">
              <w:t>ad No 60, 2011</w:t>
            </w:r>
          </w:p>
        </w:tc>
      </w:tr>
      <w:tr w:rsidR="000E0B0C" w:rsidRPr="0081146C" w14:paraId="6510E5E1" w14:textId="77777777" w:rsidTr="00965397">
        <w:trPr>
          <w:cantSplit/>
        </w:trPr>
        <w:tc>
          <w:tcPr>
            <w:tcW w:w="2551" w:type="dxa"/>
            <w:shd w:val="clear" w:color="auto" w:fill="auto"/>
          </w:tcPr>
          <w:p w14:paraId="249D4190" w14:textId="77777777" w:rsidR="000E0B0C" w:rsidRPr="0081146C" w:rsidRDefault="000E0B0C" w:rsidP="00D3528B">
            <w:pPr>
              <w:pStyle w:val="ENoteTableText"/>
              <w:tabs>
                <w:tab w:val="center" w:leader="dot" w:pos="2268"/>
              </w:tabs>
            </w:pPr>
            <w:r w:rsidRPr="0081146C">
              <w:t>s 75</w:t>
            </w:r>
            <w:r w:rsidRPr="0081146C">
              <w:tab/>
            </w:r>
          </w:p>
        </w:tc>
        <w:tc>
          <w:tcPr>
            <w:tcW w:w="4537" w:type="dxa"/>
            <w:shd w:val="clear" w:color="auto" w:fill="auto"/>
          </w:tcPr>
          <w:p w14:paraId="3FE8E7C9" w14:textId="77777777" w:rsidR="000E0B0C" w:rsidRPr="0081146C" w:rsidRDefault="000E0B0C" w:rsidP="00D3528B">
            <w:pPr>
              <w:pStyle w:val="ENoteTableText"/>
            </w:pPr>
            <w:r w:rsidRPr="0081146C">
              <w:t>rs No 60, 2011</w:t>
            </w:r>
          </w:p>
        </w:tc>
      </w:tr>
      <w:tr w:rsidR="000E0B0C" w:rsidRPr="0081146C" w14:paraId="78E6045E" w14:textId="77777777" w:rsidTr="00965397">
        <w:trPr>
          <w:cantSplit/>
        </w:trPr>
        <w:tc>
          <w:tcPr>
            <w:tcW w:w="2551" w:type="dxa"/>
            <w:shd w:val="clear" w:color="auto" w:fill="auto"/>
          </w:tcPr>
          <w:p w14:paraId="544FDD1A" w14:textId="77777777" w:rsidR="000E0B0C" w:rsidRPr="0081146C" w:rsidRDefault="000E0B0C" w:rsidP="00D3528B">
            <w:pPr>
              <w:pStyle w:val="ENoteTableText"/>
              <w:tabs>
                <w:tab w:val="center" w:leader="dot" w:pos="2268"/>
              </w:tabs>
            </w:pPr>
            <w:r w:rsidRPr="0081146C">
              <w:t>s 75A</w:t>
            </w:r>
            <w:r w:rsidRPr="0081146C">
              <w:tab/>
            </w:r>
          </w:p>
        </w:tc>
        <w:tc>
          <w:tcPr>
            <w:tcW w:w="4537" w:type="dxa"/>
            <w:shd w:val="clear" w:color="auto" w:fill="auto"/>
          </w:tcPr>
          <w:p w14:paraId="16E20BA9" w14:textId="77777777" w:rsidR="000E0B0C" w:rsidRPr="0081146C" w:rsidRDefault="000E0B0C" w:rsidP="00D3528B">
            <w:pPr>
              <w:pStyle w:val="ENoteTableText"/>
            </w:pPr>
            <w:r w:rsidRPr="0081146C">
              <w:t>ad No 60, 2011</w:t>
            </w:r>
          </w:p>
        </w:tc>
      </w:tr>
      <w:tr w:rsidR="000E0B0C" w:rsidRPr="0081146C" w14:paraId="701E0CA4" w14:textId="77777777" w:rsidTr="00965397">
        <w:trPr>
          <w:cantSplit/>
        </w:trPr>
        <w:tc>
          <w:tcPr>
            <w:tcW w:w="2551" w:type="dxa"/>
            <w:shd w:val="clear" w:color="auto" w:fill="auto"/>
          </w:tcPr>
          <w:p w14:paraId="2B429046" w14:textId="77777777" w:rsidR="000E0B0C" w:rsidRPr="0081146C" w:rsidRDefault="000E0B0C" w:rsidP="00D3528B">
            <w:pPr>
              <w:pStyle w:val="ENoteTableText"/>
              <w:tabs>
                <w:tab w:val="center" w:leader="dot" w:pos="2268"/>
              </w:tabs>
            </w:pPr>
            <w:r w:rsidRPr="0081146C">
              <w:t>s 75B</w:t>
            </w:r>
            <w:r w:rsidRPr="0081146C">
              <w:tab/>
            </w:r>
          </w:p>
        </w:tc>
        <w:tc>
          <w:tcPr>
            <w:tcW w:w="4537" w:type="dxa"/>
            <w:shd w:val="clear" w:color="auto" w:fill="auto"/>
          </w:tcPr>
          <w:p w14:paraId="33A5864D" w14:textId="77777777" w:rsidR="000E0B0C" w:rsidRPr="0081146C" w:rsidRDefault="000E0B0C" w:rsidP="00D3528B">
            <w:pPr>
              <w:pStyle w:val="ENoteTableText"/>
              <w:tabs>
                <w:tab w:val="center" w:leader="dot" w:pos="2268"/>
              </w:tabs>
            </w:pPr>
            <w:r w:rsidRPr="0081146C">
              <w:t>ad No 60, 2011</w:t>
            </w:r>
          </w:p>
        </w:tc>
      </w:tr>
      <w:tr w:rsidR="000E0B0C" w:rsidRPr="0081146C" w14:paraId="0F8F568C" w14:textId="77777777" w:rsidTr="00965397">
        <w:trPr>
          <w:cantSplit/>
        </w:trPr>
        <w:tc>
          <w:tcPr>
            <w:tcW w:w="2551" w:type="dxa"/>
            <w:shd w:val="clear" w:color="auto" w:fill="auto"/>
          </w:tcPr>
          <w:p w14:paraId="4BD7D328" w14:textId="77777777" w:rsidR="000E0B0C" w:rsidRPr="0081146C" w:rsidRDefault="000E0B0C" w:rsidP="00AE2DA2">
            <w:pPr>
              <w:pStyle w:val="ENoteTableText"/>
              <w:tabs>
                <w:tab w:val="center" w:leader="dot" w:pos="2268"/>
              </w:tabs>
            </w:pPr>
          </w:p>
        </w:tc>
        <w:tc>
          <w:tcPr>
            <w:tcW w:w="4537" w:type="dxa"/>
            <w:shd w:val="clear" w:color="auto" w:fill="auto"/>
          </w:tcPr>
          <w:p w14:paraId="31CC8ECF" w14:textId="77777777" w:rsidR="000E0B0C" w:rsidRPr="0081146C" w:rsidRDefault="000E0B0C" w:rsidP="00D3528B">
            <w:pPr>
              <w:pStyle w:val="ENoteTableText"/>
            </w:pPr>
            <w:r w:rsidRPr="0081146C">
              <w:t>am No 74, 2013; No 153, 2015</w:t>
            </w:r>
          </w:p>
        </w:tc>
      </w:tr>
      <w:tr w:rsidR="000E0B0C" w:rsidRPr="0081146C" w14:paraId="6854D244" w14:textId="77777777" w:rsidTr="00965397">
        <w:trPr>
          <w:cantSplit/>
        </w:trPr>
        <w:tc>
          <w:tcPr>
            <w:tcW w:w="2551" w:type="dxa"/>
            <w:shd w:val="clear" w:color="auto" w:fill="auto"/>
          </w:tcPr>
          <w:p w14:paraId="08F7E6F2" w14:textId="77777777" w:rsidR="000E0B0C" w:rsidRPr="0081146C" w:rsidRDefault="000E0B0C" w:rsidP="00D3528B">
            <w:pPr>
              <w:pStyle w:val="ENoteTableText"/>
              <w:tabs>
                <w:tab w:val="center" w:leader="dot" w:pos="2268"/>
              </w:tabs>
            </w:pPr>
            <w:r w:rsidRPr="0081146C">
              <w:t>s 75C</w:t>
            </w:r>
            <w:r w:rsidRPr="0081146C">
              <w:tab/>
            </w:r>
          </w:p>
        </w:tc>
        <w:tc>
          <w:tcPr>
            <w:tcW w:w="4537" w:type="dxa"/>
            <w:shd w:val="clear" w:color="auto" w:fill="auto"/>
          </w:tcPr>
          <w:p w14:paraId="29637A3A" w14:textId="77777777" w:rsidR="000E0B0C" w:rsidRPr="0081146C" w:rsidRDefault="000E0B0C" w:rsidP="00D3528B">
            <w:pPr>
              <w:pStyle w:val="ENoteTableText"/>
            </w:pPr>
            <w:r w:rsidRPr="0081146C">
              <w:t>ad No 60, 2011</w:t>
            </w:r>
          </w:p>
        </w:tc>
      </w:tr>
      <w:tr w:rsidR="000E0B0C" w:rsidRPr="0081146C" w14:paraId="5822175B" w14:textId="77777777" w:rsidTr="00965397">
        <w:trPr>
          <w:cantSplit/>
        </w:trPr>
        <w:tc>
          <w:tcPr>
            <w:tcW w:w="2551" w:type="dxa"/>
            <w:shd w:val="clear" w:color="auto" w:fill="auto"/>
          </w:tcPr>
          <w:p w14:paraId="19137AAF" w14:textId="77777777" w:rsidR="000E0B0C" w:rsidRPr="0081146C" w:rsidRDefault="000E0B0C" w:rsidP="006A70C4">
            <w:pPr>
              <w:pStyle w:val="ENoteTableText"/>
              <w:tabs>
                <w:tab w:val="center" w:leader="dot" w:pos="2268"/>
              </w:tabs>
            </w:pPr>
          </w:p>
        </w:tc>
        <w:tc>
          <w:tcPr>
            <w:tcW w:w="4537" w:type="dxa"/>
            <w:shd w:val="clear" w:color="auto" w:fill="auto"/>
          </w:tcPr>
          <w:p w14:paraId="1B564858" w14:textId="77777777" w:rsidR="000E0B0C" w:rsidRPr="0081146C" w:rsidRDefault="000E0B0C" w:rsidP="00D3528B">
            <w:pPr>
              <w:pStyle w:val="ENoteTableText"/>
            </w:pPr>
            <w:r w:rsidRPr="0081146C">
              <w:t>am No 74, 2013; No 130, 2017</w:t>
            </w:r>
          </w:p>
        </w:tc>
      </w:tr>
      <w:tr w:rsidR="000E0B0C" w:rsidRPr="0081146C" w14:paraId="7B245510" w14:textId="77777777" w:rsidTr="00965397">
        <w:trPr>
          <w:cantSplit/>
        </w:trPr>
        <w:tc>
          <w:tcPr>
            <w:tcW w:w="2551" w:type="dxa"/>
            <w:shd w:val="clear" w:color="auto" w:fill="auto"/>
          </w:tcPr>
          <w:p w14:paraId="2EE6F186" w14:textId="77777777" w:rsidR="000E0B0C" w:rsidRPr="0081146C" w:rsidRDefault="000E0B0C" w:rsidP="00147378">
            <w:pPr>
              <w:pStyle w:val="ENoteTableText"/>
              <w:tabs>
                <w:tab w:val="center" w:leader="dot" w:pos="2268"/>
              </w:tabs>
            </w:pPr>
            <w:r w:rsidRPr="0081146C">
              <w:t>s 75D</w:t>
            </w:r>
            <w:r w:rsidRPr="0081146C">
              <w:tab/>
            </w:r>
          </w:p>
        </w:tc>
        <w:tc>
          <w:tcPr>
            <w:tcW w:w="4537" w:type="dxa"/>
            <w:shd w:val="clear" w:color="auto" w:fill="auto"/>
          </w:tcPr>
          <w:p w14:paraId="6CCC77FF" w14:textId="77777777" w:rsidR="000E0B0C" w:rsidRPr="0081146C" w:rsidRDefault="000E0B0C" w:rsidP="00147378">
            <w:pPr>
              <w:pStyle w:val="ENoteTableText"/>
            </w:pPr>
            <w:r w:rsidRPr="0081146C">
              <w:t>ad No</w:t>
            </w:r>
            <w:r w:rsidR="00626C22" w:rsidRPr="0081146C">
              <w:t> </w:t>
            </w:r>
            <w:r w:rsidRPr="0081146C">
              <w:t>60, 2011</w:t>
            </w:r>
          </w:p>
        </w:tc>
      </w:tr>
      <w:tr w:rsidR="000E0B0C" w:rsidRPr="0081146C" w14:paraId="1AD968B3" w14:textId="77777777" w:rsidTr="00965397">
        <w:trPr>
          <w:cantSplit/>
        </w:trPr>
        <w:tc>
          <w:tcPr>
            <w:tcW w:w="2551" w:type="dxa"/>
            <w:shd w:val="clear" w:color="auto" w:fill="auto"/>
          </w:tcPr>
          <w:p w14:paraId="3BE04884" w14:textId="77777777" w:rsidR="000E0B0C" w:rsidRPr="0081146C" w:rsidRDefault="000E0B0C" w:rsidP="00AE2DA2">
            <w:pPr>
              <w:pStyle w:val="ENoteTableText"/>
              <w:tabs>
                <w:tab w:val="center" w:leader="dot" w:pos="2268"/>
              </w:tabs>
            </w:pPr>
            <w:r w:rsidRPr="0081146C">
              <w:t>s. 75E</w:t>
            </w:r>
            <w:r w:rsidRPr="0081146C">
              <w:tab/>
            </w:r>
          </w:p>
        </w:tc>
        <w:tc>
          <w:tcPr>
            <w:tcW w:w="4537" w:type="dxa"/>
            <w:shd w:val="clear" w:color="auto" w:fill="auto"/>
          </w:tcPr>
          <w:p w14:paraId="264AB39E"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777AB534" w14:textId="77777777" w:rsidTr="00965397">
        <w:trPr>
          <w:cantSplit/>
        </w:trPr>
        <w:tc>
          <w:tcPr>
            <w:tcW w:w="2551" w:type="dxa"/>
            <w:shd w:val="clear" w:color="auto" w:fill="auto"/>
          </w:tcPr>
          <w:p w14:paraId="21926CA0" w14:textId="77777777" w:rsidR="000E0B0C" w:rsidRPr="0081146C" w:rsidRDefault="000E0B0C" w:rsidP="00AE2DA2">
            <w:pPr>
              <w:pStyle w:val="ENoteTableText"/>
              <w:tabs>
                <w:tab w:val="center" w:leader="dot" w:pos="2268"/>
              </w:tabs>
            </w:pPr>
          </w:p>
        </w:tc>
        <w:tc>
          <w:tcPr>
            <w:tcW w:w="4537" w:type="dxa"/>
            <w:shd w:val="clear" w:color="auto" w:fill="auto"/>
          </w:tcPr>
          <w:p w14:paraId="095E088D" w14:textId="77777777" w:rsidR="000E0B0C" w:rsidRPr="0081146C" w:rsidRDefault="000E0B0C" w:rsidP="001F2742">
            <w:pPr>
              <w:pStyle w:val="ENoteTableText"/>
            </w:pPr>
            <w:r w:rsidRPr="0081146C">
              <w:t>am. No.</w:t>
            </w:r>
            <w:r w:rsidR="004F64A4" w:rsidRPr="0081146C">
              <w:t> </w:t>
            </w:r>
            <w:r w:rsidRPr="0081146C">
              <w:t>74, 2013; No 130, 2017</w:t>
            </w:r>
          </w:p>
        </w:tc>
      </w:tr>
      <w:tr w:rsidR="000E0B0C" w:rsidRPr="0081146C" w14:paraId="30BE2E90" w14:textId="77777777" w:rsidTr="00965397">
        <w:trPr>
          <w:cantSplit/>
        </w:trPr>
        <w:tc>
          <w:tcPr>
            <w:tcW w:w="2551" w:type="dxa"/>
            <w:shd w:val="clear" w:color="auto" w:fill="auto"/>
          </w:tcPr>
          <w:p w14:paraId="39867DA2" w14:textId="77777777" w:rsidR="000E0B0C" w:rsidRPr="0081146C" w:rsidRDefault="000E0B0C" w:rsidP="00AE2DA2">
            <w:pPr>
              <w:pStyle w:val="ENoteTableText"/>
              <w:tabs>
                <w:tab w:val="center" w:leader="dot" w:pos="2268"/>
              </w:tabs>
            </w:pPr>
            <w:r w:rsidRPr="0081146C">
              <w:t>s. 75F</w:t>
            </w:r>
            <w:r w:rsidRPr="0081146C">
              <w:tab/>
            </w:r>
          </w:p>
        </w:tc>
        <w:tc>
          <w:tcPr>
            <w:tcW w:w="4537" w:type="dxa"/>
            <w:shd w:val="clear" w:color="auto" w:fill="auto"/>
          </w:tcPr>
          <w:p w14:paraId="778E7F7F"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12D358CD" w14:textId="77777777" w:rsidTr="00965397">
        <w:trPr>
          <w:cantSplit/>
        </w:trPr>
        <w:tc>
          <w:tcPr>
            <w:tcW w:w="2551" w:type="dxa"/>
            <w:shd w:val="clear" w:color="auto" w:fill="auto"/>
          </w:tcPr>
          <w:p w14:paraId="0B0D14DF" w14:textId="77777777" w:rsidR="000E0B0C" w:rsidRPr="0081146C" w:rsidRDefault="000E0B0C" w:rsidP="00AE2DA2">
            <w:pPr>
              <w:pStyle w:val="ENoteTableText"/>
              <w:tabs>
                <w:tab w:val="center" w:leader="dot" w:pos="2268"/>
              </w:tabs>
            </w:pPr>
            <w:r w:rsidRPr="0081146C">
              <w:t>s. 75G</w:t>
            </w:r>
            <w:r w:rsidRPr="0081146C">
              <w:tab/>
            </w:r>
          </w:p>
        </w:tc>
        <w:tc>
          <w:tcPr>
            <w:tcW w:w="4537" w:type="dxa"/>
            <w:shd w:val="clear" w:color="auto" w:fill="auto"/>
          </w:tcPr>
          <w:p w14:paraId="0FE6583A"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0717C033" w14:textId="77777777" w:rsidTr="00965397">
        <w:trPr>
          <w:cantSplit/>
        </w:trPr>
        <w:tc>
          <w:tcPr>
            <w:tcW w:w="2551" w:type="dxa"/>
            <w:shd w:val="clear" w:color="auto" w:fill="auto"/>
          </w:tcPr>
          <w:p w14:paraId="51027EFF" w14:textId="77777777" w:rsidR="000E0B0C" w:rsidRPr="0081146C" w:rsidRDefault="000E0B0C" w:rsidP="00AE2DA2">
            <w:pPr>
              <w:pStyle w:val="ENoteTableText"/>
              <w:tabs>
                <w:tab w:val="center" w:leader="dot" w:pos="2268"/>
              </w:tabs>
            </w:pPr>
          </w:p>
        </w:tc>
        <w:tc>
          <w:tcPr>
            <w:tcW w:w="4537" w:type="dxa"/>
            <w:shd w:val="clear" w:color="auto" w:fill="auto"/>
          </w:tcPr>
          <w:p w14:paraId="67CEE443" w14:textId="77777777" w:rsidR="000E0B0C" w:rsidRPr="0081146C" w:rsidRDefault="000E0B0C" w:rsidP="00C72BA2">
            <w:pPr>
              <w:pStyle w:val="ENoteTableText"/>
            </w:pPr>
            <w:r w:rsidRPr="0081146C">
              <w:t>am. No.</w:t>
            </w:r>
            <w:r w:rsidR="004F64A4" w:rsidRPr="0081146C">
              <w:t> </w:t>
            </w:r>
            <w:r w:rsidRPr="0081146C">
              <w:t>74, 2013; No 130, 2017</w:t>
            </w:r>
          </w:p>
        </w:tc>
      </w:tr>
      <w:tr w:rsidR="000E0B0C" w:rsidRPr="0081146C" w14:paraId="58574A32" w14:textId="77777777" w:rsidTr="00965397">
        <w:trPr>
          <w:cantSplit/>
        </w:trPr>
        <w:tc>
          <w:tcPr>
            <w:tcW w:w="2551" w:type="dxa"/>
            <w:shd w:val="clear" w:color="auto" w:fill="auto"/>
          </w:tcPr>
          <w:p w14:paraId="3535208C" w14:textId="77777777" w:rsidR="000E0B0C" w:rsidRPr="0081146C" w:rsidRDefault="000E0B0C" w:rsidP="00AE2DA2">
            <w:pPr>
              <w:pStyle w:val="ENoteTableText"/>
              <w:tabs>
                <w:tab w:val="center" w:leader="dot" w:pos="2268"/>
              </w:tabs>
            </w:pPr>
            <w:r w:rsidRPr="0081146C">
              <w:t>s. 75H</w:t>
            </w:r>
            <w:r w:rsidRPr="0081146C">
              <w:tab/>
            </w:r>
          </w:p>
        </w:tc>
        <w:tc>
          <w:tcPr>
            <w:tcW w:w="4537" w:type="dxa"/>
            <w:shd w:val="clear" w:color="auto" w:fill="auto"/>
          </w:tcPr>
          <w:p w14:paraId="522E614B"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6C5BB543" w14:textId="77777777" w:rsidTr="00965397">
        <w:trPr>
          <w:cantSplit/>
        </w:trPr>
        <w:tc>
          <w:tcPr>
            <w:tcW w:w="2551" w:type="dxa"/>
            <w:shd w:val="clear" w:color="auto" w:fill="auto"/>
          </w:tcPr>
          <w:p w14:paraId="27C632BD" w14:textId="77777777" w:rsidR="000E0B0C" w:rsidRPr="0081146C" w:rsidRDefault="000E0B0C" w:rsidP="00AE2DA2">
            <w:pPr>
              <w:pStyle w:val="ENoteTableText"/>
              <w:tabs>
                <w:tab w:val="center" w:leader="dot" w:pos="2268"/>
              </w:tabs>
            </w:pPr>
            <w:r w:rsidRPr="0081146C">
              <w:t>ss.</w:t>
            </w:r>
            <w:r w:rsidR="004F64A4" w:rsidRPr="0081146C">
              <w:t> </w:t>
            </w:r>
            <w:r w:rsidRPr="0081146C">
              <w:t>75J–75N</w:t>
            </w:r>
            <w:r w:rsidRPr="0081146C">
              <w:tab/>
            </w:r>
          </w:p>
        </w:tc>
        <w:tc>
          <w:tcPr>
            <w:tcW w:w="4537" w:type="dxa"/>
            <w:shd w:val="clear" w:color="auto" w:fill="auto"/>
          </w:tcPr>
          <w:p w14:paraId="79953694"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0169E9E1" w14:textId="77777777" w:rsidTr="00965397">
        <w:trPr>
          <w:cantSplit/>
        </w:trPr>
        <w:tc>
          <w:tcPr>
            <w:tcW w:w="2551" w:type="dxa"/>
            <w:shd w:val="clear" w:color="auto" w:fill="auto"/>
          </w:tcPr>
          <w:p w14:paraId="1545C1F4" w14:textId="77777777" w:rsidR="000E0B0C" w:rsidRPr="0081146C" w:rsidRDefault="000E0B0C" w:rsidP="00AE2DA2">
            <w:pPr>
              <w:pStyle w:val="ENoteTableText"/>
              <w:tabs>
                <w:tab w:val="center" w:leader="dot" w:pos="2268"/>
              </w:tabs>
            </w:pPr>
            <w:r w:rsidRPr="0081146C">
              <w:t>s. 75P</w:t>
            </w:r>
            <w:r w:rsidRPr="0081146C">
              <w:tab/>
            </w:r>
          </w:p>
        </w:tc>
        <w:tc>
          <w:tcPr>
            <w:tcW w:w="4537" w:type="dxa"/>
            <w:shd w:val="clear" w:color="auto" w:fill="auto"/>
          </w:tcPr>
          <w:p w14:paraId="302E75CC"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476CE77F" w14:textId="77777777" w:rsidTr="00965397">
        <w:trPr>
          <w:cantSplit/>
        </w:trPr>
        <w:tc>
          <w:tcPr>
            <w:tcW w:w="2551" w:type="dxa"/>
            <w:shd w:val="clear" w:color="auto" w:fill="auto"/>
          </w:tcPr>
          <w:p w14:paraId="573E1D40" w14:textId="77777777" w:rsidR="000E0B0C" w:rsidRPr="0081146C" w:rsidRDefault="00CA78AA" w:rsidP="001F2742">
            <w:pPr>
              <w:pStyle w:val="ENoteTableText"/>
              <w:tabs>
                <w:tab w:val="center" w:leader="dot" w:pos="2268"/>
              </w:tabs>
            </w:pPr>
            <w:r w:rsidRPr="0081146C">
              <w:t>Division 4</w:t>
            </w:r>
            <w:r w:rsidR="000E0B0C" w:rsidRPr="0081146C">
              <w:t xml:space="preserve"> heading</w:t>
            </w:r>
            <w:r w:rsidR="000E0B0C" w:rsidRPr="0081146C">
              <w:tab/>
            </w:r>
          </w:p>
        </w:tc>
        <w:tc>
          <w:tcPr>
            <w:tcW w:w="4537" w:type="dxa"/>
            <w:shd w:val="clear" w:color="auto" w:fill="auto"/>
          </w:tcPr>
          <w:p w14:paraId="04F50928" w14:textId="77777777" w:rsidR="000E0B0C" w:rsidRPr="0081146C" w:rsidRDefault="000E0B0C" w:rsidP="00C72BA2">
            <w:pPr>
              <w:pStyle w:val="ENoteTableText"/>
            </w:pPr>
            <w:r w:rsidRPr="0081146C">
              <w:t>rep. No.</w:t>
            </w:r>
            <w:r w:rsidR="004F64A4" w:rsidRPr="0081146C">
              <w:t> </w:t>
            </w:r>
            <w:r w:rsidRPr="0081146C">
              <w:t>74, 2013</w:t>
            </w:r>
          </w:p>
        </w:tc>
      </w:tr>
      <w:tr w:rsidR="000E0B0C" w:rsidRPr="0081146C" w14:paraId="6038C4AA" w14:textId="77777777" w:rsidTr="00965397">
        <w:trPr>
          <w:cantSplit/>
        </w:trPr>
        <w:tc>
          <w:tcPr>
            <w:tcW w:w="2551" w:type="dxa"/>
            <w:shd w:val="clear" w:color="auto" w:fill="auto"/>
          </w:tcPr>
          <w:p w14:paraId="37F9D42B" w14:textId="77777777" w:rsidR="000E0B0C" w:rsidRPr="0081146C" w:rsidRDefault="00CA78AA" w:rsidP="001F2742">
            <w:pPr>
              <w:pStyle w:val="ENoteTableText"/>
              <w:tabs>
                <w:tab w:val="center" w:leader="dot" w:pos="2268"/>
              </w:tabs>
            </w:pPr>
            <w:r w:rsidRPr="0081146C">
              <w:t>Division 4</w:t>
            </w:r>
            <w:r w:rsidR="000E0B0C" w:rsidRPr="0081146C">
              <w:tab/>
            </w:r>
          </w:p>
        </w:tc>
        <w:tc>
          <w:tcPr>
            <w:tcW w:w="4537" w:type="dxa"/>
            <w:shd w:val="clear" w:color="auto" w:fill="auto"/>
          </w:tcPr>
          <w:p w14:paraId="064D5815"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146B678C" w14:textId="77777777" w:rsidTr="00965397">
        <w:trPr>
          <w:cantSplit/>
        </w:trPr>
        <w:tc>
          <w:tcPr>
            <w:tcW w:w="2551" w:type="dxa"/>
            <w:shd w:val="clear" w:color="auto" w:fill="auto"/>
          </w:tcPr>
          <w:p w14:paraId="7CDD9FF2" w14:textId="77777777" w:rsidR="000E0B0C" w:rsidRPr="0081146C" w:rsidRDefault="000E0B0C" w:rsidP="00AE2DA2">
            <w:pPr>
              <w:pStyle w:val="ENoteTableText"/>
              <w:tabs>
                <w:tab w:val="center" w:leader="dot" w:pos="2268"/>
              </w:tabs>
            </w:pPr>
            <w:r w:rsidRPr="0081146C">
              <w:t>s. 75Q</w:t>
            </w:r>
            <w:r w:rsidRPr="0081146C">
              <w:tab/>
            </w:r>
          </w:p>
        </w:tc>
        <w:tc>
          <w:tcPr>
            <w:tcW w:w="4537" w:type="dxa"/>
            <w:shd w:val="clear" w:color="auto" w:fill="auto"/>
          </w:tcPr>
          <w:p w14:paraId="5D4E0039"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16241A86" w14:textId="77777777" w:rsidTr="00965397">
        <w:trPr>
          <w:cantSplit/>
        </w:trPr>
        <w:tc>
          <w:tcPr>
            <w:tcW w:w="2551" w:type="dxa"/>
            <w:shd w:val="clear" w:color="auto" w:fill="auto"/>
          </w:tcPr>
          <w:p w14:paraId="77701B5B" w14:textId="77777777" w:rsidR="000E0B0C" w:rsidRPr="0081146C" w:rsidRDefault="000E0B0C" w:rsidP="00AE2DA2">
            <w:pPr>
              <w:pStyle w:val="ENoteTableText"/>
              <w:tabs>
                <w:tab w:val="center" w:leader="dot" w:pos="2268"/>
              </w:tabs>
            </w:pPr>
          </w:p>
        </w:tc>
        <w:tc>
          <w:tcPr>
            <w:tcW w:w="4537" w:type="dxa"/>
            <w:shd w:val="clear" w:color="auto" w:fill="auto"/>
          </w:tcPr>
          <w:p w14:paraId="22D6666D" w14:textId="77777777" w:rsidR="000E0B0C" w:rsidRPr="0081146C" w:rsidRDefault="000E0B0C" w:rsidP="00C72BA2">
            <w:pPr>
              <w:pStyle w:val="ENoteTableText"/>
            </w:pPr>
            <w:r w:rsidRPr="0081146C">
              <w:t>am. No.</w:t>
            </w:r>
            <w:r w:rsidR="004F64A4" w:rsidRPr="0081146C">
              <w:t> </w:t>
            </w:r>
            <w:r w:rsidRPr="0081146C">
              <w:t>74, 2013</w:t>
            </w:r>
          </w:p>
        </w:tc>
      </w:tr>
      <w:tr w:rsidR="000E0B0C" w:rsidRPr="0081146C" w14:paraId="7747F04C" w14:textId="77777777" w:rsidTr="00965397">
        <w:trPr>
          <w:cantSplit/>
        </w:trPr>
        <w:tc>
          <w:tcPr>
            <w:tcW w:w="2551" w:type="dxa"/>
            <w:shd w:val="clear" w:color="auto" w:fill="auto"/>
          </w:tcPr>
          <w:p w14:paraId="021A3FA1" w14:textId="77777777" w:rsidR="000E0B0C" w:rsidRPr="0081146C" w:rsidRDefault="000E0B0C" w:rsidP="00AE2DA2">
            <w:pPr>
              <w:pStyle w:val="ENoteTableText"/>
              <w:tabs>
                <w:tab w:val="center" w:leader="dot" w:pos="2268"/>
              </w:tabs>
            </w:pPr>
            <w:r w:rsidRPr="0081146C">
              <w:t>s. 75R</w:t>
            </w:r>
            <w:r w:rsidRPr="0081146C">
              <w:tab/>
            </w:r>
          </w:p>
        </w:tc>
        <w:tc>
          <w:tcPr>
            <w:tcW w:w="4537" w:type="dxa"/>
            <w:shd w:val="clear" w:color="auto" w:fill="auto"/>
          </w:tcPr>
          <w:p w14:paraId="4407B8C3"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25233CA4" w14:textId="77777777" w:rsidTr="00965397">
        <w:trPr>
          <w:cantSplit/>
        </w:trPr>
        <w:tc>
          <w:tcPr>
            <w:tcW w:w="2551" w:type="dxa"/>
            <w:shd w:val="clear" w:color="auto" w:fill="auto"/>
          </w:tcPr>
          <w:p w14:paraId="1DDA9430" w14:textId="77777777" w:rsidR="000E0B0C" w:rsidRPr="0081146C" w:rsidRDefault="000E0B0C" w:rsidP="00AE2DA2">
            <w:pPr>
              <w:pStyle w:val="ENoteTableText"/>
              <w:tabs>
                <w:tab w:val="center" w:leader="dot" w:pos="2268"/>
              </w:tabs>
            </w:pPr>
          </w:p>
        </w:tc>
        <w:tc>
          <w:tcPr>
            <w:tcW w:w="4537" w:type="dxa"/>
            <w:shd w:val="clear" w:color="auto" w:fill="auto"/>
          </w:tcPr>
          <w:p w14:paraId="6573C396" w14:textId="77777777" w:rsidR="000E0B0C" w:rsidRPr="0081146C" w:rsidRDefault="000E0B0C" w:rsidP="00C72BA2">
            <w:pPr>
              <w:pStyle w:val="ENoteTableText"/>
            </w:pPr>
            <w:r w:rsidRPr="0081146C">
              <w:t>rep. No.</w:t>
            </w:r>
            <w:r w:rsidR="004F64A4" w:rsidRPr="0081146C">
              <w:t> </w:t>
            </w:r>
            <w:r w:rsidRPr="0081146C">
              <w:t>74, 2013</w:t>
            </w:r>
          </w:p>
        </w:tc>
      </w:tr>
      <w:tr w:rsidR="000E0B0C" w:rsidRPr="0081146C" w14:paraId="36A2DB1A" w14:textId="77777777" w:rsidTr="00965397">
        <w:trPr>
          <w:cantSplit/>
        </w:trPr>
        <w:tc>
          <w:tcPr>
            <w:tcW w:w="2551" w:type="dxa"/>
            <w:shd w:val="clear" w:color="auto" w:fill="auto"/>
          </w:tcPr>
          <w:p w14:paraId="53DA2FAD" w14:textId="77777777" w:rsidR="000E0B0C" w:rsidRPr="0081146C" w:rsidRDefault="000E0B0C" w:rsidP="00AE2DA2">
            <w:pPr>
              <w:pStyle w:val="ENoteTableText"/>
              <w:tabs>
                <w:tab w:val="center" w:leader="dot" w:pos="2268"/>
              </w:tabs>
            </w:pPr>
            <w:r w:rsidRPr="0081146C">
              <w:t>s. 75S</w:t>
            </w:r>
            <w:r w:rsidRPr="0081146C">
              <w:tab/>
            </w:r>
          </w:p>
        </w:tc>
        <w:tc>
          <w:tcPr>
            <w:tcW w:w="4537" w:type="dxa"/>
            <w:shd w:val="clear" w:color="auto" w:fill="auto"/>
          </w:tcPr>
          <w:p w14:paraId="7463E05A"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1CA0211E" w14:textId="77777777" w:rsidTr="00965397">
        <w:trPr>
          <w:cantSplit/>
        </w:trPr>
        <w:tc>
          <w:tcPr>
            <w:tcW w:w="2551" w:type="dxa"/>
            <w:shd w:val="clear" w:color="auto" w:fill="auto"/>
          </w:tcPr>
          <w:p w14:paraId="20BC3868" w14:textId="77777777" w:rsidR="000E0B0C" w:rsidRPr="0081146C" w:rsidRDefault="000E0B0C" w:rsidP="00AE2DA2">
            <w:pPr>
              <w:pStyle w:val="ENoteTableText"/>
              <w:tabs>
                <w:tab w:val="center" w:leader="dot" w:pos="2268"/>
              </w:tabs>
            </w:pPr>
          </w:p>
        </w:tc>
        <w:tc>
          <w:tcPr>
            <w:tcW w:w="4537" w:type="dxa"/>
            <w:shd w:val="clear" w:color="auto" w:fill="auto"/>
          </w:tcPr>
          <w:p w14:paraId="6FCCBDF4" w14:textId="77777777" w:rsidR="000E0B0C" w:rsidRPr="0081146C" w:rsidRDefault="000E0B0C" w:rsidP="00C72BA2">
            <w:pPr>
              <w:pStyle w:val="ENoteTableText"/>
            </w:pPr>
            <w:r w:rsidRPr="0081146C">
              <w:t>rep. No.</w:t>
            </w:r>
            <w:r w:rsidR="004F64A4" w:rsidRPr="0081146C">
              <w:t> </w:t>
            </w:r>
            <w:r w:rsidRPr="0081146C">
              <w:t>74, 2013</w:t>
            </w:r>
          </w:p>
        </w:tc>
      </w:tr>
      <w:tr w:rsidR="000E0B0C" w:rsidRPr="0081146C" w14:paraId="0D6E23CD" w14:textId="77777777" w:rsidTr="00965397">
        <w:trPr>
          <w:cantSplit/>
        </w:trPr>
        <w:tc>
          <w:tcPr>
            <w:tcW w:w="2551" w:type="dxa"/>
            <w:shd w:val="clear" w:color="auto" w:fill="auto"/>
          </w:tcPr>
          <w:p w14:paraId="46234FE5" w14:textId="77777777" w:rsidR="000E0B0C" w:rsidRPr="0081146C" w:rsidRDefault="00CA78AA" w:rsidP="00C72BA2">
            <w:pPr>
              <w:pStyle w:val="ENoteTableText"/>
            </w:pPr>
            <w:r w:rsidRPr="0081146C">
              <w:rPr>
                <w:b/>
              </w:rPr>
              <w:t>Division 5</w:t>
            </w:r>
          </w:p>
        </w:tc>
        <w:tc>
          <w:tcPr>
            <w:tcW w:w="4537" w:type="dxa"/>
            <w:shd w:val="clear" w:color="auto" w:fill="auto"/>
          </w:tcPr>
          <w:p w14:paraId="53BCCF6B" w14:textId="77777777" w:rsidR="000E0B0C" w:rsidRPr="0081146C" w:rsidRDefault="000E0B0C" w:rsidP="00C72BA2">
            <w:pPr>
              <w:pStyle w:val="ENoteTableText"/>
            </w:pPr>
          </w:p>
        </w:tc>
      </w:tr>
      <w:tr w:rsidR="000E0B0C" w:rsidRPr="0081146C" w14:paraId="7356BE46" w14:textId="77777777" w:rsidTr="00965397">
        <w:trPr>
          <w:cantSplit/>
        </w:trPr>
        <w:tc>
          <w:tcPr>
            <w:tcW w:w="2551" w:type="dxa"/>
            <w:shd w:val="clear" w:color="auto" w:fill="auto"/>
          </w:tcPr>
          <w:p w14:paraId="5560207A" w14:textId="77777777" w:rsidR="000E0B0C" w:rsidRPr="0081146C" w:rsidRDefault="00CA78AA" w:rsidP="001F2742">
            <w:pPr>
              <w:pStyle w:val="ENoteTableText"/>
              <w:tabs>
                <w:tab w:val="center" w:leader="dot" w:pos="2268"/>
              </w:tabs>
            </w:pPr>
            <w:r w:rsidRPr="0081146C">
              <w:t>Division 5</w:t>
            </w:r>
            <w:r w:rsidR="000E0B0C" w:rsidRPr="0081146C">
              <w:tab/>
            </w:r>
          </w:p>
        </w:tc>
        <w:tc>
          <w:tcPr>
            <w:tcW w:w="4537" w:type="dxa"/>
            <w:shd w:val="clear" w:color="auto" w:fill="auto"/>
          </w:tcPr>
          <w:p w14:paraId="63CABA37"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200503EE" w14:textId="77777777" w:rsidTr="00965397">
        <w:trPr>
          <w:cantSplit/>
        </w:trPr>
        <w:tc>
          <w:tcPr>
            <w:tcW w:w="2551" w:type="dxa"/>
            <w:shd w:val="clear" w:color="auto" w:fill="auto"/>
          </w:tcPr>
          <w:p w14:paraId="61CE6BA7" w14:textId="77777777" w:rsidR="000E0B0C" w:rsidRPr="0081146C" w:rsidRDefault="000E0B0C" w:rsidP="00AE2DA2">
            <w:pPr>
              <w:pStyle w:val="ENoteTableText"/>
              <w:tabs>
                <w:tab w:val="center" w:leader="dot" w:pos="2268"/>
              </w:tabs>
            </w:pPr>
            <w:r w:rsidRPr="0081146C">
              <w:t>s. 75T</w:t>
            </w:r>
            <w:r w:rsidRPr="0081146C">
              <w:tab/>
            </w:r>
          </w:p>
        </w:tc>
        <w:tc>
          <w:tcPr>
            <w:tcW w:w="4537" w:type="dxa"/>
            <w:shd w:val="clear" w:color="auto" w:fill="auto"/>
          </w:tcPr>
          <w:p w14:paraId="4704D8FC"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331FFF4A" w14:textId="77777777" w:rsidTr="00965397">
        <w:trPr>
          <w:cantSplit/>
        </w:trPr>
        <w:tc>
          <w:tcPr>
            <w:tcW w:w="2551" w:type="dxa"/>
            <w:shd w:val="clear" w:color="auto" w:fill="auto"/>
          </w:tcPr>
          <w:p w14:paraId="7B7486C4" w14:textId="77777777" w:rsidR="000E0B0C" w:rsidRPr="0081146C" w:rsidRDefault="000E0B0C" w:rsidP="00005480">
            <w:pPr>
              <w:pStyle w:val="ENoteTableText"/>
            </w:pPr>
            <w:r w:rsidRPr="0081146C">
              <w:rPr>
                <w:b/>
              </w:rPr>
              <w:t>Part</w:t>
            </w:r>
            <w:r w:rsidR="004F64A4" w:rsidRPr="0081146C">
              <w:rPr>
                <w:b/>
              </w:rPr>
              <w:t> </w:t>
            </w:r>
            <w:r w:rsidRPr="0081146C">
              <w:rPr>
                <w:b/>
              </w:rPr>
              <w:t>6A</w:t>
            </w:r>
          </w:p>
        </w:tc>
        <w:tc>
          <w:tcPr>
            <w:tcW w:w="4537" w:type="dxa"/>
            <w:shd w:val="clear" w:color="auto" w:fill="auto"/>
          </w:tcPr>
          <w:p w14:paraId="40630E15" w14:textId="77777777" w:rsidR="000E0B0C" w:rsidRPr="0081146C" w:rsidRDefault="000E0B0C" w:rsidP="00C72BA2">
            <w:pPr>
              <w:pStyle w:val="ENoteTableText"/>
            </w:pPr>
          </w:p>
        </w:tc>
      </w:tr>
      <w:tr w:rsidR="000E0B0C" w:rsidRPr="0081146C" w14:paraId="683EAAFF" w14:textId="77777777" w:rsidTr="00965397">
        <w:trPr>
          <w:cantSplit/>
        </w:trPr>
        <w:tc>
          <w:tcPr>
            <w:tcW w:w="2551" w:type="dxa"/>
            <w:shd w:val="clear" w:color="auto" w:fill="auto"/>
          </w:tcPr>
          <w:p w14:paraId="6D91948B" w14:textId="77777777" w:rsidR="000E0B0C" w:rsidRPr="0081146C" w:rsidRDefault="000E0B0C" w:rsidP="005246B0">
            <w:pPr>
              <w:pStyle w:val="ENoteTableText"/>
              <w:tabs>
                <w:tab w:val="center" w:leader="dot" w:pos="2268"/>
              </w:tabs>
            </w:pPr>
            <w:r w:rsidRPr="0081146C">
              <w:t>Part</w:t>
            </w:r>
            <w:r w:rsidR="004F64A4" w:rsidRPr="0081146C">
              <w:t> </w:t>
            </w:r>
            <w:r w:rsidRPr="0081146C">
              <w:t>6A</w:t>
            </w:r>
            <w:r w:rsidRPr="0081146C">
              <w:tab/>
            </w:r>
          </w:p>
        </w:tc>
        <w:tc>
          <w:tcPr>
            <w:tcW w:w="4537" w:type="dxa"/>
            <w:shd w:val="clear" w:color="auto" w:fill="auto"/>
          </w:tcPr>
          <w:p w14:paraId="04FC9076" w14:textId="77777777" w:rsidR="000E0B0C" w:rsidRPr="0081146C" w:rsidRDefault="000E0B0C" w:rsidP="005246B0">
            <w:pPr>
              <w:pStyle w:val="ENoteTableText"/>
            </w:pPr>
            <w:r w:rsidRPr="0081146C">
              <w:t>ad No 130, 2017</w:t>
            </w:r>
          </w:p>
        </w:tc>
      </w:tr>
      <w:tr w:rsidR="000E0B0C" w:rsidRPr="0081146C" w14:paraId="360CC373" w14:textId="77777777" w:rsidTr="00965397">
        <w:trPr>
          <w:cantSplit/>
        </w:trPr>
        <w:tc>
          <w:tcPr>
            <w:tcW w:w="2551" w:type="dxa"/>
            <w:shd w:val="clear" w:color="auto" w:fill="auto"/>
          </w:tcPr>
          <w:p w14:paraId="4732F850" w14:textId="77777777" w:rsidR="000E0B0C" w:rsidRPr="0081146C" w:rsidRDefault="00CA78AA" w:rsidP="005246B0">
            <w:pPr>
              <w:pStyle w:val="ENoteTableText"/>
              <w:tabs>
                <w:tab w:val="center" w:leader="dot" w:pos="2268"/>
              </w:tabs>
              <w:rPr>
                <w:b/>
              </w:rPr>
            </w:pPr>
            <w:r w:rsidRPr="0081146C">
              <w:rPr>
                <w:b/>
              </w:rPr>
              <w:t>Division 1</w:t>
            </w:r>
          </w:p>
        </w:tc>
        <w:tc>
          <w:tcPr>
            <w:tcW w:w="4537" w:type="dxa"/>
            <w:shd w:val="clear" w:color="auto" w:fill="auto"/>
          </w:tcPr>
          <w:p w14:paraId="096D02B0" w14:textId="77777777" w:rsidR="000E0B0C" w:rsidRPr="0081146C" w:rsidRDefault="000E0B0C" w:rsidP="005246B0">
            <w:pPr>
              <w:pStyle w:val="ENoteTableText"/>
            </w:pPr>
          </w:p>
        </w:tc>
      </w:tr>
      <w:tr w:rsidR="000E0B0C" w:rsidRPr="0081146C" w14:paraId="74A063B3" w14:textId="77777777" w:rsidTr="00965397">
        <w:trPr>
          <w:cantSplit/>
        </w:trPr>
        <w:tc>
          <w:tcPr>
            <w:tcW w:w="2551" w:type="dxa"/>
            <w:shd w:val="clear" w:color="auto" w:fill="auto"/>
          </w:tcPr>
          <w:p w14:paraId="22B2DE62" w14:textId="77777777" w:rsidR="000E0B0C" w:rsidRPr="0081146C" w:rsidRDefault="000E0B0C" w:rsidP="005246B0">
            <w:pPr>
              <w:pStyle w:val="ENoteTableText"/>
              <w:tabs>
                <w:tab w:val="center" w:leader="dot" w:pos="2268"/>
              </w:tabs>
              <w:rPr>
                <w:b/>
              </w:rPr>
            </w:pPr>
            <w:r w:rsidRPr="0081146C">
              <w:t>s 76</w:t>
            </w:r>
            <w:r w:rsidRPr="0081146C">
              <w:tab/>
            </w:r>
          </w:p>
        </w:tc>
        <w:tc>
          <w:tcPr>
            <w:tcW w:w="4537" w:type="dxa"/>
            <w:shd w:val="clear" w:color="auto" w:fill="auto"/>
          </w:tcPr>
          <w:p w14:paraId="430A13A4" w14:textId="77777777" w:rsidR="000E0B0C" w:rsidRPr="0081146C" w:rsidRDefault="000E0B0C" w:rsidP="00005480">
            <w:pPr>
              <w:pStyle w:val="ENoteTableText"/>
            </w:pPr>
            <w:r w:rsidRPr="0081146C">
              <w:t>rep No 60, 2011</w:t>
            </w:r>
          </w:p>
        </w:tc>
      </w:tr>
      <w:tr w:rsidR="000E0B0C" w:rsidRPr="0081146C" w14:paraId="184922CC" w14:textId="77777777" w:rsidTr="00965397">
        <w:trPr>
          <w:cantSplit/>
        </w:trPr>
        <w:tc>
          <w:tcPr>
            <w:tcW w:w="2551" w:type="dxa"/>
            <w:shd w:val="clear" w:color="auto" w:fill="auto"/>
          </w:tcPr>
          <w:p w14:paraId="481DC429" w14:textId="77777777" w:rsidR="000E0B0C" w:rsidRPr="0081146C" w:rsidRDefault="000E0B0C" w:rsidP="005246B0">
            <w:pPr>
              <w:pStyle w:val="ENoteTableText"/>
              <w:tabs>
                <w:tab w:val="center" w:leader="dot" w:pos="2268"/>
              </w:tabs>
            </w:pPr>
          </w:p>
        </w:tc>
        <w:tc>
          <w:tcPr>
            <w:tcW w:w="4537" w:type="dxa"/>
            <w:shd w:val="clear" w:color="auto" w:fill="auto"/>
          </w:tcPr>
          <w:p w14:paraId="38FB35BB" w14:textId="77777777" w:rsidR="000E0B0C" w:rsidRPr="0081146C" w:rsidRDefault="000E0B0C" w:rsidP="005246B0">
            <w:pPr>
              <w:pStyle w:val="ENoteTableText"/>
            </w:pPr>
            <w:r w:rsidRPr="0081146C">
              <w:t>ad No 130, 2017</w:t>
            </w:r>
          </w:p>
        </w:tc>
      </w:tr>
      <w:tr w:rsidR="000E0B0C" w:rsidRPr="0081146C" w14:paraId="157404F2" w14:textId="77777777" w:rsidTr="00965397">
        <w:trPr>
          <w:cantSplit/>
        </w:trPr>
        <w:tc>
          <w:tcPr>
            <w:tcW w:w="2551" w:type="dxa"/>
            <w:shd w:val="clear" w:color="auto" w:fill="auto"/>
          </w:tcPr>
          <w:p w14:paraId="48C8BA1C" w14:textId="77777777" w:rsidR="000E0B0C" w:rsidRPr="0081146C" w:rsidRDefault="00CA78AA" w:rsidP="005246B0">
            <w:pPr>
              <w:pStyle w:val="ENoteTableText"/>
              <w:tabs>
                <w:tab w:val="center" w:leader="dot" w:pos="2268"/>
              </w:tabs>
              <w:rPr>
                <w:b/>
              </w:rPr>
            </w:pPr>
            <w:r w:rsidRPr="0081146C">
              <w:rPr>
                <w:b/>
              </w:rPr>
              <w:t>Division 2</w:t>
            </w:r>
          </w:p>
        </w:tc>
        <w:tc>
          <w:tcPr>
            <w:tcW w:w="4537" w:type="dxa"/>
            <w:shd w:val="clear" w:color="auto" w:fill="auto"/>
          </w:tcPr>
          <w:p w14:paraId="5798A162" w14:textId="77777777" w:rsidR="000E0B0C" w:rsidRPr="0081146C" w:rsidRDefault="000E0B0C" w:rsidP="005246B0">
            <w:pPr>
              <w:pStyle w:val="ENoteTableText"/>
            </w:pPr>
          </w:p>
        </w:tc>
      </w:tr>
      <w:tr w:rsidR="000E0B0C" w:rsidRPr="0081146C" w14:paraId="3FA65FC1" w14:textId="77777777" w:rsidTr="00965397">
        <w:trPr>
          <w:cantSplit/>
        </w:trPr>
        <w:tc>
          <w:tcPr>
            <w:tcW w:w="2551" w:type="dxa"/>
            <w:shd w:val="clear" w:color="auto" w:fill="auto"/>
          </w:tcPr>
          <w:p w14:paraId="1EEE7150" w14:textId="77777777" w:rsidR="000E0B0C" w:rsidRPr="0081146C" w:rsidRDefault="000E0B0C" w:rsidP="005246B0">
            <w:pPr>
              <w:pStyle w:val="ENoteTableText"/>
              <w:tabs>
                <w:tab w:val="center" w:leader="dot" w:pos="2268"/>
              </w:tabs>
            </w:pPr>
            <w:r w:rsidRPr="0081146C">
              <w:t>s 76A</w:t>
            </w:r>
            <w:r w:rsidRPr="0081146C">
              <w:tab/>
            </w:r>
          </w:p>
        </w:tc>
        <w:tc>
          <w:tcPr>
            <w:tcW w:w="4537" w:type="dxa"/>
            <w:shd w:val="clear" w:color="auto" w:fill="auto"/>
          </w:tcPr>
          <w:p w14:paraId="3C7DC2C9" w14:textId="77777777" w:rsidR="000E0B0C" w:rsidRPr="0081146C" w:rsidRDefault="000E0B0C" w:rsidP="005246B0">
            <w:pPr>
              <w:pStyle w:val="ENoteTableText"/>
            </w:pPr>
            <w:r w:rsidRPr="0081146C">
              <w:t>ad No 130, 2017</w:t>
            </w:r>
          </w:p>
        </w:tc>
      </w:tr>
      <w:tr w:rsidR="000E0B0C" w:rsidRPr="0081146C" w14:paraId="50797657" w14:textId="77777777" w:rsidTr="00965397">
        <w:trPr>
          <w:cantSplit/>
        </w:trPr>
        <w:tc>
          <w:tcPr>
            <w:tcW w:w="2551" w:type="dxa"/>
            <w:shd w:val="clear" w:color="auto" w:fill="auto"/>
          </w:tcPr>
          <w:p w14:paraId="6CB43492" w14:textId="77777777" w:rsidR="000E0B0C" w:rsidRPr="0081146C" w:rsidRDefault="00CA78AA" w:rsidP="005246B0">
            <w:pPr>
              <w:pStyle w:val="ENoteTableText"/>
              <w:tabs>
                <w:tab w:val="center" w:leader="dot" w:pos="2268"/>
              </w:tabs>
              <w:rPr>
                <w:b/>
              </w:rPr>
            </w:pPr>
            <w:r w:rsidRPr="0081146C">
              <w:rPr>
                <w:b/>
              </w:rPr>
              <w:t>Division 3</w:t>
            </w:r>
          </w:p>
        </w:tc>
        <w:tc>
          <w:tcPr>
            <w:tcW w:w="4537" w:type="dxa"/>
            <w:shd w:val="clear" w:color="auto" w:fill="auto"/>
          </w:tcPr>
          <w:p w14:paraId="5851AD7D" w14:textId="77777777" w:rsidR="000E0B0C" w:rsidRPr="0081146C" w:rsidRDefault="000E0B0C" w:rsidP="005246B0">
            <w:pPr>
              <w:pStyle w:val="ENoteTableText"/>
            </w:pPr>
          </w:p>
        </w:tc>
      </w:tr>
      <w:tr w:rsidR="000E0B0C" w:rsidRPr="0081146C" w14:paraId="09A038C1" w14:textId="77777777" w:rsidTr="00965397">
        <w:trPr>
          <w:cantSplit/>
        </w:trPr>
        <w:tc>
          <w:tcPr>
            <w:tcW w:w="2551" w:type="dxa"/>
            <w:shd w:val="clear" w:color="auto" w:fill="auto"/>
          </w:tcPr>
          <w:p w14:paraId="5EBDD0F4" w14:textId="77777777" w:rsidR="000E0B0C" w:rsidRPr="0081146C" w:rsidRDefault="000E0B0C" w:rsidP="005246B0">
            <w:pPr>
              <w:pStyle w:val="ENoteTableText"/>
              <w:tabs>
                <w:tab w:val="center" w:leader="dot" w:pos="2268"/>
              </w:tabs>
            </w:pPr>
            <w:r w:rsidRPr="0081146C">
              <w:t>s 76B</w:t>
            </w:r>
            <w:r w:rsidRPr="0081146C">
              <w:tab/>
            </w:r>
          </w:p>
        </w:tc>
        <w:tc>
          <w:tcPr>
            <w:tcW w:w="4537" w:type="dxa"/>
            <w:shd w:val="clear" w:color="auto" w:fill="auto"/>
          </w:tcPr>
          <w:p w14:paraId="33060951" w14:textId="77777777" w:rsidR="000E0B0C" w:rsidRPr="0081146C" w:rsidRDefault="000E0B0C" w:rsidP="005246B0">
            <w:pPr>
              <w:pStyle w:val="ENoteTableText"/>
            </w:pPr>
            <w:r w:rsidRPr="0081146C">
              <w:t>ad No 130, 2017</w:t>
            </w:r>
          </w:p>
        </w:tc>
      </w:tr>
      <w:tr w:rsidR="000E0B0C" w:rsidRPr="0081146C" w14:paraId="6543DD2D" w14:textId="77777777" w:rsidTr="00965397">
        <w:trPr>
          <w:cantSplit/>
        </w:trPr>
        <w:tc>
          <w:tcPr>
            <w:tcW w:w="2551" w:type="dxa"/>
            <w:shd w:val="clear" w:color="auto" w:fill="auto"/>
          </w:tcPr>
          <w:p w14:paraId="62ADECCC" w14:textId="77777777" w:rsidR="000E0B0C" w:rsidRPr="0081146C" w:rsidRDefault="000E0B0C" w:rsidP="005246B0">
            <w:pPr>
              <w:pStyle w:val="ENoteTableText"/>
              <w:tabs>
                <w:tab w:val="center" w:leader="dot" w:pos="2268"/>
              </w:tabs>
            </w:pPr>
            <w:r w:rsidRPr="0081146C">
              <w:t>s 76C</w:t>
            </w:r>
            <w:r w:rsidRPr="0081146C">
              <w:tab/>
            </w:r>
          </w:p>
        </w:tc>
        <w:tc>
          <w:tcPr>
            <w:tcW w:w="4537" w:type="dxa"/>
            <w:shd w:val="clear" w:color="auto" w:fill="auto"/>
          </w:tcPr>
          <w:p w14:paraId="45624026" w14:textId="77777777" w:rsidR="000E0B0C" w:rsidRPr="0081146C" w:rsidRDefault="000E0B0C" w:rsidP="005246B0">
            <w:pPr>
              <w:pStyle w:val="ENoteTableText"/>
            </w:pPr>
            <w:r w:rsidRPr="0081146C">
              <w:t>ad No 130, 2017</w:t>
            </w:r>
          </w:p>
        </w:tc>
      </w:tr>
      <w:tr w:rsidR="000E0B0C" w:rsidRPr="0081146C" w14:paraId="60596D58" w14:textId="77777777" w:rsidTr="00965397">
        <w:trPr>
          <w:cantSplit/>
        </w:trPr>
        <w:tc>
          <w:tcPr>
            <w:tcW w:w="2551" w:type="dxa"/>
            <w:shd w:val="clear" w:color="auto" w:fill="auto"/>
          </w:tcPr>
          <w:p w14:paraId="7788EC59" w14:textId="77777777" w:rsidR="000E0B0C" w:rsidRPr="0081146C" w:rsidRDefault="000E0B0C" w:rsidP="005246B0">
            <w:pPr>
              <w:pStyle w:val="ENoteTableText"/>
              <w:tabs>
                <w:tab w:val="center" w:leader="dot" w:pos="2268"/>
              </w:tabs>
            </w:pPr>
            <w:r w:rsidRPr="0081146C">
              <w:t>s 76D</w:t>
            </w:r>
            <w:r w:rsidRPr="0081146C">
              <w:tab/>
            </w:r>
          </w:p>
        </w:tc>
        <w:tc>
          <w:tcPr>
            <w:tcW w:w="4537" w:type="dxa"/>
            <w:shd w:val="clear" w:color="auto" w:fill="auto"/>
          </w:tcPr>
          <w:p w14:paraId="5AE00CD7" w14:textId="77777777" w:rsidR="000E0B0C" w:rsidRPr="0081146C" w:rsidRDefault="000E0B0C" w:rsidP="005246B0">
            <w:pPr>
              <w:pStyle w:val="ENoteTableText"/>
            </w:pPr>
            <w:r w:rsidRPr="0081146C">
              <w:t>ad No 130, 2017</w:t>
            </w:r>
          </w:p>
        </w:tc>
      </w:tr>
      <w:tr w:rsidR="000E0B0C" w:rsidRPr="0081146C" w14:paraId="71E4EFB4" w14:textId="77777777" w:rsidTr="00965397">
        <w:trPr>
          <w:cantSplit/>
        </w:trPr>
        <w:tc>
          <w:tcPr>
            <w:tcW w:w="2551" w:type="dxa"/>
            <w:shd w:val="clear" w:color="auto" w:fill="auto"/>
          </w:tcPr>
          <w:p w14:paraId="61C4AF9E" w14:textId="77777777" w:rsidR="000E0B0C" w:rsidRPr="0081146C" w:rsidRDefault="000E0B0C" w:rsidP="005246B0">
            <w:pPr>
              <w:pStyle w:val="ENoteTableText"/>
              <w:tabs>
                <w:tab w:val="center" w:leader="dot" w:pos="2268"/>
              </w:tabs>
            </w:pPr>
            <w:r w:rsidRPr="0081146C">
              <w:t>s 76E</w:t>
            </w:r>
            <w:r w:rsidRPr="0081146C">
              <w:tab/>
            </w:r>
          </w:p>
        </w:tc>
        <w:tc>
          <w:tcPr>
            <w:tcW w:w="4537" w:type="dxa"/>
            <w:shd w:val="clear" w:color="auto" w:fill="auto"/>
          </w:tcPr>
          <w:p w14:paraId="51923AC1" w14:textId="77777777" w:rsidR="000E0B0C" w:rsidRPr="0081146C" w:rsidRDefault="000E0B0C" w:rsidP="005246B0">
            <w:pPr>
              <w:pStyle w:val="ENoteTableText"/>
            </w:pPr>
            <w:r w:rsidRPr="0081146C">
              <w:t>ad No 130, 2017</w:t>
            </w:r>
          </w:p>
        </w:tc>
      </w:tr>
      <w:tr w:rsidR="000E0B0C" w:rsidRPr="0081146C" w14:paraId="5BFA4396" w14:textId="77777777" w:rsidTr="00965397">
        <w:trPr>
          <w:cantSplit/>
        </w:trPr>
        <w:tc>
          <w:tcPr>
            <w:tcW w:w="2551" w:type="dxa"/>
            <w:shd w:val="clear" w:color="auto" w:fill="auto"/>
          </w:tcPr>
          <w:p w14:paraId="76CCB450" w14:textId="77777777" w:rsidR="000E0B0C" w:rsidRPr="0081146C" w:rsidRDefault="000E0B0C" w:rsidP="005246B0">
            <w:pPr>
              <w:pStyle w:val="ENoteTableText"/>
              <w:tabs>
                <w:tab w:val="center" w:leader="dot" w:pos="2268"/>
              </w:tabs>
            </w:pPr>
            <w:r w:rsidRPr="0081146C">
              <w:t>s 76F</w:t>
            </w:r>
            <w:r w:rsidRPr="0081146C">
              <w:tab/>
            </w:r>
          </w:p>
        </w:tc>
        <w:tc>
          <w:tcPr>
            <w:tcW w:w="4537" w:type="dxa"/>
            <w:shd w:val="clear" w:color="auto" w:fill="auto"/>
          </w:tcPr>
          <w:p w14:paraId="262E5EDE" w14:textId="77777777" w:rsidR="000E0B0C" w:rsidRPr="0081146C" w:rsidRDefault="000E0B0C" w:rsidP="005246B0">
            <w:pPr>
              <w:pStyle w:val="ENoteTableText"/>
            </w:pPr>
            <w:r w:rsidRPr="0081146C">
              <w:t>ad No 130, 2017</w:t>
            </w:r>
          </w:p>
        </w:tc>
      </w:tr>
      <w:tr w:rsidR="000E0B0C" w:rsidRPr="0081146C" w14:paraId="4F05779C" w14:textId="77777777" w:rsidTr="00965397">
        <w:trPr>
          <w:cantSplit/>
        </w:trPr>
        <w:tc>
          <w:tcPr>
            <w:tcW w:w="2551" w:type="dxa"/>
            <w:shd w:val="clear" w:color="auto" w:fill="auto"/>
          </w:tcPr>
          <w:p w14:paraId="2AFFC2A3" w14:textId="77777777" w:rsidR="000E0B0C" w:rsidRPr="0081146C" w:rsidRDefault="000E0B0C" w:rsidP="005246B0">
            <w:pPr>
              <w:pStyle w:val="ENoteTableText"/>
              <w:tabs>
                <w:tab w:val="center" w:leader="dot" w:pos="2268"/>
              </w:tabs>
            </w:pPr>
            <w:r w:rsidRPr="0081146C">
              <w:t>s 76G</w:t>
            </w:r>
            <w:r w:rsidRPr="0081146C">
              <w:tab/>
            </w:r>
          </w:p>
        </w:tc>
        <w:tc>
          <w:tcPr>
            <w:tcW w:w="4537" w:type="dxa"/>
            <w:shd w:val="clear" w:color="auto" w:fill="auto"/>
          </w:tcPr>
          <w:p w14:paraId="30DAA555" w14:textId="77777777" w:rsidR="000E0B0C" w:rsidRPr="0081146C" w:rsidRDefault="000E0B0C" w:rsidP="005246B0">
            <w:pPr>
              <w:pStyle w:val="ENoteTableText"/>
            </w:pPr>
            <w:r w:rsidRPr="0081146C">
              <w:t>ad No 130, 2017</w:t>
            </w:r>
          </w:p>
        </w:tc>
      </w:tr>
      <w:tr w:rsidR="000E0B0C" w:rsidRPr="0081146C" w14:paraId="6AE14699" w14:textId="77777777" w:rsidTr="00965397">
        <w:trPr>
          <w:cantSplit/>
        </w:trPr>
        <w:tc>
          <w:tcPr>
            <w:tcW w:w="2551" w:type="dxa"/>
            <w:shd w:val="clear" w:color="auto" w:fill="auto"/>
          </w:tcPr>
          <w:p w14:paraId="1FCA6B53" w14:textId="77777777" w:rsidR="000E0B0C" w:rsidRPr="0081146C" w:rsidRDefault="000E0B0C" w:rsidP="005246B0">
            <w:pPr>
              <w:pStyle w:val="ENoteTableText"/>
              <w:tabs>
                <w:tab w:val="center" w:leader="dot" w:pos="2268"/>
              </w:tabs>
            </w:pPr>
            <w:r w:rsidRPr="0081146C">
              <w:t>s 76H</w:t>
            </w:r>
            <w:r w:rsidRPr="0081146C">
              <w:tab/>
            </w:r>
          </w:p>
        </w:tc>
        <w:tc>
          <w:tcPr>
            <w:tcW w:w="4537" w:type="dxa"/>
            <w:shd w:val="clear" w:color="auto" w:fill="auto"/>
          </w:tcPr>
          <w:p w14:paraId="338405DA" w14:textId="77777777" w:rsidR="000E0B0C" w:rsidRPr="0081146C" w:rsidRDefault="000E0B0C" w:rsidP="005246B0">
            <w:pPr>
              <w:pStyle w:val="ENoteTableText"/>
            </w:pPr>
            <w:r w:rsidRPr="0081146C">
              <w:t>ad No 130, 2017</w:t>
            </w:r>
          </w:p>
        </w:tc>
      </w:tr>
      <w:tr w:rsidR="000E0B0C" w:rsidRPr="0081146C" w14:paraId="25CD6802" w14:textId="77777777" w:rsidTr="00965397">
        <w:trPr>
          <w:cantSplit/>
        </w:trPr>
        <w:tc>
          <w:tcPr>
            <w:tcW w:w="2551" w:type="dxa"/>
            <w:shd w:val="clear" w:color="auto" w:fill="auto"/>
          </w:tcPr>
          <w:p w14:paraId="5F5E4395" w14:textId="77777777" w:rsidR="000E0B0C" w:rsidRPr="0081146C" w:rsidRDefault="000E0B0C" w:rsidP="005246B0">
            <w:pPr>
              <w:pStyle w:val="ENoteTableText"/>
              <w:tabs>
                <w:tab w:val="center" w:leader="dot" w:pos="2268"/>
              </w:tabs>
            </w:pPr>
            <w:r w:rsidRPr="0081146C">
              <w:t>s 76J</w:t>
            </w:r>
            <w:r w:rsidRPr="0081146C">
              <w:tab/>
            </w:r>
          </w:p>
        </w:tc>
        <w:tc>
          <w:tcPr>
            <w:tcW w:w="4537" w:type="dxa"/>
            <w:shd w:val="clear" w:color="auto" w:fill="auto"/>
          </w:tcPr>
          <w:p w14:paraId="3E538977" w14:textId="77777777" w:rsidR="000E0B0C" w:rsidRPr="0081146C" w:rsidRDefault="000E0B0C" w:rsidP="005246B0">
            <w:pPr>
              <w:pStyle w:val="ENoteTableText"/>
            </w:pPr>
            <w:r w:rsidRPr="0081146C">
              <w:t>ad No 130, 2017</w:t>
            </w:r>
          </w:p>
        </w:tc>
      </w:tr>
      <w:tr w:rsidR="000E0B0C" w:rsidRPr="0081146C" w14:paraId="05B61F4F" w14:textId="77777777" w:rsidTr="00965397">
        <w:trPr>
          <w:cantSplit/>
        </w:trPr>
        <w:tc>
          <w:tcPr>
            <w:tcW w:w="2551" w:type="dxa"/>
            <w:shd w:val="clear" w:color="auto" w:fill="auto"/>
          </w:tcPr>
          <w:p w14:paraId="541BDD08" w14:textId="77777777" w:rsidR="000E0B0C" w:rsidRPr="0081146C" w:rsidRDefault="000E0B0C" w:rsidP="005246B0">
            <w:pPr>
              <w:pStyle w:val="ENoteTableText"/>
              <w:tabs>
                <w:tab w:val="center" w:leader="dot" w:pos="2268"/>
              </w:tabs>
            </w:pPr>
            <w:r w:rsidRPr="0081146C">
              <w:t>s 76K</w:t>
            </w:r>
            <w:r w:rsidRPr="0081146C">
              <w:tab/>
            </w:r>
          </w:p>
        </w:tc>
        <w:tc>
          <w:tcPr>
            <w:tcW w:w="4537" w:type="dxa"/>
            <w:shd w:val="clear" w:color="auto" w:fill="auto"/>
          </w:tcPr>
          <w:p w14:paraId="4BFB609C" w14:textId="77777777" w:rsidR="000E0B0C" w:rsidRPr="0081146C" w:rsidRDefault="000E0B0C" w:rsidP="005246B0">
            <w:pPr>
              <w:pStyle w:val="ENoteTableText"/>
            </w:pPr>
            <w:r w:rsidRPr="0081146C">
              <w:t>ad No 130, 2017</w:t>
            </w:r>
          </w:p>
        </w:tc>
      </w:tr>
      <w:tr w:rsidR="000E0B0C" w:rsidRPr="0081146C" w14:paraId="087F2524" w14:textId="77777777" w:rsidTr="00965397">
        <w:trPr>
          <w:cantSplit/>
        </w:trPr>
        <w:tc>
          <w:tcPr>
            <w:tcW w:w="2551" w:type="dxa"/>
            <w:shd w:val="clear" w:color="auto" w:fill="auto"/>
          </w:tcPr>
          <w:p w14:paraId="36DBDCFC" w14:textId="77777777" w:rsidR="000E0B0C" w:rsidRPr="0081146C" w:rsidRDefault="000E0B0C" w:rsidP="005246B0">
            <w:pPr>
              <w:pStyle w:val="ENoteTableText"/>
              <w:tabs>
                <w:tab w:val="center" w:leader="dot" w:pos="2268"/>
              </w:tabs>
            </w:pPr>
            <w:r w:rsidRPr="0081146C">
              <w:t>s 76L</w:t>
            </w:r>
            <w:r w:rsidRPr="0081146C">
              <w:tab/>
            </w:r>
          </w:p>
        </w:tc>
        <w:tc>
          <w:tcPr>
            <w:tcW w:w="4537" w:type="dxa"/>
            <w:shd w:val="clear" w:color="auto" w:fill="auto"/>
          </w:tcPr>
          <w:p w14:paraId="2BB98DBC" w14:textId="77777777" w:rsidR="000E0B0C" w:rsidRPr="0081146C" w:rsidRDefault="000E0B0C" w:rsidP="005246B0">
            <w:pPr>
              <w:pStyle w:val="ENoteTableText"/>
            </w:pPr>
            <w:r w:rsidRPr="0081146C">
              <w:t>ad No 130, 2017</w:t>
            </w:r>
          </w:p>
        </w:tc>
      </w:tr>
      <w:tr w:rsidR="000E0B0C" w:rsidRPr="0081146C" w14:paraId="1F6518ED" w14:textId="77777777" w:rsidTr="00965397">
        <w:trPr>
          <w:cantSplit/>
        </w:trPr>
        <w:tc>
          <w:tcPr>
            <w:tcW w:w="2551" w:type="dxa"/>
            <w:shd w:val="clear" w:color="auto" w:fill="auto"/>
          </w:tcPr>
          <w:p w14:paraId="10C08044" w14:textId="77777777" w:rsidR="000E0B0C" w:rsidRPr="0081146C" w:rsidRDefault="000E0B0C" w:rsidP="005246B0">
            <w:pPr>
              <w:pStyle w:val="ENoteTableText"/>
              <w:tabs>
                <w:tab w:val="center" w:leader="dot" w:pos="2268"/>
              </w:tabs>
            </w:pPr>
            <w:r w:rsidRPr="0081146C">
              <w:t>s 76M</w:t>
            </w:r>
            <w:r w:rsidRPr="0081146C">
              <w:tab/>
            </w:r>
          </w:p>
        </w:tc>
        <w:tc>
          <w:tcPr>
            <w:tcW w:w="4537" w:type="dxa"/>
            <w:shd w:val="clear" w:color="auto" w:fill="auto"/>
          </w:tcPr>
          <w:p w14:paraId="44056E4B" w14:textId="77777777" w:rsidR="000E0B0C" w:rsidRPr="0081146C" w:rsidRDefault="000E0B0C" w:rsidP="005246B0">
            <w:pPr>
              <w:pStyle w:val="ENoteTableText"/>
            </w:pPr>
            <w:r w:rsidRPr="0081146C">
              <w:t>ad No 130, 2017</w:t>
            </w:r>
          </w:p>
        </w:tc>
      </w:tr>
      <w:tr w:rsidR="000E0B0C" w:rsidRPr="0081146C" w14:paraId="3F9B2D11" w14:textId="77777777" w:rsidTr="00965397">
        <w:trPr>
          <w:cantSplit/>
        </w:trPr>
        <w:tc>
          <w:tcPr>
            <w:tcW w:w="2551" w:type="dxa"/>
            <w:shd w:val="clear" w:color="auto" w:fill="auto"/>
          </w:tcPr>
          <w:p w14:paraId="047A023C" w14:textId="77777777" w:rsidR="000E0B0C" w:rsidRPr="0081146C" w:rsidRDefault="000E0B0C" w:rsidP="005246B0">
            <w:pPr>
              <w:pStyle w:val="ENoteTableText"/>
              <w:tabs>
                <w:tab w:val="center" w:leader="dot" w:pos="2268"/>
              </w:tabs>
            </w:pPr>
            <w:r w:rsidRPr="0081146C">
              <w:t>s 76N</w:t>
            </w:r>
            <w:r w:rsidRPr="0081146C">
              <w:tab/>
            </w:r>
          </w:p>
        </w:tc>
        <w:tc>
          <w:tcPr>
            <w:tcW w:w="4537" w:type="dxa"/>
            <w:shd w:val="clear" w:color="auto" w:fill="auto"/>
          </w:tcPr>
          <w:p w14:paraId="57B46BDF" w14:textId="77777777" w:rsidR="000E0B0C" w:rsidRPr="0081146C" w:rsidRDefault="000E0B0C" w:rsidP="005246B0">
            <w:pPr>
              <w:pStyle w:val="ENoteTableText"/>
            </w:pPr>
            <w:r w:rsidRPr="0081146C">
              <w:t>ad No 130, 2017</w:t>
            </w:r>
          </w:p>
        </w:tc>
      </w:tr>
      <w:tr w:rsidR="000E0B0C" w:rsidRPr="0081146C" w14:paraId="228FC7CD" w14:textId="77777777" w:rsidTr="00965397">
        <w:trPr>
          <w:cantSplit/>
        </w:trPr>
        <w:tc>
          <w:tcPr>
            <w:tcW w:w="2551" w:type="dxa"/>
            <w:shd w:val="clear" w:color="auto" w:fill="auto"/>
          </w:tcPr>
          <w:p w14:paraId="3F1CC3F6" w14:textId="77777777" w:rsidR="000E0B0C" w:rsidRPr="0081146C" w:rsidRDefault="000E0B0C" w:rsidP="005246B0">
            <w:pPr>
              <w:pStyle w:val="ENoteTableText"/>
              <w:tabs>
                <w:tab w:val="center" w:leader="dot" w:pos="2268"/>
              </w:tabs>
            </w:pPr>
            <w:r w:rsidRPr="0081146C">
              <w:t>s 76P</w:t>
            </w:r>
            <w:r w:rsidRPr="0081146C">
              <w:tab/>
            </w:r>
          </w:p>
        </w:tc>
        <w:tc>
          <w:tcPr>
            <w:tcW w:w="4537" w:type="dxa"/>
            <w:shd w:val="clear" w:color="auto" w:fill="auto"/>
          </w:tcPr>
          <w:p w14:paraId="4D968597" w14:textId="77777777" w:rsidR="000E0B0C" w:rsidRPr="0081146C" w:rsidRDefault="000E0B0C" w:rsidP="005246B0">
            <w:pPr>
              <w:pStyle w:val="ENoteTableText"/>
            </w:pPr>
            <w:r w:rsidRPr="0081146C">
              <w:t>ad No 130, 2017</w:t>
            </w:r>
          </w:p>
        </w:tc>
      </w:tr>
      <w:tr w:rsidR="000E0B0C" w:rsidRPr="0081146C" w14:paraId="6A54FB88" w14:textId="77777777" w:rsidTr="00965397">
        <w:trPr>
          <w:cantSplit/>
        </w:trPr>
        <w:tc>
          <w:tcPr>
            <w:tcW w:w="2551" w:type="dxa"/>
            <w:shd w:val="clear" w:color="auto" w:fill="auto"/>
          </w:tcPr>
          <w:p w14:paraId="00F0C411" w14:textId="77777777" w:rsidR="000E0B0C" w:rsidRPr="0081146C" w:rsidRDefault="000E0B0C" w:rsidP="005246B0">
            <w:pPr>
              <w:pStyle w:val="ENoteTableText"/>
              <w:tabs>
                <w:tab w:val="center" w:leader="dot" w:pos="2268"/>
              </w:tabs>
            </w:pPr>
            <w:r w:rsidRPr="0081146C">
              <w:t>s 76Q</w:t>
            </w:r>
            <w:r w:rsidRPr="0081146C">
              <w:tab/>
            </w:r>
          </w:p>
        </w:tc>
        <w:tc>
          <w:tcPr>
            <w:tcW w:w="4537" w:type="dxa"/>
            <w:shd w:val="clear" w:color="auto" w:fill="auto"/>
          </w:tcPr>
          <w:p w14:paraId="2F9E6352" w14:textId="77777777" w:rsidR="000E0B0C" w:rsidRPr="0081146C" w:rsidRDefault="000E0B0C" w:rsidP="005246B0">
            <w:pPr>
              <w:pStyle w:val="ENoteTableText"/>
            </w:pPr>
            <w:r w:rsidRPr="0081146C">
              <w:t>ad No 130, 2017</w:t>
            </w:r>
          </w:p>
        </w:tc>
      </w:tr>
      <w:tr w:rsidR="000E0B0C" w:rsidRPr="0081146C" w14:paraId="2BDB72C0" w14:textId="77777777" w:rsidTr="00965397">
        <w:trPr>
          <w:cantSplit/>
        </w:trPr>
        <w:tc>
          <w:tcPr>
            <w:tcW w:w="2551" w:type="dxa"/>
            <w:shd w:val="clear" w:color="auto" w:fill="auto"/>
          </w:tcPr>
          <w:p w14:paraId="59428555" w14:textId="77777777" w:rsidR="000E0B0C" w:rsidRPr="0081146C" w:rsidRDefault="000E0B0C" w:rsidP="005246B0">
            <w:pPr>
              <w:pStyle w:val="ENoteTableText"/>
              <w:tabs>
                <w:tab w:val="center" w:leader="dot" w:pos="2268"/>
              </w:tabs>
            </w:pPr>
            <w:r w:rsidRPr="0081146C">
              <w:t>s 76R</w:t>
            </w:r>
            <w:r w:rsidRPr="0081146C">
              <w:tab/>
            </w:r>
          </w:p>
        </w:tc>
        <w:tc>
          <w:tcPr>
            <w:tcW w:w="4537" w:type="dxa"/>
            <w:shd w:val="clear" w:color="auto" w:fill="auto"/>
          </w:tcPr>
          <w:p w14:paraId="6801E5D8" w14:textId="77777777" w:rsidR="000E0B0C" w:rsidRPr="0081146C" w:rsidRDefault="000E0B0C" w:rsidP="005246B0">
            <w:pPr>
              <w:pStyle w:val="ENoteTableText"/>
            </w:pPr>
            <w:r w:rsidRPr="0081146C">
              <w:t>ad No 130, 2017</w:t>
            </w:r>
          </w:p>
        </w:tc>
      </w:tr>
      <w:tr w:rsidR="000E0B0C" w:rsidRPr="0081146C" w14:paraId="3B687BB1" w14:textId="77777777" w:rsidTr="00965397">
        <w:trPr>
          <w:cantSplit/>
        </w:trPr>
        <w:tc>
          <w:tcPr>
            <w:tcW w:w="2551" w:type="dxa"/>
            <w:shd w:val="clear" w:color="auto" w:fill="auto"/>
          </w:tcPr>
          <w:p w14:paraId="1CCDFD14" w14:textId="77777777" w:rsidR="000E0B0C" w:rsidRPr="0081146C" w:rsidRDefault="000E0B0C" w:rsidP="005246B0">
            <w:pPr>
              <w:pStyle w:val="ENoteTableText"/>
              <w:tabs>
                <w:tab w:val="center" w:leader="dot" w:pos="2268"/>
              </w:tabs>
            </w:pPr>
            <w:r w:rsidRPr="0081146C">
              <w:t>s 76S</w:t>
            </w:r>
            <w:r w:rsidRPr="0081146C">
              <w:tab/>
            </w:r>
          </w:p>
        </w:tc>
        <w:tc>
          <w:tcPr>
            <w:tcW w:w="4537" w:type="dxa"/>
            <w:shd w:val="clear" w:color="auto" w:fill="auto"/>
          </w:tcPr>
          <w:p w14:paraId="2572AD20" w14:textId="77777777" w:rsidR="000E0B0C" w:rsidRPr="0081146C" w:rsidRDefault="000E0B0C" w:rsidP="005246B0">
            <w:pPr>
              <w:pStyle w:val="ENoteTableText"/>
            </w:pPr>
            <w:r w:rsidRPr="0081146C">
              <w:t>ad No 130, 2017</w:t>
            </w:r>
          </w:p>
        </w:tc>
      </w:tr>
      <w:tr w:rsidR="000E0B0C" w:rsidRPr="0081146C" w14:paraId="7812146B" w14:textId="77777777" w:rsidTr="00965397">
        <w:trPr>
          <w:cantSplit/>
        </w:trPr>
        <w:tc>
          <w:tcPr>
            <w:tcW w:w="2551" w:type="dxa"/>
            <w:shd w:val="clear" w:color="auto" w:fill="auto"/>
          </w:tcPr>
          <w:p w14:paraId="325E11B0" w14:textId="77777777" w:rsidR="000E0B0C" w:rsidRPr="0081146C" w:rsidRDefault="00CA78AA" w:rsidP="005246B0">
            <w:pPr>
              <w:pStyle w:val="ENoteTableText"/>
              <w:tabs>
                <w:tab w:val="center" w:leader="dot" w:pos="2268"/>
              </w:tabs>
              <w:rPr>
                <w:b/>
              </w:rPr>
            </w:pPr>
            <w:r w:rsidRPr="0081146C">
              <w:rPr>
                <w:b/>
              </w:rPr>
              <w:t>Division 4</w:t>
            </w:r>
          </w:p>
        </w:tc>
        <w:tc>
          <w:tcPr>
            <w:tcW w:w="4537" w:type="dxa"/>
            <w:shd w:val="clear" w:color="auto" w:fill="auto"/>
          </w:tcPr>
          <w:p w14:paraId="5DD9655A" w14:textId="77777777" w:rsidR="000E0B0C" w:rsidRPr="0081146C" w:rsidRDefault="000E0B0C" w:rsidP="005246B0">
            <w:pPr>
              <w:pStyle w:val="ENoteTableText"/>
            </w:pPr>
          </w:p>
        </w:tc>
      </w:tr>
      <w:tr w:rsidR="000E0B0C" w:rsidRPr="0081146C" w14:paraId="1DA10BE5" w14:textId="77777777" w:rsidTr="00965397">
        <w:trPr>
          <w:cantSplit/>
        </w:trPr>
        <w:tc>
          <w:tcPr>
            <w:tcW w:w="2551" w:type="dxa"/>
            <w:shd w:val="clear" w:color="auto" w:fill="auto"/>
          </w:tcPr>
          <w:p w14:paraId="68A64E32" w14:textId="77777777" w:rsidR="000E0B0C" w:rsidRPr="0081146C" w:rsidRDefault="000E0B0C" w:rsidP="005246B0">
            <w:pPr>
              <w:pStyle w:val="ENoteTableText"/>
              <w:tabs>
                <w:tab w:val="center" w:leader="dot" w:pos="2268"/>
              </w:tabs>
            </w:pPr>
            <w:r w:rsidRPr="0081146C">
              <w:t>s 76T</w:t>
            </w:r>
            <w:r w:rsidRPr="0081146C">
              <w:tab/>
            </w:r>
          </w:p>
        </w:tc>
        <w:tc>
          <w:tcPr>
            <w:tcW w:w="4537" w:type="dxa"/>
            <w:shd w:val="clear" w:color="auto" w:fill="auto"/>
          </w:tcPr>
          <w:p w14:paraId="4F12C1C9" w14:textId="77777777" w:rsidR="000E0B0C" w:rsidRPr="0081146C" w:rsidRDefault="000E0B0C" w:rsidP="005246B0">
            <w:pPr>
              <w:pStyle w:val="ENoteTableText"/>
            </w:pPr>
            <w:r w:rsidRPr="0081146C">
              <w:t>ad No 130, 2017</w:t>
            </w:r>
          </w:p>
        </w:tc>
      </w:tr>
      <w:tr w:rsidR="000E0B0C" w:rsidRPr="0081146C" w14:paraId="6114DDED" w14:textId="77777777" w:rsidTr="00965397">
        <w:trPr>
          <w:cantSplit/>
        </w:trPr>
        <w:tc>
          <w:tcPr>
            <w:tcW w:w="2551" w:type="dxa"/>
            <w:shd w:val="clear" w:color="auto" w:fill="auto"/>
          </w:tcPr>
          <w:p w14:paraId="46521BCB" w14:textId="77777777" w:rsidR="000E0B0C" w:rsidRPr="0081146C" w:rsidRDefault="000E0B0C" w:rsidP="00005480">
            <w:pPr>
              <w:pStyle w:val="ENoteTableText"/>
              <w:tabs>
                <w:tab w:val="center" w:leader="dot" w:pos="2268"/>
              </w:tabs>
            </w:pPr>
            <w:r w:rsidRPr="0081146C">
              <w:t>s 77–79</w:t>
            </w:r>
            <w:r w:rsidRPr="0081146C">
              <w:tab/>
            </w:r>
          </w:p>
        </w:tc>
        <w:tc>
          <w:tcPr>
            <w:tcW w:w="4537" w:type="dxa"/>
            <w:shd w:val="clear" w:color="auto" w:fill="auto"/>
          </w:tcPr>
          <w:p w14:paraId="57011F26" w14:textId="77777777" w:rsidR="000E0B0C" w:rsidRPr="0081146C" w:rsidRDefault="000E0B0C" w:rsidP="00005480">
            <w:pPr>
              <w:pStyle w:val="ENoteTableText"/>
            </w:pPr>
            <w:r w:rsidRPr="0081146C">
              <w:t>rep No 60, 2011</w:t>
            </w:r>
          </w:p>
        </w:tc>
      </w:tr>
      <w:tr w:rsidR="000E0B0C" w:rsidRPr="0081146C" w14:paraId="2BD51643" w14:textId="77777777" w:rsidTr="00965397">
        <w:trPr>
          <w:cantSplit/>
        </w:trPr>
        <w:tc>
          <w:tcPr>
            <w:tcW w:w="2551" w:type="dxa"/>
            <w:shd w:val="clear" w:color="auto" w:fill="auto"/>
          </w:tcPr>
          <w:p w14:paraId="7892C73A" w14:textId="77777777" w:rsidR="000E0B0C" w:rsidRPr="0081146C" w:rsidRDefault="000E0B0C" w:rsidP="000161B9">
            <w:pPr>
              <w:pStyle w:val="ENoteTableText"/>
              <w:tabs>
                <w:tab w:val="center" w:leader="dot" w:pos="2268"/>
              </w:tabs>
            </w:pPr>
            <w:r w:rsidRPr="0081146C">
              <w:t>s 79A</w:t>
            </w:r>
            <w:r w:rsidRPr="0081146C">
              <w:tab/>
            </w:r>
          </w:p>
        </w:tc>
        <w:tc>
          <w:tcPr>
            <w:tcW w:w="4537" w:type="dxa"/>
            <w:shd w:val="clear" w:color="auto" w:fill="auto"/>
          </w:tcPr>
          <w:p w14:paraId="31F1FF1F" w14:textId="77777777" w:rsidR="000E0B0C" w:rsidRPr="0081146C" w:rsidRDefault="000E0B0C" w:rsidP="00005480">
            <w:pPr>
              <w:pStyle w:val="ENoteTableText"/>
            </w:pPr>
            <w:r w:rsidRPr="0081146C">
              <w:t>ad No 52, 2007</w:t>
            </w:r>
          </w:p>
        </w:tc>
      </w:tr>
      <w:tr w:rsidR="000E0B0C" w:rsidRPr="0081146C" w14:paraId="7E4FB611" w14:textId="77777777" w:rsidTr="00965397">
        <w:trPr>
          <w:cantSplit/>
        </w:trPr>
        <w:tc>
          <w:tcPr>
            <w:tcW w:w="2551" w:type="dxa"/>
            <w:shd w:val="clear" w:color="auto" w:fill="auto"/>
          </w:tcPr>
          <w:p w14:paraId="28C3E58D" w14:textId="77777777" w:rsidR="000E0B0C" w:rsidRPr="0081146C" w:rsidRDefault="000E0B0C" w:rsidP="00FF006D">
            <w:pPr>
              <w:pStyle w:val="ENoteTableText"/>
              <w:tabs>
                <w:tab w:val="center" w:leader="dot" w:pos="2268"/>
              </w:tabs>
            </w:pPr>
          </w:p>
        </w:tc>
        <w:tc>
          <w:tcPr>
            <w:tcW w:w="4537" w:type="dxa"/>
            <w:shd w:val="clear" w:color="auto" w:fill="auto"/>
          </w:tcPr>
          <w:p w14:paraId="7E4A2A8F" w14:textId="77777777" w:rsidR="000E0B0C" w:rsidRPr="0081146C" w:rsidRDefault="000E0B0C" w:rsidP="00005480">
            <w:pPr>
              <w:pStyle w:val="ENoteTableText"/>
            </w:pPr>
            <w:r w:rsidRPr="0081146C">
              <w:t>rep No 60, 2011</w:t>
            </w:r>
          </w:p>
        </w:tc>
      </w:tr>
      <w:tr w:rsidR="000E0B0C" w:rsidRPr="0081146C" w14:paraId="749B9808" w14:textId="77777777" w:rsidTr="00965397">
        <w:trPr>
          <w:cantSplit/>
        </w:trPr>
        <w:tc>
          <w:tcPr>
            <w:tcW w:w="2551" w:type="dxa"/>
            <w:shd w:val="clear" w:color="auto" w:fill="auto"/>
          </w:tcPr>
          <w:p w14:paraId="5308AFC6" w14:textId="77777777" w:rsidR="000E0B0C" w:rsidRPr="0081146C" w:rsidRDefault="000E0B0C" w:rsidP="00C72BA2">
            <w:pPr>
              <w:pStyle w:val="ENoteTableText"/>
            </w:pPr>
            <w:r w:rsidRPr="0081146C">
              <w:rPr>
                <w:b/>
              </w:rPr>
              <w:t>Part</w:t>
            </w:r>
            <w:r w:rsidR="004F64A4" w:rsidRPr="0081146C">
              <w:rPr>
                <w:b/>
              </w:rPr>
              <w:t> </w:t>
            </w:r>
            <w:r w:rsidRPr="0081146C">
              <w:rPr>
                <w:b/>
              </w:rPr>
              <w:t>7</w:t>
            </w:r>
          </w:p>
        </w:tc>
        <w:tc>
          <w:tcPr>
            <w:tcW w:w="4537" w:type="dxa"/>
            <w:shd w:val="clear" w:color="auto" w:fill="auto"/>
          </w:tcPr>
          <w:p w14:paraId="0F4C13AD" w14:textId="77777777" w:rsidR="000E0B0C" w:rsidRPr="0081146C" w:rsidRDefault="000E0B0C" w:rsidP="00C72BA2">
            <w:pPr>
              <w:pStyle w:val="ENoteTableText"/>
            </w:pPr>
          </w:p>
        </w:tc>
      </w:tr>
      <w:tr w:rsidR="000E0B0C" w:rsidRPr="0081146C" w14:paraId="6BD5754E" w14:textId="77777777" w:rsidTr="00965397">
        <w:trPr>
          <w:cantSplit/>
        </w:trPr>
        <w:tc>
          <w:tcPr>
            <w:tcW w:w="2551" w:type="dxa"/>
            <w:shd w:val="clear" w:color="auto" w:fill="auto"/>
          </w:tcPr>
          <w:p w14:paraId="10244FFD" w14:textId="77777777" w:rsidR="000E0B0C" w:rsidRPr="0081146C" w:rsidRDefault="00CA78AA" w:rsidP="00C72BA2">
            <w:pPr>
              <w:pStyle w:val="ENoteTableText"/>
            </w:pPr>
            <w:r w:rsidRPr="0081146C">
              <w:rPr>
                <w:b/>
              </w:rPr>
              <w:t>Division 3</w:t>
            </w:r>
          </w:p>
        </w:tc>
        <w:tc>
          <w:tcPr>
            <w:tcW w:w="4537" w:type="dxa"/>
            <w:shd w:val="clear" w:color="auto" w:fill="auto"/>
          </w:tcPr>
          <w:p w14:paraId="5C1D51BC" w14:textId="77777777" w:rsidR="000E0B0C" w:rsidRPr="0081146C" w:rsidRDefault="000E0B0C" w:rsidP="00C72BA2">
            <w:pPr>
              <w:pStyle w:val="ENoteTableText"/>
            </w:pPr>
          </w:p>
        </w:tc>
      </w:tr>
      <w:tr w:rsidR="000E0B0C" w:rsidRPr="0081146C" w14:paraId="1CCCC91D" w14:textId="77777777" w:rsidTr="00965397">
        <w:trPr>
          <w:cantSplit/>
        </w:trPr>
        <w:tc>
          <w:tcPr>
            <w:tcW w:w="2551" w:type="dxa"/>
            <w:shd w:val="clear" w:color="auto" w:fill="auto"/>
          </w:tcPr>
          <w:p w14:paraId="770233A2" w14:textId="77777777" w:rsidR="000E0B0C" w:rsidRPr="0081146C" w:rsidRDefault="000E0B0C" w:rsidP="00F01092">
            <w:pPr>
              <w:pStyle w:val="ENoteTableText"/>
              <w:tabs>
                <w:tab w:val="center" w:leader="dot" w:pos="2268"/>
              </w:tabs>
            </w:pPr>
            <w:r w:rsidRPr="0081146C">
              <w:t>s 84</w:t>
            </w:r>
            <w:r w:rsidRPr="0081146C">
              <w:tab/>
            </w:r>
          </w:p>
        </w:tc>
        <w:tc>
          <w:tcPr>
            <w:tcW w:w="4537" w:type="dxa"/>
            <w:shd w:val="clear" w:color="auto" w:fill="auto"/>
          </w:tcPr>
          <w:p w14:paraId="2A83C943" w14:textId="77777777" w:rsidR="000E0B0C" w:rsidRPr="0081146C" w:rsidRDefault="000E0B0C" w:rsidP="00F01092">
            <w:pPr>
              <w:pStyle w:val="ENoteTableText"/>
            </w:pPr>
            <w:r w:rsidRPr="0081146C">
              <w:t>am No</w:t>
            </w:r>
            <w:r w:rsidR="00626C22" w:rsidRPr="0081146C">
              <w:t> </w:t>
            </w:r>
            <w:r w:rsidRPr="0081146C">
              <w:t>60, 2011</w:t>
            </w:r>
          </w:p>
        </w:tc>
      </w:tr>
      <w:tr w:rsidR="000E0B0C" w:rsidRPr="0081146C" w14:paraId="51ADA2CA" w14:textId="77777777" w:rsidTr="00965397">
        <w:trPr>
          <w:cantSplit/>
        </w:trPr>
        <w:tc>
          <w:tcPr>
            <w:tcW w:w="2551" w:type="dxa"/>
            <w:shd w:val="clear" w:color="auto" w:fill="auto"/>
          </w:tcPr>
          <w:p w14:paraId="774C12BB" w14:textId="77777777" w:rsidR="000E0B0C" w:rsidRPr="0081146C" w:rsidRDefault="000E0B0C" w:rsidP="00F01092">
            <w:pPr>
              <w:pStyle w:val="ENoteTableText"/>
              <w:tabs>
                <w:tab w:val="center" w:leader="dot" w:pos="2268"/>
              </w:tabs>
            </w:pPr>
            <w:r w:rsidRPr="0081146C">
              <w:t>s 85</w:t>
            </w:r>
            <w:r w:rsidRPr="0081146C">
              <w:tab/>
            </w:r>
          </w:p>
        </w:tc>
        <w:tc>
          <w:tcPr>
            <w:tcW w:w="4537" w:type="dxa"/>
            <w:shd w:val="clear" w:color="auto" w:fill="auto"/>
          </w:tcPr>
          <w:p w14:paraId="3C778ECA" w14:textId="77777777" w:rsidR="000E0B0C" w:rsidRPr="0081146C" w:rsidRDefault="000E0B0C" w:rsidP="00F01092">
            <w:pPr>
              <w:pStyle w:val="ENoteTableText"/>
            </w:pPr>
            <w:r w:rsidRPr="0081146C">
              <w:t>am No</w:t>
            </w:r>
            <w:r w:rsidR="00626C22" w:rsidRPr="0081146C">
              <w:t> </w:t>
            </w:r>
            <w:r w:rsidRPr="0081146C">
              <w:t>52, 2007</w:t>
            </w:r>
          </w:p>
        </w:tc>
      </w:tr>
      <w:tr w:rsidR="000E0B0C" w:rsidRPr="0081146C" w14:paraId="02CC3BD6" w14:textId="77777777" w:rsidTr="00965397">
        <w:trPr>
          <w:cantSplit/>
        </w:trPr>
        <w:tc>
          <w:tcPr>
            <w:tcW w:w="2551" w:type="dxa"/>
            <w:shd w:val="clear" w:color="auto" w:fill="auto"/>
          </w:tcPr>
          <w:p w14:paraId="0D4AFD32" w14:textId="77777777" w:rsidR="000E0B0C" w:rsidRPr="0081146C" w:rsidRDefault="000E0B0C" w:rsidP="00681145">
            <w:pPr>
              <w:pStyle w:val="ENoteTableText"/>
              <w:tabs>
                <w:tab w:val="center" w:leader="dot" w:pos="2268"/>
              </w:tabs>
            </w:pPr>
            <w:r w:rsidRPr="0081146C">
              <w:t>s 90</w:t>
            </w:r>
            <w:r w:rsidRPr="0081146C">
              <w:tab/>
            </w:r>
          </w:p>
        </w:tc>
        <w:tc>
          <w:tcPr>
            <w:tcW w:w="4537" w:type="dxa"/>
            <w:shd w:val="clear" w:color="auto" w:fill="auto"/>
          </w:tcPr>
          <w:p w14:paraId="10E02A87" w14:textId="77777777" w:rsidR="000E0B0C" w:rsidRPr="0081146C" w:rsidRDefault="000E0B0C" w:rsidP="00261CB4">
            <w:pPr>
              <w:pStyle w:val="ENoteTableText"/>
            </w:pPr>
            <w:r w:rsidRPr="0081146C">
              <w:t>am No 126, 2015</w:t>
            </w:r>
          </w:p>
        </w:tc>
      </w:tr>
      <w:tr w:rsidR="000E0B0C" w:rsidRPr="0081146C" w14:paraId="15B47BE5" w14:textId="77777777" w:rsidTr="00965397">
        <w:trPr>
          <w:cantSplit/>
        </w:trPr>
        <w:tc>
          <w:tcPr>
            <w:tcW w:w="2551" w:type="dxa"/>
            <w:shd w:val="clear" w:color="auto" w:fill="auto"/>
          </w:tcPr>
          <w:p w14:paraId="70203C75" w14:textId="77777777" w:rsidR="000E0B0C" w:rsidRPr="0081146C" w:rsidRDefault="000E0B0C" w:rsidP="00681145">
            <w:pPr>
              <w:pStyle w:val="ENoteTableText"/>
              <w:tabs>
                <w:tab w:val="center" w:leader="dot" w:pos="2268"/>
              </w:tabs>
            </w:pPr>
            <w:r w:rsidRPr="0081146C">
              <w:t>s 91</w:t>
            </w:r>
            <w:r w:rsidRPr="0081146C">
              <w:tab/>
            </w:r>
          </w:p>
        </w:tc>
        <w:tc>
          <w:tcPr>
            <w:tcW w:w="4537" w:type="dxa"/>
            <w:shd w:val="clear" w:color="auto" w:fill="auto"/>
          </w:tcPr>
          <w:p w14:paraId="1FBC4BCB" w14:textId="77777777" w:rsidR="000E0B0C" w:rsidRPr="0081146C" w:rsidRDefault="000E0B0C" w:rsidP="00261CB4">
            <w:pPr>
              <w:pStyle w:val="ENoteTableText"/>
            </w:pPr>
            <w:r w:rsidRPr="0081146C">
              <w:t>am No 126, 2015</w:t>
            </w:r>
          </w:p>
        </w:tc>
      </w:tr>
      <w:tr w:rsidR="000E0B0C" w:rsidRPr="0081146C" w14:paraId="1B56AB03" w14:textId="77777777" w:rsidTr="00965397">
        <w:trPr>
          <w:cantSplit/>
        </w:trPr>
        <w:tc>
          <w:tcPr>
            <w:tcW w:w="2551" w:type="dxa"/>
            <w:shd w:val="clear" w:color="auto" w:fill="auto"/>
          </w:tcPr>
          <w:p w14:paraId="4801CF2A" w14:textId="77777777" w:rsidR="000E0B0C" w:rsidRPr="0081146C" w:rsidRDefault="000E0B0C" w:rsidP="00681145">
            <w:pPr>
              <w:pStyle w:val="ENoteTableText"/>
              <w:tabs>
                <w:tab w:val="center" w:leader="dot" w:pos="2268"/>
              </w:tabs>
              <w:rPr>
                <w:b/>
              </w:rPr>
            </w:pPr>
            <w:r w:rsidRPr="0081146C">
              <w:rPr>
                <w:b/>
              </w:rPr>
              <w:t>Part</w:t>
            </w:r>
            <w:r w:rsidR="004F64A4" w:rsidRPr="0081146C">
              <w:rPr>
                <w:b/>
              </w:rPr>
              <w:t> </w:t>
            </w:r>
            <w:r w:rsidRPr="0081146C">
              <w:rPr>
                <w:b/>
              </w:rPr>
              <w:t>8</w:t>
            </w:r>
          </w:p>
        </w:tc>
        <w:tc>
          <w:tcPr>
            <w:tcW w:w="4537" w:type="dxa"/>
            <w:shd w:val="clear" w:color="auto" w:fill="auto"/>
          </w:tcPr>
          <w:p w14:paraId="08756956" w14:textId="77777777" w:rsidR="000E0B0C" w:rsidRPr="0081146C" w:rsidRDefault="000E0B0C" w:rsidP="00261CB4">
            <w:pPr>
              <w:pStyle w:val="ENoteTableText"/>
            </w:pPr>
          </w:p>
        </w:tc>
      </w:tr>
      <w:tr w:rsidR="00591B91" w:rsidRPr="0081146C" w14:paraId="1AB4C8FB" w14:textId="77777777" w:rsidTr="00965397">
        <w:trPr>
          <w:cantSplit/>
        </w:trPr>
        <w:tc>
          <w:tcPr>
            <w:tcW w:w="2551" w:type="dxa"/>
            <w:shd w:val="clear" w:color="auto" w:fill="auto"/>
          </w:tcPr>
          <w:p w14:paraId="66EB505A" w14:textId="77777777" w:rsidR="00591B91" w:rsidRPr="0081146C" w:rsidRDefault="00591B91" w:rsidP="00681145">
            <w:pPr>
              <w:pStyle w:val="ENoteTableText"/>
              <w:tabs>
                <w:tab w:val="center" w:leader="dot" w:pos="2268"/>
              </w:tabs>
            </w:pPr>
            <w:r w:rsidRPr="0081146C">
              <w:t>s 94</w:t>
            </w:r>
            <w:r w:rsidRPr="0081146C">
              <w:tab/>
            </w:r>
          </w:p>
        </w:tc>
        <w:tc>
          <w:tcPr>
            <w:tcW w:w="4537" w:type="dxa"/>
            <w:shd w:val="clear" w:color="auto" w:fill="auto"/>
          </w:tcPr>
          <w:p w14:paraId="6C768AB9" w14:textId="77777777" w:rsidR="00591B91" w:rsidRPr="0081146C" w:rsidRDefault="00591B91" w:rsidP="00261CB4">
            <w:pPr>
              <w:pStyle w:val="ENoteTableText"/>
            </w:pPr>
            <w:r w:rsidRPr="0081146C">
              <w:t>rs No 133, 2020</w:t>
            </w:r>
          </w:p>
        </w:tc>
      </w:tr>
      <w:tr w:rsidR="00591B91" w:rsidRPr="0081146C" w14:paraId="2D9BE4AA" w14:textId="77777777" w:rsidTr="00965397">
        <w:trPr>
          <w:cantSplit/>
        </w:trPr>
        <w:tc>
          <w:tcPr>
            <w:tcW w:w="2551" w:type="dxa"/>
            <w:shd w:val="clear" w:color="auto" w:fill="auto"/>
          </w:tcPr>
          <w:p w14:paraId="248EFCB5" w14:textId="77777777" w:rsidR="00591B91" w:rsidRPr="0081146C" w:rsidRDefault="00591B91" w:rsidP="00681145">
            <w:pPr>
              <w:pStyle w:val="ENoteTableText"/>
              <w:tabs>
                <w:tab w:val="center" w:leader="dot" w:pos="2268"/>
              </w:tabs>
            </w:pPr>
            <w:r w:rsidRPr="0081146C">
              <w:t>s 95</w:t>
            </w:r>
            <w:r w:rsidRPr="0081146C">
              <w:tab/>
            </w:r>
          </w:p>
        </w:tc>
        <w:tc>
          <w:tcPr>
            <w:tcW w:w="4537" w:type="dxa"/>
            <w:shd w:val="clear" w:color="auto" w:fill="auto"/>
          </w:tcPr>
          <w:p w14:paraId="1C817616" w14:textId="77777777" w:rsidR="00591B91" w:rsidRPr="0081146C" w:rsidRDefault="00591B91" w:rsidP="00261CB4">
            <w:pPr>
              <w:pStyle w:val="ENoteTableText"/>
            </w:pPr>
            <w:r w:rsidRPr="0081146C">
              <w:t>rs No 133, 2020</w:t>
            </w:r>
          </w:p>
        </w:tc>
      </w:tr>
      <w:tr w:rsidR="00591B91" w:rsidRPr="0081146C" w14:paraId="65C46268" w14:textId="77777777" w:rsidTr="00965397">
        <w:trPr>
          <w:cantSplit/>
        </w:trPr>
        <w:tc>
          <w:tcPr>
            <w:tcW w:w="2551" w:type="dxa"/>
            <w:shd w:val="clear" w:color="auto" w:fill="auto"/>
          </w:tcPr>
          <w:p w14:paraId="50A009DA" w14:textId="77777777" w:rsidR="00591B91" w:rsidRPr="0081146C" w:rsidRDefault="00591B91" w:rsidP="00681145">
            <w:pPr>
              <w:pStyle w:val="ENoteTableText"/>
              <w:tabs>
                <w:tab w:val="center" w:leader="dot" w:pos="2268"/>
              </w:tabs>
            </w:pPr>
            <w:r w:rsidRPr="0081146C">
              <w:t>s 96</w:t>
            </w:r>
            <w:r w:rsidRPr="0081146C">
              <w:tab/>
            </w:r>
          </w:p>
        </w:tc>
        <w:tc>
          <w:tcPr>
            <w:tcW w:w="4537" w:type="dxa"/>
            <w:shd w:val="clear" w:color="auto" w:fill="auto"/>
          </w:tcPr>
          <w:p w14:paraId="26A6BD99" w14:textId="77777777" w:rsidR="00591B91" w:rsidRPr="0081146C" w:rsidRDefault="00591B91" w:rsidP="00261CB4">
            <w:pPr>
              <w:pStyle w:val="ENoteTableText"/>
            </w:pPr>
            <w:r w:rsidRPr="0081146C">
              <w:t>rs No 133, 2020</w:t>
            </w:r>
          </w:p>
        </w:tc>
      </w:tr>
      <w:tr w:rsidR="000E0B0C" w:rsidRPr="0081146C" w14:paraId="1B1D37CB" w14:textId="77777777" w:rsidTr="00965397">
        <w:trPr>
          <w:cantSplit/>
        </w:trPr>
        <w:tc>
          <w:tcPr>
            <w:tcW w:w="2551" w:type="dxa"/>
            <w:shd w:val="clear" w:color="auto" w:fill="auto"/>
          </w:tcPr>
          <w:p w14:paraId="3A002917" w14:textId="77777777" w:rsidR="000E0B0C" w:rsidRPr="0081146C" w:rsidRDefault="000E0B0C" w:rsidP="00681145">
            <w:pPr>
              <w:pStyle w:val="ENoteTableText"/>
              <w:tabs>
                <w:tab w:val="center" w:leader="dot" w:pos="2268"/>
              </w:tabs>
            </w:pPr>
            <w:r w:rsidRPr="0081146C">
              <w:t>s 97</w:t>
            </w:r>
            <w:r w:rsidRPr="0081146C">
              <w:tab/>
            </w:r>
          </w:p>
        </w:tc>
        <w:tc>
          <w:tcPr>
            <w:tcW w:w="4537" w:type="dxa"/>
            <w:shd w:val="clear" w:color="auto" w:fill="auto"/>
          </w:tcPr>
          <w:p w14:paraId="3335341E" w14:textId="77777777" w:rsidR="000E0B0C" w:rsidRPr="0081146C" w:rsidRDefault="000E0B0C" w:rsidP="00261CB4">
            <w:pPr>
              <w:pStyle w:val="ENoteTableText"/>
            </w:pPr>
            <w:r w:rsidRPr="0081146C">
              <w:t>am No 130, 2017</w:t>
            </w:r>
          </w:p>
        </w:tc>
      </w:tr>
      <w:tr w:rsidR="00591B91" w:rsidRPr="0081146C" w14:paraId="474D65E9" w14:textId="77777777" w:rsidTr="00965397">
        <w:trPr>
          <w:cantSplit/>
        </w:trPr>
        <w:tc>
          <w:tcPr>
            <w:tcW w:w="2551" w:type="dxa"/>
            <w:shd w:val="clear" w:color="auto" w:fill="auto"/>
          </w:tcPr>
          <w:p w14:paraId="4AF238DE" w14:textId="77777777" w:rsidR="00591B91" w:rsidRPr="0081146C" w:rsidRDefault="00591B91" w:rsidP="00681145">
            <w:pPr>
              <w:pStyle w:val="ENoteTableText"/>
              <w:tabs>
                <w:tab w:val="center" w:leader="dot" w:pos="2268"/>
              </w:tabs>
            </w:pPr>
          </w:p>
        </w:tc>
        <w:tc>
          <w:tcPr>
            <w:tcW w:w="4537" w:type="dxa"/>
            <w:shd w:val="clear" w:color="auto" w:fill="auto"/>
          </w:tcPr>
          <w:p w14:paraId="497C797C" w14:textId="77777777" w:rsidR="00591B91" w:rsidRPr="0081146C" w:rsidRDefault="00591B91" w:rsidP="00261CB4">
            <w:pPr>
              <w:pStyle w:val="ENoteTableText"/>
            </w:pPr>
            <w:r w:rsidRPr="0081146C">
              <w:t>rep No 133, 2020</w:t>
            </w:r>
          </w:p>
        </w:tc>
      </w:tr>
      <w:tr w:rsidR="000E0B0C" w:rsidRPr="0081146C" w14:paraId="01DEFC83" w14:textId="77777777" w:rsidTr="00965397">
        <w:trPr>
          <w:cantSplit/>
        </w:trPr>
        <w:tc>
          <w:tcPr>
            <w:tcW w:w="2551" w:type="dxa"/>
            <w:shd w:val="clear" w:color="auto" w:fill="auto"/>
          </w:tcPr>
          <w:p w14:paraId="7F4B69A4" w14:textId="77777777" w:rsidR="000E0B0C" w:rsidRPr="0081146C" w:rsidRDefault="000E0B0C" w:rsidP="00681145">
            <w:pPr>
              <w:pStyle w:val="ENoteTableText"/>
              <w:tabs>
                <w:tab w:val="center" w:leader="dot" w:pos="2268"/>
              </w:tabs>
            </w:pPr>
            <w:r w:rsidRPr="0081146C">
              <w:t>s 98</w:t>
            </w:r>
            <w:r w:rsidRPr="0081146C">
              <w:tab/>
            </w:r>
          </w:p>
        </w:tc>
        <w:tc>
          <w:tcPr>
            <w:tcW w:w="4537" w:type="dxa"/>
            <w:shd w:val="clear" w:color="auto" w:fill="auto"/>
          </w:tcPr>
          <w:p w14:paraId="0B20BC28" w14:textId="77777777" w:rsidR="000E0B0C" w:rsidRPr="0081146C" w:rsidRDefault="000E0B0C" w:rsidP="00261CB4">
            <w:pPr>
              <w:pStyle w:val="ENoteTableText"/>
            </w:pPr>
            <w:r w:rsidRPr="0081146C">
              <w:t>am No 130, 2017</w:t>
            </w:r>
          </w:p>
        </w:tc>
      </w:tr>
      <w:tr w:rsidR="00591B91" w:rsidRPr="0081146C" w14:paraId="47A99496" w14:textId="77777777" w:rsidTr="00965397">
        <w:trPr>
          <w:cantSplit/>
        </w:trPr>
        <w:tc>
          <w:tcPr>
            <w:tcW w:w="2551" w:type="dxa"/>
            <w:shd w:val="clear" w:color="auto" w:fill="auto"/>
          </w:tcPr>
          <w:p w14:paraId="6289E6FC" w14:textId="77777777" w:rsidR="00591B91" w:rsidRPr="0081146C" w:rsidRDefault="00591B91" w:rsidP="00681145">
            <w:pPr>
              <w:pStyle w:val="ENoteTableText"/>
              <w:tabs>
                <w:tab w:val="center" w:leader="dot" w:pos="2268"/>
              </w:tabs>
            </w:pPr>
          </w:p>
        </w:tc>
        <w:tc>
          <w:tcPr>
            <w:tcW w:w="4537" w:type="dxa"/>
            <w:shd w:val="clear" w:color="auto" w:fill="auto"/>
          </w:tcPr>
          <w:p w14:paraId="5F6F30A2" w14:textId="77777777" w:rsidR="00591B91" w:rsidRPr="0081146C" w:rsidRDefault="00591B91" w:rsidP="00261CB4">
            <w:pPr>
              <w:pStyle w:val="ENoteTableText"/>
            </w:pPr>
            <w:r w:rsidRPr="0081146C">
              <w:t>rep No 133, 2020</w:t>
            </w:r>
          </w:p>
        </w:tc>
      </w:tr>
      <w:tr w:rsidR="000E0B0C" w:rsidRPr="0081146C" w14:paraId="6EEAA199" w14:textId="77777777" w:rsidTr="00965397">
        <w:trPr>
          <w:cantSplit/>
        </w:trPr>
        <w:tc>
          <w:tcPr>
            <w:tcW w:w="2551" w:type="dxa"/>
            <w:shd w:val="clear" w:color="auto" w:fill="auto"/>
          </w:tcPr>
          <w:p w14:paraId="4FB6213F" w14:textId="77777777" w:rsidR="000E0B0C" w:rsidRPr="0081146C" w:rsidRDefault="000E0B0C" w:rsidP="00681145">
            <w:pPr>
              <w:pStyle w:val="ENoteTableText"/>
              <w:tabs>
                <w:tab w:val="center" w:leader="dot" w:pos="2268"/>
              </w:tabs>
            </w:pPr>
            <w:r w:rsidRPr="0081146C">
              <w:t>s 99</w:t>
            </w:r>
            <w:r w:rsidRPr="0081146C">
              <w:tab/>
            </w:r>
          </w:p>
        </w:tc>
        <w:tc>
          <w:tcPr>
            <w:tcW w:w="4537" w:type="dxa"/>
            <w:shd w:val="clear" w:color="auto" w:fill="auto"/>
          </w:tcPr>
          <w:p w14:paraId="1926572A" w14:textId="77777777" w:rsidR="000E0B0C" w:rsidRPr="0081146C" w:rsidRDefault="000E0B0C" w:rsidP="00261CB4">
            <w:pPr>
              <w:pStyle w:val="ENoteTableText"/>
            </w:pPr>
            <w:r w:rsidRPr="0081146C">
              <w:t>am No 130, 2017</w:t>
            </w:r>
          </w:p>
        </w:tc>
      </w:tr>
      <w:tr w:rsidR="00591B91" w:rsidRPr="0081146C" w14:paraId="2920E16F" w14:textId="77777777" w:rsidTr="00965397">
        <w:trPr>
          <w:cantSplit/>
        </w:trPr>
        <w:tc>
          <w:tcPr>
            <w:tcW w:w="2551" w:type="dxa"/>
            <w:shd w:val="clear" w:color="auto" w:fill="auto"/>
          </w:tcPr>
          <w:p w14:paraId="3A466564" w14:textId="77777777" w:rsidR="00591B91" w:rsidRPr="0081146C" w:rsidRDefault="00591B91" w:rsidP="00681145">
            <w:pPr>
              <w:pStyle w:val="ENoteTableText"/>
              <w:tabs>
                <w:tab w:val="center" w:leader="dot" w:pos="2268"/>
              </w:tabs>
            </w:pPr>
          </w:p>
        </w:tc>
        <w:tc>
          <w:tcPr>
            <w:tcW w:w="4537" w:type="dxa"/>
            <w:shd w:val="clear" w:color="auto" w:fill="auto"/>
          </w:tcPr>
          <w:p w14:paraId="39AC7C14" w14:textId="77777777" w:rsidR="00591B91" w:rsidRPr="0081146C" w:rsidRDefault="00591B91" w:rsidP="00261CB4">
            <w:pPr>
              <w:pStyle w:val="ENoteTableText"/>
            </w:pPr>
            <w:r w:rsidRPr="0081146C">
              <w:t>rep No 133, 2020</w:t>
            </w:r>
          </w:p>
        </w:tc>
      </w:tr>
      <w:tr w:rsidR="000E0B0C" w:rsidRPr="0081146C" w14:paraId="4E747331" w14:textId="77777777" w:rsidTr="00965397">
        <w:trPr>
          <w:cantSplit/>
        </w:trPr>
        <w:tc>
          <w:tcPr>
            <w:tcW w:w="2551" w:type="dxa"/>
            <w:shd w:val="clear" w:color="auto" w:fill="auto"/>
          </w:tcPr>
          <w:p w14:paraId="6D7534D1" w14:textId="77777777" w:rsidR="000E0B0C" w:rsidRPr="0081146C" w:rsidRDefault="000E0B0C" w:rsidP="00681145">
            <w:pPr>
              <w:pStyle w:val="ENoteTableText"/>
            </w:pPr>
            <w:r w:rsidRPr="0081146C">
              <w:rPr>
                <w:b/>
              </w:rPr>
              <w:t>Part</w:t>
            </w:r>
            <w:r w:rsidR="004F64A4" w:rsidRPr="0081146C">
              <w:rPr>
                <w:b/>
              </w:rPr>
              <w:t> </w:t>
            </w:r>
            <w:r w:rsidRPr="0081146C">
              <w:rPr>
                <w:b/>
              </w:rPr>
              <w:t>9</w:t>
            </w:r>
          </w:p>
        </w:tc>
        <w:tc>
          <w:tcPr>
            <w:tcW w:w="4537" w:type="dxa"/>
            <w:shd w:val="clear" w:color="auto" w:fill="auto"/>
          </w:tcPr>
          <w:p w14:paraId="4478196E" w14:textId="77777777" w:rsidR="000E0B0C" w:rsidRPr="0081146C" w:rsidRDefault="000E0B0C" w:rsidP="00261CB4">
            <w:pPr>
              <w:pStyle w:val="ENoteTableText"/>
            </w:pPr>
          </w:p>
        </w:tc>
      </w:tr>
      <w:tr w:rsidR="000E0B0C" w:rsidRPr="0081146C" w14:paraId="663D9050" w14:textId="77777777" w:rsidTr="00965397">
        <w:trPr>
          <w:cantSplit/>
        </w:trPr>
        <w:tc>
          <w:tcPr>
            <w:tcW w:w="2551" w:type="dxa"/>
            <w:shd w:val="clear" w:color="auto" w:fill="auto"/>
          </w:tcPr>
          <w:p w14:paraId="6473FDA8" w14:textId="77777777" w:rsidR="000E0B0C" w:rsidRPr="0081146C" w:rsidRDefault="000E0B0C" w:rsidP="00681145">
            <w:pPr>
              <w:pStyle w:val="ENoteTableText"/>
              <w:tabs>
                <w:tab w:val="center" w:leader="dot" w:pos="2268"/>
              </w:tabs>
            </w:pPr>
            <w:r w:rsidRPr="0081146C">
              <w:t>s 102</w:t>
            </w:r>
            <w:r w:rsidRPr="0081146C">
              <w:tab/>
            </w:r>
          </w:p>
        </w:tc>
        <w:tc>
          <w:tcPr>
            <w:tcW w:w="4537" w:type="dxa"/>
            <w:shd w:val="clear" w:color="auto" w:fill="auto"/>
          </w:tcPr>
          <w:p w14:paraId="50D71496" w14:textId="77777777" w:rsidR="000E0B0C" w:rsidRPr="0081146C" w:rsidRDefault="000E0B0C" w:rsidP="00261CB4">
            <w:pPr>
              <w:pStyle w:val="ENoteTableText"/>
            </w:pPr>
            <w:r w:rsidRPr="0081146C">
              <w:t>am No 126, 2015</w:t>
            </w:r>
          </w:p>
        </w:tc>
      </w:tr>
      <w:tr w:rsidR="000E0B0C" w:rsidRPr="0081146C" w14:paraId="1D8D1791" w14:textId="77777777" w:rsidTr="00965397">
        <w:trPr>
          <w:cantSplit/>
        </w:trPr>
        <w:tc>
          <w:tcPr>
            <w:tcW w:w="2551" w:type="dxa"/>
            <w:shd w:val="clear" w:color="auto" w:fill="auto"/>
          </w:tcPr>
          <w:p w14:paraId="62D63463" w14:textId="77777777" w:rsidR="000E0B0C" w:rsidRPr="0081146C" w:rsidRDefault="000E0B0C" w:rsidP="00681145">
            <w:pPr>
              <w:pStyle w:val="ENoteTableText"/>
              <w:tabs>
                <w:tab w:val="center" w:leader="dot" w:pos="2268"/>
              </w:tabs>
            </w:pPr>
            <w:r w:rsidRPr="0081146C">
              <w:t>s 103</w:t>
            </w:r>
            <w:r w:rsidRPr="0081146C">
              <w:tab/>
            </w:r>
          </w:p>
        </w:tc>
        <w:tc>
          <w:tcPr>
            <w:tcW w:w="4537" w:type="dxa"/>
            <w:shd w:val="clear" w:color="auto" w:fill="auto"/>
          </w:tcPr>
          <w:p w14:paraId="4EA4A650" w14:textId="77777777" w:rsidR="000E0B0C" w:rsidRPr="0081146C" w:rsidRDefault="000E0B0C" w:rsidP="00261CB4">
            <w:pPr>
              <w:pStyle w:val="ENoteTableText"/>
            </w:pPr>
            <w:r w:rsidRPr="0081146C">
              <w:t>am No 126, 2015</w:t>
            </w:r>
          </w:p>
        </w:tc>
      </w:tr>
      <w:tr w:rsidR="00591B91" w:rsidRPr="0081146C" w14:paraId="2218A806" w14:textId="77777777" w:rsidTr="00965397">
        <w:trPr>
          <w:cantSplit/>
        </w:trPr>
        <w:tc>
          <w:tcPr>
            <w:tcW w:w="2551" w:type="dxa"/>
            <w:shd w:val="clear" w:color="auto" w:fill="auto"/>
          </w:tcPr>
          <w:p w14:paraId="48CDDA9C" w14:textId="77777777" w:rsidR="00591B91" w:rsidRPr="0081146C" w:rsidRDefault="00CA78AA" w:rsidP="00681145">
            <w:pPr>
              <w:pStyle w:val="ENoteTableText"/>
              <w:tabs>
                <w:tab w:val="center" w:leader="dot" w:pos="2268"/>
              </w:tabs>
            </w:pPr>
            <w:r w:rsidRPr="0081146C">
              <w:rPr>
                <w:b/>
              </w:rPr>
              <w:t>Part 1</w:t>
            </w:r>
            <w:r w:rsidR="00591B91" w:rsidRPr="0081146C">
              <w:rPr>
                <w:b/>
              </w:rPr>
              <w:t>0</w:t>
            </w:r>
          </w:p>
        </w:tc>
        <w:tc>
          <w:tcPr>
            <w:tcW w:w="4537" w:type="dxa"/>
            <w:shd w:val="clear" w:color="auto" w:fill="auto"/>
          </w:tcPr>
          <w:p w14:paraId="1C4870B6" w14:textId="77777777" w:rsidR="00591B91" w:rsidRPr="0081146C" w:rsidRDefault="00591B91" w:rsidP="00261CB4">
            <w:pPr>
              <w:pStyle w:val="ENoteTableText"/>
            </w:pPr>
          </w:p>
        </w:tc>
      </w:tr>
      <w:tr w:rsidR="00591B91" w:rsidRPr="0081146C" w14:paraId="682CB74F" w14:textId="77777777" w:rsidTr="00965397">
        <w:trPr>
          <w:cantSplit/>
        </w:trPr>
        <w:tc>
          <w:tcPr>
            <w:tcW w:w="2551" w:type="dxa"/>
            <w:shd w:val="clear" w:color="auto" w:fill="auto"/>
          </w:tcPr>
          <w:p w14:paraId="26F2A09C" w14:textId="77777777" w:rsidR="00591B91" w:rsidRPr="0081146C" w:rsidRDefault="00CA78AA" w:rsidP="00681145">
            <w:pPr>
              <w:pStyle w:val="ENoteTableText"/>
              <w:tabs>
                <w:tab w:val="center" w:leader="dot" w:pos="2268"/>
              </w:tabs>
              <w:rPr>
                <w:b/>
              </w:rPr>
            </w:pPr>
            <w:r w:rsidRPr="0081146C">
              <w:rPr>
                <w:b/>
              </w:rPr>
              <w:t>Division 1</w:t>
            </w:r>
          </w:p>
        </w:tc>
        <w:tc>
          <w:tcPr>
            <w:tcW w:w="4537" w:type="dxa"/>
            <w:shd w:val="clear" w:color="auto" w:fill="auto"/>
          </w:tcPr>
          <w:p w14:paraId="45083D83" w14:textId="77777777" w:rsidR="00591B91" w:rsidRPr="0081146C" w:rsidRDefault="00591B91" w:rsidP="00261CB4">
            <w:pPr>
              <w:pStyle w:val="ENoteTableText"/>
            </w:pPr>
          </w:p>
        </w:tc>
      </w:tr>
      <w:tr w:rsidR="00591B91" w:rsidRPr="0081146C" w14:paraId="2D4B54D9" w14:textId="77777777" w:rsidTr="00965397">
        <w:trPr>
          <w:cantSplit/>
        </w:trPr>
        <w:tc>
          <w:tcPr>
            <w:tcW w:w="2551" w:type="dxa"/>
            <w:shd w:val="clear" w:color="auto" w:fill="auto"/>
          </w:tcPr>
          <w:p w14:paraId="1681410C" w14:textId="77777777" w:rsidR="00591B91" w:rsidRPr="0081146C" w:rsidRDefault="00591B91" w:rsidP="00681145">
            <w:pPr>
              <w:pStyle w:val="ENoteTableText"/>
              <w:tabs>
                <w:tab w:val="center" w:leader="dot" w:pos="2268"/>
              </w:tabs>
            </w:pPr>
            <w:r w:rsidRPr="0081146C">
              <w:t>s 104</w:t>
            </w:r>
            <w:r w:rsidRPr="0081146C">
              <w:tab/>
            </w:r>
          </w:p>
        </w:tc>
        <w:tc>
          <w:tcPr>
            <w:tcW w:w="4537" w:type="dxa"/>
            <w:shd w:val="clear" w:color="auto" w:fill="auto"/>
          </w:tcPr>
          <w:p w14:paraId="77A919AF" w14:textId="77777777" w:rsidR="00591B91" w:rsidRPr="0081146C" w:rsidRDefault="00591B91" w:rsidP="00261CB4">
            <w:pPr>
              <w:pStyle w:val="ENoteTableText"/>
            </w:pPr>
            <w:r w:rsidRPr="0081146C">
              <w:t>am No 133, 2020</w:t>
            </w:r>
          </w:p>
        </w:tc>
      </w:tr>
      <w:tr w:rsidR="00591B91" w:rsidRPr="0081146C" w14:paraId="5B5B9DE9" w14:textId="77777777" w:rsidTr="00965397">
        <w:trPr>
          <w:cantSplit/>
        </w:trPr>
        <w:tc>
          <w:tcPr>
            <w:tcW w:w="2551" w:type="dxa"/>
            <w:shd w:val="clear" w:color="auto" w:fill="auto"/>
          </w:tcPr>
          <w:p w14:paraId="3E02CF7D" w14:textId="77777777" w:rsidR="00591B91" w:rsidRPr="0081146C" w:rsidRDefault="00CA78AA" w:rsidP="00681145">
            <w:pPr>
              <w:pStyle w:val="ENoteTableText"/>
              <w:tabs>
                <w:tab w:val="center" w:leader="dot" w:pos="2268"/>
              </w:tabs>
              <w:rPr>
                <w:b/>
              </w:rPr>
            </w:pPr>
            <w:r w:rsidRPr="0081146C">
              <w:rPr>
                <w:b/>
              </w:rPr>
              <w:t>Division 3</w:t>
            </w:r>
          </w:p>
        </w:tc>
        <w:tc>
          <w:tcPr>
            <w:tcW w:w="4537" w:type="dxa"/>
            <w:shd w:val="clear" w:color="auto" w:fill="auto"/>
          </w:tcPr>
          <w:p w14:paraId="0CDED344" w14:textId="77777777" w:rsidR="00591B91" w:rsidRPr="0081146C" w:rsidRDefault="00591B91" w:rsidP="00261CB4">
            <w:pPr>
              <w:pStyle w:val="ENoteTableText"/>
            </w:pPr>
          </w:p>
        </w:tc>
      </w:tr>
      <w:tr w:rsidR="00591B91" w:rsidRPr="0081146C" w14:paraId="3B233631" w14:textId="77777777" w:rsidTr="00965397">
        <w:trPr>
          <w:cantSplit/>
        </w:trPr>
        <w:tc>
          <w:tcPr>
            <w:tcW w:w="2551" w:type="dxa"/>
            <w:shd w:val="clear" w:color="auto" w:fill="auto"/>
          </w:tcPr>
          <w:p w14:paraId="64C5D50D" w14:textId="77777777" w:rsidR="00591B91" w:rsidRPr="0081146C" w:rsidRDefault="00CA78AA" w:rsidP="00681145">
            <w:pPr>
              <w:pStyle w:val="ENoteTableText"/>
              <w:tabs>
                <w:tab w:val="center" w:leader="dot" w:pos="2268"/>
              </w:tabs>
            </w:pPr>
            <w:r w:rsidRPr="0081146C">
              <w:t>Division 3</w:t>
            </w:r>
            <w:r w:rsidR="00591B91" w:rsidRPr="0081146C">
              <w:t xml:space="preserve"> heading</w:t>
            </w:r>
            <w:r w:rsidR="00591B91" w:rsidRPr="0081146C">
              <w:tab/>
            </w:r>
          </w:p>
        </w:tc>
        <w:tc>
          <w:tcPr>
            <w:tcW w:w="4537" w:type="dxa"/>
            <w:shd w:val="clear" w:color="auto" w:fill="auto"/>
          </w:tcPr>
          <w:p w14:paraId="148B32A9" w14:textId="77777777" w:rsidR="00591B91" w:rsidRPr="0081146C" w:rsidRDefault="00591B91" w:rsidP="00261CB4">
            <w:pPr>
              <w:pStyle w:val="ENoteTableText"/>
            </w:pPr>
            <w:r w:rsidRPr="0081146C">
              <w:t>rs No 133, 2020</w:t>
            </w:r>
          </w:p>
        </w:tc>
      </w:tr>
      <w:tr w:rsidR="00591B91" w:rsidRPr="0081146C" w14:paraId="2202A65B" w14:textId="77777777" w:rsidTr="00965397">
        <w:trPr>
          <w:cantSplit/>
        </w:trPr>
        <w:tc>
          <w:tcPr>
            <w:tcW w:w="2551" w:type="dxa"/>
            <w:shd w:val="clear" w:color="auto" w:fill="auto"/>
          </w:tcPr>
          <w:p w14:paraId="50E2C380" w14:textId="77777777" w:rsidR="00591B91" w:rsidRPr="0081146C" w:rsidRDefault="00591B91" w:rsidP="00681145">
            <w:pPr>
              <w:pStyle w:val="ENoteTableText"/>
              <w:tabs>
                <w:tab w:val="center" w:leader="dot" w:pos="2268"/>
              </w:tabs>
            </w:pPr>
            <w:r w:rsidRPr="0081146C">
              <w:t>s 114</w:t>
            </w:r>
            <w:r w:rsidRPr="0081146C">
              <w:tab/>
            </w:r>
          </w:p>
        </w:tc>
        <w:tc>
          <w:tcPr>
            <w:tcW w:w="4537" w:type="dxa"/>
            <w:shd w:val="clear" w:color="auto" w:fill="auto"/>
          </w:tcPr>
          <w:p w14:paraId="2672ED34" w14:textId="77777777" w:rsidR="00591B91" w:rsidRPr="0081146C" w:rsidRDefault="00591B91" w:rsidP="00261CB4">
            <w:pPr>
              <w:pStyle w:val="ENoteTableText"/>
            </w:pPr>
            <w:r w:rsidRPr="0081146C">
              <w:t>rs No 133, 2020</w:t>
            </w:r>
          </w:p>
        </w:tc>
      </w:tr>
      <w:tr w:rsidR="00591B91" w:rsidRPr="0081146C" w14:paraId="449448FD" w14:textId="77777777" w:rsidTr="00965397">
        <w:trPr>
          <w:cantSplit/>
        </w:trPr>
        <w:tc>
          <w:tcPr>
            <w:tcW w:w="2551" w:type="dxa"/>
            <w:shd w:val="clear" w:color="auto" w:fill="auto"/>
          </w:tcPr>
          <w:p w14:paraId="5AB4A8F4" w14:textId="77777777" w:rsidR="00591B91" w:rsidRPr="0081146C" w:rsidRDefault="00591B91" w:rsidP="00681145">
            <w:pPr>
              <w:pStyle w:val="ENoteTableText"/>
              <w:tabs>
                <w:tab w:val="center" w:leader="dot" w:pos="2268"/>
              </w:tabs>
            </w:pPr>
            <w:r w:rsidRPr="0081146C">
              <w:t>s 114A</w:t>
            </w:r>
            <w:r w:rsidRPr="0081146C">
              <w:tab/>
            </w:r>
          </w:p>
        </w:tc>
        <w:tc>
          <w:tcPr>
            <w:tcW w:w="4537" w:type="dxa"/>
            <w:shd w:val="clear" w:color="auto" w:fill="auto"/>
          </w:tcPr>
          <w:p w14:paraId="5FC285CF" w14:textId="77777777" w:rsidR="00591B91" w:rsidRPr="0081146C" w:rsidRDefault="00591B91" w:rsidP="00261CB4">
            <w:pPr>
              <w:pStyle w:val="ENoteTableText"/>
            </w:pPr>
            <w:r w:rsidRPr="0081146C">
              <w:t>ad No 133, 2020</w:t>
            </w:r>
          </w:p>
        </w:tc>
      </w:tr>
      <w:tr w:rsidR="00591B91" w:rsidRPr="0081146C" w14:paraId="4D1C4F51" w14:textId="77777777" w:rsidTr="00965397">
        <w:trPr>
          <w:cantSplit/>
        </w:trPr>
        <w:tc>
          <w:tcPr>
            <w:tcW w:w="2551" w:type="dxa"/>
            <w:shd w:val="clear" w:color="auto" w:fill="auto"/>
          </w:tcPr>
          <w:p w14:paraId="07C0F63E" w14:textId="77777777" w:rsidR="00591B91" w:rsidRPr="0081146C" w:rsidRDefault="003A364D" w:rsidP="00681145">
            <w:pPr>
              <w:pStyle w:val="ENoteTableText"/>
              <w:tabs>
                <w:tab w:val="center" w:leader="dot" w:pos="2268"/>
              </w:tabs>
              <w:rPr>
                <w:b/>
              </w:rPr>
            </w:pPr>
            <w:r w:rsidRPr="0081146C">
              <w:rPr>
                <w:b/>
              </w:rPr>
              <w:t>Division 6</w:t>
            </w:r>
          </w:p>
        </w:tc>
        <w:tc>
          <w:tcPr>
            <w:tcW w:w="4537" w:type="dxa"/>
            <w:shd w:val="clear" w:color="auto" w:fill="auto"/>
          </w:tcPr>
          <w:p w14:paraId="10B36452" w14:textId="77777777" w:rsidR="00591B91" w:rsidRPr="0081146C" w:rsidRDefault="00591B91" w:rsidP="00261CB4">
            <w:pPr>
              <w:pStyle w:val="ENoteTableText"/>
            </w:pPr>
          </w:p>
        </w:tc>
      </w:tr>
      <w:tr w:rsidR="00591B91" w:rsidRPr="0081146C" w14:paraId="4C83CCA8" w14:textId="77777777" w:rsidTr="00965397">
        <w:trPr>
          <w:cantSplit/>
        </w:trPr>
        <w:tc>
          <w:tcPr>
            <w:tcW w:w="2551" w:type="dxa"/>
            <w:shd w:val="clear" w:color="auto" w:fill="auto"/>
          </w:tcPr>
          <w:p w14:paraId="521BB2BD" w14:textId="77777777" w:rsidR="00591B91" w:rsidRPr="0081146C" w:rsidRDefault="003A364D" w:rsidP="00681145">
            <w:pPr>
              <w:pStyle w:val="ENoteTableText"/>
              <w:tabs>
                <w:tab w:val="center" w:leader="dot" w:pos="2268"/>
              </w:tabs>
            </w:pPr>
            <w:r w:rsidRPr="0081146C">
              <w:t>Division 6</w:t>
            </w:r>
            <w:r w:rsidR="00591B91" w:rsidRPr="0081146C">
              <w:t xml:space="preserve"> heading</w:t>
            </w:r>
            <w:r w:rsidR="00591B91" w:rsidRPr="0081146C">
              <w:tab/>
            </w:r>
          </w:p>
        </w:tc>
        <w:tc>
          <w:tcPr>
            <w:tcW w:w="4537" w:type="dxa"/>
            <w:shd w:val="clear" w:color="auto" w:fill="auto"/>
          </w:tcPr>
          <w:p w14:paraId="0BA4CE1C" w14:textId="77777777" w:rsidR="00591B91" w:rsidRPr="0081146C" w:rsidRDefault="00591B91" w:rsidP="00261CB4">
            <w:pPr>
              <w:pStyle w:val="ENoteTableText"/>
            </w:pPr>
            <w:r w:rsidRPr="0081146C">
              <w:t>rs No 133, 2020</w:t>
            </w:r>
          </w:p>
        </w:tc>
      </w:tr>
      <w:tr w:rsidR="00B44C2C" w:rsidRPr="0081146C" w14:paraId="1DD6B3DF" w14:textId="77777777" w:rsidTr="00965397">
        <w:trPr>
          <w:cantSplit/>
        </w:trPr>
        <w:tc>
          <w:tcPr>
            <w:tcW w:w="2551" w:type="dxa"/>
            <w:shd w:val="clear" w:color="auto" w:fill="auto"/>
          </w:tcPr>
          <w:p w14:paraId="774F239E" w14:textId="77777777" w:rsidR="00B44C2C" w:rsidRPr="0081146C" w:rsidRDefault="00B44C2C" w:rsidP="00681145">
            <w:pPr>
              <w:pStyle w:val="ENoteTableText"/>
              <w:tabs>
                <w:tab w:val="center" w:leader="dot" w:pos="2268"/>
              </w:tabs>
            </w:pPr>
            <w:r w:rsidRPr="0081146C">
              <w:t>s 117</w:t>
            </w:r>
            <w:r w:rsidRPr="0081146C">
              <w:tab/>
            </w:r>
          </w:p>
        </w:tc>
        <w:tc>
          <w:tcPr>
            <w:tcW w:w="4537" w:type="dxa"/>
            <w:shd w:val="clear" w:color="auto" w:fill="auto"/>
          </w:tcPr>
          <w:p w14:paraId="32165564" w14:textId="77777777" w:rsidR="00B44C2C" w:rsidRPr="0081146C" w:rsidRDefault="00B44C2C" w:rsidP="00261CB4">
            <w:pPr>
              <w:pStyle w:val="ENoteTableText"/>
            </w:pPr>
            <w:r w:rsidRPr="0081146C">
              <w:t>am No 133, 2020</w:t>
            </w:r>
          </w:p>
        </w:tc>
      </w:tr>
      <w:tr w:rsidR="000E0B0C" w:rsidRPr="0081146C" w14:paraId="15CB9E85" w14:textId="77777777" w:rsidTr="00965397">
        <w:trPr>
          <w:cantSplit/>
        </w:trPr>
        <w:tc>
          <w:tcPr>
            <w:tcW w:w="2551" w:type="dxa"/>
            <w:shd w:val="clear" w:color="auto" w:fill="auto"/>
          </w:tcPr>
          <w:p w14:paraId="50BF43FC" w14:textId="77777777" w:rsidR="000E0B0C" w:rsidRPr="0081146C" w:rsidRDefault="00CA78AA" w:rsidP="00C72BA2">
            <w:pPr>
              <w:pStyle w:val="ENoteTableText"/>
            </w:pPr>
            <w:r w:rsidRPr="0081146C">
              <w:rPr>
                <w:b/>
              </w:rPr>
              <w:t>Part 1</w:t>
            </w:r>
            <w:r w:rsidR="000E0B0C" w:rsidRPr="0081146C">
              <w:rPr>
                <w:b/>
              </w:rPr>
              <w:t>1</w:t>
            </w:r>
          </w:p>
        </w:tc>
        <w:tc>
          <w:tcPr>
            <w:tcW w:w="4537" w:type="dxa"/>
            <w:shd w:val="clear" w:color="auto" w:fill="auto"/>
          </w:tcPr>
          <w:p w14:paraId="549FE972" w14:textId="77777777" w:rsidR="000E0B0C" w:rsidRPr="0081146C" w:rsidRDefault="000E0B0C" w:rsidP="00C72BA2">
            <w:pPr>
              <w:pStyle w:val="ENoteTableText"/>
            </w:pPr>
          </w:p>
        </w:tc>
      </w:tr>
      <w:tr w:rsidR="004E3F00" w:rsidRPr="0081146C" w14:paraId="5063D4A6" w14:textId="77777777" w:rsidTr="00965397">
        <w:trPr>
          <w:cantSplit/>
        </w:trPr>
        <w:tc>
          <w:tcPr>
            <w:tcW w:w="2551" w:type="dxa"/>
            <w:shd w:val="clear" w:color="auto" w:fill="auto"/>
          </w:tcPr>
          <w:p w14:paraId="3F8D2191" w14:textId="77777777" w:rsidR="004E3F00" w:rsidRPr="0081146C" w:rsidRDefault="00CA78AA" w:rsidP="00D6467B">
            <w:pPr>
              <w:pStyle w:val="ENoteTableText"/>
              <w:tabs>
                <w:tab w:val="center" w:leader="dot" w:pos="2268"/>
              </w:tabs>
              <w:rPr>
                <w:b/>
              </w:rPr>
            </w:pPr>
            <w:r w:rsidRPr="0081146C">
              <w:rPr>
                <w:b/>
              </w:rPr>
              <w:t>Division 1</w:t>
            </w:r>
          </w:p>
        </w:tc>
        <w:tc>
          <w:tcPr>
            <w:tcW w:w="4537" w:type="dxa"/>
            <w:shd w:val="clear" w:color="auto" w:fill="auto"/>
          </w:tcPr>
          <w:p w14:paraId="244D9BEF" w14:textId="77777777" w:rsidR="004E3F00" w:rsidRPr="0081146C" w:rsidRDefault="004E3F00" w:rsidP="00C72BA2">
            <w:pPr>
              <w:pStyle w:val="ENoteTableText"/>
            </w:pPr>
          </w:p>
        </w:tc>
      </w:tr>
      <w:tr w:rsidR="004E3F00" w:rsidRPr="0081146C" w14:paraId="650927C0" w14:textId="77777777" w:rsidTr="00965397">
        <w:trPr>
          <w:cantSplit/>
        </w:trPr>
        <w:tc>
          <w:tcPr>
            <w:tcW w:w="2551" w:type="dxa"/>
            <w:shd w:val="clear" w:color="auto" w:fill="auto"/>
          </w:tcPr>
          <w:p w14:paraId="20E1C052" w14:textId="77777777" w:rsidR="004E3F00" w:rsidRPr="0081146C" w:rsidRDefault="00CA78AA" w:rsidP="004E3F00">
            <w:pPr>
              <w:pStyle w:val="ENoteTableText"/>
              <w:tabs>
                <w:tab w:val="center" w:leader="dot" w:pos="2268"/>
              </w:tabs>
            </w:pPr>
            <w:r w:rsidRPr="0081146C">
              <w:t>Division 1</w:t>
            </w:r>
            <w:r w:rsidR="004E3F00" w:rsidRPr="0081146C">
              <w:tab/>
            </w:r>
          </w:p>
        </w:tc>
        <w:tc>
          <w:tcPr>
            <w:tcW w:w="4537" w:type="dxa"/>
            <w:shd w:val="clear" w:color="auto" w:fill="auto"/>
          </w:tcPr>
          <w:p w14:paraId="0F9BBF5E" w14:textId="77777777" w:rsidR="004E3F00" w:rsidRPr="0081146C" w:rsidRDefault="004E3F00" w:rsidP="00C72BA2">
            <w:pPr>
              <w:pStyle w:val="ENoteTableText"/>
            </w:pPr>
            <w:r w:rsidRPr="0081146C">
              <w:t>rs No 133, 2020</w:t>
            </w:r>
          </w:p>
        </w:tc>
      </w:tr>
      <w:tr w:rsidR="004E3F00" w:rsidRPr="0081146C" w14:paraId="6BB7BD8B" w14:textId="77777777" w:rsidTr="00965397">
        <w:trPr>
          <w:cantSplit/>
        </w:trPr>
        <w:tc>
          <w:tcPr>
            <w:tcW w:w="2551" w:type="dxa"/>
            <w:shd w:val="clear" w:color="auto" w:fill="auto"/>
          </w:tcPr>
          <w:p w14:paraId="2B46F034" w14:textId="77777777" w:rsidR="004E3F00" w:rsidRPr="0081146C" w:rsidRDefault="004E3F00" w:rsidP="004E3F00">
            <w:pPr>
              <w:pStyle w:val="ENoteTableText"/>
              <w:tabs>
                <w:tab w:val="center" w:leader="dot" w:pos="2268"/>
              </w:tabs>
            </w:pPr>
            <w:r w:rsidRPr="0081146C">
              <w:t>s 120</w:t>
            </w:r>
            <w:r w:rsidRPr="0081146C">
              <w:tab/>
            </w:r>
          </w:p>
        </w:tc>
        <w:tc>
          <w:tcPr>
            <w:tcW w:w="4537" w:type="dxa"/>
            <w:shd w:val="clear" w:color="auto" w:fill="auto"/>
          </w:tcPr>
          <w:p w14:paraId="5B79D39B" w14:textId="77777777" w:rsidR="004E3F00" w:rsidRPr="0081146C" w:rsidRDefault="004E3F00" w:rsidP="00C72BA2">
            <w:pPr>
              <w:pStyle w:val="ENoteTableText"/>
            </w:pPr>
            <w:r w:rsidRPr="0081146C">
              <w:t>rs No 133, 2020</w:t>
            </w:r>
          </w:p>
        </w:tc>
      </w:tr>
      <w:tr w:rsidR="000E0B0C" w:rsidRPr="0081146C" w14:paraId="6CDB5992" w14:textId="77777777" w:rsidTr="00965397">
        <w:trPr>
          <w:cantSplit/>
        </w:trPr>
        <w:tc>
          <w:tcPr>
            <w:tcW w:w="2551" w:type="dxa"/>
            <w:shd w:val="clear" w:color="auto" w:fill="auto"/>
          </w:tcPr>
          <w:p w14:paraId="02EF6E58" w14:textId="77777777" w:rsidR="000E0B0C" w:rsidRPr="0081146C" w:rsidRDefault="00CA78AA" w:rsidP="00C72BA2">
            <w:pPr>
              <w:pStyle w:val="ENoteTableText"/>
            </w:pPr>
            <w:r w:rsidRPr="0081146C">
              <w:rPr>
                <w:b/>
              </w:rPr>
              <w:t>Division 2</w:t>
            </w:r>
          </w:p>
        </w:tc>
        <w:tc>
          <w:tcPr>
            <w:tcW w:w="4537" w:type="dxa"/>
            <w:shd w:val="clear" w:color="auto" w:fill="auto"/>
          </w:tcPr>
          <w:p w14:paraId="3668C85D" w14:textId="77777777" w:rsidR="000E0B0C" w:rsidRPr="0081146C" w:rsidRDefault="000E0B0C" w:rsidP="00C72BA2">
            <w:pPr>
              <w:pStyle w:val="ENoteTableText"/>
            </w:pPr>
          </w:p>
        </w:tc>
      </w:tr>
      <w:tr w:rsidR="004E3F00" w:rsidRPr="0081146C" w14:paraId="29DBDF13" w14:textId="77777777" w:rsidTr="00965397">
        <w:trPr>
          <w:cantSplit/>
        </w:trPr>
        <w:tc>
          <w:tcPr>
            <w:tcW w:w="2551" w:type="dxa"/>
            <w:shd w:val="clear" w:color="auto" w:fill="auto"/>
          </w:tcPr>
          <w:p w14:paraId="36083950" w14:textId="77777777" w:rsidR="004E3F00" w:rsidRPr="0081146C" w:rsidRDefault="00CA78AA" w:rsidP="00D6467B">
            <w:pPr>
              <w:pStyle w:val="ENoteTableText"/>
              <w:tabs>
                <w:tab w:val="center" w:leader="dot" w:pos="2268"/>
              </w:tabs>
            </w:pPr>
            <w:r w:rsidRPr="0081146C">
              <w:t>Division 2</w:t>
            </w:r>
            <w:r w:rsidR="004E3F00" w:rsidRPr="0081146C">
              <w:tab/>
            </w:r>
          </w:p>
        </w:tc>
        <w:tc>
          <w:tcPr>
            <w:tcW w:w="4537" w:type="dxa"/>
            <w:shd w:val="clear" w:color="auto" w:fill="auto"/>
          </w:tcPr>
          <w:p w14:paraId="748B94E4" w14:textId="77777777" w:rsidR="004E3F00" w:rsidRPr="0081146C" w:rsidRDefault="004E3F00" w:rsidP="00C72BA2">
            <w:pPr>
              <w:pStyle w:val="ENoteTableText"/>
            </w:pPr>
            <w:r w:rsidRPr="0081146C">
              <w:t>rs No 133, 2020</w:t>
            </w:r>
          </w:p>
        </w:tc>
      </w:tr>
      <w:tr w:rsidR="000E0B0C" w:rsidRPr="0081146C" w14:paraId="7BDD3F7F" w14:textId="77777777" w:rsidTr="00965397">
        <w:trPr>
          <w:cantSplit/>
        </w:trPr>
        <w:tc>
          <w:tcPr>
            <w:tcW w:w="2551" w:type="dxa"/>
            <w:shd w:val="clear" w:color="auto" w:fill="auto"/>
          </w:tcPr>
          <w:p w14:paraId="73099346" w14:textId="77777777" w:rsidR="000E0B0C" w:rsidRPr="0081146C" w:rsidRDefault="000E0B0C" w:rsidP="00AE2DA2">
            <w:pPr>
              <w:pStyle w:val="ENoteTableText"/>
              <w:tabs>
                <w:tab w:val="center" w:leader="dot" w:pos="2268"/>
              </w:tabs>
            </w:pPr>
            <w:r w:rsidRPr="0081146C">
              <w:t>s 121</w:t>
            </w:r>
            <w:r w:rsidRPr="0081146C">
              <w:tab/>
            </w:r>
          </w:p>
        </w:tc>
        <w:tc>
          <w:tcPr>
            <w:tcW w:w="4537" w:type="dxa"/>
            <w:shd w:val="clear" w:color="auto" w:fill="auto"/>
          </w:tcPr>
          <w:p w14:paraId="5163C72F" w14:textId="77777777" w:rsidR="000E0B0C" w:rsidRPr="0081146C" w:rsidRDefault="000E0B0C" w:rsidP="00C72BA2">
            <w:pPr>
              <w:pStyle w:val="ENoteTableText"/>
            </w:pPr>
            <w:r w:rsidRPr="0081146C">
              <w:t>am No</w:t>
            </w:r>
            <w:r w:rsidR="004F64A4" w:rsidRPr="0081146C">
              <w:t> </w:t>
            </w:r>
            <w:r w:rsidRPr="0081146C">
              <w:t>74, 2013; No 116, 2014</w:t>
            </w:r>
          </w:p>
        </w:tc>
      </w:tr>
      <w:tr w:rsidR="004E3F00" w:rsidRPr="0081146C" w14:paraId="32D2E52A" w14:textId="77777777" w:rsidTr="00965397">
        <w:trPr>
          <w:cantSplit/>
        </w:trPr>
        <w:tc>
          <w:tcPr>
            <w:tcW w:w="2551" w:type="dxa"/>
            <w:shd w:val="clear" w:color="auto" w:fill="auto"/>
          </w:tcPr>
          <w:p w14:paraId="71D9DAC7" w14:textId="77777777" w:rsidR="004E3F00" w:rsidRPr="0081146C" w:rsidRDefault="004E3F00" w:rsidP="00AE2DA2">
            <w:pPr>
              <w:pStyle w:val="ENoteTableText"/>
              <w:tabs>
                <w:tab w:val="center" w:leader="dot" w:pos="2268"/>
              </w:tabs>
            </w:pPr>
          </w:p>
        </w:tc>
        <w:tc>
          <w:tcPr>
            <w:tcW w:w="4537" w:type="dxa"/>
            <w:shd w:val="clear" w:color="auto" w:fill="auto"/>
          </w:tcPr>
          <w:p w14:paraId="4DAAF702" w14:textId="77777777" w:rsidR="004E3F00" w:rsidRPr="0081146C" w:rsidRDefault="004E3F00" w:rsidP="00C72BA2">
            <w:pPr>
              <w:pStyle w:val="ENoteTableText"/>
            </w:pPr>
            <w:r w:rsidRPr="0081146C">
              <w:t>rs No 133, 2020</w:t>
            </w:r>
          </w:p>
        </w:tc>
      </w:tr>
      <w:tr w:rsidR="007E2BE6" w:rsidRPr="0081146C" w14:paraId="6956F52A" w14:textId="77777777" w:rsidTr="00965397">
        <w:trPr>
          <w:cantSplit/>
        </w:trPr>
        <w:tc>
          <w:tcPr>
            <w:tcW w:w="2551" w:type="dxa"/>
            <w:shd w:val="clear" w:color="auto" w:fill="auto"/>
          </w:tcPr>
          <w:p w14:paraId="5FAE4323" w14:textId="77777777" w:rsidR="007E2BE6" w:rsidRPr="0081146C" w:rsidRDefault="007E2BE6" w:rsidP="00AE2DA2">
            <w:pPr>
              <w:pStyle w:val="ENoteTableText"/>
              <w:tabs>
                <w:tab w:val="center" w:leader="dot" w:pos="2268"/>
              </w:tabs>
            </w:pPr>
          </w:p>
        </w:tc>
        <w:tc>
          <w:tcPr>
            <w:tcW w:w="4537" w:type="dxa"/>
            <w:shd w:val="clear" w:color="auto" w:fill="auto"/>
          </w:tcPr>
          <w:p w14:paraId="3B528F79" w14:textId="77777777" w:rsidR="007E2BE6" w:rsidRPr="0081146C" w:rsidRDefault="007E2BE6" w:rsidP="00C72BA2">
            <w:pPr>
              <w:pStyle w:val="ENoteTableText"/>
            </w:pPr>
            <w:r w:rsidRPr="0081146C">
              <w:t>am No 89, 2022</w:t>
            </w:r>
          </w:p>
        </w:tc>
      </w:tr>
      <w:tr w:rsidR="000E0B0C" w:rsidRPr="0081146C" w14:paraId="49E9E6D2" w14:textId="77777777" w:rsidTr="00965397">
        <w:trPr>
          <w:cantSplit/>
        </w:trPr>
        <w:tc>
          <w:tcPr>
            <w:tcW w:w="2551" w:type="dxa"/>
            <w:shd w:val="clear" w:color="auto" w:fill="auto"/>
          </w:tcPr>
          <w:p w14:paraId="48082ECA" w14:textId="77777777" w:rsidR="000E0B0C" w:rsidRPr="0081146C" w:rsidRDefault="000E0B0C" w:rsidP="00AE2DA2">
            <w:pPr>
              <w:pStyle w:val="ENoteTableText"/>
              <w:tabs>
                <w:tab w:val="center" w:leader="dot" w:pos="2268"/>
              </w:tabs>
            </w:pPr>
            <w:r w:rsidRPr="0081146C">
              <w:t>s 122</w:t>
            </w:r>
            <w:r w:rsidRPr="0081146C">
              <w:tab/>
            </w:r>
          </w:p>
        </w:tc>
        <w:tc>
          <w:tcPr>
            <w:tcW w:w="4537" w:type="dxa"/>
            <w:shd w:val="clear" w:color="auto" w:fill="auto"/>
          </w:tcPr>
          <w:p w14:paraId="7CF7CFC0" w14:textId="77777777" w:rsidR="000E0B0C" w:rsidRPr="0081146C" w:rsidRDefault="000E0B0C" w:rsidP="00C72BA2">
            <w:pPr>
              <w:pStyle w:val="ENoteTableText"/>
            </w:pPr>
            <w:r w:rsidRPr="0081146C">
              <w:t>am No 116, 2014; No 12, 2015; No 41, 2015; No 15, 2016</w:t>
            </w:r>
          </w:p>
        </w:tc>
      </w:tr>
      <w:tr w:rsidR="004E3F00" w:rsidRPr="0081146C" w14:paraId="037C5131" w14:textId="77777777" w:rsidTr="00965397">
        <w:trPr>
          <w:cantSplit/>
        </w:trPr>
        <w:tc>
          <w:tcPr>
            <w:tcW w:w="2551" w:type="dxa"/>
            <w:shd w:val="clear" w:color="auto" w:fill="auto"/>
          </w:tcPr>
          <w:p w14:paraId="2D48D9B0" w14:textId="77777777" w:rsidR="004E3F00" w:rsidRPr="0081146C" w:rsidRDefault="004E3F00" w:rsidP="00AE2DA2">
            <w:pPr>
              <w:pStyle w:val="ENoteTableText"/>
              <w:tabs>
                <w:tab w:val="center" w:leader="dot" w:pos="2268"/>
              </w:tabs>
            </w:pPr>
          </w:p>
        </w:tc>
        <w:tc>
          <w:tcPr>
            <w:tcW w:w="4537" w:type="dxa"/>
            <w:shd w:val="clear" w:color="auto" w:fill="auto"/>
          </w:tcPr>
          <w:p w14:paraId="5ED3EEC8" w14:textId="77777777" w:rsidR="004E3F00" w:rsidRPr="0081146C" w:rsidRDefault="004E3F00" w:rsidP="00C72BA2">
            <w:pPr>
              <w:pStyle w:val="ENoteTableText"/>
            </w:pPr>
            <w:r w:rsidRPr="0081146C">
              <w:t>rep No 133, 2020</w:t>
            </w:r>
          </w:p>
        </w:tc>
      </w:tr>
      <w:tr w:rsidR="000E0B0C" w:rsidRPr="0081146C" w14:paraId="337F359A" w14:textId="77777777" w:rsidTr="00965397">
        <w:trPr>
          <w:cantSplit/>
        </w:trPr>
        <w:tc>
          <w:tcPr>
            <w:tcW w:w="2551" w:type="dxa"/>
            <w:shd w:val="clear" w:color="auto" w:fill="auto"/>
          </w:tcPr>
          <w:p w14:paraId="534372CE" w14:textId="77777777" w:rsidR="000E0B0C" w:rsidRPr="0081146C" w:rsidRDefault="00CA78AA" w:rsidP="0099072C">
            <w:pPr>
              <w:pStyle w:val="ENoteTableText"/>
              <w:keepNext/>
              <w:tabs>
                <w:tab w:val="right" w:pos="482"/>
                <w:tab w:val="center" w:leader="dot" w:pos="2268"/>
              </w:tabs>
              <w:ind w:left="748" w:hanging="748"/>
              <w:rPr>
                <w:b/>
              </w:rPr>
            </w:pPr>
            <w:r w:rsidRPr="0081146C">
              <w:rPr>
                <w:b/>
              </w:rPr>
              <w:t>Division 3</w:t>
            </w:r>
          </w:p>
        </w:tc>
        <w:tc>
          <w:tcPr>
            <w:tcW w:w="4537" w:type="dxa"/>
            <w:shd w:val="clear" w:color="auto" w:fill="auto"/>
          </w:tcPr>
          <w:p w14:paraId="5D9836E7" w14:textId="77777777" w:rsidR="000E0B0C" w:rsidRPr="0081146C" w:rsidRDefault="000E0B0C" w:rsidP="00C72BA2">
            <w:pPr>
              <w:pStyle w:val="ENoteTableText"/>
            </w:pPr>
          </w:p>
        </w:tc>
      </w:tr>
      <w:tr w:rsidR="004E3F00" w:rsidRPr="0081146C" w14:paraId="213F5E91" w14:textId="77777777" w:rsidTr="00965397">
        <w:trPr>
          <w:cantSplit/>
        </w:trPr>
        <w:tc>
          <w:tcPr>
            <w:tcW w:w="2551" w:type="dxa"/>
            <w:shd w:val="clear" w:color="auto" w:fill="auto"/>
          </w:tcPr>
          <w:p w14:paraId="32382E30" w14:textId="77777777" w:rsidR="004E3F00" w:rsidRPr="0081146C" w:rsidRDefault="00CA78AA" w:rsidP="0099072C">
            <w:pPr>
              <w:pStyle w:val="ENoteTableText"/>
              <w:keepNext/>
              <w:tabs>
                <w:tab w:val="right" w:pos="482"/>
                <w:tab w:val="center" w:leader="dot" w:pos="2268"/>
              </w:tabs>
              <w:ind w:left="748" w:hanging="748"/>
            </w:pPr>
            <w:r w:rsidRPr="0081146C">
              <w:t>Division 3</w:t>
            </w:r>
            <w:r w:rsidR="004E3F00" w:rsidRPr="0081146C">
              <w:t xml:space="preserve"> heading</w:t>
            </w:r>
            <w:r w:rsidR="004E3F00" w:rsidRPr="0081146C">
              <w:tab/>
            </w:r>
          </w:p>
        </w:tc>
        <w:tc>
          <w:tcPr>
            <w:tcW w:w="4537" w:type="dxa"/>
            <w:shd w:val="clear" w:color="auto" w:fill="auto"/>
          </w:tcPr>
          <w:p w14:paraId="3050A7BA" w14:textId="77777777" w:rsidR="004E3F00" w:rsidRPr="0081146C" w:rsidRDefault="004E3F00" w:rsidP="00C72BA2">
            <w:pPr>
              <w:pStyle w:val="ENoteTableText"/>
            </w:pPr>
            <w:r w:rsidRPr="0081146C">
              <w:t>rs No 133, 2020</w:t>
            </w:r>
          </w:p>
        </w:tc>
      </w:tr>
      <w:tr w:rsidR="000E0B0C" w:rsidRPr="0081146C" w14:paraId="3026C9D6" w14:textId="77777777" w:rsidTr="00965397">
        <w:trPr>
          <w:cantSplit/>
        </w:trPr>
        <w:tc>
          <w:tcPr>
            <w:tcW w:w="2551" w:type="dxa"/>
            <w:shd w:val="clear" w:color="auto" w:fill="auto"/>
          </w:tcPr>
          <w:p w14:paraId="171BABE8" w14:textId="77777777" w:rsidR="000E0B0C" w:rsidRPr="0081146C" w:rsidRDefault="000E0B0C" w:rsidP="00F01092">
            <w:pPr>
              <w:pStyle w:val="ENoteTableText"/>
              <w:tabs>
                <w:tab w:val="center" w:leader="dot" w:pos="2268"/>
              </w:tabs>
            </w:pPr>
            <w:r w:rsidRPr="0081146C">
              <w:t>s 123</w:t>
            </w:r>
            <w:r w:rsidRPr="0081146C">
              <w:tab/>
            </w:r>
          </w:p>
        </w:tc>
        <w:tc>
          <w:tcPr>
            <w:tcW w:w="4537" w:type="dxa"/>
            <w:shd w:val="clear" w:color="auto" w:fill="auto"/>
          </w:tcPr>
          <w:p w14:paraId="1B9EA4D9" w14:textId="77777777" w:rsidR="000E0B0C" w:rsidRPr="0081146C" w:rsidRDefault="000E0B0C" w:rsidP="00F01092">
            <w:pPr>
              <w:pStyle w:val="ENoteTableText"/>
            </w:pPr>
            <w:r w:rsidRPr="0081146C">
              <w:t>am No</w:t>
            </w:r>
            <w:r w:rsidR="00626C22" w:rsidRPr="0081146C">
              <w:t> </w:t>
            </w:r>
            <w:r w:rsidRPr="0081146C">
              <w:t>52, 2007; No</w:t>
            </w:r>
            <w:r w:rsidR="00626C22" w:rsidRPr="0081146C">
              <w:t> </w:t>
            </w:r>
            <w:r w:rsidRPr="0081146C">
              <w:t>4, 2010; No</w:t>
            </w:r>
            <w:r w:rsidR="00626C22" w:rsidRPr="0081146C">
              <w:t> </w:t>
            </w:r>
            <w:r w:rsidRPr="0081146C">
              <w:t>60, 2011; No</w:t>
            </w:r>
            <w:r w:rsidR="00626C22" w:rsidRPr="0081146C">
              <w:t> </w:t>
            </w:r>
            <w:r w:rsidRPr="0081146C">
              <w:t>74, 2013; No 130, 2017</w:t>
            </w:r>
            <w:r w:rsidR="00B44C2C" w:rsidRPr="0081146C">
              <w:t>; No 133, 2020</w:t>
            </w:r>
          </w:p>
        </w:tc>
      </w:tr>
      <w:tr w:rsidR="000E0B0C" w:rsidRPr="0081146C" w14:paraId="42D39A74" w14:textId="77777777" w:rsidTr="00965397">
        <w:trPr>
          <w:cantSplit/>
        </w:trPr>
        <w:tc>
          <w:tcPr>
            <w:tcW w:w="2551" w:type="dxa"/>
            <w:shd w:val="clear" w:color="auto" w:fill="auto"/>
          </w:tcPr>
          <w:p w14:paraId="5B19E8A3" w14:textId="77777777" w:rsidR="000E0B0C" w:rsidRPr="0081146C" w:rsidRDefault="000E0B0C" w:rsidP="00F01092">
            <w:pPr>
              <w:pStyle w:val="ENoteTableText"/>
              <w:tabs>
                <w:tab w:val="center" w:leader="dot" w:pos="2268"/>
              </w:tabs>
            </w:pPr>
            <w:r w:rsidRPr="0081146C">
              <w:t>s 124</w:t>
            </w:r>
            <w:r w:rsidRPr="0081146C">
              <w:tab/>
            </w:r>
          </w:p>
        </w:tc>
        <w:tc>
          <w:tcPr>
            <w:tcW w:w="4537" w:type="dxa"/>
            <w:shd w:val="clear" w:color="auto" w:fill="auto"/>
          </w:tcPr>
          <w:p w14:paraId="0BFEA383" w14:textId="77777777" w:rsidR="000E0B0C" w:rsidRPr="0081146C" w:rsidRDefault="000E0B0C" w:rsidP="00F01092">
            <w:pPr>
              <w:pStyle w:val="ENoteTableText"/>
            </w:pPr>
            <w:r w:rsidRPr="0081146C">
              <w:t>am No</w:t>
            </w:r>
            <w:r w:rsidR="00626C22" w:rsidRPr="0081146C">
              <w:t> </w:t>
            </w:r>
            <w:r w:rsidRPr="0081146C">
              <w:t>3, 2011</w:t>
            </w:r>
            <w:r w:rsidR="004E3F00" w:rsidRPr="0081146C">
              <w:t>; No 133, 2020</w:t>
            </w:r>
          </w:p>
        </w:tc>
      </w:tr>
      <w:tr w:rsidR="000E0B0C" w:rsidRPr="0081146C" w14:paraId="20FB66DE" w14:textId="77777777" w:rsidTr="00965397">
        <w:trPr>
          <w:cantSplit/>
        </w:trPr>
        <w:tc>
          <w:tcPr>
            <w:tcW w:w="2551" w:type="dxa"/>
            <w:shd w:val="clear" w:color="auto" w:fill="auto"/>
          </w:tcPr>
          <w:p w14:paraId="4AD92104" w14:textId="77777777" w:rsidR="000E0B0C" w:rsidRPr="0081146C" w:rsidRDefault="00CA78AA" w:rsidP="002C455C">
            <w:pPr>
              <w:pStyle w:val="ENoteTableText"/>
              <w:keepNext/>
            </w:pPr>
            <w:r w:rsidRPr="0081146C">
              <w:rPr>
                <w:b/>
              </w:rPr>
              <w:t>Division 4</w:t>
            </w:r>
          </w:p>
        </w:tc>
        <w:tc>
          <w:tcPr>
            <w:tcW w:w="4537" w:type="dxa"/>
            <w:shd w:val="clear" w:color="auto" w:fill="auto"/>
          </w:tcPr>
          <w:p w14:paraId="06D47E3C" w14:textId="77777777" w:rsidR="000E0B0C" w:rsidRPr="0081146C" w:rsidRDefault="000E0B0C" w:rsidP="00C72BA2">
            <w:pPr>
              <w:pStyle w:val="ENoteTableText"/>
            </w:pPr>
          </w:p>
        </w:tc>
      </w:tr>
      <w:tr w:rsidR="00BD14E3" w:rsidRPr="0081146C" w14:paraId="34AEA390" w14:textId="77777777" w:rsidTr="00965397">
        <w:trPr>
          <w:cantSplit/>
        </w:trPr>
        <w:tc>
          <w:tcPr>
            <w:tcW w:w="2551" w:type="dxa"/>
            <w:shd w:val="clear" w:color="auto" w:fill="auto"/>
          </w:tcPr>
          <w:p w14:paraId="67A6066C" w14:textId="77777777" w:rsidR="00BD14E3" w:rsidRPr="0081146C" w:rsidRDefault="00CA78AA" w:rsidP="00D6467B">
            <w:pPr>
              <w:pStyle w:val="ENoteTableText"/>
              <w:keepNext/>
              <w:tabs>
                <w:tab w:val="center" w:leader="dot" w:pos="2268"/>
              </w:tabs>
            </w:pPr>
            <w:r w:rsidRPr="0081146C">
              <w:t>Division 4</w:t>
            </w:r>
            <w:r w:rsidR="00316379" w:rsidRPr="0081146C">
              <w:tab/>
            </w:r>
          </w:p>
        </w:tc>
        <w:tc>
          <w:tcPr>
            <w:tcW w:w="4537" w:type="dxa"/>
            <w:shd w:val="clear" w:color="auto" w:fill="auto"/>
          </w:tcPr>
          <w:p w14:paraId="67514AC7" w14:textId="77777777" w:rsidR="00BD14E3" w:rsidRPr="0081146C" w:rsidRDefault="00BD14E3" w:rsidP="00C72BA2">
            <w:pPr>
              <w:pStyle w:val="ENoteTableText"/>
            </w:pPr>
            <w:r w:rsidRPr="0081146C">
              <w:t>rs No 133, 2020</w:t>
            </w:r>
          </w:p>
        </w:tc>
      </w:tr>
      <w:tr w:rsidR="000E0B0C" w:rsidRPr="0081146C" w14:paraId="29E82C42" w14:textId="77777777" w:rsidTr="00965397">
        <w:trPr>
          <w:cantSplit/>
        </w:trPr>
        <w:tc>
          <w:tcPr>
            <w:tcW w:w="2551" w:type="dxa"/>
            <w:shd w:val="clear" w:color="auto" w:fill="auto"/>
          </w:tcPr>
          <w:p w14:paraId="2AC59B0A" w14:textId="77777777" w:rsidR="000E0B0C" w:rsidRPr="0081146C" w:rsidRDefault="000E0B0C" w:rsidP="00F01092">
            <w:pPr>
              <w:pStyle w:val="ENoteTableText"/>
              <w:tabs>
                <w:tab w:val="center" w:leader="dot" w:pos="2268"/>
              </w:tabs>
            </w:pPr>
            <w:r w:rsidRPr="0081146C">
              <w:t>s 125</w:t>
            </w:r>
            <w:r w:rsidRPr="0081146C">
              <w:tab/>
            </w:r>
          </w:p>
        </w:tc>
        <w:tc>
          <w:tcPr>
            <w:tcW w:w="4537" w:type="dxa"/>
            <w:shd w:val="clear" w:color="auto" w:fill="auto"/>
          </w:tcPr>
          <w:p w14:paraId="79D98C4C" w14:textId="77777777" w:rsidR="000E0B0C" w:rsidRPr="0081146C" w:rsidRDefault="000E0B0C" w:rsidP="00F01092">
            <w:pPr>
              <w:pStyle w:val="ENoteTableText"/>
            </w:pPr>
            <w:r w:rsidRPr="0081146C">
              <w:t>am No</w:t>
            </w:r>
            <w:r w:rsidR="00626C22" w:rsidRPr="0081146C">
              <w:t> </w:t>
            </w:r>
            <w:r w:rsidRPr="0081146C">
              <w:t>145, 2010; No 150, 2015</w:t>
            </w:r>
          </w:p>
        </w:tc>
      </w:tr>
      <w:tr w:rsidR="00BD14E3" w:rsidRPr="0081146C" w14:paraId="71C00985" w14:textId="77777777" w:rsidTr="00965397">
        <w:trPr>
          <w:cantSplit/>
        </w:trPr>
        <w:tc>
          <w:tcPr>
            <w:tcW w:w="2551" w:type="dxa"/>
            <w:shd w:val="clear" w:color="auto" w:fill="auto"/>
          </w:tcPr>
          <w:p w14:paraId="4AF6A223" w14:textId="77777777" w:rsidR="00BD14E3" w:rsidRPr="0081146C" w:rsidRDefault="00BD14E3" w:rsidP="00F01092">
            <w:pPr>
              <w:pStyle w:val="ENoteTableText"/>
              <w:tabs>
                <w:tab w:val="center" w:leader="dot" w:pos="2268"/>
              </w:tabs>
            </w:pPr>
          </w:p>
        </w:tc>
        <w:tc>
          <w:tcPr>
            <w:tcW w:w="4537" w:type="dxa"/>
            <w:shd w:val="clear" w:color="auto" w:fill="auto"/>
          </w:tcPr>
          <w:p w14:paraId="72B70176" w14:textId="77777777" w:rsidR="00BD14E3" w:rsidRPr="0081146C" w:rsidRDefault="00BD14E3" w:rsidP="00F01092">
            <w:pPr>
              <w:pStyle w:val="ENoteTableText"/>
            </w:pPr>
            <w:r w:rsidRPr="0081146C">
              <w:t>rs No 133, 2020</w:t>
            </w:r>
          </w:p>
        </w:tc>
      </w:tr>
      <w:tr w:rsidR="000E0B0C" w:rsidRPr="0081146C" w14:paraId="61582AE4" w14:textId="77777777" w:rsidTr="00965397">
        <w:trPr>
          <w:cantSplit/>
        </w:trPr>
        <w:tc>
          <w:tcPr>
            <w:tcW w:w="2551" w:type="dxa"/>
            <w:shd w:val="clear" w:color="auto" w:fill="auto"/>
          </w:tcPr>
          <w:p w14:paraId="6F3A24AE" w14:textId="77777777" w:rsidR="000E0B0C" w:rsidRPr="0081146C" w:rsidRDefault="000E0B0C" w:rsidP="0029650A">
            <w:pPr>
              <w:pStyle w:val="ENoteTableText"/>
              <w:tabs>
                <w:tab w:val="center" w:leader="dot" w:pos="2268"/>
              </w:tabs>
            </w:pPr>
            <w:r w:rsidRPr="0081146C">
              <w:t>s 126</w:t>
            </w:r>
            <w:r w:rsidRPr="0081146C">
              <w:tab/>
            </w:r>
          </w:p>
        </w:tc>
        <w:tc>
          <w:tcPr>
            <w:tcW w:w="4537" w:type="dxa"/>
            <w:shd w:val="clear" w:color="auto" w:fill="auto"/>
          </w:tcPr>
          <w:p w14:paraId="249E20AC" w14:textId="77777777" w:rsidR="000E0B0C" w:rsidRPr="0081146C" w:rsidRDefault="000E0B0C" w:rsidP="0029650A">
            <w:pPr>
              <w:pStyle w:val="ENoteTableText"/>
              <w:tabs>
                <w:tab w:val="center" w:leader="dot" w:pos="2268"/>
              </w:tabs>
            </w:pPr>
            <w:r w:rsidRPr="0081146C">
              <w:t>am No 197, 2012</w:t>
            </w:r>
          </w:p>
        </w:tc>
      </w:tr>
      <w:tr w:rsidR="00713196" w:rsidRPr="0081146C" w14:paraId="684EBB3A" w14:textId="77777777" w:rsidTr="00965397">
        <w:trPr>
          <w:cantSplit/>
        </w:trPr>
        <w:tc>
          <w:tcPr>
            <w:tcW w:w="2551" w:type="dxa"/>
            <w:shd w:val="clear" w:color="auto" w:fill="auto"/>
          </w:tcPr>
          <w:p w14:paraId="0E7266D1" w14:textId="77777777" w:rsidR="00713196" w:rsidRPr="0081146C" w:rsidRDefault="00713196" w:rsidP="0029650A">
            <w:pPr>
              <w:pStyle w:val="ENoteTableText"/>
              <w:tabs>
                <w:tab w:val="center" w:leader="dot" w:pos="2268"/>
              </w:tabs>
            </w:pPr>
          </w:p>
        </w:tc>
        <w:tc>
          <w:tcPr>
            <w:tcW w:w="4537" w:type="dxa"/>
            <w:shd w:val="clear" w:color="auto" w:fill="auto"/>
          </w:tcPr>
          <w:p w14:paraId="55DF0850" w14:textId="77777777" w:rsidR="00713196" w:rsidRPr="0081146C" w:rsidRDefault="00713196" w:rsidP="0029650A">
            <w:pPr>
              <w:pStyle w:val="ENoteTableText"/>
              <w:tabs>
                <w:tab w:val="center" w:leader="dot" w:pos="2268"/>
              </w:tabs>
            </w:pPr>
            <w:r w:rsidRPr="0081146C">
              <w:t>rs No 133, 2020</w:t>
            </w:r>
          </w:p>
        </w:tc>
      </w:tr>
      <w:tr w:rsidR="0041570D" w:rsidRPr="0081146C" w14:paraId="6FA5142C" w14:textId="77777777" w:rsidTr="00965397">
        <w:trPr>
          <w:cantSplit/>
        </w:trPr>
        <w:tc>
          <w:tcPr>
            <w:tcW w:w="2551" w:type="dxa"/>
            <w:shd w:val="clear" w:color="auto" w:fill="auto"/>
          </w:tcPr>
          <w:p w14:paraId="2F719BEE" w14:textId="77777777" w:rsidR="0041570D" w:rsidRPr="0081146C" w:rsidRDefault="0041570D" w:rsidP="0029650A">
            <w:pPr>
              <w:pStyle w:val="ENoteTableText"/>
              <w:tabs>
                <w:tab w:val="center" w:leader="dot" w:pos="2268"/>
              </w:tabs>
            </w:pPr>
          </w:p>
        </w:tc>
        <w:tc>
          <w:tcPr>
            <w:tcW w:w="4537" w:type="dxa"/>
            <w:shd w:val="clear" w:color="auto" w:fill="auto"/>
          </w:tcPr>
          <w:p w14:paraId="3477B69A" w14:textId="77777777" w:rsidR="0041570D" w:rsidRPr="0081146C" w:rsidRDefault="0041570D" w:rsidP="0029650A">
            <w:pPr>
              <w:pStyle w:val="ENoteTableText"/>
              <w:tabs>
                <w:tab w:val="center" w:leader="dot" w:pos="2268"/>
              </w:tabs>
            </w:pPr>
            <w:r w:rsidRPr="0081146C">
              <w:t>am No 63, 2023</w:t>
            </w:r>
          </w:p>
        </w:tc>
      </w:tr>
      <w:tr w:rsidR="00713196" w:rsidRPr="0081146C" w14:paraId="09AF54FB" w14:textId="77777777" w:rsidTr="00965397">
        <w:trPr>
          <w:cantSplit/>
        </w:trPr>
        <w:tc>
          <w:tcPr>
            <w:tcW w:w="2551" w:type="dxa"/>
            <w:shd w:val="clear" w:color="auto" w:fill="auto"/>
          </w:tcPr>
          <w:p w14:paraId="2B03E135" w14:textId="77777777" w:rsidR="00713196" w:rsidRPr="0081146C" w:rsidRDefault="00CA78AA" w:rsidP="0029650A">
            <w:pPr>
              <w:pStyle w:val="ENoteTableText"/>
              <w:tabs>
                <w:tab w:val="center" w:leader="dot" w:pos="2268"/>
              </w:tabs>
              <w:rPr>
                <w:b/>
              </w:rPr>
            </w:pPr>
            <w:r w:rsidRPr="0081146C">
              <w:rPr>
                <w:b/>
              </w:rPr>
              <w:t>Division 5</w:t>
            </w:r>
          </w:p>
        </w:tc>
        <w:tc>
          <w:tcPr>
            <w:tcW w:w="4537" w:type="dxa"/>
            <w:shd w:val="clear" w:color="auto" w:fill="auto"/>
          </w:tcPr>
          <w:p w14:paraId="4EE38698" w14:textId="77777777" w:rsidR="00713196" w:rsidRPr="0081146C" w:rsidRDefault="00713196" w:rsidP="0029650A">
            <w:pPr>
              <w:pStyle w:val="ENoteTableText"/>
              <w:tabs>
                <w:tab w:val="center" w:leader="dot" w:pos="2268"/>
              </w:tabs>
            </w:pPr>
          </w:p>
        </w:tc>
      </w:tr>
      <w:tr w:rsidR="00713196" w:rsidRPr="0081146C" w14:paraId="5E473EE9" w14:textId="77777777" w:rsidTr="00965397">
        <w:trPr>
          <w:cantSplit/>
        </w:trPr>
        <w:tc>
          <w:tcPr>
            <w:tcW w:w="2551" w:type="dxa"/>
            <w:shd w:val="clear" w:color="auto" w:fill="auto"/>
          </w:tcPr>
          <w:p w14:paraId="265BD9E8" w14:textId="77777777" w:rsidR="00713196" w:rsidRPr="0081146C" w:rsidRDefault="00CA78AA" w:rsidP="0029650A">
            <w:pPr>
              <w:pStyle w:val="ENoteTableText"/>
              <w:tabs>
                <w:tab w:val="center" w:leader="dot" w:pos="2268"/>
              </w:tabs>
            </w:pPr>
            <w:r w:rsidRPr="0081146C">
              <w:t>Division 5</w:t>
            </w:r>
            <w:r w:rsidR="00F64F64" w:rsidRPr="0081146C">
              <w:t xml:space="preserve"> heading</w:t>
            </w:r>
            <w:r w:rsidR="00713196" w:rsidRPr="0081146C">
              <w:tab/>
            </w:r>
          </w:p>
        </w:tc>
        <w:tc>
          <w:tcPr>
            <w:tcW w:w="4537" w:type="dxa"/>
            <w:shd w:val="clear" w:color="auto" w:fill="auto"/>
          </w:tcPr>
          <w:p w14:paraId="2CC36004" w14:textId="77777777" w:rsidR="00713196" w:rsidRPr="0081146C" w:rsidRDefault="00F64F64" w:rsidP="0029650A">
            <w:pPr>
              <w:pStyle w:val="ENoteTableText"/>
              <w:tabs>
                <w:tab w:val="center" w:leader="dot" w:pos="2268"/>
              </w:tabs>
            </w:pPr>
            <w:r w:rsidRPr="0081146C">
              <w:t>ad</w:t>
            </w:r>
            <w:r w:rsidR="00713196" w:rsidRPr="0081146C">
              <w:t xml:space="preserve"> No 133, 2020</w:t>
            </w:r>
          </w:p>
        </w:tc>
      </w:tr>
      <w:tr w:rsidR="000E0B0C" w:rsidRPr="0081146C" w14:paraId="10603CFE" w14:textId="77777777" w:rsidTr="00965397">
        <w:trPr>
          <w:cantSplit/>
        </w:trPr>
        <w:tc>
          <w:tcPr>
            <w:tcW w:w="2551" w:type="dxa"/>
            <w:shd w:val="clear" w:color="auto" w:fill="auto"/>
          </w:tcPr>
          <w:p w14:paraId="6E455918" w14:textId="77777777" w:rsidR="000E0B0C" w:rsidRPr="0081146C" w:rsidRDefault="000E0B0C" w:rsidP="00AE2DA2">
            <w:pPr>
              <w:pStyle w:val="ENoteTableText"/>
              <w:tabs>
                <w:tab w:val="center" w:leader="dot" w:pos="2268"/>
              </w:tabs>
            </w:pPr>
            <w:r w:rsidRPr="0081146C">
              <w:t>s 127</w:t>
            </w:r>
            <w:r w:rsidRPr="0081146C">
              <w:tab/>
            </w:r>
          </w:p>
        </w:tc>
        <w:tc>
          <w:tcPr>
            <w:tcW w:w="4537" w:type="dxa"/>
            <w:shd w:val="clear" w:color="auto" w:fill="auto"/>
          </w:tcPr>
          <w:p w14:paraId="7577CF7F" w14:textId="77777777" w:rsidR="000E0B0C" w:rsidRPr="0081146C" w:rsidRDefault="000E0B0C" w:rsidP="00C72BA2">
            <w:pPr>
              <w:pStyle w:val="ENoteTableText"/>
            </w:pPr>
            <w:r w:rsidRPr="0081146C">
              <w:t>am No 52, 2007; No 60, 2011; No 74, 2013</w:t>
            </w:r>
          </w:p>
        </w:tc>
      </w:tr>
      <w:tr w:rsidR="00713196" w:rsidRPr="0081146C" w14:paraId="09F4AAA8" w14:textId="77777777" w:rsidTr="00965397">
        <w:trPr>
          <w:cantSplit/>
        </w:trPr>
        <w:tc>
          <w:tcPr>
            <w:tcW w:w="2551" w:type="dxa"/>
            <w:shd w:val="clear" w:color="auto" w:fill="auto"/>
          </w:tcPr>
          <w:p w14:paraId="57108782" w14:textId="77777777" w:rsidR="00713196" w:rsidRPr="0081146C" w:rsidRDefault="00713196" w:rsidP="00AE2DA2">
            <w:pPr>
              <w:pStyle w:val="ENoteTableText"/>
              <w:tabs>
                <w:tab w:val="center" w:leader="dot" w:pos="2268"/>
              </w:tabs>
            </w:pPr>
          </w:p>
        </w:tc>
        <w:tc>
          <w:tcPr>
            <w:tcW w:w="4537" w:type="dxa"/>
            <w:shd w:val="clear" w:color="auto" w:fill="auto"/>
          </w:tcPr>
          <w:p w14:paraId="302B58A6" w14:textId="77777777" w:rsidR="00713196" w:rsidRPr="0081146C" w:rsidRDefault="00713196" w:rsidP="00C72BA2">
            <w:pPr>
              <w:pStyle w:val="ENoteTableText"/>
            </w:pPr>
            <w:r w:rsidRPr="0081146C">
              <w:t>rs No 133, 2020</w:t>
            </w:r>
          </w:p>
        </w:tc>
      </w:tr>
      <w:tr w:rsidR="00713196" w:rsidRPr="0081146C" w14:paraId="79D14A0B" w14:textId="77777777" w:rsidTr="00965397">
        <w:trPr>
          <w:cantSplit/>
        </w:trPr>
        <w:tc>
          <w:tcPr>
            <w:tcW w:w="2551" w:type="dxa"/>
            <w:shd w:val="clear" w:color="auto" w:fill="auto"/>
          </w:tcPr>
          <w:p w14:paraId="0A43940D" w14:textId="77777777" w:rsidR="00713196" w:rsidRPr="0081146C" w:rsidRDefault="003A364D" w:rsidP="00AE2DA2">
            <w:pPr>
              <w:pStyle w:val="ENoteTableText"/>
              <w:tabs>
                <w:tab w:val="center" w:leader="dot" w:pos="2268"/>
              </w:tabs>
              <w:rPr>
                <w:b/>
              </w:rPr>
            </w:pPr>
            <w:r w:rsidRPr="0081146C">
              <w:rPr>
                <w:b/>
              </w:rPr>
              <w:t>Division 6</w:t>
            </w:r>
          </w:p>
        </w:tc>
        <w:tc>
          <w:tcPr>
            <w:tcW w:w="4537" w:type="dxa"/>
            <w:shd w:val="clear" w:color="auto" w:fill="auto"/>
          </w:tcPr>
          <w:p w14:paraId="5D935FDB" w14:textId="77777777" w:rsidR="00713196" w:rsidRPr="0081146C" w:rsidRDefault="00713196" w:rsidP="00C72BA2">
            <w:pPr>
              <w:pStyle w:val="ENoteTableText"/>
            </w:pPr>
          </w:p>
        </w:tc>
      </w:tr>
      <w:tr w:rsidR="00713196" w:rsidRPr="0081146C" w14:paraId="6A974E5B" w14:textId="77777777" w:rsidTr="00965397">
        <w:trPr>
          <w:cantSplit/>
        </w:trPr>
        <w:tc>
          <w:tcPr>
            <w:tcW w:w="2551" w:type="dxa"/>
            <w:shd w:val="clear" w:color="auto" w:fill="auto"/>
          </w:tcPr>
          <w:p w14:paraId="6D128101" w14:textId="77777777" w:rsidR="00713196" w:rsidRPr="0081146C" w:rsidRDefault="003A364D" w:rsidP="00AE2DA2">
            <w:pPr>
              <w:pStyle w:val="ENoteTableText"/>
              <w:tabs>
                <w:tab w:val="center" w:leader="dot" w:pos="2268"/>
              </w:tabs>
            </w:pPr>
            <w:r w:rsidRPr="0081146C">
              <w:t>Division 6</w:t>
            </w:r>
            <w:r w:rsidR="00F64F64" w:rsidRPr="0081146C">
              <w:t xml:space="preserve"> heading</w:t>
            </w:r>
            <w:r w:rsidR="00713196" w:rsidRPr="0081146C">
              <w:tab/>
            </w:r>
          </w:p>
        </w:tc>
        <w:tc>
          <w:tcPr>
            <w:tcW w:w="4537" w:type="dxa"/>
            <w:shd w:val="clear" w:color="auto" w:fill="auto"/>
          </w:tcPr>
          <w:p w14:paraId="79EBEAB0" w14:textId="77777777" w:rsidR="00713196" w:rsidRPr="0081146C" w:rsidRDefault="00713196" w:rsidP="00C72BA2">
            <w:pPr>
              <w:pStyle w:val="ENoteTableText"/>
            </w:pPr>
            <w:r w:rsidRPr="0081146C">
              <w:t>ad No 133, 2020</w:t>
            </w:r>
          </w:p>
        </w:tc>
      </w:tr>
      <w:tr w:rsidR="000E0B0C" w:rsidRPr="0081146C" w14:paraId="4B0DFAAA" w14:textId="77777777" w:rsidTr="00965397">
        <w:trPr>
          <w:cantSplit/>
        </w:trPr>
        <w:tc>
          <w:tcPr>
            <w:tcW w:w="2551" w:type="dxa"/>
            <w:shd w:val="clear" w:color="auto" w:fill="auto"/>
          </w:tcPr>
          <w:p w14:paraId="49A5F2F7" w14:textId="77777777" w:rsidR="000E0B0C" w:rsidRPr="0081146C" w:rsidRDefault="000E0B0C" w:rsidP="00AE2DA2">
            <w:pPr>
              <w:pStyle w:val="ENoteTableText"/>
              <w:tabs>
                <w:tab w:val="center" w:leader="dot" w:pos="2268"/>
              </w:tabs>
            </w:pPr>
            <w:r w:rsidRPr="0081146C">
              <w:t>s 128</w:t>
            </w:r>
            <w:r w:rsidRPr="0081146C">
              <w:tab/>
            </w:r>
          </w:p>
        </w:tc>
        <w:tc>
          <w:tcPr>
            <w:tcW w:w="4537" w:type="dxa"/>
            <w:shd w:val="clear" w:color="auto" w:fill="auto"/>
          </w:tcPr>
          <w:p w14:paraId="7E66DBDF" w14:textId="77777777" w:rsidR="000E0B0C" w:rsidRPr="0081146C" w:rsidRDefault="000E0B0C" w:rsidP="00B75625">
            <w:pPr>
              <w:pStyle w:val="ENoteTableText"/>
            </w:pPr>
            <w:r w:rsidRPr="0081146C">
              <w:t xml:space="preserve">am No 52, 2007; No 127, 2010; No 3, </w:t>
            </w:r>
            <w:r w:rsidR="003D65A7" w:rsidRPr="0081146C">
              <w:t>2011</w:t>
            </w:r>
            <w:r w:rsidRPr="0081146C">
              <w:t>; No 60, 2011; No 108, 2014; No 31, 2018</w:t>
            </w:r>
          </w:p>
        </w:tc>
      </w:tr>
      <w:tr w:rsidR="000E0B0C" w:rsidRPr="0081146C" w14:paraId="0A5361C9" w14:textId="77777777" w:rsidTr="00965397">
        <w:trPr>
          <w:cantSplit/>
        </w:trPr>
        <w:tc>
          <w:tcPr>
            <w:tcW w:w="2551" w:type="dxa"/>
            <w:shd w:val="clear" w:color="auto" w:fill="auto"/>
          </w:tcPr>
          <w:p w14:paraId="725620F3" w14:textId="77777777" w:rsidR="000E0B0C" w:rsidRPr="0081146C" w:rsidRDefault="000E0B0C" w:rsidP="001E12D3">
            <w:pPr>
              <w:pStyle w:val="ENoteTableText"/>
              <w:tabs>
                <w:tab w:val="center" w:leader="dot" w:pos="2268"/>
              </w:tabs>
            </w:pPr>
          </w:p>
        </w:tc>
        <w:tc>
          <w:tcPr>
            <w:tcW w:w="4537" w:type="dxa"/>
            <w:shd w:val="clear" w:color="auto" w:fill="auto"/>
          </w:tcPr>
          <w:p w14:paraId="6D3AF845" w14:textId="77777777" w:rsidR="000E0B0C" w:rsidRPr="0081146C" w:rsidRDefault="000E0B0C" w:rsidP="001E12D3">
            <w:pPr>
              <w:pStyle w:val="ENoteTableText"/>
            </w:pPr>
            <w:r w:rsidRPr="0081146C">
              <w:t>ed C43</w:t>
            </w:r>
          </w:p>
        </w:tc>
      </w:tr>
      <w:tr w:rsidR="000E0B0C" w:rsidRPr="0081146C" w14:paraId="47395557" w14:textId="77777777" w:rsidTr="00965397">
        <w:trPr>
          <w:cantSplit/>
        </w:trPr>
        <w:tc>
          <w:tcPr>
            <w:tcW w:w="2551" w:type="dxa"/>
            <w:shd w:val="clear" w:color="auto" w:fill="auto"/>
          </w:tcPr>
          <w:p w14:paraId="3BDB1318" w14:textId="77777777" w:rsidR="000E0B0C" w:rsidRPr="0081146C" w:rsidRDefault="000E0B0C" w:rsidP="001E12D3">
            <w:pPr>
              <w:pStyle w:val="ENoteTableText"/>
              <w:tabs>
                <w:tab w:val="center" w:leader="dot" w:pos="2268"/>
              </w:tabs>
            </w:pPr>
          </w:p>
        </w:tc>
        <w:tc>
          <w:tcPr>
            <w:tcW w:w="4537" w:type="dxa"/>
            <w:shd w:val="clear" w:color="auto" w:fill="auto"/>
          </w:tcPr>
          <w:p w14:paraId="5E784699" w14:textId="77777777" w:rsidR="000E0B0C" w:rsidRPr="0081146C" w:rsidRDefault="000E0B0C" w:rsidP="001E12D3">
            <w:pPr>
              <w:pStyle w:val="ENoteTableText"/>
            </w:pPr>
            <w:r w:rsidRPr="0081146C">
              <w:t>am No 25, 2018</w:t>
            </w:r>
            <w:r w:rsidR="00E47DB3" w:rsidRPr="0081146C">
              <w:t>; No 156, 2018</w:t>
            </w:r>
          </w:p>
        </w:tc>
      </w:tr>
      <w:tr w:rsidR="00713196" w:rsidRPr="0081146C" w14:paraId="01091D2B" w14:textId="77777777" w:rsidTr="00965397">
        <w:trPr>
          <w:cantSplit/>
        </w:trPr>
        <w:tc>
          <w:tcPr>
            <w:tcW w:w="2551" w:type="dxa"/>
            <w:shd w:val="clear" w:color="auto" w:fill="auto"/>
          </w:tcPr>
          <w:p w14:paraId="7D8BCACF" w14:textId="77777777" w:rsidR="00713196" w:rsidRPr="0081146C" w:rsidRDefault="00713196" w:rsidP="001E12D3">
            <w:pPr>
              <w:pStyle w:val="ENoteTableText"/>
              <w:tabs>
                <w:tab w:val="center" w:leader="dot" w:pos="2268"/>
              </w:tabs>
            </w:pPr>
          </w:p>
        </w:tc>
        <w:tc>
          <w:tcPr>
            <w:tcW w:w="4537" w:type="dxa"/>
            <w:shd w:val="clear" w:color="auto" w:fill="auto"/>
          </w:tcPr>
          <w:p w14:paraId="76F07017" w14:textId="77777777" w:rsidR="00713196" w:rsidRPr="0081146C" w:rsidRDefault="00713196" w:rsidP="001E12D3">
            <w:pPr>
              <w:pStyle w:val="ENoteTableText"/>
            </w:pPr>
            <w:r w:rsidRPr="0081146C">
              <w:t>rs No 133, 2020</w:t>
            </w:r>
          </w:p>
        </w:tc>
      </w:tr>
      <w:tr w:rsidR="00713196" w:rsidRPr="0081146C" w14:paraId="2F078726" w14:textId="77777777" w:rsidTr="00965397">
        <w:trPr>
          <w:cantSplit/>
        </w:trPr>
        <w:tc>
          <w:tcPr>
            <w:tcW w:w="2551" w:type="dxa"/>
            <w:shd w:val="clear" w:color="auto" w:fill="auto"/>
          </w:tcPr>
          <w:p w14:paraId="55B0A302" w14:textId="77777777" w:rsidR="00713196" w:rsidRPr="0081146C" w:rsidRDefault="00713196" w:rsidP="007F436D">
            <w:pPr>
              <w:pStyle w:val="ENoteTableText"/>
              <w:tabs>
                <w:tab w:val="center" w:leader="dot" w:pos="2268"/>
              </w:tabs>
            </w:pPr>
            <w:r w:rsidRPr="0081146C">
              <w:t>s 129</w:t>
            </w:r>
            <w:r w:rsidRPr="0081146C">
              <w:tab/>
            </w:r>
          </w:p>
        </w:tc>
        <w:tc>
          <w:tcPr>
            <w:tcW w:w="4537" w:type="dxa"/>
            <w:shd w:val="clear" w:color="auto" w:fill="auto"/>
          </w:tcPr>
          <w:p w14:paraId="746A59E4" w14:textId="77777777" w:rsidR="00713196" w:rsidRPr="0081146C" w:rsidRDefault="00713196" w:rsidP="00C72BA2">
            <w:pPr>
              <w:pStyle w:val="ENoteTableText"/>
            </w:pPr>
            <w:r w:rsidRPr="0081146C">
              <w:t>rs No 133, 2020</w:t>
            </w:r>
          </w:p>
        </w:tc>
      </w:tr>
      <w:tr w:rsidR="000E0B0C" w:rsidRPr="0081146C" w14:paraId="19CF92CE" w14:textId="77777777" w:rsidTr="00965397">
        <w:trPr>
          <w:cantSplit/>
        </w:trPr>
        <w:tc>
          <w:tcPr>
            <w:tcW w:w="2551" w:type="dxa"/>
            <w:shd w:val="clear" w:color="auto" w:fill="auto"/>
          </w:tcPr>
          <w:p w14:paraId="4ED89871" w14:textId="77777777" w:rsidR="000E0B0C" w:rsidRPr="0081146C" w:rsidRDefault="000E0B0C" w:rsidP="00F01092">
            <w:pPr>
              <w:pStyle w:val="ENoteTableText"/>
              <w:tabs>
                <w:tab w:val="center" w:leader="dot" w:pos="2268"/>
              </w:tabs>
            </w:pPr>
            <w:r w:rsidRPr="0081146C">
              <w:t>s 130</w:t>
            </w:r>
            <w:r w:rsidRPr="0081146C">
              <w:tab/>
            </w:r>
          </w:p>
        </w:tc>
        <w:tc>
          <w:tcPr>
            <w:tcW w:w="4537" w:type="dxa"/>
            <w:shd w:val="clear" w:color="auto" w:fill="auto"/>
          </w:tcPr>
          <w:p w14:paraId="665D0682" w14:textId="77777777" w:rsidR="000E0B0C" w:rsidRPr="0081146C" w:rsidRDefault="000E0B0C" w:rsidP="00F01092">
            <w:pPr>
              <w:pStyle w:val="ENoteTableText"/>
            </w:pPr>
            <w:r w:rsidRPr="0081146C">
              <w:t>am No</w:t>
            </w:r>
            <w:r w:rsidR="00626C22" w:rsidRPr="0081146C">
              <w:t> </w:t>
            </w:r>
            <w:r w:rsidRPr="0081146C">
              <w:t>73, 2008; No</w:t>
            </w:r>
            <w:r w:rsidR="00626C22" w:rsidRPr="0081146C">
              <w:t> </w:t>
            </w:r>
            <w:r w:rsidRPr="0081146C">
              <w:t>3, 2011; No</w:t>
            </w:r>
            <w:r w:rsidR="00626C22" w:rsidRPr="0081146C">
              <w:t> </w:t>
            </w:r>
            <w:r w:rsidRPr="0081146C">
              <w:t>74, 2013</w:t>
            </w:r>
          </w:p>
        </w:tc>
      </w:tr>
      <w:tr w:rsidR="00713196" w:rsidRPr="0081146C" w14:paraId="7D3CDD82" w14:textId="77777777" w:rsidTr="00965397">
        <w:trPr>
          <w:cantSplit/>
        </w:trPr>
        <w:tc>
          <w:tcPr>
            <w:tcW w:w="2551" w:type="dxa"/>
            <w:shd w:val="clear" w:color="auto" w:fill="auto"/>
          </w:tcPr>
          <w:p w14:paraId="4B3F99B0" w14:textId="77777777" w:rsidR="00713196" w:rsidRPr="0081146C" w:rsidRDefault="00713196" w:rsidP="00F01092">
            <w:pPr>
              <w:pStyle w:val="ENoteTableText"/>
              <w:tabs>
                <w:tab w:val="center" w:leader="dot" w:pos="2268"/>
              </w:tabs>
            </w:pPr>
          </w:p>
        </w:tc>
        <w:tc>
          <w:tcPr>
            <w:tcW w:w="4537" w:type="dxa"/>
            <w:shd w:val="clear" w:color="auto" w:fill="auto"/>
          </w:tcPr>
          <w:p w14:paraId="61F7DF42" w14:textId="77777777" w:rsidR="00713196" w:rsidRPr="0081146C" w:rsidRDefault="00713196" w:rsidP="00F01092">
            <w:pPr>
              <w:pStyle w:val="ENoteTableText"/>
            </w:pPr>
            <w:r w:rsidRPr="0081146C">
              <w:t>rep No 133, 2020</w:t>
            </w:r>
          </w:p>
        </w:tc>
      </w:tr>
      <w:tr w:rsidR="000E0B0C" w:rsidRPr="0081146C" w14:paraId="66722536" w14:textId="77777777" w:rsidTr="00965397">
        <w:trPr>
          <w:cantSplit/>
        </w:trPr>
        <w:tc>
          <w:tcPr>
            <w:tcW w:w="2551" w:type="dxa"/>
            <w:shd w:val="clear" w:color="auto" w:fill="auto"/>
          </w:tcPr>
          <w:p w14:paraId="230AD211" w14:textId="77777777" w:rsidR="000E0B0C" w:rsidRPr="0081146C" w:rsidRDefault="000E0B0C" w:rsidP="00F01092">
            <w:pPr>
              <w:pStyle w:val="ENoteTableText"/>
              <w:tabs>
                <w:tab w:val="center" w:leader="dot" w:pos="2268"/>
              </w:tabs>
            </w:pPr>
            <w:r w:rsidRPr="0081146C">
              <w:t>s 131</w:t>
            </w:r>
            <w:r w:rsidRPr="0081146C">
              <w:tab/>
            </w:r>
          </w:p>
        </w:tc>
        <w:tc>
          <w:tcPr>
            <w:tcW w:w="4537" w:type="dxa"/>
            <w:shd w:val="clear" w:color="auto" w:fill="auto"/>
          </w:tcPr>
          <w:p w14:paraId="7129AA2B" w14:textId="77777777" w:rsidR="000E0B0C" w:rsidRPr="0081146C" w:rsidRDefault="000E0B0C" w:rsidP="00F01092">
            <w:pPr>
              <w:pStyle w:val="ENoteTableText"/>
            </w:pPr>
            <w:r w:rsidRPr="0081146C">
              <w:t>am No</w:t>
            </w:r>
            <w:r w:rsidR="00626C22" w:rsidRPr="0081146C">
              <w:t> </w:t>
            </w:r>
            <w:r w:rsidRPr="0081146C">
              <w:t>3, 2011</w:t>
            </w:r>
          </w:p>
        </w:tc>
      </w:tr>
      <w:tr w:rsidR="00713196" w:rsidRPr="0081146C" w14:paraId="26ACFF2F" w14:textId="77777777" w:rsidTr="00965397">
        <w:trPr>
          <w:cantSplit/>
        </w:trPr>
        <w:tc>
          <w:tcPr>
            <w:tcW w:w="2551" w:type="dxa"/>
            <w:shd w:val="clear" w:color="auto" w:fill="auto"/>
          </w:tcPr>
          <w:p w14:paraId="440A708B" w14:textId="77777777" w:rsidR="00713196" w:rsidRPr="0081146C" w:rsidRDefault="00713196" w:rsidP="00F01092">
            <w:pPr>
              <w:pStyle w:val="ENoteTableText"/>
              <w:tabs>
                <w:tab w:val="center" w:leader="dot" w:pos="2268"/>
              </w:tabs>
            </w:pPr>
          </w:p>
        </w:tc>
        <w:tc>
          <w:tcPr>
            <w:tcW w:w="4537" w:type="dxa"/>
            <w:shd w:val="clear" w:color="auto" w:fill="auto"/>
          </w:tcPr>
          <w:p w14:paraId="5F8C5BDC" w14:textId="77777777" w:rsidR="00713196" w:rsidRPr="0081146C" w:rsidRDefault="00713196" w:rsidP="00F01092">
            <w:pPr>
              <w:pStyle w:val="ENoteTableText"/>
            </w:pPr>
            <w:r w:rsidRPr="0081146C">
              <w:t>rep No 133, 2020</w:t>
            </w:r>
          </w:p>
        </w:tc>
      </w:tr>
      <w:tr w:rsidR="00713196" w:rsidRPr="0081146C" w:rsidDel="00713196" w14:paraId="46E629BB" w14:textId="77777777" w:rsidTr="00965397">
        <w:trPr>
          <w:cantSplit/>
        </w:trPr>
        <w:tc>
          <w:tcPr>
            <w:tcW w:w="2551" w:type="dxa"/>
            <w:shd w:val="clear" w:color="auto" w:fill="auto"/>
          </w:tcPr>
          <w:p w14:paraId="55C67601" w14:textId="77777777" w:rsidR="00713196" w:rsidRPr="0081146C" w:rsidRDefault="00713196" w:rsidP="007F436D">
            <w:pPr>
              <w:pStyle w:val="ENoteTableText"/>
              <w:tabs>
                <w:tab w:val="center" w:leader="dot" w:pos="2268"/>
              </w:tabs>
            </w:pPr>
            <w:r w:rsidRPr="0081146C">
              <w:t>s 132</w:t>
            </w:r>
            <w:r w:rsidRPr="0081146C">
              <w:tab/>
            </w:r>
          </w:p>
        </w:tc>
        <w:tc>
          <w:tcPr>
            <w:tcW w:w="4537" w:type="dxa"/>
            <w:shd w:val="clear" w:color="auto" w:fill="auto"/>
          </w:tcPr>
          <w:p w14:paraId="39A9EC97" w14:textId="77777777" w:rsidR="00713196" w:rsidRPr="0081146C" w:rsidRDefault="00713196" w:rsidP="00C72BA2">
            <w:pPr>
              <w:pStyle w:val="ENoteTableText"/>
            </w:pPr>
            <w:r w:rsidRPr="0081146C">
              <w:t>rep No 133, 2020</w:t>
            </w:r>
          </w:p>
        </w:tc>
      </w:tr>
      <w:tr w:rsidR="00713196" w:rsidRPr="0081146C" w:rsidDel="00713196" w14:paraId="458B2A00" w14:textId="77777777" w:rsidTr="00965397">
        <w:trPr>
          <w:cantSplit/>
        </w:trPr>
        <w:tc>
          <w:tcPr>
            <w:tcW w:w="2551" w:type="dxa"/>
            <w:shd w:val="clear" w:color="auto" w:fill="auto"/>
          </w:tcPr>
          <w:p w14:paraId="06DBD2B7" w14:textId="77777777" w:rsidR="00713196" w:rsidRPr="0081146C" w:rsidRDefault="00713196" w:rsidP="007F436D">
            <w:pPr>
              <w:pStyle w:val="ENoteTableText"/>
              <w:tabs>
                <w:tab w:val="center" w:leader="dot" w:pos="2268"/>
              </w:tabs>
            </w:pPr>
            <w:r w:rsidRPr="0081146C">
              <w:t>s 133</w:t>
            </w:r>
            <w:r w:rsidRPr="0081146C">
              <w:tab/>
            </w:r>
          </w:p>
        </w:tc>
        <w:tc>
          <w:tcPr>
            <w:tcW w:w="4537" w:type="dxa"/>
            <w:shd w:val="clear" w:color="auto" w:fill="auto"/>
          </w:tcPr>
          <w:p w14:paraId="3A2F598C" w14:textId="77777777" w:rsidR="00713196" w:rsidRPr="0081146C" w:rsidRDefault="00713196" w:rsidP="00C72BA2">
            <w:pPr>
              <w:pStyle w:val="ENoteTableText"/>
            </w:pPr>
            <w:r w:rsidRPr="0081146C">
              <w:t>rep No 133, 2020</w:t>
            </w:r>
          </w:p>
        </w:tc>
      </w:tr>
      <w:tr w:rsidR="000E0B0C" w:rsidRPr="0081146C" w14:paraId="3A3324E8" w14:textId="77777777" w:rsidTr="00965397">
        <w:trPr>
          <w:cantSplit/>
        </w:trPr>
        <w:tc>
          <w:tcPr>
            <w:tcW w:w="2551" w:type="dxa"/>
            <w:shd w:val="clear" w:color="auto" w:fill="auto"/>
          </w:tcPr>
          <w:p w14:paraId="06D70930" w14:textId="77777777" w:rsidR="000E0B0C" w:rsidRPr="0081146C" w:rsidRDefault="000E0B0C" w:rsidP="00AE2DA2">
            <w:pPr>
              <w:pStyle w:val="ENoteTableText"/>
              <w:tabs>
                <w:tab w:val="center" w:leader="dot" w:pos="2268"/>
              </w:tabs>
            </w:pPr>
            <w:r w:rsidRPr="0081146C">
              <w:t>s 133A</w:t>
            </w:r>
            <w:r w:rsidRPr="0081146C">
              <w:tab/>
            </w:r>
          </w:p>
        </w:tc>
        <w:tc>
          <w:tcPr>
            <w:tcW w:w="4537" w:type="dxa"/>
            <w:shd w:val="clear" w:color="auto" w:fill="auto"/>
          </w:tcPr>
          <w:p w14:paraId="028818FC" w14:textId="77777777" w:rsidR="000E0B0C" w:rsidRPr="0081146C" w:rsidRDefault="000E0B0C" w:rsidP="00C72BA2">
            <w:pPr>
              <w:pStyle w:val="ENoteTableText"/>
            </w:pPr>
            <w:r w:rsidRPr="0081146C">
              <w:t>ad No 52, 2007</w:t>
            </w:r>
          </w:p>
        </w:tc>
      </w:tr>
      <w:tr w:rsidR="00713196" w:rsidRPr="0081146C" w14:paraId="461003A4" w14:textId="77777777" w:rsidTr="00965397">
        <w:trPr>
          <w:cantSplit/>
        </w:trPr>
        <w:tc>
          <w:tcPr>
            <w:tcW w:w="2551" w:type="dxa"/>
            <w:shd w:val="clear" w:color="auto" w:fill="auto"/>
          </w:tcPr>
          <w:p w14:paraId="571BBC50" w14:textId="77777777" w:rsidR="00713196" w:rsidRPr="0081146C" w:rsidRDefault="00713196" w:rsidP="00AE2DA2">
            <w:pPr>
              <w:pStyle w:val="ENoteTableText"/>
              <w:tabs>
                <w:tab w:val="center" w:leader="dot" w:pos="2268"/>
              </w:tabs>
            </w:pPr>
          </w:p>
        </w:tc>
        <w:tc>
          <w:tcPr>
            <w:tcW w:w="4537" w:type="dxa"/>
            <w:shd w:val="clear" w:color="auto" w:fill="auto"/>
          </w:tcPr>
          <w:p w14:paraId="5E142659" w14:textId="77777777" w:rsidR="00713196" w:rsidRPr="0081146C" w:rsidRDefault="00713196" w:rsidP="00C72BA2">
            <w:pPr>
              <w:pStyle w:val="ENoteTableText"/>
            </w:pPr>
            <w:r w:rsidRPr="0081146C">
              <w:t>rep No 133, 2020</w:t>
            </w:r>
          </w:p>
        </w:tc>
      </w:tr>
      <w:tr w:rsidR="000E0B0C" w:rsidRPr="0081146C" w14:paraId="3216716A" w14:textId="77777777" w:rsidTr="00965397">
        <w:trPr>
          <w:cantSplit/>
        </w:trPr>
        <w:tc>
          <w:tcPr>
            <w:tcW w:w="2551" w:type="dxa"/>
            <w:shd w:val="clear" w:color="auto" w:fill="auto"/>
          </w:tcPr>
          <w:p w14:paraId="6F688636" w14:textId="77777777" w:rsidR="000E0B0C" w:rsidRPr="0081146C" w:rsidRDefault="000E0B0C" w:rsidP="002F708C">
            <w:pPr>
              <w:pStyle w:val="ENoteTableText"/>
              <w:tabs>
                <w:tab w:val="center" w:leader="dot" w:pos="2268"/>
              </w:tabs>
            </w:pPr>
            <w:r w:rsidRPr="0081146C">
              <w:t>s 133B</w:t>
            </w:r>
            <w:r w:rsidRPr="0081146C">
              <w:tab/>
            </w:r>
          </w:p>
        </w:tc>
        <w:tc>
          <w:tcPr>
            <w:tcW w:w="4537" w:type="dxa"/>
            <w:shd w:val="clear" w:color="auto" w:fill="auto"/>
          </w:tcPr>
          <w:p w14:paraId="17F1CB71" w14:textId="77777777" w:rsidR="000E0B0C" w:rsidRPr="0081146C" w:rsidRDefault="000E0B0C" w:rsidP="00FF5CDF">
            <w:pPr>
              <w:pStyle w:val="ENoteTableText"/>
            </w:pPr>
            <w:r w:rsidRPr="0081146C">
              <w:t>ad No 60, 2011</w:t>
            </w:r>
          </w:p>
        </w:tc>
      </w:tr>
      <w:tr w:rsidR="00713196" w:rsidRPr="0081146C" w14:paraId="3E460639" w14:textId="77777777" w:rsidTr="00965397">
        <w:trPr>
          <w:cantSplit/>
        </w:trPr>
        <w:tc>
          <w:tcPr>
            <w:tcW w:w="2551" w:type="dxa"/>
            <w:shd w:val="clear" w:color="auto" w:fill="auto"/>
          </w:tcPr>
          <w:p w14:paraId="2209AE4D" w14:textId="77777777" w:rsidR="00713196" w:rsidRPr="0081146C" w:rsidRDefault="00713196" w:rsidP="002F708C">
            <w:pPr>
              <w:pStyle w:val="ENoteTableText"/>
              <w:tabs>
                <w:tab w:val="center" w:leader="dot" w:pos="2268"/>
              </w:tabs>
            </w:pPr>
          </w:p>
        </w:tc>
        <w:tc>
          <w:tcPr>
            <w:tcW w:w="4537" w:type="dxa"/>
            <w:shd w:val="clear" w:color="auto" w:fill="auto"/>
          </w:tcPr>
          <w:p w14:paraId="68707BB0" w14:textId="77777777" w:rsidR="00713196" w:rsidRPr="0081146C" w:rsidRDefault="00713196" w:rsidP="00FF5CDF">
            <w:pPr>
              <w:pStyle w:val="ENoteTableText"/>
            </w:pPr>
            <w:r w:rsidRPr="0081146C">
              <w:t>rep No 133, 2020</w:t>
            </w:r>
          </w:p>
        </w:tc>
      </w:tr>
      <w:tr w:rsidR="000E0B0C" w:rsidRPr="0081146C" w14:paraId="6B925F2C" w14:textId="77777777" w:rsidTr="00965397">
        <w:trPr>
          <w:cantSplit/>
        </w:trPr>
        <w:tc>
          <w:tcPr>
            <w:tcW w:w="2551" w:type="dxa"/>
            <w:shd w:val="clear" w:color="auto" w:fill="auto"/>
          </w:tcPr>
          <w:p w14:paraId="1F699924" w14:textId="77777777" w:rsidR="000E0B0C" w:rsidRPr="0081146C" w:rsidRDefault="000E0B0C" w:rsidP="002F708C">
            <w:pPr>
              <w:pStyle w:val="ENoteTableText"/>
              <w:tabs>
                <w:tab w:val="center" w:leader="dot" w:pos="2268"/>
              </w:tabs>
            </w:pPr>
            <w:r w:rsidRPr="0081146C">
              <w:t>s 133BA</w:t>
            </w:r>
            <w:r w:rsidRPr="0081146C">
              <w:tab/>
            </w:r>
          </w:p>
        </w:tc>
        <w:tc>
          <w:tcPr>
            <w:tcW w:w="4537" w:type="dxa"/>
            <w:shd w:val="clear" w:color="auto" w:fill="auto"/>
          </w:tcPr>
          <w:p w14:paraId="3124CB27" w14:textId="77777777" w:rsidR="000E0B0C" w:rsidRPr="0081146C" w:rsidRDefault="000E0B0C" w:rsidP="00FF5CDF">
            <w:pPr>
              <w:pStyle w:val="ENoteTableText"/>
            </w:pPr>
            <w:r w:rsidRPr="0081146C">
              <w:t>ad No 25, 2018</w:t>
            </w:r>
          </w:p>
        </w:tc>
      </w:tr>
      <w:tr w:rsidR="00713196" w:rsidRPr="0081146C" w14:paraId="04067063" w14:textId="77777777" w:rsidTr="00965397">
        <w:trPr>
          <w:cantSplit/>
        </w:trPr>
        <w:tc>
          <w:tcPr>
            <w:tcW w:w="2551" w:type="dxa"/>
            <w:shd w:val="clear" w:color="auto" w:fill="auto"/>
          </w:tcPr>
          <w:p w14:paraId="695A0A2D" w14:textId="77777777" w:rsidR="00713196" w:rsidRPr="0081146C" w:rsidRDefault="00713196" w:rsidP="002F708C">
            <w:pPr>
              <w:pStyle w:val="ENoteTableText"/>
              <w:tabs>
                <w:tab w:val="center" w:leader="dot" w:pos="2268"/>
              </w:tabs>
            </w:pPr>
          </w:p>
        </w:tc>
        <w:tc>
          <w:tcPr>
            <w:tcW w:w="4537" w:type="dxa"/>
            <w:shd w:val="clear" w:color="auto" w:fill="auto"/>
          </w:tcPr>
          <w:p w14:paraId="3E454F77" w14:textId="77777777" w:rsidR="00713196" w:rsidRPr="0081146C" w:rsidRDefault="00713196" w:rsidP="00FF5CDF">
            <w:pPr>
              <w:pStyle w:val="ENoteTableText"/>
            </w:pPr>
            <w:r w:rsidRPr="0081146C">
              <w:t>rep No 133, 2020</w:t>
            </w:r>
          </w:p>
        </w:tc>
      </w:tr>
      <w:tr w:rsidR="000E0B0C" w:rsidRPr="0081146C" w14:paraId="09B10CAF" w14:textId="77777777" w:rsidTr="00965397">
        <w:trPr>
          <w:cantSplit/>
        </w:trPr>
        <w:tc>
          <w:tcPr>
            <w:tcW w:w="2551" w:type="dxa"/>
            <w:shd w:val="clear" w:color="auto" w:fill="auto"/>
          </w:tcPr>
          <w:p w14:paraId="06122583" w14:textId="77777777" w:rsidR="000E0B0C" w:rsidRPr="0081146C" w:rsidRDefault="000E0B0C" w:rsidP="002F708C">
            <w:pPr>
              <w:pStyle w:val="ENoteTableText"/>
              <w:tabs>
                <w:tab w:val="center" w:leader="dot" w:pos="2268"/>
              </w:tabs>
            </w:pPr>
            <w:r w:rsidRPr="0081146C">
              <w:t>s 133C</w:t>
            </w:r>
            <w:r w:rsidRPr="0081146C">
              <w:tab/>
            </w:r>
          </w:p>
        </w:tc>
        <w:tc>
          <w:tcPr>
            <w:tcW w:w="4537" w:type="dxa"/>
            <w:shd w:val="clear" w:color="auto" w:fill="auto"/>
          </w:tcPr>
          <w:p w14:paraId="0135D821" w14:textId="77777777" w:rsidR="000E0B0C" w:rsidRPr="0081146C" w:rsidRDefault="000E0B0C" w:rsidP="00C72BA2">
            <w:pPr>
              <w:pStyle w:val="ENoteTableText"/>
            </w:pPr>
            <w:r w:rsidRPr="0081146C">
              <w:t>ad No 60, 2011</w:t>
            </w:r>
          </w:p>
        </w:tc>
      </w:tr>
      <w:tr w:rsidR="00E47DB3" w:rsidRPr="0081146C" w14:paraId="61AFD5B0" w14:textId="77777777" w:rsidTr="00965397">
        <w:trPr>
          <w:cantSplit/>
        </w:trPr>
        <w:tc>
          <w:tcPr>
            <w:tcW w:w="2551" w:type="dxa"/>
            <w:shd w:val="clear" w:color="auto" w:fill="auto"/>
          </w:tcPr>
          <w:p w14:paraId="68404CDF" w14:textId="77777777" w:rsidR="00E47DB3" w:rsidRPr="0081146C" w:rsidRDefault="00E47DB3" w:rsidP="002F708C">
            <w:pPr>
              <w:pStyle w:val="ENoteTableText"/>
              <w:tabs>
                <w:tab w:val="center" w:leader="dot" w:pos="2268"/>
              </w:tabs>
            </w:pPr>
          </w:p>
        </w:tc>
        <w:tc>
          <w:tcPr>
            <w:tcW w:w="4537" w:type="dxa"/>
            <w:shd w:val="clear" w:color="auto" w:fill="auto"/>
          </w:tcPr>
          <w:p w14:paraId="05D1EE4E" w14:textId="77777777" w:rsidR="00E47DB3" w:rsidRPr="0081146C" w:rsidRDefault="00E47DB3" w:rsidP="00C72BA2">
            <w:pPr>
              <w:pStyle w:val="ENoteTableText"/>
            </w:pPr>
            <w:r w:rsidRPr="0081146C">
              <w:t>am No 156, 2018</w:t>
            </w:r>
          </w:p>
        </w:tc>
      </w:tr>
      <w:tr w:rsidR="00713196" w:rsidRPr="0081146C" w14:paraId="31D1C183" w14:textId="77777777" w:rsidTr="00965397">
        <w:trPr>
          <w:cantSplit/>
        </w:trPr>
        <w:tc>
          <w:tcPr>
            <w:tcW w:w="2551" w:type="dxa"/>
            <w:shd w:val="clear" w:color="auto" w:fill="auto"/>
          </w:tcPr>
          <w:p w14:paraId="31A5B959" w14:textId="77777777" w:rsidR="00713196" w:rsidRPr="0081146C" w:rsidRDefault="00713196" w:rsidP="002F708C">
            <w:pPr>
              <w:pStyle w:val="ENoteTableText"/>
              <w:tabs>
                <w:tab w:val="center" w:leader="dot" w:pos="2268"/>
              </w:tabs>
            </w:pPr>
          </w:p>
        </w:tc>
        <w:tc>
          <w:tcPr>
            <w:tcW w:w="4537" w:type="dxa"/>
            <w:shd w:val="clear" w:color="auto" w:fill="auto"/>
          </w:tcPr>
          <w:p w14:paraId="3DC46133" w14:textId="77777777" w:rsidR="00713196" w:rsidRPr="0081146C" w:rsidRDefault="00713196" w:rsidP="00C72BA2">
            <w:pPr>
              <w:pStyle w:val="ENoteTableText"/>
            </w:pPr>
            <w:r w:rsidRPr="0081146C">
              <w:t>rep No 133, 2020</w:t>
            </w:r>
          </w:p>
        </w:tc>
      </w:tr>
      <w:tr w:rsidR="007F436D" w:rsidRPr="0081146C" w14:paraId="0E930511" w14:textId="77777777" w:rsidTr="00965397">
        <w:trPr>
          <w:cantSplit/>
        </w:trPr>
        <w:tc>
          <w:tcPr>
            <w:tcW w:w="2551" w:type="dxa"/>
            <w:shd w:val="clear" w:color="auto" w:fill="auto"/>
          </w:tcPr>
          <w:p w14:paraId="56F98C37" w14:textId="77777777" w:rsidR="007F436D" w:rsidRPr="0081146C" w:rsidRDefault="00CA78AA" w:rsidP="00062243">
            <w:pPr>
              <w:pStyle w:val="ENoteTableText"/>
              <w:keepNext/>
              <w:tabs>
                <w:tab w:val="center" w:leader="dot" w:pos="2268"/>
              </w:tabs>
              <w:rPr>
                <w:b/>
              </w:rPr>
            </w:pPr>
            <w:r w:rsidRPr="0081146C">
              <w:rPr>
                <w:b/>
              </w:rPr>
              <w:t>Division 7</w:t>
            </w:r>
          </w:p>
        </w:tc>
        <w:tc>
          <w:tcPr>
            <w:tcW w:w="4537" w:type="dxa"/>
            <w:shd w:val="clear" w:color="auto" w:fill="auto"/>
          </w:tcPr>
          <w:p w14:paraId="3E84FAB7" w14:textId="77777777" w:rsidR="007F436D" w:rsidRPr="0081146C" w:rsidRDefault="007F436D" w:rsidP="00062243">
            <w:pPr>
              <w:pStyle w:val="ENoteTableText"/>
              <w:keepNext/>
            </w:pPr>
          </w:p>
        </w:tc>
      </w:tr>
      <w:tr w:rsidR="0024693A" w:rsidRPr="0081146C" w14:paraId="1E064118" w14:textId="77777777" w:rsidTr="00965397">
        <w:trPr>
          <w:cantSplit/>
        </w:trPr>
        <w:tc>
          <w:tcPr>
            <w:tcW w:w="2551" w:type="dxa"/>
            <w:shd w:val="clear" w:color="auto" w:fill="auto"/>
          </w:tcPr>
          <w:p w14:paraId="393614B3" w14:textId="77777777" w:rsidR="0024693A" w:rsidRPr="0081146C" w:rsidRDefault="00CA78AA" w:rsidP="002F708C">
            <w:pPr>
              <w:pStyle w:val="ENoteTableText"/>
              <w:tabs>
                <w:tab w:val="center" w:leader="dot" w:pos="2268"/>
              </w:tabs>
            </w:pPr>
            <w:r w:rsidRPr="0081146C">
              <w:t>Division 5</w:t>
            </w:r>
            <w:r w:rsidR="0024693A" w:rsidRPr="0081146C">
              <w:t xml:space="preserve"> heading</w:t>
            </w:r>
            <w:r w:rsidR="0024693A" w:rsidRPr="0081146C">
              <w:tab/>
            </w:r>
          </w:p>
        </w:tc>
        <w:tc>
          <w:tcPr>
            <w:tcW w:w="4537" w:type="dxa"/>
            <w:shd w:val="clear" w:color="auto" w:fill="auto"/>
          </w:tcPr>
          <w:p w14:paraId="6AC4E15B" w14:textId="77777777" w:rsidR="0024693A" w:rsidRPr="0081146C" w:rsidRDefault="0024693A" w:rsidP="00C72BA2">
            <w:pPr>
              <w:pStyle w:val="ENoteTableText"/>
            </w:pPr>
            <w:r w:rsidRPr="0081146C">
              <w:t>rs and renum No 133, 2020</w:t>
            </w:r>
          </w:p>
        </w:tc>
      </w:tr>
      <w:tr w:rsidR="007F436D" w:rsidRPr="0081146C" w14:paraId="74FE8A98" w14:textId="77777777" w:rsidTr="00965397">
        <w:trPr>
          <w:cantSplit/>
        </w:trPr>
        <w:tc>
          <w:tcPr>
            <w:tcW w:w="2551" w:type="dxa"/>
            <w:shd w:val="clear" w:color="auto" w:fill="auto"/>
          </w:tcPr>
          <w:p w14:paraId="70FBF1E2" w14:textId="77777777" w:rsidR="007F436D" w:rsidRPr="0081146C" w:rsidRDefault="00CA78AA" w:rsidP="002F708C">
            <w:pPr>
              <w:pStyle w:val="ENoteTableText"/>
              <w:tabs>
                <w:tab w:val="center" w:leader="dot" w:pos="2268"/>
              </w:tabs>
            </w:pPr>
            <w:r w:rsidRPr="0081146C">
              <w:t>Division 7</w:t>
            </w:r>
            <w:r w:rsidR="007F436D" w:rsidRPr="0081146C">
              <w:t xml:space="preserve"> heading</w:t>
            </w:r>
            <w:r w:rsidR="0024693A" w:rsidRPr="0081146C">
              <w:t xml:space="preserve"> (prev </w:t>
            </w:r>
            <w:r w:rsidRPr="0081146C">
              <w:t>Division 5</w:t>
            </w:r>
            <w:r w:rsidR="0024693A" w:rsidRPr="0081146C">
              <w:t xml:space="preserve"> heading)</w:t>
            </w:r>
          </w:p>
        </w:tc>
        <w:tc>
          <w:tcPr>
            <w:tcW w:w="4537" w:type="dxa"/>
            <w:shd w:val="clear" w:color="auto" w:fill="auto"/>
          </w:tcPr>
          <w:p w14:paraId="0C7B65D6" w14:textId="77777777" w:rsidR="007F436D" w:rsidRPr="0081146C" w:rsidRDefault="007F436D" w:rsidP="00C72BA2">
            <w:pPr>
              <w:pStyle w:val="ENoteTableText"/>
            </w:pPr>
          </w:p>
        </w:tc>
      </w:tr>
      <w:tr w:rsidR="007F436D" w:rsidRPr="0081146C" w14:paraId="7CC44196" w14:textId="77777777" w:rsidTr="00965397">
        <w:trPr>
          <w:cantSplit/>
        </w:trPr>
        <w:tc>
          <w:tcPr>
            <w:tcW w:w="2551" w:type="dxa"/>
            <w:shd w:val="clear" w:color="auto" w:fill="auto"/>
          </w:tcPr>
          <w:p w14:paraId="6417F0D6" w14:textId="77777777" w:rsidR="007F436D" w:rsidRPr="0081146C" w:rsidRDefault="007F436D" w:rsidP="002F708C">
            <w:pPr>
              <w:pStyle w:val="ENoteTableText"/>
              <w:tabs>
                <w:tab w:val="center" w:leader="dot" w:pos="2268"/>
              </w:tabs>
            </w:pPr>
            <w:r w:rsidRPr="0081146C">
              <w:t>s 134</w:t>
            </w:r>
            <w:r w:rsidRPr="0081146C">
              <w:tab/>
            </w:r>
          </w:p>
        </w:tc>
        <w:tc>
          <w:tcPr>
            <w:tcW w:w="4537" w:type="dxa"/>
            <w:shd w:val="clear" w:color="auto" w:fill="auto"/>
          </w:tcPr>
          <w:p w14:paraId="057F3942" w14:textId="77777777" w:rsidR="007F436D" w:rsidRPr="0081146C" w:rsidRDefault="007F436D" w:rsidP="00C72BA2">
            <w:pPr>
              <w:pStyle w:val="ENoteTableText"/>
            </w:pPr>
            <w:r w:rsidRPr="0081146C">
              <w:t>rs No 133, 2020</w:t>
            </w:r>
          </w:p>
        </w:tc>
      </w:tr>
      <w:tr w:rsidR="000E0B0C" w:rsidRPr="0081146C" w14:paraId="3722CC56" w14:textId="77777777" w:rsidTr="00965397">
        <w:trPr>
          <w:cantSplit/>
        </w:trPr>
        <w:tc>
          <w:tcPr>
            <w:tcW w:w="2551" w:type="dxa"/>
            <w:shd w:val="clear" w:color="auto" w:fill="auto"/>
          </w:tcPr>
          <w:p w14:paraId="10150291" w14:textId="77777777" w:rsidR="000E0B0C" w:rsidRPr="0081146C" w:rsidRDefault="00CA78AA" w:rsidP="00147378">
            <w:pPr>
              <w:pStyle w:val="ENoteTableText"/>
              <w:keepNext/>
            </w:pPr>
            <w:r w:rsidRPr="0081146C">
              <w:rPr>
                <w:b/>
              </w:rPr>
              <w:t>Part 1</w:t>
            </w:r>
            <w:r w:rsidR="000E0B0C" w:rsidRPr="0081146C">
              <w:rPr>
                <w:b/>
              </w:rPr>
              <w:t>2</w:t>
            </w:r>
          </w:p>
        </w:tc>
        <w:tc>
          <w:tcPr>
            <w:tcW w:w="4537" w:type="dxa"/>
            <w:shd w:val="clear" w:color="auto" w:fill="auto"/>
          </w:tcPr>
          <w:p w14:paraId="11103DE2" w14:textId="77777777" w:rsidR="000E0B0C" w:rsidRPr="0081146C" w:rsidRDefault="000E0B0C" w:rsidP="00C72BA2">
            <w:pPr>
              <w:pStyle w:val="ENoteTableText"/>
            </w:pPr>
          </w:p>
        </w:tc>
      </w:tr>
      <w:tr w:rsidR="000E0B0C" w:rsidRPr="0081146C" w14:paraId="5140C08C" w14:textId="77777777" w:rsidTr="00965397">
        <w:trPr>
          <w:cantSplit/>
        </w:trPr>
        <w:tc>
          <w:tcPr>
            <w:tcW w:w="2551" w:type="dxa"/>
            <w:shd w:val="clear" w:color="auto" w:fill="auto"/>
          </w:tcPr>
          <w:p w14:paraId="4D05D2C9" w14:textId="77777777" w:rsidR="000E0B0C" w:rsidRPr="0081146C" w:rsidRDefault="000E0B0C" w:rsidP="00AE2DA2">
            <w:pPr>
              <w:pStyle w:val="ENoteTableText"/>
              <w:tabs>
                <w:tab w:val="center" w:leader="dot" w:pos="2268"/>
              </w:tabs>
            </w:pPr>
            <w:r w:rsidRPr="0081146C">
              <w:t>s. 136</w:t>
            </w:r>
            <w:r w:rsidRPr="0081146C">
              <w:tab/>
            </w:r>
          </w:p>
        </w:tc>
        <w:tc>
          <w:tcPr>
            <w:tcW w:w="4537" w:type="dxa"/>
            <w:shd w:val="clear" w:color="auto" w:fill="auto"/>
          </w:tcPr>
          <w:p w14:paraId="73745729" w14:textId="77777777" w:rsidR="000E0B0C" w:rsidRPr="0081146C" w:rsidRDefault="000E0B0C" w:rsidP="00C72BA2">
            <w:pPr>
              <w:pStyle w:val="ENoteTableText"/>
            </w:pPr>
            <w:r w:rsidRPr="0081146C">
              <w:t>am. No.</w:t>
            </w:r>
            <w:r w:rsidR="004F64A4" w:rsidRPr="0081146C">
              <w:t> </w:t>
            </w:r>
            <w:r w:rsidRPr="0081146C">
              <w:t>52, 2007; No.</w:t>
            </w:r>
            <w:r w:rsidR="004F64A4" w:rsidRPr="0081146C">
              <w:t> </w:t>
            </w:r>
            <w:r w:rsidRPr="0081146C">
              <w:t>74, 2013</w:t>
            </w:r>
          </w:p>
        </w:tc>
      </w:tr>
      <w:tr w:rsidR="000E0B0C" w:rsidRPr="0081146C" w14:paraId="052FCF33" w14:textId="77777777" w:rsidTr="00965397">
        <w:trPr>
          <w:cantSplit/>
        </w:trPr>
        <w:tc>
          <w:tcPr>
            <w:tcW w:w="2551" w:type="dxa"/>
            <w:shd w:val="clear" w:color="auto" w:fill="auto"/>
          </w:tcPr>
          <w:p w14:paraId="3C27900E" w14:textId="77777777" w:rsidR="000E0B0C" w:rsidRPr="0081146C" w:rsidRDefault="000E0B0C" w:rsidP="00AE2DA2">
            <w:pPr>
              <w:pStyle w:val="ENoteTableText"/>
              <w:tabs>
                <w:tab w:val="center" w:leader="dot" w:pos="2268"/>
              </w:tabs>
            </w:pPr>
            <w:r w:rsidRPr="0081146C">
              <w:t>s. 137</w:t>
            </w:r>
            <w:r w:rsidRPr="0081146C">
              <w:tab/>
            </w:r>
          </w:p>
        </w:tc>
        <w:tc>
          <w:tcPr>
            <w:tcW w:w="4537" w:type="dxa"/>
            <w:shd w:val="clear" w:color="auto" w:fill="auto"/>
          </w:tcPr>
          <w:p w14:paraId="54CE30B7" w14:textId="77777777" w:rsidR="000E0B0C" w:rsidRPr="0081146C" w:rsidRDefault="000E0B0C" w:rsidP="00C72BA2">
            <w:pPr>
              <w:pStyle w:val="ENoteTableText"/>
            </w:pPr>
            <w:r w:rsidRPr="0081146C">
              <w:t>am. No.</w:t>
            </w:r>
            <w:r w:rsidR="004F64A4" w:rsidRPr="0081146C">
              <w:t> </w:t>
            </w:r>
            <w:r w:rsidRPr="0081146C">
              <w:t>52, 2007; No.</w:t>
            </w:r>
            <w:r w:rsidR="004F64A4" w:rsidRPr="0081146C">
              <w:t> </w:t>
            </w:r>
            <w:r w:rsidRPr="0081146C">
              <w:t>74, 2013</w:t>
            </w:r>
          </w:p>
        </w:tc>
      </w:tr>
      <w:tr w:rsidR="000E0B0C" w:rsidRPr="0081146C" w14:paraId="1B19DE86" w14:textId="77777777" w:rsidTr="00965397">
        <w:trPr>
          <w:cantSplit/>
        </w:trPr>
        <w:tc>
          <w:tcPr>
            <w:tcW w:w="2551" w:type="dxa"/>
            <w:shd w:val="clear" w:color="auto" w:fill="auto"/>
          </w:tcPr>
          <w:p w14:paraId="162C8E87" w14:textId="77777777" w:rsidR="000E0B0C" w:rsidRPr="0081146C" w:rsidRDefault="000E0B0C" w:rsidP="00AE2DA2">
            <w:pPr>
              <w:pStyle w:val="ENoteTableText"/>
              <w:tabs>
                <w:tab w:val="center" w:leader="dot" w:pos="2268"/>
              </w:tabs>
            </w:pPr>
            <w:r w:rsidRPr="0081146C">
              <w:t>s. 139</w:t>
            </w:r>
            <w:r w:rsidRPr="0081146C">
              <w:tab/>
            </w:r>
          </w:p>
        </w:tc>
        <w:tc>
          <w:tcPr>
            <w:tcW w:w="4537" w:type="dxa"/>
            <w:shd w:val="clear" w:color="auto" w:fill="auto"/>
          </w:tcPr>
          <w:p w14:paraId="466490F5" w14:textId="77777777" w:rsidR="000E0B0C" w:rsidRPr="0081146C" w:rsidRDefault="000E0B0C" w:rsidP="00C72BA2">
            <w:pPr>
              <w:pStyle w:val="ENoteTableText"/>
            </w:pPr>
            <w:r w:rsidRPr="0081146C">
              <w:t>am. No.</w:t>
            </w:r>
            <w:r w:rsidR="004F64A4" w:rsidRPr="0081146C">
              <w:t> </w:t>
            </w:r>
            <w:r w:rsidRPr="0081146C">
              <w:t>52, 2007; No.</w:t>
            </w:r>
            <w:r w:rsidR="004F64A4" w:rsidRPr="0081146C">
              <w:t> </w:t>
            </w:r>
            <w:r w:rsidRPr="0081146C">
              <w:t>74, 2013</w:t>
            </w:r>
          </w:p>
        </w:tc>
      </w:tr>
      <w:tr w:rsidR="000E0B0C" w:rsidRPr="0081146C" w14:paraId="2121A989" w14:textId="77777777" w:rsidTr="00965397">
        <w:trPr>
          <w:cantSplit/>
        </w:trPr>
        <w:tc>
          <w:tcPr>
            <w:tcW w:w="2551" w:type="dxa"/>
            <w:shd w:val="clear" w:color="auto" w:fill="auto"/>
          </w:tcPr>
          <w:p w14:paraId="4A7A7426" w14:textId="77777777" w:rsidR="000E0B0C" w:rsidRPr="0081146C" w:rsidRDefault="000E0B0C" w:rsidP="00AE2DA2">
            <w:pPr>
              <w:pStyle w:val="ENoteTableText"/>
              <w:tabs>
                <w:tab w:val="center" w:leader="dot" w:pos="2268"/>
              </w:tabs>
            </w:pPr>
            <w:r w:rsidRPr="0081146C">
              <w:t>s. 140</w:t>
            </w:r>
            <w:r w:rsidRPr="0081146C">
              <w:tab/>
            </w:r>
          </w:p>
        </w:tc>
        <w:tc>
          <w:tcPr>
            <w:tcW w:w="4537" w:type="dxa"/>
            <w:shd w:val="clear" w:color="auto" w:fill="auto"/>
          </w:tcPr>
          <w:p w14:paraId="56C6BBDB" w14:textId="77777777" w:rsidR="000E0B0C" w:rsidRPr="0081146C" w:rsidRDefault="000E0B0C" w:rsidP="00C72BA2">
            <w:pPr>
              <w:pStyle w:val="ENoteTableText"/>
            </w:pPr>
            <w:r w:rsidRPr="0081146C">
              <w:t>am. No.</w:t>
            </w:r>
            <w:r w:rsidR="004F64A4" w:rsidRPr="0081146C">
              <w:t> </w:t>
            </w:r>
            <w:r w:rsidRPr="0081146C">
              <w:t>52, 2007</w:t>
            </w:r>
          </w:p>
        </w:tc>
      </w:tr>
      <w:tr w:rsidR="000E0B0C" w:rsidRPr="0081146C" w14:paraId="60BE388D" w14:textId="77777777" w:rsidTr="00965397">
        <w:trPr>
          <w:cantSplit/>
        </w:trPr>
        <w:tc>
          <w:tcPr>
            <w:tcW w:w="2551" w:type="dxa"/>
            <w:shd w:val="clear" w:color="auto" w:fill="auto"/>
          </w:tcPr>
          <w:p w14:paraId="2371B29B" w14:textId="77777777" w:rsidR="000E0B0C" w:rsidRPr="0081146C" w:rsidRDefault="000E0B0C" w:rsidP="00AE2DA2">
            <w:pPr>
              <w:pStyle w:val="ENoteTableText"/>
              <w:tabs>
                <w:tab w:val="center" w:leader="dot" w:pos="2268"/>
              </w:tabs>
            </w:pPr>
            <w:r w:rsidRPr="0081146C">
              <w:t>s. 141</w:t>
            </w:r>
            <w:r w:rsidRPr="0081146C">
              <w:tab/>
            </w:r>
          </w:p>
        </w:tc>
        <w:tc>
          <w:tcPr>
            <w:tcW w:w="4537" w:type="dxa"/>
            <w:shd w:val="clear" w:color="auto" w:fill="auto"/>
          </w:tcPr>
          <w:p w14:paraId="5BDDA2DF" w14:textId="77777777" w:rsidR="000E0B0C" w:rsidRPr="0081146C" w:rsidRDefault="000E0B0C" w:rsidP="00C72BA2">
            <w:pPr>
              <w:pStyle w:val="ENoteTableText"/>
            </w:pPr>
            <w:r w:rsidRPr="0081146C">
              <w:t>am. No.</w:t>
            </w:r>
            <w:r w:rsidR="004F64A4" w:rsidRPr="0081146C">
              <w:t> </w:t>
            </w:r>
            <w:r w:rsidRPr="0081146C">
              <w:t>52, 2007</w:t>
            </w:r>
          </w:p>
        </w:tc>
      </w:tr>
      <w:tr w:rsidR="000E0B0C" w:rsidRPr="0081146C" w14:paraId="52EB9B68" w14:textId="77777777" w:rsidTr="00965397">
        <w:trPr>
          <w:cantSplit/>
        </w:trPr>
        <w:tc>
          <w:tcPr>
            <w:tcW w:w="2551" w:type="dxa"/>
            <w:shd w:val="clear" w:color="auto" w:fill="auto"/>
          </w:tcPr>
          <w:p w14:paraId="7C8C5681" w14:textId="77777777" w:rsidR="000E0B0C" w:rsidRPr="0081146C" w:rsidRDefault="000E0B0C" w:rsidP="00AE2DA2">
            <w:pPr>
              <w:pStyle w:val="ENoteTableText"/>
              <w:tabs>
                <w:tab w:val="center" w:leader="dot" w:pos="2268"/>
              </w:tabs>
            </w:pPr>
            <w:r w:rsidRPr="0081146C">
              <w:t>s 142</w:t>
            </w:r>
            <w:r w:rsidRPr="0081146C">
              <w:tab/>
            </w:r>
          </w:p>
        </w:tc>
        <w:tc>
          <w:tcPr>
            <w:tcW w:w="4537" w:type="dxa"/>
            <w:shd w:val="clear" w:color="auto" w:fill="auto"/>
          </w:tcPr>
          <w:p w14:paraId="2EDF9889" w14:textId="77777777" w:rsidR="000E0B0C" w:rsidRPr="0081146C" w:rsidRDefault="000E0B0C" w:rsidP="00C72BA2">
            <w:pPr>
              <w:pStyle w:val="ENoteTableText"/>
            </w:pPr>
            <w:r w:rsidRPr="0081146C">
              <w:t>am No 130, 2017</w:t>
            </w:r>
          </w:p>
        </w:tc>
      </w:tr>
      <w:tr w:rsidR="000E7DE9" w:rsidRPr="0081146C" w14:paraId="3F84A084" w14:textId="77777777" w:rsidTr="00965397">
        <w:trPr>
          <w:cantSplit/>
        </w:trPr>
        <w:tc>
          <w:tcPr>
            <w:tcW w:w="2551" w:type="dxa"/>
            <w:shd w:val="clear" w:color="auto" w:fill="auto"/>
          </w:tcPr>
          <w:p w14:paraId="33B5C43E" w14:textId="77777777" w:rsidR="000E7DE9" w:rsidRPr="0081146C" w:rsidRDefault="000E7DE9" w:rsidP="00AE2DA2">
            <w:pPr>
              <w:pStyle w:val="ENoteTableText"/>
              <w:tabs>
                <w:tab w:val="center" w:leader="dot" w:pos="2268"/>
              </w:tabs>
            </w:pPr>
            <w:r w:rsidRPr="0081146C">
              <w:t>s 143</w:t>
            </w:r>
            <w:r w:rsidRPr="0081146C">
              <w:tab/>
            </w:r>
          </w:p>
        </w:tc>
        <w:tc>
          <w:tcPr>
            <w:tcW w:w="4537" w:type="dxa"/>
            <w:shd w:val="clear" w:color="auto" w:fill="auto"/>
          </w:tcPr>
          <w:p w14:paraId="5F3641BC" w14:textId="77777777" w:rsidR="000E7DE9" w:rsidRPr="0081146C" w:rsidRDefault="000E7DE9" w:rsidP="00C72BA2">
            <w:pPr>
              <w:pStyle w:val="ENoteTableText"/>
              <w:rPr>
                <w:u w:val="single"/>
              </w:rPr>
            </w:pPr>
            <w:r w:rsidRPr="0081146C">
              <w:t>am No 133, 2020</w:t>
            </w:r>
          </w:p>
        </w:tc>
      </w:tr>
      <w:tr w:rsidR="000E0B0C" w:rsidRPr="0081146C" w14:paraId="59A1CC30" w14:textId="77777777" w:rsidTr="00965397">
        <w:trPr>
          <w:cantSplit/>
        </w:trPr>
        <w:tc>
          <w:tcPr>
            <w:tcW w:w="2551" w:type="dxa"/>
            <w:shd w:val="clear" w:color="auto" w:fill="auto"/>
          </w:tcPr>
          <w:p w14:paraId="5E0EABE9" w14:textId="77777777" w:rsidR="000E0B0C" w:rsidRPr="0081146C" w:rsidRDefault="00CA78AA" w:rsidP="00C72BA2">
            <w:pPr>
              <w:pStyle w:val="ENoteTableText"/>
            </w:pPr>
            <w:r w:rsidRPr="0081146C">
              <w:rPr>
                <w:b/>
              </w:rPr>
              <w:t>Part 1</w:t>
            </w:r>
            <w:r w:rsidR="000E0B0C" w:rsidRPr="0081146C">
              <w:rPr>
                <w:b/>
              </w:rPr>
              <w:t>3</w:t>
            </w:r>
          </w:p>
        </w:tc>
        <w:tc>
          <w:tcPr>
            <w:tcW w:w="4537" w:type="dxa"/>
            <w:shd w:val="clear" w:color="auto" w:fill="auto"/>
          </w:tcPr>
          <w:p w14:paraId="73E6002E" w14:textId="77777777" w:rsidR="000E0B0C" w:rsidRPr="0081146C" w:rsidRDefault="000E0B0C" w:rsidP="00C72BA2">
            <w:pPr>
              <w:pStyle w:val="ENoteTableText"/>
            </w:pPr>
          </w:p>
        </w:tc>
      </w:tr>
      <w:tr w:rsidR="000E0B0C" w:rsidRPr="0081146C" w14:paraId="63F28B25" w14:textId="77777777" w:rsidTr="00965397">
        <w:trPr>
          <w:cantSplit/>
        </w:trPr>
        <w:tc>
          <w:tcPr>
            <w:tcW w:w="2551" w:type="dxa"/>
            <w:shd w:val="clear" w:color="auto" w:fill="auto"/>
          </w:tcPr>
          <w:p w14:paraId="2F23216F" w14:textId="77777777" w:rsidR="000E0B0C" w:rsidRPr="0081146C" w:rsidRDefault="00CA78AA" w:rsidP="00C72BA2">
            <w:pPr>
              <w:pStyle w:val="ENoteTableText"/>
            </w:pPr>
            <w:r w:rsidRPr="0081146C">
              <w:rPr>
                <w:b/>
              </w:rPr>
              <w:t>Division 2</w:t>
            </w:r>
          </w:p>
        </w:tc>
        <w:tc>
          <w:tcPr>
            <w:tcW w:w="4537" w:type="dxa"/>
            <w:shd w:val="clear" w:color="auto" w:fill="auto"/>
          </w:tcPr>
          <w:p w14:paraId="71C66A8D" w14:textId="77777777" w:rsidR="000E0B0C" w:rsidRPr="0081146C" w:rsidRDefault="000E0B0C" w:rsidP="00C72BA2">
            <w:pPr>
              <w:pStyle w:val="ENoteTableText"/>
            </w:pPr>
          </w:p>
        </w:tc>
      </w:tr>
      <w:tr w:rsidR="000E0B0C" w:rsidRPr="0081146C" w14:paraId="6A1F7D12" w14:textId="77777777" w:rsidTr="00965397">
        <w:trPr>
          <w:cantSplit/>
        </w:trPr>
        <w:tc>
          <w:tcPr>
            <w:tcW w:w="2551" w:type="dxa"/>
            <w:shd w:val="clear" w:color="auto" w:fill="auto"/>
          </w:tcPr>
          <w:p w14:paraId="6AD1083E" w14:textId="77777777" w:rsidR="000E0B0C" w:rsidRPr="0081146C" w:rsidRDefault="000E0B0C" w:rsidP="00147378">
            <w:pPr>
              <w:pStyle w:val="ENoteTableText"/>
              <w:tabs>
                <w:tab w:val="center" w:leader="dot" w:pos="2268"/>
              </w:tabs>
            </w:pPr>
            <w:r w:rsidRPr="0081146C">
              <w:t>s 145</w:t>
            </w:r>
            <w:r w:rsidRPr="0081146C">
              <w:tab/>
            </w:r>
          </w:p>
        </w:tc>
        <w:tc>
          <w:tcPr>
            <w:tcW w:w="4537" w:type="dxa"/>
            <w:shd w:val="clear" w:color="auto" w:fill="auto"/>
          </w:tcPr>
          <w:p w14:paraId="703631C0" w14:textId="77777777" w:rsidR="000E0B0C" w:rsidRPr="0081146C" w:rsidRDefault="000E0B0C" w:rsidP="00147378">
            <w:pPr>
              <w:pStyle w:val="ENoteTableText"/>
            </w:pPr>
            <w:r w:rsidRPr="0081146C">
              <w:t>am No</w:t>
            </w:r>
            <w:r w:rsidR="00626C22" w:rsidRPr="0081146C">
              <w:t> </w:t>
            </w:r>
            <w:r w:rsidRPr="0081146C">
              <w:t>52, 2007; No</w:t>
            </w:r>
            <w:r w:rsidR="00626C22" w:rsidRPr="0081146C">
              <w:t> </w:t>
            </w:r>
            <w:r w:rsidRPr="0081146C">
              <w:t>74, 2013</w:t>
            </w:r>
          </w:p>
        </w:tc>
      </w:tr>
      <w:tr w:rsidR="000E0B0C" w:rsidRPr="0081146C" w14:paraId="4DF0A90C" w14:textId="77777777" w:rsidTr="00965397">
        <w:trPr>
          <w:cantSplit/>
        </w:trPr>
        <w:tc>
          <w:tcPr>
            <w:tcW w:w="2551" w:type="dxa"/>
            <w:shd w:val="clear" w:color="auto" w:fill="auto"/>
          </w:tcPr>
          <w:p w14:paraId="550E1226" w14:textId="77777777" w:rsidR="000E0B0C" w:rsidRPr="0081146C" w:rsidRDefault="00CA78AA" w:rsidP="00C72BA2">
            <w:pPr>
              <w:pStyle w:val="ENoteTableText"/>
            </w:pPr>
            <w:r w:rsidRPr="0081146C">
              <w:rPr>
                <w:b/>
              </w:rPr>
              <w:t>Division 7</w:t>
            </w:r>
          </w:p>
        </w:tc>
        <w:tc>
          <w:tcPr>
            <w:tcW w:w="4537" w:type="dxa"/>
            <w:shd w:val="clear" w:color="auto" w:fill="auto"/>
          </w:tcPr>
          <w:p w14:paraId="17DB2A40" w14:textId="77777777" w:rsidR="000E0B0C" w:rsidRPr="0081146C" w:rsidRDefault="000E0B0C" w:rsidP="00C72BA2">
            <w:pPr>
              <w:pStyle w:val="ENoteTableText"/>
            </w:pPr>
          </w:p>
        </w:tc>
      </w:tr>
      <w:tr w:rsidR="000E0B0C" w:rsidRPr="0081146C" w14:paraId="5DCDB7E1" w14:textId="77777777" w:rsidTr="00965397">
        <w:trPr>
          <w:cantSplit/>
        </w:trPr>
        <w:tc>
          <w:tcPr>
            <w:tcW w:w="2551" w:type="dxa"/>
            <w:shd w:val="clear" w:color="auto" w:fill="auto"/>
          </w:tcPr>
          <w:p w14:paraId="24921C5C" w14:textId="77777777" w:rsidR="000E0B0C" w:rsidRPr="0081146C" w:rsidRDefault="000E0B0C" w:rsidP="0044237A">
            <w:pPr>
              <w:pStyle w:val="ENoteTableText"/>
              <w:tabs>
                <w:tab w:val="center" w:leader="dot" w:pos="2268"/>
              </w:tabs>
            </w:pPr>
            <w:r w:rsidRPr="0081146C">
              <w:t>s. 161</w:t>
            </w:r>
            <w:r w:rsidRPr="0081146C">
              <w:tab/>
            </w:r>
          </w:p>
        </w:tc>
        <w:tc>
          <w:tcPr>
            <w:tcW w:w="4537" w:type="dxa"/>
            <w:shd w:val="clear" w:color="auto" w:fill="auto"/>
          </w:tcPr>
          <w:p w14:paraId="1456B796" w14:textId="77777777" w:rsidR="000E0B0C" w:rsidRPr="0081146C" w:rsidRDefault="000E0B0C" w:rsidP="0044237A">
            <w:pPr>
              <w:pStyle w:val="ENoteTableText"/>
            </w:pPr>
            <w:r w:rsidRPr="0081146C">
              <w:t>am. No.</w:t>
            </w:r>
            <w:r w:rsidR="004F64A4" w:rsidRPr="0081146C">
              <w:t> </w:t>
            </w:r>
            <w:r w:rsidRPr="0081146C">
              <w:t>74, 2013</w:t>
            </w:r>
          </w:p>
        </w:tc>
      </w:tr>
      <w:tr w:rsidR="000E0B0C" w:rsidRPr="0081146C" w14:paraId="4BEDA0CB" w14:textId="77777777" w:rsidTr="00965397">
        <w:trPr>
          <w:cantSplit/>
        </w:trPr>
        <w:tc>
          <w:tcPr>
            <w:tcW w:w="2551" w:type="dxa"/>
            <w:shd w:val="clear" w:color="auto" w:fill="auto"/>
          </w:tcPr>
          <w:p w14:paraId="38140A08" w14:textId="77777777" w:rsidR="000E0B0C" w:rsidRPr="0081146C" w:rsidRDefault="000E0B0C" w:rsidP="0044237A">
            <w:pPr>
              <w:pStyle w:val="ENoteTableText"/>
              <w:tabs>
                <w:tab w:val="center" w:leader="dot" w:pos="2268"/>
              </w:tabs>
            </w:pPr>
            <w:r w:rsidRPr="0081146C">
              <w:t>s. 164</w:t>
            </w:r>
            <w:r w:rsidRPr="0081146C">
              <w:tab/>
            </w:r>
          </w:p>
        </w:tc>
        <w:tc>
          <w:tcPr>
            <w:tcW w:w="4537" w:type="dxa"/>
            <w:shd w:val="clear" w:color="auto" w:fill="auto"/>
          </w:tcPr>
          <w:p w14:paraId="73D19FD5" w14:textId="77777777" w:rsidR="000E0B0C" w:rsidRPr="0081146C" w:rsidRDefault="000E0B0C" w:rsidP="00C72BA2">
            <w:pPr>
              <w:pStyle w:val="ENoteTableText"/>
            </w:pPr>
            <w:r w:rsidRPr="0081146C">
              <w:t>am. No.</w:t>
            </w:r>
            <w:r w:rsidR="004F64A4" w:rsidRPr="0081146C">
              <w:t> </w:t>
            </w:r>
            <w:r w:rsidRPr="0081146C">
              <w:t>46, 2011</w:t>
            </w:r>
          </w:p>
        </w:tc>
      </w:tr>
      <w:tr w:rsidR="000E0B0C" w:rsidRPr="0081146C" w14:paraId="7271D13D" w14:textId="77777777" w:rsidTr="00965397">
        <w:trPr>
          <w:cantSplit/>
        </w:trPr>
        <w:tc>
          <w:tcPr>
            <w:tcW w:w="2551" w:type="dxa"/>
            <w:shd w:val="clear" w:color="auto" w:fill="auto"/>
          </w:tcPr>
          <w:p w14:paraId="763E73AB" w14:textId="77777777" w:rsidR="000E0B0C" w:rsidRPr="0081146C" w:rsidRDefault="000E0B0C" w:rsidP="00AE2DA2">
            <w:pPr>
              <w:pStyle w:val="ENoteTableText"/>
              <w:tabs>
                <w:tab w:val="center" w:leader="dot" w:pos="2268"/>
              </w:tabs>
            </w:pPr>
            <w:r w:rsidRPr="0081146C">
              <w:t>s. 164A</w:t>
            </w:r>
            <w:r w:rsidRPr="0081146C">
              <w:tab/>
            </w:r>
          </w:p>
        </w:tc>
        <w:tc>
          <w:tcPr>
            <w:tcW w:w="4537" w:type="dxa"/>
            <w:shd w:val="clear" w:color="auto" w:fill="auto"/>
          </w:tcPr>
          <w:p w14:paraId="54E864DA" w14:textId="77777777" w:rsidR="000E0B0C" w:rsidRPr="0081146C" w:rsidRDefault="000E0B0C" w:rsidP="00C72BA2">
            <w:pPr>
              <w:pStyle w:val="ENoteTableText"/>
            </w:pPr>
            <w:r w:rsidRPr="0081146C">
              <w:t>ad. No.</w:t>
            </w:r>
            <w:r w:rsidR="004F64A4" w:rsidRPr="0081146C">
              <w:t> </w:t>
            </w:r>
            <w:r w:rsidRPr="0081146C">
              <w:t xml:space="preserve">52, 2007 </w:t>
            </w:r>
          </w:p>
        </w:tc>
      </w:tr>
      <w:tr w:rsidR="000E0B0C" w:rsidRPr="0081146C" w14:paraId="7B65AB6D" w14:textId="77777777" w:rsidTr="00965397">
        <w:trPr>
          <w:cantSplit/>
        </w:trPr>
        <w:tc>
          <w:tcPr>
            <w:tcW w:w="2551" w:type="dxa"/>
            <w:shd w:val="clear" w:color="auto" w:fill="auto"/>
          </w:tcPr>
          <w:p w14:paraId="13750D65" w14:textId="77777777" w:rsidR="000E0B0C" w:rsidRPr="0081146C" w:rsidRDefault="000E0B0C" w:rsidP="00AE2DA2">
            <w:pPr>
              <w:pStyle w:val="ENoteTableText"/>
              <w:tabs>
                <w:tab w:val="center" w:leader="dot" w:pos="2268"/>
              </w:tabs>
            </w:pPr>
          </w:p>
        </w:tc>
        <w:tc>
          <w:tcPr>
            <w:tcW w:w="4537" w:type="dxa"/>
            <w:shd w:val="clear" w:color="auto" w:fill="auto"/>
          </w:tcPr>
          <w:p w14:paraId="0C8F9577" w14:textId="77777777" w:rsidR="000E0B0C" w:rsidRPr="0081146C" w:rsidRDefault="000E0B0C" w:rsidP="00C72BA2">
            <w:pPr>
              <w:pStyle w:val="ENoteTableText"/>
            </w:pPr>
            <w:r w:rsidRPr="0081146C">
              <w:t>rep. No.</w:t>
            </w:r>
            <w:r w:rsidR="004F64A4" w:rsidRPr="0081146C">
              <w:t> </w:t>
            </w:r>
            <w:r w:rsidRPr="0081146C">
              <w:t>74, 2013</w:t>
            </w:r>
          </w:p>
        </w:tc>
      </w:tr>
      <w:tr w:rsidR="000E0B0C" w:rsidRPr="0081146C" w14:paraId="53CC08AB" w14:textId="77777777" w:rsidTr="00965397">
        <w:trPr>
          <w:cantSplit/>
        </w:trPr>
        <w:tc>
          <w:tcPr>
            <w:tcW w:w="2551" w:type="dxa"/>
            <w:shd w:val="clear" w:color="auto" w:fill="auto"/>
          </w:tcPr>
          <w:p w14:paraId="066E7375" w14:textId="77777777" w:rsidR="000E0B0C" w:rsidRPr="0081146C" w:rsidRDefault="00CA78AA" w:rsidP="0099072C">
            <w:pPr>
              <w:pStyle w:val="ENoteTableText"/>
              <w:keepNext/>
            </w:pPr>
            <w:r w:rsidRPr="0081146C">
              <w:rPr>
                <w:b/>
              </w:rPr>
              <w:t>Part 1</w:t>
            </w:r>
            <w:r w:rsidR="000E0B0C" w:rsidRPr="0081146C">
              <w:rPr>
                <w:b/>
              </w:rPr>
              <w:t>4</w:t>
            </w:r>
          </w:p>
        </w:tc>
        <w:tc>
          <w:tcPr>
            <w:tcW w:w="4537" w:type="dxa"/>
            <w:shd w:val="clear" w:color="auto" w:fill="auto"/>
          </w:tcPr>
          <w:p w14:paraId="564FF08C" w14:textId="77777777" w:rsidR="000E0B0C" w:rsidRPr="0081146C" w:rsidRDefault="000E0B0C" w:rsidP="00C72BA2">
            <w:pPr>
              <w:pStyle w:val="ENoteTableText"/>
            </w:pPr>
          </w:p>
        </w:tc>
      </w:tr>
      <w:tr w:rsidR="000E0B0C" w:rsidRPr="0081146C" w14:paraId="4F2AC5D8" w14:textId="77777777" w:rsidTr="00965397">
        <w:trPr>
          <w:cantSplit/>
        </w:trPr>
        <w:tc>
          <w:tcPr>
            <w:tcW w:w="2551" w:type="dxa"/>
            <w:shd w:val="clear" w:color="auto" w:fill="auto"/>
          </w:tcPr>
          <w:p w14:paraId="557571D8" w14:textId="77777777" w:rsidR="000E0B0C" w:rsidRPr="0081146C" w:rsidRDefault="000E0B0C" w:rsidP="00AE2DA2">
            <w:pPr>
              <w:pStyle w:val="ENoteTableText"/>
              <w:tabs>
                <w:tab w:val="center" w:leader="dot" w:pos="2268"/>
              </w:tabs>
            </w:pPr>
            <w:r w:rsidRPr="0081146C">
              <w:t>s. 167</w:t>
            </w:r>
            <w:r w:rsidRPr="0081146C">
              <w:tab/>
            </w:r>
          </w:p>
        </w:tc>
        <w:tc>
          <w:tcPr>
            <w:tcW w:w="4537" w:type="dxa"/>
            <w:shd w:val="clear" w:color="auto" w:fill="auto"/>
          </w:tcPr>
          <w:p w14:paraId="159D50A0" w14:textId="77777777" w:rsidR="000E0B0C" w:rsidRPr="0081146C" w:rsidRDefault="000E0B0C" w:rsidP="00C72BA2">
            <w:pPr>
              <w:pStyle w:val="ENoteTableText"/>
            </w:pPr>
            <w:r w:rsidRPr="0081146C">
              <w:t>am. No.</w:t>
            </w:r>
            <w:r w:rsidR="004F64A4" w:rsidRPr="0081146C">
              <w:t> </w:t>
            </w:r>
            <w:r w:rsidRPr="0081146C">
              <w:t>60, 2011</w:t>
            </w:r>
          </w:p>
        </w:tc>
      </w:tr>
      <w:tr w:rsidR="000E0B0C" w:rsidRPr="0081146C" w14:paraId="2EDBB5EA" w14:textId="77777777" w:rsidTr="00965397">
        <w:trPr>
          <w:cantSplit/>
        </w:trPr>
        <w:tc>
          <w:tcPr>
            <w:tcW w:w="2551" w:type="dxa"/>
            <w:shd w:val="clear" w:color="auto" w:fill="auto"/>
          </w:tcPr>
          <w:p w14:paraId="36F4C064" w14:textId="77777777" w:rsidR="000E0B0C" w:rsidRPr="0081146C" w:rsidRDefault="000E0B0C" w:rsidP="00681145">
            <w:pPr>
              <w:pStyle w:val="ENoteTableText"/>
              <w:tabs>
                <w:tab w:val="center" w:leader="dot" w:pos="2268"/>
              </w:tabs>
            </w:pPr>
            <w:r w:rsidRPr="0081146C">
              <w:t>s 169</w:t>
            </w:r>
            <w:r w:rsidRPr="0081146C">
              <w:tab/>
            </w:r>
          </w:p>
        </w:tc>
        <w:tc>
          <w:tcPr>
            <w:tcW w:w="4537" w:type="dxa"/>
            <w:shd w:val="clear" w:color="auto" w:fill="auto"/>
          </w:tcPr>
          <w:p w14:paraId="66859CC2" w14:textId="77777777" w:rsidR="000E0B0C" w:rsidRPr="0081146C" w:rsidRDefault="000E0B0C" w:rsidP="00C72BA2">
            <w:pPr>
              <w:pStyle w:val="ENoteTableText"/>
            </w:pPr>
            <w:r w:rsidRPr="0081146C">
              <w:t>am No 153, 2015</w:t>
            </w:r>
          </w:p>
        </w:tc>
      </w:tr>
      <w:tr w:rsidR="000E0B0C" w:rsidRPr="0081146C" w14:paraId="3CF93D47" w14:textId="77777777" w:rsidTr="00965397">
        <w:trPr>
          <w:cantSplit/>
        </w:trPr>
        <w:tc>
          <w:tcPr>
            <w:tcW w:w="2551" w:type="dxa"/>
            <w:shd w:val="clear" w:color="auto" w:fill="auto"/>
          </w:tcPr>
          <w:p w14:paraId="3DDE9A04" w14:textId="77777777" w:rsidR="000E0B0C" w:rsidRPr="0081146C" w:rsidRDefault="00CA78AA" w:rsidP="003A364D">
            <w:pPr>
              <w:pStyle w:val="ENoteTableText"/>
            </w:pPr>
            <w:r w:rsidRPr="0081146C">
              <w:rPr>
                <w:b/>
              </w:rPr>
              <w:t>Part 1</w:t>
            </w:r>
            <w:r w:rsidR="000E0B0C" w:rsidRPr="0081146C">
              <w:rPr>
                <w:b/>
              </w:rPr>
              <w:t>5</w:t>
            </w:r>
          </w:p>
        </w:tc>
        <w:tc>
          <w:tcPr>
            <w:tcW w:w="4537" w:type="dxa"/>
            <w:shd w:val="clear" w:color="auto" w:fill="auto"/>
          </w:tcPr>
          <w:p w14:paraId="1FC75449" w14:textId="77777777" w:rsidR="000E0B0C" w:rsidRPr="0081146C" w:rsidRDefault="000E0B0C" w:rsidP="003A364D">
            <w:pPr>
              <w:pStyle w:val="ENoteTableText"/>
            </w:pPr>
          </w:p>
        </w:tc>
      </w:tr>
      <w:tr w:rsidR="00B84CBF" w:rsidRPr="0081146C" w14:paraId="4220352B" w14:textId="77777777" w:rsidTr="00965397">
        <w:trPr>
          <w:cantSplit/>
        </w:trPr>
        <w:tc>
          <w:tcPr>
            <w:tcW w:w="2551" w:type="dxa"/>
            <w:shd w:val="clear" w:color="auto" w:fill="auto"/>
          </w:tcPr>
          <w:p w14:paraId="40B08E95" w14:textId="77777777" w:rsidR="00B84CBF" w:rsidRPr="0081146C" w:rsidRDefault="00CA78AA" w:rsidP="003A364D">
            <w:pPr>
              <w:pStyle w:val="ENoteTableText"/>
              <w:rPr>
                <w:b/>
              </w:rPr>
            </w:pPr>
            <w:r w:rsidRPr="0081146C">
              <w:rPr>
                <w:b/>
              </w:rPr>
              <w:t>Division 1</w:t>
            </w:r>
          </w:p>
        </w:tc>
        <w:tc>
          <w:tcPr>
            <w:tcW w:w="4537" w:type="dxa"/>
            <w:shd w:val="clear" w:color="auto" w:fill="auto"/>
          </w:tcPr>
          <w:p w14:paraId="505AB009" w14:textId="77777777" w:rsidR="00B84CBF" w:rsidRPr="0081146C" w:rsidRDefault="00B84CBF" w:rsidP="003A364D">
            <w:pPr>
              <w:pStyle w:val="ENoteTableText"/>
            </w:pPr>
          </w:p>
        </w:tc>
      </w:tr>
      <w:tr w:rsidR="00B84CBF" w:rsidRPr="0081146C" w14:paraId="17274C04" w14:textId="77777777" w:rsidTr="00965397">
        <w:trPr>
          <w:cantSplit/>
        </w:trPr>
        <w:tc>
          <w:tcPr>
            <w:tcW w:w="2551" w:type="dxa"/>
            <w:shd w:val="clear" w:color="auto" w:fill="auto"/>
          </w:tcPr>
          <w:p w14:paraId="68A47BAD" w14:textId="77777777" w:rsidR="00B84CBF" w:rsidRPr="0081146C" w:rsidRDefault="00B84CBF" w:rsidP="003A364D">
            <w:pPr>
              <w:pStyle w:val="ENoteTableText"/>
              <w:tabs>
                <w:tab w:val="center" w:leader="dot" w:pos="2268"/>
              </w:tabs>
            </w:pPr>
            <w:r w:rsidRPr="0081146C">
              <w:t>s 173</w:t>
            </w:r>
            <w:r w:rsidRPr="0081146C">
              <w:tab/>
            </w:r>
          </w:p>
        </w:tc>
        <w:tc>
          <w:tcPr>
            <w:tcW w:w="4537" w:type="dxa"/>
            <w:shd w:val="clear" w:color="auto" w:fill="auto"/>
          </w:tcPr>
          <w:p w14:paraId="09297983" w14:textId="77777777" w:rsidR="00B84CBF" w:rsidRPr="0081146C" w:rsidRDefault="00B84CBF" w:rsidP="003A364D">
            <w:pPr>
              <w:pStyle w:val="ENoteTableText"/>
              <w:rPr>
                <w:u w:val="single"/>
              </w:rPr>
            </w:pPr>
            <w:r w:rsidRPr="0081146C">
              <w:t>am No 133, 2020</w:t>
            </w:r>
          </w:p>
        </w:tc>
      </w:tr>
      <w:tr w:rsidR="000E0B0C" w:rsidRPr="0081146C" w14:paraId="29921B35" w14:textId="77777777" w:rsidTr="00965397">
        <w:trPr>
          <w:cantSplit/>
        </w:trPr>
        <w:tc>
          <w:tcPr>
            <w:tcW w:w="2551" w:type="dxa"/>
            <w:shd w:val="clear" w:color="auto" w:fill="auto"/>
          </w:tcPr>
          <w:p w14:paraId="599BFC7C" w14:textId="77777777" w:rsidR="000E0B0C" w:rsidRPr="0081146C" w:rsidRDefault="00CA78AA" w:rsidP="002C455C">
            <w:pPr>
              <w:pStyle w:val="ENoteTableText"/>
              <w:keepNext/>
            </w:pPr>
            <w:r w:rsidRPr="0081146C">
              <w:rPr>
                <w:b/>
              </w:rPr>
              <w:t>Division 3</w:t>
            </w:r>
          </w:p>
        </w:tc>
        <w:tc>
          <w:tcPr>
            <w:tcW w:w="4537" w:type="dxa"/>
            <w:shd w:val="clear" w:color="auto" w:fill="auto"/>
          </w:tcPr>
          <w:p w14:paraId="50320261" w14:textId="77777777" w:rsidR="000E0B0C" w:rsidRPr="0081146C" w:rsidRDefault="000E0B0C" w:rsidP="002C455C">
            <w:pPr>
              <w:pStyle w:val="ENoteTableText"/>
              <w:keepNext/>
            </w:pPr>
          </w:p>
        </w:tc>
      </w:tr>
      <w:tr w:rsidR="000E0B0C" w:rsidRPr="0081146C" w14:paraId="61C797EB" w14:textId="77777777" w:rsidTr="00965397">
        <w:trPr>
          <w:cantSplit/>
        </w:trPr>
        <w:tc>
          <w:tcPr>
            <w:tcW w:w="2551" w:type="dxa"/>
            <w:shd w:val="clear" w:color="auto" w:fill="auto"/>
          </w:tcPr>
          <w:p w14:paraId="652A7D2B" w14:textId="77777777" w:rsidR="000E0B0C" w:rsidRPr="0081146C" w:rsidRDefault="00CA78AA" w:rsidP="00AE2DA2">
            <w:pPr>
              <w:pStyle w:val="ENoteTableText"/>
              <w:tabs>
                <w:tab w:val="center" w:leader="dot" w:pos="2268"/>
              </w:tabs>
            </w:pPr>
            <w:r w:rsidRPr="0081146C">
              <w:t>Division 3</w:t>
            </w:r>
            <w:r w:rsidR="000E0B0C" w:rsidRPr="0081146C">
              <w:t xml:space="preserve"> heading</w:t>
            </w:r>
            <w:r w:rsidR="000E0B0C" w:rsidRPr="0081146C">
              <w:tab/>
            </w:r>
          </w:p>
        </w:tc>
        <w:tc>
          <w:tcPr>
            <w:tcW w:w="4537" w:type="dxa"/>
            <w:shd w:val="clear" w:color="auto" w:fill="auto"/>
          </w:tcPr>
          <w:p w14:paraId="2A10CE50" w14:textId="77777777" w:rsidR="000E0B0C" w:rsidRPr="0081146C" w:rsidRDefault="000E0B0C" w:rsidP="00C72BA2">
            <w:pPr>
              <w:pStyle w:val="ENoteTableText"/>
            </w:pPr>
            <w:r w:rsidRPr="0081146C">
              <w:t>rs. No.</w:t>
            </w:r>
            <w:r w:rsidR="004F64A4" w:rsidRPr="0081146C">
              <w:t> </w:t>
            </w:r>
            <w:r w:rsidRPr="0081146C">
              <w:t>60, 2011</w:t>
            </w:r>
          </w:p>
        </w:tc>
      </w:tr>
      <w:tr w:rsidR="000E0B0C" w:rsidRPr="0081146C" w14:paraId="79155B56" w14:textId="77777777" w:rsidTr="00965397">
        <w:trPr>
          <w:cantSplit/>
        </w:trPr>
        <w:tc>
          <w:tcPr>
            <w:tcW w:w="2551" w:type="dxa"/>
            <w:shd w:val="clear" w:color="auto" w:fill="auto"/>
          </w:tcPr>
          <w:p w14:paraId="411C0FCD" w14:textId="77777777" w:rsidR="000E0B0C" w:rsidRPr="0081146C" w:rsidRDefault="000E0B0C" w:rsidP="00AE2DA2">
            <w:pPr>
              <w:pStyle w:val="ENoteTableText"/>
              <w:tabs>
                <w:tab w:val="center" w:leader="dot" w:pos="2268"/>
              </w:tabs>
            </w:pPr>
            <w:r w:rsidRPr="0081146C">
              <w:t>s 184</w:t>
            </w:r>
            <w:r w:rsidRPr="0081146C">
              <w:tab/>
            </w:r>
          </w:p>
        </w:tc>
        <w:tc>
          <w:tcPr>
            <w:tcW w:w="4537" w:type="dxa"/>
            <w:shd w:val="clear" w:color="auto" w:fill="auto"/>
          </w:tcPr>
          <w:p w14:paraId="6C9707DB" w14:textId="77777777" w:rsidR="000E0B0C" w:rsidRPr="0081146C" w:rsidRDefault="000E0B0C" w:rsidP="00C72BA2">
            <w:pPr>
              <w:pStyle w:val="ENoteTableText"/>
              <w:rPr>
                <w:u w:val="single"/>
              </w:rPr>
            </w:pPr>
            <w:r w:rsidRPr="0081146C">
              <w:t>am No 56</w:t>
            </w:r>
            <w:r w:rsidR="00CA2000" w:rsidRPr="0081146C">
              <w:t>, 2011; No</w:t>
            </w:r>
            <w:r w:rsidRPr="0081146C">
              <w:t xml:space="preserve"> 60, 2011; No 130, 2017</w:t>
            </w:r>
            <w:r w:rsidR="00B84CBF" w:rsidRPr="0081146C">
              <w:t>; No 133, 2020</w:t>
            </w:r>
            <w:r w:rsidR="00544B4E" w:rsidRPr="0081146C">
              <w:t>; No 74, 2023</w:t>
            </w:r>
          </w:p>
        </w:tc>
      </w:tr>
      <w:tr w:rsidR="000E0B0C" w:rsidRPr="0081146C" w14:paraId="3E224F6D" w14:textId="77777777" w:rsidTr="00965397">
        <w:trPr>
          <w:cantSplit/>
        </w:trPr>
        <w:tc>
          <w:tcPr>
            <w:tcW w:w="2551" w:type="dxa"/>
            <w:shd w:val="clear" w:color="auto" w:fill="auto"/>
          </w:tcPr>
          <w:p w14:paraId="435DD8F8" w14:textId="77777777" w:rsidR="000E0B0C" w:rsidRPr="0081146C" w:rsidRDefault="000E0B0C" w:rsidP="00AE2DA2">
            <w:pPr>
              <w:pStyle w:val="ENoteTableText"/>
              <w:tabs>
                <w:tab w:val="center" w:leader="dot" w:pos="2268"/>
              </w:tabs>
            </w:pPr>
            <w:r w:rsidRPr="0081146C">
              <w:t>s 185</w:t>
            </w:r>
            <w:r w:rsidRPr="0081146C">
              <w:tab/>
            </w:r>
          </w:p>
        </w:tc>
        <w:tc>
          <w:tcPr>
            <w:tcW w:w="4537" w:type="dxa"/>
            <w:shd w:val="clear" w:color="auto" w:fill="auto"/>
          </w:tcPr>
          <w:p w14:paraId="02597D23" w14:textId="77777777" w:rsidR="000E0B0C" w:rsidRPr="0081146C" w:rsidRDefault="000E0B0C" w:rsidP="00C72BA2">
            <w:pPr>
              <w:pStyle w:val="ENoteTableText"/>
            </w:pPr>
            <w:r w:rsidRPr="0081146C">
              <w:t>am No</w:t>
            </w:r>
            <w:r w:rsidR="004F64A4" w:rsidRPr="0081146C">
              <w:t> </w:t>
            </w:r>
            <w:r w:rsidRPr="0081146C">
              <w:t>60, 2011</w:t>
            </w:r>
            <w:r w:rsidR="00B84CBF" w:rsidRPr="0081146C">
              <w:t>; No 133</w:t>
            </w:r>
            <w:r w:rsidR="00CA2000" w:rsidRPr="0081146C">
              <w:t>,</w:t>
            </w:r>
            <w:r w:rsidR="00B84CBF" w:rsidRPr="0081146C">
              <w:t xml:space="preserve"> 2020</w:t>
            </w:r>
          </w:p>
        </w:tc>
      </w:tr>
      <w:tr w:rsidR="000E0B0C" w:rsidRPr="0081146C" w14:paraId="571F9405" w14:textId="77777777" w:rsidTr="00965397">
        <w:trPr>
          <w:cantSplit/>
        </w:trPr>
        <w:tc>
          <w:tcPr>
            <w:tcW w:w="2551" w:type="dxa"/>
            <w:shd w:val="clear" w:color="auto" w:fill="auto"/>
          </w:tcPr>
          <w:p w14:paraId="454DECC7" w14:textId="77777777" w:rsidR="000E0B0C" w:rsidRPr="0081146C" w:rsidRDefault="000E0B0C" w:rsidP="00AE2DA2">
            <w:pPr>
              <w:pStyle w:val="ENoteTableText"/>
              <w:tabs>
                <w:tab w:val="center" w:leader="dot" w:pos="2268"/>
              </w:tabs>
            </w:pPr>
            <w:r w:rsidRPr="0081146C">
              <w:t>s 186</w:t>
            </w:r>
            <w:r w:rsidRPr="0081146C">
              <w:tab/>
            </w:r>
          </w:p>
        </w:tc>
        <w:tc>
          <w:tcPr>
            <w:tcW w:w="4537" w:type="dxa"/>
            <w:shd w:val="clear" w:color="auto" w:fill="auto"/>
          </w:tcPr>
          <w:p w14:paraId="59817984" w14:textId="77777777" w:rsidR="000E0B0C" w:rsidRPr="0081146C" w:rsidRDefault="000E0B0C" w:rsidP="00C72BA2">
            <w:pPr>
              <w:pStyle w:val="ENoteTableText"/>
            </w:pPr>
            <w:r w:rsidRPr="0081146C">
              <w:t>am No</w:t>
            </w:r>
            <w:r w:rsidR="004F64A4" w:rsidRPr="0081146C">
              <w:t> </w:t>
            </w:r>
            <w:r w:rsidRPr="0081146C">
              <w:t>60, 2011</w:t>
            </w:r>
          </w:p>
        </w:tc>
      </w:tr>
      <w:tr w:rsidR="00B84CBF" w:rsidRPr="0081146C" w14:paraId="0AE32E11" w14:textId="77777777" w:rsidTr="00965397">
        <w:trPr>
          <w:cantSplit/>
        </w:trPr>
        <w:tc>
          <w:tcPr>
            <w:tcW w:w="2551" w:type="dxa"/>
            <w:shd w:val="clear" w:color="auto" w:fill="auto"/>
          </w:tcPr>
          <w:p w14:paraId="717E6033" w14:textId="77777777" w:rsidR="00B84CBF" w:rsidRPr="0081146C" w:rsidRDefault="00B84CBF" w:rsidP="00AE2DA2">
            <w:pPr>
              <w:pStyle w:val="ENoteTableText"/>
              <w:tabs>
                <w:tab w:val="center" w:leader="dot" w:pos="2268"/>
              </w:tabs>
            </w:pPr>
          </w:p>
        </w:tc>
        <w:tc>
          <w:tcPr>
            <w:tcW w:w="4537" w:type="dxa"/>
            <w:shd w:val="clear" w:color="auto" w:fill="auto"/>
          </w:tcPr>
          <w:p w14:paraId="183D834F" w14:textId="77777777" w:rsidR="00B84CBF" w:rsidRPr="0081146C" w:rsidRDefault="00B84CBF" w:rsidP="00C72BA2">
            <w:pPr>
              <w:pStyle w:val="ENoteTableText"/>
              <w:rPr>
                <w:u w:val="single"/>
              </w:rPr>
            </w:pPr>
            <w:r w:rsidRPr="0081146C">
              <w:t>rep No 133, 2020</w:t>
            </w:r>
          </w:p>
        </w:tc>
      </w:tr>
      <w:tr w:rsidR="000E0B0C" w:rsidRPr="0081146C" w14:paraId="29E4EC5B" w14:textId="77777777" w:rsidTr="00965397">
        <w:trPr>
          <w:cantSplit/>
        </w:trPr>
        <w:tc>
          <w:tcPr>
            <w:tcW w:w="2551" w:type="dxa"/>
            <w:shd w:val="clear" w:color="auto" w:fill="auto"/>
          </w:tcPr>
          <w:p w14:paraId="486AF6C6" w14:textId="77777777" w:rsidR="000E0B0C" w:rsidRPr="0081146C" w:rsidRDefault="000E0B0C" w:rsidP="00AE2DA2">
            <w:pPr>
              <w:pStyle w:val="ENoteTableText"/>
              <w:tabs>
                <w:tab w:val="center" w:leader="dot" w:pos="2268"/>
              </w:tabs>
            </w:pPr>
            <w:r w:rsidRPr="0081146C">
              <w:t>s 186A</w:t>
            </w:r>
            <w:r w:rsidRPr="0081146C">
              <w:tab/>
            </w:r>
          </w:p>
        </w:tc>
        <w:tc>
          <w:tcPr>
            <w:tcW w:w="4537" w:type="dxa"/>
            <w:shd w:val="clear" w:color="auto" w:fill="auto"/>
          </w:tcPr>
          <w:p w14:paraId="4A89F766" w14:textId="77777777" w:rsidR="000E0B0C" w:rsidRPr="0081146C" w:rsidRDefault="000E0B0C" w:rsidP="00C72BA2">
            <w:pPr>
              <w:pStyle w:val="ENoteTableText"/>
            </w:pPr>
            <w:r w:rsidRPr="0081146C">
              <w:t>ad No</w:t>
            </w:r>
            <w:r w:rsidR="004F64A4" w:rsidRPr="0081146C">
              <w:t> </w:t>
            </w:r>
            <w:r w:rsidRPr="0081146C">
              <w:t>60, 2011</w:t>
            </w:r>
          </w:p>
        </w:tc>
      </w:tr>
      <w:tr w:rsidR="000E0B0C" w:rsidRPr="0081146C" w14:paraId="1147F036" w14:textId="77777777" w:rsidTr="00965397">
        <w:trPr>
          <w:cantSplit/>
        </w:trPr>
        <w:tc>
          <w:tcPr>
            <w:tcW w:w="2551" w:type="dxa"/>
            <w:shd w:val="clear" w:color="auto" w:fill="auto"/>
          </w:tcPr>
          <w:p w14:paraId="4E4C32E7" w14:textId="77777777" w:rsidR="000E0B0C" w:rsidRPr="0081146C" w:rsidRDefault="000E0B0C" w:rsidP="00FF006D">
            <w:pPr>
              <w:pStyle w:val="ENoteTableText"/>
              <w:tabs>
                <w:tab w:val="center" w:leader="dot" w:pos="2268"/>
              </w:tabs>
            </w:pPr>
          </w:p>
        </w:tc>
        <w:tc>
          <w:tcPr>
            <w:tcW w:w="4537" w:type="dxa"/>
            <w:shd w:val="clear" w:color="auto" w:fill="auto"/>
          </w:tcPr>
          <w:p w14:paraId="5C49AB92" w14:textId="77777777" w:rsidR="000E0B0C" w:rsidRPr="0081146C" w:rsidRDefault="000E0B0C" w:rsidP="00C72BA2">
            <w:pPr>
              <w:pStyle w:val="ENoteTableText"/>
            </w:pPr>
            <w:r w:rsidRPr="0081146C">
              <w:t>am No</w:t>
            </w:r>
            <w:r w:rsidR="004F64A4" w:rsidRPr="0081146C">
              <w:t> </w:t>
            </w:r>
            <w:r w:rsidRPr="0081146C">
              <w:t>56, 2011; No 130, 2017</w:t>
            </w:r>
            <w:r w:rsidR="00B84CBF" w:rsidRPr="0081146C">
              <w:t>; No 133, 2020</w:t>
            </w:r>
          </w:p>
        </w:tc>
      </w:tr>
      <w:tr w:rsidR="000E0B0C" w:rsidRPr="0081146C" w14:paraId="4614A16B" w14:textId="77777777" w:rsidTr="00965397">
        <w:trPr>
          <w:cantSplit/>
        </w:trPr>
        <w:tc>
          <w:tcPr>
            <w:tcW w:w="2551" w:type="dxa"/>
            <w:shd w:val="clear" w:color="auto" w:fill="auto"/>
          </w:tcPr>
          <w:p w14:paraId="0FD6F7E0" w14:textId="77777777" w:rsidR="000E0B0C" w:rsidRPr="0081146C" w:rsidRDefault="000E0B0C" w:rsidP="00C451F4">
            <w:pPr>
              <w:pStyle w:val="ENoteTableText"/>
              <w:tabs>
                <w:tab w:val="center" w:leader="dot" w:pos="2268"/>
              </w:tabs>
            </w:pPr>
            <w:r w:rsidRPr="0081146C">
              <w:t>s 186B</w:t>
            </w:r>
            <w:r w:rsidRPr="0081146C">
              <w:tab/>
            </w:r>
          </w:p>
        </w:tc>
        <w:tc>
          <w:tcPr>
            <w:tcW w:w="4537" w:type="dxa"/>
            <w:shd w:val="clear" w:color="auto" w:fill="auto"/>
          </w:tcPr>
          <w:p w14:paraId="44EFFEF4" w14:textId="77777777" w:rsidR="000E0B0C" w:rsidRPr="0081146C" w:rsidRDefault="000E0B0C" w:rsidP="00C451F4">
            <w:pPr>
              <w:pStyle w:val="ENoteTableText"/>
            </w:pPr>
            <w:r w:rsidRPr="0081146C">
              <w:t>ad No 130, 2017</w:t>
            </w:r>
          </w:p>
        </w:tc>
      </w:tr>
      <w:tr w:rsidR="000E0B0C" w:rsidRPr="0081146C" w14:paraId="00EACD40" w14:textId="77777777" w:rsidTr="00965397">
        <w:trPr>
          <w:cantSplit/>
        </w:trPr>
        <w:tc>
          <w:tcPr>
            <w:tcW w:w="2551" w:type="dxa"/>
            <w:shd w:val="clear" w:color="auto" w:fill="auto"/>
          </w:tcPr>
          <w:p w14:paraId="20816A5A" w14:textId="77777777" w:rsidR="000E0B0C" w:rsidRPr="0081146C" w:rsidRDefault="000E0B0C" w:rsidP="007A38A8">
            <w:pPr>
              <w:pStyle w:val="ENoteTableText"/>
              <w:tabs>
                <w:tab w:val="center" w:leader="dot" w:pos="2268"/>
              </w:tabs>
            </w:pPr>
            <w:r w:rsidRPr="0081146C">
              <w:t>s 188</w:t>
            </w:r>
            <w:r w:rsidRPr="0081146C">
              <w:tab/>
            </w:r>
          </w:p>
        </w:tc>
        <w:tc>
          <w:tcPr>
            <w:tcW w:w="4537" w:type="dxa"/>
            <w:shd w:val="clear" w:color="auto" w:fill="auto"/>
          </w:tcPr>
          <w:p w14:paraId="1FD9C86D" w14:textId="77777777" w:rsidR="000E0B0C" w:rsidRPr="0081146C" w:rsidRDefault="000E0B0C" w:rsidP="004D005A">
            <w:pPr>
              <w:pStyle w:val="ENoteTableText"/>
            </w:pPr>
            <w:r w:rsidRPr="0081146C">
              <w:t>am No 60, 2011</w:t>
            </w:r>
          </w:p>
        </w:tc>
      </w:tr>
      <w:tr w:rsidR="000E0B0C" w:rsidRPr="0081146C" w14:paraId="63D860AC" w14:textId="77777777" w:rsidTr="00965397">
        <w:trPr>
          <w:cantSplit/>
        </w:trPr>
        <w:tc>
          <w:tcPr>
            <w:tcW w:w="2551" w:type="dxa"/>
            <w:shd w:val="clear" w:color="auto" w:fill="auto"/>
          </w:tcPr>
          <w:p w14:paraId="4AD0C6F3" w14:textId="77777777" w:rsidR="000E0B0C" w:rsidRPr="0081146C" w:rsidRDefault="000E0B0C" w:rsidP="00AE2DA2">
            <w:pPr>
              <w:pStyle w:val="ENoteTableText"/>
              <w:tabs>
                <w:tab w:val="center" w:leader="dot" w:pos="2268"/>
              </w:tabs>
            </w:pPr>
            <w:r w:rsidRPr="0081146C">
              <w:t>s 189</w:t>
            </w:r>
            <w:r w:rsidRPr="0081146C">
              <w:tab/>
            </w:r>
          </w:p>
        </w:tc>
        <w:tc>
          <w:tcPr>
            <w:tcW w:w="4537" w:type="dxa"/>
            <w:shd w:val="clear" w:color="auto" w:fill="auto"/>
          </w:tcPr>
          <w:p w14:paraId="466D22AF" w14:textId="77777777" w:rsidR="000E0B0C" w:rsidRPr="0081146C" w:rsidRDefault="000E0B0C" w:rsidP="00C72BA2">
            <w:pPr>
              <w:pStyle w:val="ENoteTableText"/>
            </w:pPr>
            <w:r w:rsidRPr="0081146C">
              <w:t>am No 60, 2011; No 130, 2017</w:t>
            </w:r>
            <w:r w:rsidR="00B84CBF" w:rsidRPr="0081146C">
              <w:t>; No 133, 2020</w:t>
            </w:r>
          </w:p>
        </w:tc>
      </w:tr>
      <w:tr w:rsidR="000E0B0C" w:rsidRPr="0081146C" w14:paraId="5492EC46" w14:textId="77777777" w:rsidTr="00965397">
        <w:trPr>
          <w:cantSplit/>
        </w:trPr>
        <w:tc>
          <w:tcPr>
            <w:tcW w:w="2551" w:type="dxa"/>
            <w:shd w:val="clear" w:color="auto" w:fill="auto"/>
          </w:tcPr>
          <w:p w14:paraId="7F01A329" w14:textId="77777777" w:rsidR="000E0B0C" w:rsidRPr="0081146C" w:rsidRDefault="00CA78AA" w:rsidP="00C72BA2">
            <w:pPr>
              <w:pStyle w:val="ENoteTableText"/>
            </w:pPr>
            <w:r w:rsidRPr="0081146C">
              <w:rPr>
                <w:b/>
              </w:rPr>
              <w:t>Division 4</w:t>
            </w:r>
          </w:p>
        </w:tc>
        <w:tc>
          <w:tcPr>
            <w:tcW w:w="4537" w:type="dxa"/>
            <w:shd w:val="clear" w:color="auto" w:fill="auto"/>
          </w:tcPr>
          <w:p w14:paraId="7CDD65AF" w14:textId="77777777" w:rsidR="000E0B0C" w:rsidRPr="0081146C" w:rsidRDefault="000E0B0C" w:rsidP="00C72BA2">
            <w:pPr>
              <w:pStyle w:val="ENoteTableText"/>
            </w:pPr>
          </w:p>
        </w:tc>
      </w:tr>
      <w:tr w:rsidR="000E0B0C" w:rsidRPr="0081146C" w14:paraId="4AB8F76F" w14:textId="77777777" w:rsidTr="00965397">
        <w:trPr>
          <w:cantSplit/>
        </w:trPr>
        <w:tc>
          <w:tcPr>
            <w:tcW w:w="2551" w:type="dxa"/>
            <w:shd w:val="clear" w:color="auto" w:fill="auto"/>
          </w:tcPr>
          <w:p w14:paraId="237F2375" w14:textId="77777777" w:rsidR="000E0B0C" w:rsidRPr="0081146C" w:rsidRDefault="000E0B0C" w:rsidP="00AE2DA2">
            <w:pPr>
              <w:pStyle w:val="ENoteTableText"/>
              <w:tabs>
                <w:tab w:val="center" w:leader="dot" w:pos="2268"/>
              </w:tabs>
            </w:pPr>
            <w:r w:rsidRPr="0081146C">
              <w:t>s. 190</w:t>
            </w:r>
            <w:r w:rsidRPr="0081146C">
              <w:tab/>
            </w:r>
          </w:p>
        </w:tc>
        <w:tc>
          <w:tcPr>
            <w:tcW w:w="4537" w:type="dxa"/>
            <w:shd w:val="clear" w:color="auto" w:fill="auto"/>
          </w:tcPr>
          <w:p w14:paraId="5F7FF3CD" w14:textId="77777777" w:rsidR="000E0B0C" w:rsidRPr="0081146C" w:rsidRDefault="000E0B0C" w:rsidP="00C72BA2">
            <w:pPr>
              <w:pStyle w:val="ENoteTableText"/>
            </w:pPr>
            <w:r w:rsidRPr="0081146C">
              <w:t>am. No.</w:t>
            </w:r>
            <w:r w:rsidR="004F64A4" w:rsidRPr="0081146C">
              <w:t> </w:t>
            </w:r>
            <w:r w:rsidRPr="0081146C">
              <w:t>60, 2011</w:t>
            </w:r>
            <w:r w:rsidR="007F436D" w:rsidRPr="0081146C">
              <w:t>; No 133, 2020</w:t>
            </w:r>
          </w:p>
        </w:tc>
      </w:tr>
      <w:tr w:rsidR="000E0B0C" w:rsidRPr="0081146C" w14:paraId="4055EBAD" w14:textId="77777777" w:rsidTr="00965397">
        <w:trPr>
          <w:cantSplit/>
        </w:trPr>
        <w:tc>
          <w:tcPr>
            <w:tcW w:w="2551" w:type="dxa"/>
            <w:shd w:val="clear" w:color="auto" w:fill="auto"/>
          </w:tcPr>
          <w:p w14:paraId="34F92FBF" w14:textId="77777777" w:rsidR="000E0B0C" w:rsidRPr="0081146C" w:rsidRDefault="00CA78AA" w:rsidP="00C72BA2">
            <w:pPr>
              <w:pStyle w:val="ENoteTableText"/>
            </w:pPr>
            <w:r w:rsidRPr="0081146C">
              <w:rPr>
                <w:b/>
              </w:rPr>
              <w:t>Division 5</w:t>
            </w:r>
          </w:p>
        </w:tc>
        <w:tc>
          <w:tcPr>
            <w:tcW w:w="4537" w:type="dxa"/>
            <w:shd w:val="clear" w:color="auto" w:fill="auto"/>
          </w:tcPr>
          <w:p w14:paraId="56A984BB" w14:textId="77777777" w:rsidR="000E0B0C" w:rsidRPr="0081146C" w:rsidRDefault="000E0B0C" w:rsidP="00C72BA2">
            <w:pPr>
              <w:pStyle w:val="ENoteTableText"/>
            </w:pPr>
          </w:p>
        </w:tc>
      </w:tr>
      <w:tr w:rsidR="000E0B0C" w:rsidRPr="0081146C" w14:paraId="1596FF27" w14:textId="77777777" w:rsidTr="00965397">
        <w:trPr>
          <w:cantSplit/>
        </w:trPr>
        <w:tc>
          <w:tcPr>
            <w:tcW w:w="2551" w:type="dxa"/>
            <w:shd w:val="clear" w:color="auto" w:fill="auto"/>
          </w:tcPr>
          <w:p w14:paraId="3B3F1B59" w14:textId="77777777" w:rsidR="000E0B0C" w:rsidRPr="0081146C" w:rsidRDefault="000E0B0C" w:rsidP="0044237A">
            <w:pPr>
              <w:pStyle w:val="ENoteTableText"/>
              <w:tabs>
                <w:tab w:val="center" w:leader="dot" w:pos="2268"/>
              </w:tabs>
            </w:pPr>
            <w:r w:rsidRPr="0081146C">
              <w:t>s. 191</w:t>
            </w:r>
            <w:r w:rsidRPr="0081146C">
              <w:tab/>
            </w:r>
          </w:p>
        </w:tc>
        <w:tc>
          <w:tcPr>
            <w:tcW w:w="4537" w:type="dxa"/>
            <w:shd w:val="clear" w:color="auto" w:fill="auto"/>
          </w:tcPr>
          <w:p w14:paraId="7F08F474" w14:textId="77777777" w:rsidR="000E0B0C" w:rsidRPr="0081146C" w:rsidRDefault="000E0B0C" w:rsidP="0044237A">
            <w:pPr>
              <w:pStyle w:val="ENoteTableText"/>
            </w:pPr>
            <w:r w:rsidRPr="0081146C">
              <w:t>am. No.</w:t>
            </w:r>
            <w:r w:rsidR="004F64A4" w:rsidRPr="0081146C">
              <w:t> </w:t>
            </w:r>
            <w:r w:rsidRPr="0081146C">
              <w:t>74, 2013; No 130, 2017</w:t>
            </w:r>
          </w:p>
        </w:tc>
      </w:tr>
      <w:tr w:rsidR="000E0B0C" w:rsidRPr="0081146C" w14:paraId="4B4571BE" w14:textId="77777777" w:rsidTr="00965397">
        <w:trPr>
          <w:cantSplit/>
        </w:trPr>
        <w:tc>
          <w:tcPr>
            <w:tcW w:w="2551" w:type="dxa"/>
            <w:shd w:val="clear" w:color="auto" w:fill="auto"/>
          </w:tcPr>
          <w:p w14:paraId="5CC73C21" w14:textId="77777777" w:rsidR="000E0B0C" w:rsidRPr="0081146C" w:rsidRDefault="000E0B0C" w:rsidP="00AE2DA2">
            <w:pPr>
              <w:pStyle w:val="ENoteTableText"/>
              <w:tabs>
                <w:tab w:val="center" w:leader="dot" w:pos="2268"/>
              </w:tabs>
            </w:pPr>
            <w:r w:rsidRPr="0081146C">
              <w:t>s. 191A</w:t>
            </w:r>
            <w:r w:rsidRPr="0081146C">
              <w:tab/>
            </w:r>
          </w:p>
        </w:tc>
        <w:tc>
          <w:tcPr>
            <w:tcW w:w="4537" w:type="dxa"/>
            <w:shd w:val="clear" w:color="auto" w:fill="auto"/>
          </w:tcPr>
          <w:p w14:paraId="625AAA55" w14:textId="77777777" w:rsidR="000E0B0C" w:rsidRPr="0081146C" w:rsidRDefault="000E0B0C" w:rsidP="00C72BA2">
            <w:pPr>
              <w:pStyle w:val="ENoteTableText"/>
            </w:pPr>
            <w:r w:rsidRPr="0081146C">
              <w:t>ad. No.</w:t>
            </w:r>
            <w:r w:rsidR="004F64A4" w:rsidRPr="0081146C">
              <w:t> </w:t>
            </w:r>
            <w:r w:rsidRPr="0081146C">
              <w:t xml:space="preserve">52, 2007 </w:t>
            </w:r>
          </w:p>
        </w:tc>
      </w:tr>
      <w:tr w:rsidR="000E0B0C" w:rsidRPr="0081146C" w14:paraId="09105AEC" w14:textId="77777777" w:rsidTr="00965397">
        <w:trPr>
          <w:cantSplit/>
        </w:trPr>
        <w:tc>
          <w:tcPr>
            <w:tcW w:w="2551" w:type="dxa"/>
            <w:shd w:val="clear" w:color="auto" w:fill="auto"/>
          </w:tcPr>
          <w:p w14:paraId="42297152" w14:textId="77777777" w:rsidR="000E0B0C" w:rsidRPr="0081146C" w:rsidRDefault="000E0B0C" w:rsidP="00AE2DA2">
            <w:pPr>
              <w:pStyle w:val="ENoteTableText"/>
              <w:tabs>
                <w:tab w:val="center" w:leader="dot" w:pos="2268"/>
              </w:tabs>
            </w:pPr>
          </w:p>
        </w:tc>
        <w:tc>
          <w:tcPr>
            <w:tcW w:w="4537" w:type="dxa"/>
            <w:shd w:val="clear" w:color="auto" w:fill="auto"/>
          </w:tcPr>
          <w:p w14:paraId="4AED34D3" w14:textId="77777777" w:rsidR="000E0B0C" w:rsidRPr="0081146C" w:rsidRDefault="000E0B0C" w:rsidP="000A606C">
            <w:pPr>
              <w:pStyle w:val="ENoteTableText"/>
            </w:pPr>
            <w:r w:rsidRPr="0081146C">
              <w:t>rep. No.</w:t>
            </w:r>
            <w:r w:rsidR="004F64A4" w:rsidRPr="0081146C">
              <w:t> </w:t>
            </w:r>
            <w:r w:rsidRPr="0081146C">
              <w:t>74, 2013</w:t>
            </w:r>
          </w:p>
        </w:tc>
      </w:tr>
      <w:tr w:rsidR="000E0B0C" w:rsidRPr="0081146C" w14:paraId="2A58E5CE" w14:textId="77777777" w:rsidTr="00965397">
        <w:trPr>
          <w:cantSplit/>
        </w:trPr>
        <w:tc>
          <w:tcPr>
            <w:tcW w:w="2551" w:type="dxa"/>
            <w:shd w:val="clear" w:color="auto" w:fill="auto"/>
          </w:tcPr>
          <w:p w14:paraId="537CC229" w14:textId="77777777" w:rsidR="000E0B0C" w:rsidRPr="0081146C" w:rsidRDefault="00CA78AA" w:rsidP="00C72BA2">
            <w:pPr>
              <w:pStyle w:val="ENoteTableText"/>
            </w:pPr>
            <w:r w:rsidRPr="0081146C">
              <w:rPr>
                <w:b/>
              </w:rPr>
              <w:t>Division 7</w:t>
            </w:r>
          </w:p>
        </w:tc>
        <w:tc>
          <w:tcPr>
            <w:tcW w:w="4537" w:type="dxa"/>
            <w:shd w:val="clear" w:color="auto" w:fill="auto"/>
          </w:tcPr>
          <w:p w14:paraId="74318219" w14:textId="77777777" w:rsidR="000E0B0C" w:rsidRPr="0081146C" w:rsidRDefault="000E0B0C" w:rsidP="00C72BA2">
            <w:pPr>
              <w:pStyle w:val="ENoteTableText"/>
            </w:pPr>
          </w:p>
        </w:tc>
      </w:tr>
      <w:tr w:rsidR="000E0B0C" w:rsidRPr="0081146C" w14:paraId="249B1733" w14:textId="77777777" w:rsidTr="00965397">
        <w:trPr>
          <w:cantSplit/>
        </w:trPr>
        <w:tc>
          <w:tcPr>
            <w:tcW w:w="2551" w:type="dxa"/>
            <w:shd w:val="clear" w:color="auto" w:fill="auto"/>
          </w:tcPr>
          <w:p w14:paraId="2F74D8E4" w14:textId="77777777" w:rsidR="000E0B0C" w:rsidRPr="0081146C" w:rsidRDefault="000E0B0C" w:rsidP="00AE2DA2">
            <w:pPr>
              <w:pStyle w:val="ENoteTableText"/>
              <w:tabs>
                <w:tab w:val="center" w:leader="dot" w:pos="2268"/>
              </w:tabs>
            </w:pPr>
            <w:r w:rsidRPr="0081146C">
              <w:t>s. 197</w:t>
            </w:r>
            <w:r w:rsidRPr="0081146C">
              <w:tab/>
            </w:r>
          </w:p>
        </w:tc>
        <w:tc>
          <w:tcPr>
            <w:tcW w:w="4537" w:type="dxa"/>
            <w:shd w:val="clear" w:color="auto" w:fill="auto"/>
          </w:tcPr>
          <w:p w14:paraId="30B1807D" w14:textId="77777777" w:rsidR="000E0B0C" w:rsidRPr="0081146C" w:rsidRDefault="000E0B0C" w:rsidP="00C72BA2">
            <w:pPr>
              <w:pStyle w:val="ENoteTableText"/>
            </w:pPr>
            <w:r w:rsidRPr="0081146C">
              <w:t>am. No.</w:t>
            </w:r>
            <w:r w:rsidR="004F64A4" w:rsidRPr="0081146C">
              <w:t> </w:t>
            </w:r>
            <w:r w:rsidRPr="0081146C">
              <w:t>52, 2007; No.</w:t>
            </w:r>
            <w:r w:rsidR="004F64A4" w:rsidRPr="0081146C">
              <w:t> </w:t>
            </w:r>
            <w:r w:rsidRPr="0081146C">
              <w:t xml:space="preserve">8, 2010 </w:t>
            </w:r>
          </w:p>
        </w:tc>
      </w:tr>
      <w:tr w:rsidR="000E0B0C" w:rsidRPr="0081146C" w14:paraId="0F4ECB33" w14:textId="77777777" w:rsidTr="00965397">
        <w:trPr>
          <w:cantSplit/>
        </w:trPr>
        <w:tc>
          <w:tcPr>
            <w:tcW w:w="2551" w:type="dxa"/>
            <w:shd w:val="clear" w:color="auto" w:fill="auto"/>
          </w:tcPr>
          <w:p w14:paraId="6CD5C68F" w14:textId="77777777" w:rsidR="000E0B0C" w:rsidRPr="0081146C" w:rsidRDefault="00CA78AA" w:rsidP="00AE2DA2">
            <w:pPr>
              <w:pStyle w:val="ENoteTableText"/>
              <w:tabs>
                <w:tab w:val="center" w:leader="dot" w:pos="2268"/>
              </w:tabs>
              <w:rPr>
                <w:b/>
              </w:rPr>
            </w:pPr>
            <w:r w:rsidRPr="0081146C">
              <w:rPr>
                <w:b/>
              </w:rPr>
              <w:t>Division 8</w:t>
            </w:r>
          </w:p>
        </w:tc>
        <w:tc>
          <w:tcPr>
            <w:tcW w:w="4537" w:type="dxa"/>
            <w:shd w:val="clear" w:color="auto" w:fill="auto"/>
          </w:tcPr>
          <w:p w14:paraId="602F3D48" w14:textId="77777777" w:rsidR="000E0B0C" w:rsidRPr="0081146C" w:rsidRDefault="000E0B0C" w:rsidP="00C72BA2">
            <w:pPr>
              <w:pStyle w:val="ENoteTableText"/>
            </w:pPr>
          </w:p>
        </w:tc>
      </w:tr>
      <w:tr w:rsidR="00B84CBF" w:rsidRPr="0081146C" w14:paraId="4DE3EFB7" w14:textId="77777777" w:rsidTr="00965397">
        <w:trPr>
          <w:cantSplit/>
        </w:trPr>
        <w:tc>
          <w:tcPr>
            <w:tcW w:w="2551" w:type="dxa"/>
            <w:shd w:val="clear" w:color="auto" w:fill="auto"/>
          </w:tcPr>
          <w:p w14:paraId="5CD62769" w14:textId="77777777" w:rsidR="00B84CBF" w:rsidRPr="0081146C" w:rsidRDefault="00CA78AA" w:rsidP="00AE2DA2">
            <w:pPr>
              <w:pStyle w:val="ENoteTableText"/>
              <w:tabs>
                <w:tab w:val="center" w:leader="dot" w:pos="2268"/>
              </w:tabs>
            </w:pPr>
            <w:r w:rsidRPr="0081146C">
              <w:t>Division 8</w:t>
            </w:r>
            <w:r w:rsidR="00B84CBF" w:rsidRPr="0081146C">
              <w:t xml:space="preserve"> heading</w:t>
            </w:r>
            <w:r w:rsidR="00B84CBF" w:rsidRPr="0081146C">
              <w:tab/>
            </w:r>
          </w:p>
        </w:tc>
        <w:tc>
          <w:tcPr>
            <w:tcW w:w="4537" w:type="dxa"/>
            <w:shd w:val="clear" w:color="auto" w:fill="auto"/>
          </w:tcPr>
          <w:p w14:paraId="1EB2D6B7" w14:textId="77777777" w:rsidR="00B84CBF" w:rsidRPr="0081146C" w:rsidRDefault="00B84CBF" w:rsidP="00C72BA2">
            <w:pPr>
              <w:pStyle w:val="ENoteTableText"/>
              <w:rPr>
                <w:u w:val="single"/>
              </w:rPr>
            </w:pPr>
            <w:r w:rsidRPr="0081146C">
              <w:t>rs No 133, 2020</w:t>
            </w:r>
          </w:p>
        </w:tc>
      </w:tr>
      <w:tr w:rsidR="000E0B0C" w:rsidRPr="0081146C" w14:paraId="5B9D3971" w14:textId="77777777" w:rsidTr="00965397">
        <w:trPr>
          <w:cantSplit/>
        </w:trPr>
        <w:tc>
          <w:tcPr>
            <w:tcW w:w="2551" w:type="dxa"/>
            <w:shd w:val="clear" w:color="auto" w:fill="auto"/>
          </w:tcPr>
          <w:p w14:paraId="3C701307" w14:textId="77777777" w:rsidR="000E0B0C" w:rsidRPr="0081146C" w:rsidRDefault="000E0B0C" w:rsidP="00AE2DA2">
            <w:pPr>
              <w:pStyle w:val="ENoteTableText"/>
              <w:tabs>
                <w:tab w:val="center" w:leader="dot" w:pos="2268"/>
              </w:tabs>
            </w:pPr>
            <w:r w:rsidRPr="0081146C">
              <w:t>s 199</w:t>
            </w:r>
            <w:r w:rsidRPr="0081146C">
              <w:tab/>
            </w:r>
          </w:p>
        </w:tc>
        <w:tc>
          <w:tcPr>
            <w:tcW w:w="4537" w:type="dxa"/>
            <w:shd w:val="clear" w:color="auto" w:fill="auto"/>
          </w:tcPr>
          <w:p w14:paraId="3296BB53" w14:textId="77777777" w:rsidR="000E0B0C" w:rsidRPr="0081146C" w:rsidRDefault="000E0B0C" w:rsidP="00C72BA2">
            <w:pPr>
              <w:pStyle w:val="ENoteTableText"/>
            </w:pPr>
            <w:r w:rsidRPr="0081146C">
              <w:t>am No 130, 2017</w:t>
            </w:r>
            <w:r w:rsidR="00B84CBF" w:rsidRPr="0081146C">
              <w:t>; No 133, 2020</w:t>
            </w:r>
          </w:p>
        </w:tc>
      </w:tr>
      <w:tr w:rsidR="000E0B0C" w:rsidRPr="0081146C" w14:paraId="69E9A9C7" w14:textId="77777777" w:rsidTr="00965397">
        <w:trPr>
          <w:cantSplit/>
        </w:trPr>
        <w:tc>
          <w:tcPr>
            <w:tcW w:w="2551" w:type="dxa"/>
            <w:shd w:val="clear" w:color="auto" w:fill="auto"/>
          </w:tcPr>
          <w:p w14:paraId="39B1792C" w14:textId="77777777" w:rsidR="000E0B0C" w:rsidRPr="0081146C" w:rsidRDefault="000E0B0C" w:rsidP="00AE2DA2">
            <w:pPr>
              <w:pStyle w:val="ENoteTableText"/>
              <w:tabs>
                <w:tab w:val="center" w:leader="dot" w:pos="2268"/>
              </w:tabs>
            </w:pPr>
            <w:r w:rsidRPr="0081146C">
              <w:t>s 200</w:t>
            </w:r>
            <w:r w:rsidRPr="0081146C">
              <w:tab/>
            </w:r>
          </w:p>
        </w:tc>
        <w:tc>
          <w:tcPr>
            <w:tcW w:w="4537" w:type="dxa"/>
            <w:shd w:val="clear" w:color="auto" w:fill="auto"/>
          </w:tcPr>
          <w:p w14:paraId="68824DA5" w14:textId="77777777" w:rsidR="000E0B0C" w:rsidRPr="0081146C" w:rsidRDefault="000E0B0C" w:rsidP="00C72BA2">
            <w:pPr>
              <w:pStyle w:val="ENoteTableText"/>
            </w:pPr>
            <w:r w:rsidRPr="0081146C">
              <w:t>am No 130, 2017</w:t>
            </w:r>
          </w:p>
        </w:tc>
      </w:tr>
      <w:tr w:rsidR="00B84CBF" w:rsidRPr="0081146C" w14:paraId="42EE79FA" w14:textId="77777777" w:rsidTr="00965397">
        <w:trPr>
          <w:cantSplit/>
        </w:trPr>
        <w:tc>
          <w:tcPr>
            <w:tcW w:w="2551" w:type="dxa"/>
            <w:shd w:val="clear" w:color="auto" w:fill="auto"/>
          </w:tcPr>
          <w:p w14:paraId="44231447" w14:textId="77777777" w:rsidR="00B84CBF" w:rsidRPr="0081146C" w:rsidRDefault="00B84CBF" w:rsidP="00AE2DA2">
            <w:pPr>
              <w:pStyle w:val="ENoteTableText"/>
              <w:tabs>
                <w:tab w:val="center" w:leader="dot" w:pos="2268"/>
              </w:tabs>
            </w:pPr>
          </w:p>
        </w:tc>
        <w:tc>
          <w:tcPr>
            <w:tcW w:w="4537" w:type="dxa"/>
            <w:shd w:val="clear" w:color="auto" w:fill="auto"/>
          </w:tcPr>
          <w:p w14:paraId="10CDD198" w14:textId="77777777" w:rsidR="00B84CBF" w:rsidRPr="0081146C" w:rsidRDefault="00B84CBF" w:rsidP="00C72BA2">
            <w:pPr>
              <w:pStyle w:val="ENoteTableText"/>
              <w:rPr>
                <w:u w:val="single"/>
              </w:rPr>
            </w:pPr>
            <w:r w:rsidRPr="0081146C">
              <w:t>rep No 133, 2020</w:t>
            </w:r>
          </w:p>
        </w:tc>
      </w:tr>
      <w:tr w:rsidR="00B84CBF" w:rsidRPr="0081146C" w14:paraId="5A4AC38D" w14:textId="77777777" w:rsidTr="00965397">
        <w:trPr>
          <w:cantSplit/>
        </w:trPr>
        <w:tc>
          <w:tcPr>
            <w:tcW w:w="2551" w:type="dxa"/>
            <w:shd w:val="clear" w:color="auto" w:fill="auto"/>
          </w:tcPr>
          <w:p w14:paraId="51CA49C8" w14:textId="77777777" w:rsidR="00B84CBF" w:rsidRPr="0081146C" w:rsidRDefault="00B84CBF" w:rsidP="00AE2DA2">
            <w:pPr>
              <w:pStyle w:val="ENoteTableText"/>
              <w:tabs>
                <w:tab w:val="center" w:leader="dot" w:pos="2268"/>
              </w:tabs>
            </w:pPr>
            <w:r w:rsidRPr="0081146C">
              <w:t>s 201</w:t>
            </w:r>
            <w:r w:rsidRPr="0081146C">
              <w:tab/>
            </w:r>
          </w:p>
        </w:tc>
        <w:tc>
          <w:tcPr>
            <w:tcW w:w="4537" w:type="dxa"/>
            <w:shd w:val="clear" w:color="auto" w:fill="auto"/>
          </w:tcPr>
          <w:p w14:paraId="587D4EF4" w14:textId="77777777" w:rsidR="00B84CBF" w:rsidRPr="0081146C" w:rsidRDefault="00B84CBF" w:rsidP="00C72BA2">
            <w:pPr>
              <w:pStyle w:val="ENoteTableText"/>
              <w:rPr>
                <w:u w:val="single"/>
              </w:rPr>
            </w:pPr>
            <w:r w:rsidRPr="0081146C">
              <w:t>am No 133, 2020</w:t>
            </w:r>
          </w:p>
        </w:tc>
      </w:tr>
      <w:tr w:rsidR="000E0B0C" w:rsidRPr="0081146C" w14:paraId="709CEE50" w14:textId="77777777" w:rsidTr="00965397">
        <w:trPr>
          <w:cantSplit/>
        </w:trPr>
        <w:tc>
          <w:tcPr>
            <w:tcW w:w="2551" w:type="dxa"/>
            <w:shd w:val="clear" w:color="auto" w:fill="auto"/>
          </w:tcPr>
          <w:p w14:paraId="013CDB0F" w14:textId="77777777" w:rsidR="000E0B0C" w:rsidRPr="0081146C" w:rsidRDefault="000E0B0C" w:rsidP="00681145">
            <w:pPr>
              <w:pStyle w:val="ENoteTableText"/>
            </w:pPr>
            <w:r w:rsidRPr="0081146C">
              <w:rPr>
                <w:b/>
              </w:rPr>
              <w:t>Division</w:t>
            </w:r>
            <w:r w:rsidR="004F64A4" w:rsidRPr="0081146C">
              <w:rPr>
                <w:b/>
              </w:rPr>
              <w:t> </w:t>
            </w:r>
            <w:r w:rsidRPr="0081146C">
              <w:rPr>
                <w:b/>
              </w:rPr>
              <w:t>9</w:t>
            </w:r>
          </w:p>
        </w:tc>
        <w:tc>
          <w:tcPr>
            <w:tcW w:w="4537" w:type="dxa"/>
            <w:shd w:val="clear" w:color="auto" w:fill="auto"/>
          </w:tcPr>
          <w:p w14:paraId="16AC71F8" w14:textId="77777777" w:rsidR="000E0B0C" w:rsidRPr="0081146C" w:rsidRDefault="000E0B0C" w:rsidP="00096CC5">
            <w:pPr>
              <w:pStyle w:val="ENoteTableText"/>
            </w:pPr>
          </w:p>
        </w:tc>
      </w:tr>
      <w:tr w:rsidR="000E0B0C" w:rsidRPr="0081146C" w14:paraId="12F778BF" w14:textId="77777777" w:rsidTr="00965397">
        <w:trPr>
          <w:cantSplit/>
        </w:trPr>
        <w:tc>
          <w:tcPr>
            <w:tcW w:w="2551" w:type="dxa"/>
            <w:shd w:val="clear" w:color="auto" w:fill="auto"/>
          </w:tcPr>
          <w:p w14:paraId="4F6F79BF" w14:textId="77777777" w:rsidR="000E0B0C" w:rsidRPr="0081146C" w:rsidRDefault="000E0B0C" w:rsidP="00096CC5">
            <w:pPr>
              <w:pStyle w:val="ENoteTableText"/>
              <w:tabs>
                <w:tab w:val="center" w:leader="dot" w:pos="2268"/>
              </w:tabs>
            </w:pPr>
            <w:r w:rsidRPr="0081146C">
              <w:t>s 203</w:t>
            </w:r>
            <w:r w:rsidRPr="0081146C">
              <w:tab/>
            </w:r>
          </w:p>
        </w:tc>
        <w:tc>
          <w:tcPr>
            <w:tcW w:w="4537" w:type="dxa"/>
            <w:shd w:val="clear" w:color="auto" w:fill="auto"/>
          </w:tcPr>
          <w:p w14:paraId="029E6E3B" w14:textId="77777777" w:rsidR="000E0B0C" w:rsidRPr="0081146C" w:rsidRDefault="000E0B0C" w:rsidP="00096CC5">
            <w:pPr>
              <w:pStyle w:val="ENoteTableText"/>
            </w:pPr>
            <w:r w:rsidRPr="0081146C">
              <w:t>am No 153, 2015</w:t>
            </w:r>
          </w:p>
        </w:tc>
      </w:tr>
      <w:tr w:rsidR="000E0B0C" w:rsidRPr="0081146C" w14:paraId="59B81A58" w14:textId="77777777" w:rsidTr="00965397">
        <w:trPr>
          <w:cantSplit/>
        </w:trPr>
        <w:tc>
          <w:tcPr>
            <w:tcW w:w="2551" w:type="dxa"/>
            <w:shd w:val="clear" w:color="auto" w:fill="auto"/>
          </w:tcPr>
          <w:p w14:paraId="3ADFEA6A" w14:textId="77777777" w:rsidR="000E0B0C" w:rsidRPr="0081146C" w:rsidRDefault="00CA78AA" w:rsidP="003A364D">
            <w:pPr>
              <w:pStyle w:val="ENoteTableText"/>
            </w:pPr>
            <w:r w:rsidRPr="0081146C">
              <w:rPr>
                <w:b/>
              </w:rPr>
              <w:t>Part 1</w:t>
            </w:r>
            <w:r w:rsidR="000E0B0C" w:rsidRPr="0081146C">
              <w:rPr>
                <w:b/>
              </w:rPr>
              <w:t>6</w:t>
            </w:r>
          </w:p>
        </w:tc>
        <w:tc>
          <w:tcPr>
            <w:tcW w:w="4537" w:type="dxa"/>
            <w:shd w:val="clear" w:color="auto" w:fill="auto"/>
          </w:tcPr>
          <w:p w14:paraId="3B30C9BD" w14:textId="77777777" w:rsidR="000E0B0C" w:rsidRPr="0081146C" w:rsidRDefault="000E0B0C" w:rsidP="003A364D">
            <w:pPr>
              <w:pStyle w:val="ENoteTableText"/>
            </w:pPr>
          </w:p>
        </w:tc>
      </w:tr>
      <w:tr w:rsidR="007F436D" w:rsidRPr="0081146C" w14:paraId="4ED56472" w14:textId="77777777" w:rsidTr="00965397">
        <w:trPr>
          <w:cantSplit/>
        </w:trPr>
        <w:tc>
          <w:tcPr>
            <w:tcW w:w="2551" w:type="dxa"/>
            <w:shd w:val="clear" w:color="auto" w:fill="auto"/>
          </w:tcPr>
          <w:p w14:paraId="06D79523" w14:textId="77777777" w:rsidR="007F436D" w:rsidRPr="0081146C" w:rsidRDefault="00CA78AA" w:rsidP="003A364D">
            <w:pPr>
              <w:pStyle w:val="ENoteTableText"/>
              <w:rPr>
                <w:b/>
              </w:rPr>
            </w:pPr>
            <w:r w:rsidRPr="0081146C">
              <w:rPr>
                <w:b/>
              </w:rPr>
              <w:t>Division 1</w:t>
            </w:r>
          </w:p>
        </w:tc>
        <w:tc>
          <w:tcPr>
            <w:tcW w:w="4537" w:type="dxa"/>
            <w:shd w:val="clear" w:color="auto" w:fill="auto"/>
          </w:tcPr>
          <w:p w14:paraId="17811A29" w14:textId="77777777" w:rsidR="007F436D" w:rsidRPr="0081146C" w:rsidRDefault="007F436D" w:rsidP="003A364D">
            <w:pPr>
              <w:pStyle w:val="ENoteTableText"/>
            </w:pPr>
          </w:p>
        </w:tc>
      </w:tr>
      <w:tr w:rsidR="007F436D" w:rsidRPr="0081146C" w14:paraId="3E7BEE18" w14:textId="77777777" w:rsidTr="00965397">
        <w:trPr>
          <w:cantSplit/>
        </w:trPr>
        <w:tc>
          <w:tcPr>
            <w:tcW w:w="2551" w:type="dxa"/>
            <w:shd w:val="clear" w:color="auto" w:fill="auto"/>
          </w:tcPr>
          <w:p w14:paraId="6B7B432D" w14:textId="77777777" w:rsidR="007F436D" w:rsidRPr="0081146C" w:rsidRDefault="007F436D" w:rsidP="003A364D">
            <w:pPr>
              <w:pStyle w:val="ENoteTableText"/>
              <w:tabs>
                <w:tab w:val="center" w:leader="dot" w:pos="2268"/>
              </w:tabs>
            </w:pPr>
            <w:r w:rsidRPr="0081146C">
              <w:t>s 208</w:t>
            </w:r>
            <w:r w:rsidRPr="0081146C">
              <w:tab/>
            </w:r>
          </w:p>
        </w:tc>
        <w:tc>
          <w:tcPr>
            <w:tcW w:w="4537" w:type="dxa"/>
            <w:shd w:val="clear" w:color="auto" w:fill="auto"/>
          </w:tcPr>
          <w:p w14:paraId="72CD0669" w14:textId="77777777" w:rsidR="007F436D" w:rsidRPr="0081146C" w:rsidRDefault="007F436D" w:rsidP="003A364D">
            <w:pPr>
              <w:pStyle w:val="ENoteTableText"/>
            </w:pPr>
            <w:r w:rsidRPr="0081146C">
              <w:t>am No 133, 2020</w:t>
            </w:r>
            <w:r w:rsidR="0041570D" w:rsidRPr="0081146C">
              <w:t>; No 63, 2023</w:t>
            </w:r>
          </w:p>
        </w:tc>
      </w:tr>
      <w:tr w:rsidR="000E0B0C" w:rsidRPr="0081146C" w14:paraId="44376B5E" w14:textId="77777777" w:rsidTr="00965397">
        <w:trPr>
          <w:cantSplit/>
        </w:trPr>
        <w:tc>
          <w:tcPr>
            <w:tcW w:w="2551" w:type="dxa"/>
            <w:shd w:val="clear" w:color="auto" w:fill="auto"/>
          </w:tcPr>
          <w:p w14:paraId="3369E39D" w14:textId="77777777" w:rsidR="000E0B0C" w:rsidRPr="0081146C" w:rsidRDefault="00CA78AA" w:rsidP="003A364D">
            <w:pPr>
              <w:pStyle w:val="ENoteTableText"/>
              <w:keepNext/>
              <w:rPr>
                <w:b/>
              </w:rPr>
            </w:pPr>
            <w:r w:rsidRPr="0081146C">
              <w:rPr>
                <w:b/>
              </w:rPr>
              <w:t>Division 2</w:t>
            </w:r>
          </w:p>
        </w:tc>
        <w:tc>
          <w:tcPr>
            <w:tcW w:w="4537" w:type="dxa"/>
            <w:shd w:val="clear" w:color="auto" w:fill="auto"/>
          </w:tcPr>
          <w:p w14:paraId="004DD029" w14:textId="77777777" w:rsidR="000E0B0C" w:rsidRPr="0081146C" w:rsidRDefault="000E0B0C" w:rsidP="003A364D">
            <w:pPr>
              <w:pStyle w:val="ENoteTableText"/>
              <w:keepNext/>
            </w:pPr>
          </w:p>
        </w:tc>
      </w:tr>
      <w:tr w:rsidR="000E0B0C" w:rsidRPr="0081146C" w14:paraId="752DECBC" w14:textId="77777777" w:rsidTr="00965397">
        <w:trPr>
          <w:cantSplit/>
        </w:trPr>
        <w:tc>
          <w:tcPr>
            <w:tcW w:w="2551" w:type="dxa"/>
            <w:shd w:val="clear" w:color="auto" w:fill="auto"/>
          </w:tcPr>
          <w:p w14:paraId="1D1ED104" w14:textId="77777777" w:rsidR="000E0B0C" w:rsidRPr="0081146C" w:rsidRDefault="000E0B0C" w:rsidP="00AE2DA2">
            <w:pPr>
              <w:pStyle w:val="ENoteTableText"/>
              <w:tabs>
                <w:tab w:val="center" w:leader="dot" w:pos="2268"/>
              </w:tabs>
            </w:pPr>
            <w:r w:rsidRPr="0081146C">
              <w:t>s 209</w:t>
            </w:r>
            <w:r w:rsidRPr="0081146C">
              <w:tab/>
            </w:r>
          </w:p>
        </w:tc>
        <w:tc>
          <w:tcPr>
            <w:tcW w:w="4537" w:type="dxa"/>
            <w:shd w:val="clear" w:color="auto" w:fill="auto"/>
          </w:tcPr>
          <w:p w14:paraId="42453C7A" w14:textId="77777777" w:rsidR="000E0B0C" w:rsidRPr="0081146C" w:rsidRDefault="000E0B0C" w:rsidP="00C72BA2">
            <w:pPr>
              <w:pStyle w:val="ENoteTableText"/>
            </w:pPr>
            <w:r w:rsidRPr="0081146C">
              <w:t>am No 92, 2017</w:t>
            </w:r>
          </w:p>
        </w:tc>
      </w:tr>
      <w:tr w:rsidR="000E0B0C" w:rsidRPr="0081146C" w14:paraId="7B46D67E" w14:textId="77777777" w:rsidTr="00965397">
        <w:trPr>
          <w:cantSplit/>
        </w:trPr>
        <w:tc>
          <w:tcPr>
            <w:tcW w:w="2551" w:type="dxa"/>
            <w:shd w:val="clear" w:color="auto" w:fill="auto"/>
          </w:tcPr>
          <w:p w14:paraId="7DDFCF05" w14:textId="77777777" w:rsidR="000E0B0C" w:rsidRPr="0081146C" w:rsidRDefault="00CA78AA" w:rsidP="00E0079E">
            <w:pPr>
              <w:pStyle w:val="ENoteTableText"/>
              <w:keepNext/>
            </w:pPr>
            <w:r w:rsidRPr="0081146C">
              <w:rPr>
                <w:b/>
              </w:rPr>
              <w:t>Division 3</w:t>
            </w:r>
          </w:p>
        </w:tc>
        <w:tc>
          <w:tcPr>
            <w:tcW w:w="4537" w:type="dxa"/>
            <w:shd w:val="clear" w:color="auto" w:fill="auto"/>
          </w:tcPr>
          <w:p w14:paraId="0E15F439" w14:textId="77777777" w:rsidR="000E0B0C" w:rsidRPr="0081146C" w:rsidRDefault="000E0B0C" w:rsidP="003A13F4">
            <w:pPr>
              <w:pStyle w:val="ENoteTableText"/>
            </w:pPr>
          </w:p>
        </w:tc>
      </w:tr>
      <w:tr w:rsidR="000E0B0C" w:rsidRPr="0081146C" w14:paraId="3D863EA1" w14:textId="77777777" w:rsidTr="00965397">
        <w:trPr>
          <w:cantSplit/>
        </w:trPr>
        <w:tc>
          <w:tcPr>
            <w:tcW w:w="2551" w:type="dxa"/>
            <w:shd w:val="clear" w:color="auto" w:fill="auto"/>
          </w:tcPr>
          <w:p w14:paraId="679F8AEB" w14:textId="77777777" w:rsidR="000E0B0C" w:rsidRPr="0081146C" w:rsidRDefault="000E0B0C" w:rsidP="003A13F4">
            <w:pPr>
              <w:pStyle w:val="ENoteTableText"/>
            </w:pPr>
            <w:r w:rsidRPr="0081146C">
              <w:rPr>
                <w:b/>
              </w:rPr>
              <w:t>Subdivision A</w:t>
            </w:r>
          </w:p>
        </w:tc>
        <w:tc>
          <w:tcPr>
            <w:tcW w:w="4537" w:type="dxa"/>
            <w:shd w:val="clear" w:color="auto" w:fill="auto"/>
          </w:tcPr>
          <w:p w14:paraId="6EA14FFB" w14:textId="77777777" w:rsidR="000E0B0C" w:rsidRPr="0081146C" w:rsidRDefault="000E0B0C" w:rsidP="003A13F4">
            <w:pPr>
              <w:pStyle w:val="ENoteTableText"/>
            </w:pPr>
          </w:p>
        </w:tc>
      </w:tr>
      <w:tr w:rsidR="000E0B0C" w:rsidRPr="0081146C" w14:paraId="2D19B943" w14:textId="77777777" w:rsidTr="00965397">
        <w:trPr>
          <w:cantSplit/>
        </w:trPr>
        <w:tc>
          <w:tcPr>
            <w:tcW w:w="2551" w:type="dxa"/>
            <w:shd w:val="clear" w:color="auto" w:fill="auto"/>
          </w:tcPr>
          <w:p w14:paraId="621D766F" w14:textId="77777777" w:rsidR="000E0B0C" w:rsidRPr="0081146C" w:rsidRDefault="000E0B0C" w:rsidP="003A13F4">
            <w:pPr>
              <w:pStyle w:val="ENoteTableText"/>
              <w:tabs>
                <w:tab w:val="center" w:leader="dot" w:pos="2268"/>
              </w:tabs>
            </w:pPr>
            <w:r w:rsidRPr="0081146C">
              <w:t>s 212</w:t>
            </w:r>
            <w:r w:rsidRPr="0081146C">
              <w:tab/>
            </w:r>
          </w:p>
        </w:tc>
        <w:tc>
          <w:tcPr>
            <w:tcW w:w="4537" w:type="dxa"/>
            <w:shd w:val="clear" w:color="auto" w:fill="auto"/>
          </w:tcPr>
          <w:p w14:paraId="1F557943" w14:textId="77777777" w:rsidR="000E0B0C" w:rsidRPr="0081146C" w:rsidRDefault="000E0B0C" w:rsidP="003A13F4">
            <w:pPr>
              <w:pStyle w:val="ENoteTableText"/>
            </w:pPr>
            <w:r w:rsidRPr="0081146C">
              <w:t>am No</w:t>
            </w:r>
            <w:r w:rsidR="004F64A4" w:rsidRPr="0081146C">
              <w:t> </w:t>
            </w:r>
            <w:r w:rsidRPr="0081146C">
              <w:t>51, 2010; No 41, 2015; No 130, 2017</w:t>
            </w:r>
            <w:r w:rsidR="007F436D" w:rsidRPr="0081146C">
              <w:t>; No 133, 2020</w:t>
            </w:r>
          </w:p>
        </w:tc>
      </w:tr>
      <w:tr w:rsidR="000E0B0C" w:rsidRPr="0081146C" w14:paraId="1546F31F" w14:textId="77777777" w:rsidTr="00965397">
        <w:trPr>
          <w:cantSplit/>
        </w:trPr>
        <w:tc>
          <w:tcPr>
            <w:tcW w:w="2551" w:type="dxa"/>
            <w:shd w:val="clear" w:color="auto" w:fill="auto"/>
          </w:tcPr>
          <w:p w14:paraId="4EE5027A" w14:textId="77777777" w:rsidR="000E0B0C" w:rsidRPr="0081146C" w:rsidRDefault="000E0B0C" w:rsidP="00C72BA2">
            <w:pPr>
              <w:pStyle w:val="ENoteTableText"/>
            </w:pPr>
            <w:r w:rsidRPr="0081146C">
              <w:rPr>
                <w:b/>
              </w:rPr>
              <w:t>Subdivision B</w:t>
            </w:r>
          </w:p>
        </w:tc>
        <w:tc>
          <w:tcPr>
            <w:tcW w:w="4537" w:type="dxa"/>
            <w:shd w:val="clear" w:color="auto" w:fill="auto"/>
          </w:tcPr>
          <w:p w14:paraId="429CD292" w14:textId="77777777" w:rsidR="000E0B0C" w:rsidRPr="0081146C" w:rsidRDefault="000E0B0C" w:rsidP="00C72BA2">
            <w:pPr>
              <w:pStyle w:val="ENoteTableText"/>
            </w:pPr>
          </w:p>
        </w:tc>
      </w:tr>
      <w:tr w:rsidR="000E0B0C" w:rsidRPr="0081146C" w14:paraId="402CDBF0" w14:textId="77777777" w:rsidTr="00965397">
        <w:trPr>
          <w:cantSplit/>
        </w:trPr>
        <w:tc>
          <w:tcPr>
            <w:tcW w:w="2551" w:type="dxa"/>
            <w:shd w:val="clear" w:color="auto" w:fill="auto"/>
          </w:tcPr>
          <w:p w14:paraId="5DE9BC0F" w14:textId="77777777" w:rsidR="000E0B0C" w:rsidRPr="0081146C" w:rsidRDefault="000E0B0C" w:rsidP="0044237A">
            <w:pPr>
              <w:pStyle w:val="ENoteTableText"/>
              <w:tabs>
                <w:tab w:val="center" w:leader="dot" w:pos="2268"/>
              </w:tabs>
            </w:pPr>
            <w:r w:rsidRPr="0081146C">
              <w:t>s 214</w:t>
            </w:r>
            <w:r w:rsidRPr="0081146C">
              <w:tab/>
            </w:r>
          </w:p>
        </w:tc>
        <w:tc>
          <w:tcPr>
            <w:tcW w:w="4537" w:type="dxa"/>
            <w:shd w:val="clear" w:color="auto" w:fill="auto"/>
          </w:tcPr>
          <w:p w14:paraId="6AE07672" w14:textId="77777777" w:rsidR="000E0B0C" w:rsidRPr="0081146C" w:rsidRDefault="000E0B0C" w:rsidP="00C72BA2">
            <w:pPr>
              <w:pStyle w:val="ENoteTableText"/>
            </w:pPr>
            <w:r w:rsidRPr="0081146C">
              <w:t>am No</w:t>
            </w:r>
            <w:r w:rsidR="004F64A4" w:rsidRPr="0081146C">
              <w:t> </w:t>
            </w:r>
            <w:r w:rsidRPr="0081146C">
              <w:t>46, 2011</w:t>
            </w:r>
          </w:p>
        </w:tc>
      </w:tr>
      <w:tr w:rsidR="000E0B0C" w:rsidRPr="0081146C" w14:paraId="44AED781" w14:textId="77777777" w:rsidTr="00965397">
        <w:trPr>
          <w:cantSplit/>
        </w:trPr>
        <w:tc>
          <w:tcPr>
            <w:tcW w:w="2551" w:type="dxa"/>
            <w:shd w:val="clear" w:color="auto" w:fill="auto"/>
          </w:tcPr>
          <w:p w14:paraId="13FE6F04" w14:textId="77777777" w:rsidR="000E0B0C" w:rsidRPr="0081146C" w:rsidRDefault="000E0B0C" w:rsidP="0044237A">
            <w:pPr>
              <w:pStyle w:val="ENoteTableText"/>
              <w:tabs>
                <w:tab w:val="center" w:leader="dot" w:pos="2268"/>
              </w:tabs>
            </w:pPr>
            <w:r w:rsidRPr="0081146C">
              <w:t>s 218</w:t>
            </w:r>
            <w:r w:rsidRPr="0081146C">
              <w:tab/>
            </w:r>
          </w:p>
        </w:tc>
        <w:tc>
          <w:tcPr>
            <w:tcW w:w="4537" w:type="dxa"/>
            <w:shd w:val="clear" w:color="auto" w:fill="auto"/>
          </w:tcPr>
          <w:p w14:paraId="22F5A45A" w14:textId="77777777" w:rsidR="000E0B0C" w:rsidRPr="0081146C" w:rsidRDefault="000E0B0C" w:rsidP="00C72BA2">
            <w:pPr>
              <w:pStyle w:val="ENoteTableText"/>
            </w:pPr>
            <w:r w:rsidRPr="0081146C">
              <w:t>rep No 92, 2017</w:t>
            </w:r>
          </w:p>
        </w:tc>
      </w:tr>
      <w:tr w:rsidR="000E0B0C" w:rsidRPr="0081146C" w14:paraId="4A0644C6" w14:textId="77777777" w:rsidTr="00965397">
        <w:trPr>
          <w:cantSplit/>
        </w:trPr>
        <w:tc>
          <w:tcPr>
            <w:tcW w:w="2551" w:type="dxa"/>
            <w:shd w:val="clear" w:color="auto" w:fill="auto"/>
          </w:tcPr>
          <w:p w14:paraId="028E3C4B" w14:textId="77777777" w:rsidR="000E0B0C" w:rsidRPr="0081146C" w:rsidRDefault="000E0B0C" w:rsidP="0044237A">
            <w:pPr>
              <w:pStyle w:val="ENoteTableText"/>
              <w:tabs>
                <w:tab w:val="center" w:leader="dot" w:pos="2268"/>
              </w:tabs>
            </w:pPr>
            <w:r w:rsidRPr="0081146C">
              <w:t>s 219</w:t>
            </w:r>
            <w:r w:rsidRPr="0081146C">
              <w:tab/>
            </w:r>
          </w:p>
        </w:tc>
        <w:tc>
          <w:tcPr>
            <w:tcW w:w="4537" w:type="dxa"/>
            <w:shd w:val="clear" w:color="auto" w:fill="auto"/>
          </w:tcPr>
          <w:p w14:paraId="25ABC737" w14:textId="77777777" w:rsidR="000E0B0C" w:rsidRPr="0081146C" w:rsidRDefault="000E0B0C" w:rsidP="00C72BA2">
            <w:pPr>
              <w:pStyle w:val="ENoteTableText"/>
            </w:pPr>
            <w:r w:rsidRPr="0081146C">
              <w:t>am No 92, 2017</w:t>
            </w:r>
          </w:p>
        </w:tc>
      </w:tr>
      <w:tr w:rsidR="000E0B0C" w:rsidRPr="0081146C" w14:paraId="247E94E7" w14:textId="77777777" w:rsidTr="00965397">
        <w:trPr>
          <w:cantSplit/>
        </w:trPr>
        <w:tc>
          <w:tcPr>
            <w:tcW w:w="2551" w:type="dxa"/>
            <w:shd w:val="clear" w:color="auto" w:fill="auto"/>
          </w:tcPr>
          <w:p w14:paraId="6D894ED2" w14:textId="77777777" w:rsidR="000E0B0C" w:rsidRPr="0081146C" w:rsidRDefault="000E0B0C" w:rsidP="00AE2DA2">
            <w:pPr>
              <w:pStyle w:val="ENoteTableText"/>
              <w:tabs>
                <w:tab w:val="center" w:leader="dot" w:pos="2268"/>
              </w:tabs>
            </w:pPr>
            <w:r w:rsidRPr="0081146C">
              <w:t>s 221</w:t>
            </w:r>
            <w:r w:rsidRPr="0081146C">
              <w:tab/>
            </w:r>
          </w:p>
        </w:tc>
        <w:tc>
          <w:tcPr>
            <w:tcW w:w="4537" w:type="dxa"/>
            <w:shd w:val="clear" w:color="auto" w:fill="auto"/>
          </w:tcPr>
          <w:p w14:paraId="47A1C7E6" w14:textId="77777777" w:rsidR="000E0B0C" w:rsidRPr="0081146C" w:rsidRDefault="000E0B0C" w:rsidP="00C72BA2">
            <w:pPr>
              <w:pStyle w:val="ENoteTableText"/>
            </w:pPr>
            <w:r w:rsidRPr="0081146C">
              <w:t>am No</w:t>
            </w:r>
            <w:r w:rsidR="004F64A4" w:rsidRPr="0081146C">
              <w:t> </w:t>
            </w:r>
            <w:r w:rsidRPr="0081146C">
              <w:t>46, 2011</w:t>
            </w:r>
          </w:p>
        </w:tc>
      </w:tr>
      <w:tr w:rsidR="000E0B0C" w:rsidRPr="0081146C" w14:paraId="5044DD4C" w14:textId="77777777" w:rsidTr="00965397">
        <w:trPr>
          <w:cantSplit/>
        </w:trPr>
        <w:tc>
          <w:tcPr>
            <w:tcW w:w="2551" w:type="dxa"/>
            <w:shd w:val="clear" w:color="auto" w:fill="auto"/>
          </w:tcPr>
          <w:p w14:paraId="27232D4C" w14:textId="77777777" w:rsidR="000E0B0C" w:rsidRPr="0081146C" w:rsidRDefault="00CA78AA" w:rsidP="00AE2DA2">
            <w:pPr>
              <w:pStyle w:val="ENoteTableText"/>
              <w:tabs>
                <w:tab w:val="right" w:pos="482"/>
                <w:tab w:val="center" w:leader="dot" w:pos="2268"/>
              </w:tabs>
              <w:ind w:left="748" w:hanging="748"/>
              <w:rPr>
                <w:b/>
              </w:rPr>
            </w:pPr>
            <w:r w:rsidRPr="0081146C">
              <w:rPr>
                <w:b/>
              </w:rPr>
              <w:t>Division 4</w:t>
            </w:r>
          </w:p>
        </w:tc>
        <w:tc>
          <w:tcPr>
            <w:tcW w:w="4537" w:type="dxa"/>
            <w:shd w:val="clear" w:color="auto" w:fill="auto"/>
          </w:tcPr>
          <w:p w14:paraId="0B8D8C1D" w14:textId="77777777" w:rsidR="000E0B0C" w:rsidRPr="0081146C" w:rsidRDefault="000E0B0C" w:rsidP="00C72BA2">
            <w:pPr>
              <w:pStyle w:val="ENoteTableText"/>
            </w:pPr>
          </w:p>
        </w:tc>
      </w:tr>
      <w:tr w:rsidR="000E0B0C" w:rsidRPr="0081146C" w14:paraId="43A04ED0" w14:textId="77777777" w:rsidTr="00965397">
        <w:trPr>
          <w:cantSplit/>
        </w:trPr>
        <w:tc>
          <w:tcPr>
            <w:tcW w:w="2551" w:type="dxa"/>
            <w:shd w:val="clear" w:color="auto" w:fill="auto"/>
          </w:tcPr>
          <w:p w14:paraId="7CEA7F40" w14:textId="77777777" w:rsidR="000E0B0C" w:rsidRPr="0081146C" w:rsidRDefault="000E0B0C" w:rsidP="00331254">
            <w:pPr>
              <w:pStyle w:val="ENoteTableText"/>
              <w:tabs>
                <w:tab w:val="center" w:leader="dot" w:pos="2268"/>
              </w:tabs>
              <w:rPr>
                <w:b/>
              </w:rPr>
            </w:pPr>
            <w:r w:rsidRPr="0081146C">
              <w:t>s 225</w:t>
            </w:r>
            <w:r w:rsidRPr="0081146C">
              <w:tab/>
            </w:r>
          </w:p>
        </w:tc>
        <w:tc>
          <w:tcPr>
            <w:tcW w:w="4537" w:type="dxa"/>
            <w:shd w:val="clear" w:color="auto" w:fill="auto"/>
          </w:tcPr>
          <w:p w14:paraId="4B20C7DD" w14:textId="77777777" w:rsidR="000E0B0C" w:rsidRPr="0081146C" w:rsidRDefault="000E0B0C" w:rsidP="00331254">
            <w:pPr>
              <w:pStyle w:val="ENoteTableText"/>
            </w:pPr>
            <w:r w:rsidRPr="0081146C">
              <w:t>ad No</w:t>
            </w:r>
            <w:r w:rsidR="004F64A4" w:rsidRPr="0081146C">
              <w:t> </w:t>
            </w:r>
            <w:r w:rsidRPr="0081146C">
              <w:t>74, 2013</w:t>
            </w:r>
          </w:p>
        </w:tc>
      </w:tr>
      <w:tr w:rsidR="000E0B0C" w:rsidRPr="0081146C" w14:paraId="32A06AEF" w14:textId="77777777" w:rsidTr="00965397">
        <w:trPr>
          <w:cantSplit/>
        </w:trPr>
        <w:tc>
          <w:tcPr>
            <w:tcW w:w="2551" w:type="dxa"/>
            <w:shd w:val="clear" w:color="auto" w:fill="auto"/>
          </w:tcPr>
          <w:p w14:paraId="77FC601E" w14:textId="77777777" w:rsidR="000E0B0C" w:rsidRPr="0081146C" w:rsidRDefault="00CA78AA" w:rsidP="00331254">
            <w:pPr>
              <w:pStyle w:val="ENoteTableText"/>
              <w:tabs>
                <w:tab w:val="center" w:leader="dot" w:pos="2268"/>
              </w:tabs>
            </w:pPr>
            <w:r w:rsidRPr="0081146C">
              <w:t>Division 5</w:t>
            </w:r>
            <w:r w:rsidR="000E0B0C" w:rsidRPr="0081146C">
              <w:tab/>
            </w:r>
          </w:p>
        </w:tc>
        <w:tc>
          <w:tcPr>
            <w:tcW w:w="4537" w:type="dxa"/>
            <w:shd w:val="clear" w:color="auto" w:fill="auto"/>
          </w:tcPr>
          <w:p w14:paraId="280067F2" w14:textId="77777777" w:rsidR="000E0B0C" w:rsidRPr="0081146C" w:rsidRDefault="000E0B0C" w:rsidP="00331254">
            <w:pPr>
              <w:pStyle w:val="ENoteTableText"/>
            </w:pPr>
            <w:r w:rsidRPr="0081146C">
              <w:t>rep No 92, 2017</w:t>
            </w:r>
          </w:p>
        </w:tc>
      </w:tr>
      <w:tr w:rsidR="000E0B0C" w:rsidRPr="0081146C" w14:paraId="6094FEAB" w14:textId="77777777" w:rsidTr="00965397">
        <w:trPr>
          <w:cantSplit/>
        </w:trPr>
        <w:tc>
          <w:tcPr>
            <w:tcW w:w="2551" w:type="dxa"/>
            <w:shd w:val="clear" w:color="auto" w:fill="auto"/>
          </w:tcPr>
          <w:p w14:paraId="4F331942" w14:textId="77777777" w:rsidR="000E0B0C" w:rsidRPr="0081146C" w:rsidRDefault="000E0B0C" w:rsidP="00331254">
            <w:pPr>
              <w:pStyle w:val="ENoteTableText"/>
              <w:tabs>
                <w:tab w:val="center" w:leader="dot" w:pos="2268"/>
              </w:tabs>
            </w:pPr>
            <w:r w:rsidRPr="0081146C">
              <w:t>s 226</w:t>
            </w:r>
            <w:r w:rsidRPr="0081146C">
              <w:tab/>
            </w:r>
          </w:p>
        </w:tc>
        <w:tc>
          <w:tcPr>
            <w:tcW w:w="4537" w:type="dxa"/>
            <w:shd w:val="clear" w:color="auto" w:fill="auto"/>
          </w:tcPr>
          <w:p w14:paraId="765CC8EC" w14:textId="77777777" w:rsidR="000E0B0C" w:rsidRPr="0081146C" w:rsidRDefault="000E0B0C" w:rsidP="00331254">
            <w:pPr>
              <w:pStyle w:val="ENoteTableText"/>
            </w:pPr>
            <w:r w:rsidRPr="0081146C">
              <w:t>rep No 92, 2017</w:t>
            </w:r>
          </w:p>
        </w:tc>
      </w:tr>
      <w:tr w:rsidR="000E0B0C" w:rsidRPr="0081146C" w14:paraId="672C4966" w14:textId="77777777" w:rsidTr="00965397">
        <w:trPr>
          <w:cantSplit/>
        </w:trPr>
        <w:tc>
          <w:tcPr>
            <w:tcW w:w="2551" w:type="dxa"/>
            <w:shd w:val="clear" w:color="auto" w:fill="auto"/>
          </w:tcPr>
          <w:p w14:paraId="4EFAC68E" w14:textId="77777777" w:rsidR="000E0B0C" w:rsidRPr="0081146C" w:rsidRDefault="000E0B0C" w:rsidP="00331254">
            <w:pPr>
              <w:pStyle w:val="ENoteTableText"/>
              <w:tabs>
                <w:tab w:val="center" w:leader="dot" w:pos="2268"/>
              </w:tabs>
            </w:pPr>
            <w:r w:rsidRPr="0081146C">
              <w:t>s 227</w:t>
            </w:r>
            <w:r w:rsidRPr="0081146C">
              <w:tab/>
            </w:r>
          </w:p>
        </w:tc>
        <w:tc>
          <w:tcPr>
            <w:tcW w:w="4537" w:type="dxa"/>
            <w:shd w:val="clear" w:color="auto" w:fill="auto"/>
          </w:tcPr>
          <w:p w14:paraId="05A006AA" w14:textId="77777777" w:rsidR="000E0B0C" w:rsidRPr="0081146C" w:rsidRDefault="000E0B0C" w:rsidP="00331254">
            <w:pPr>
              <w:pStyle w:val="ENoteTableText"/>
            </w:pPr>
            <w:r w:rsidRPr="0081146C">
              <w:t>rep No 92, 2017</w:t>
            </w:r>
          </w:p>
        </w:tc>
      </w:tr>
      <w:tr w:rsidR="000E0B0C" w:rsidRPr="0081146C" w14:paraId="72D35383" w14:textId="77777777" w:rsidTr="00965397">
        <w:trPr>
          <w:cantSplit/>
        </w:trPr>
        <w:tc>
          <w:tcPr>
            <w:tcW w:w="2551" w:type="dxa"/>
            <w:shd w:val="clear" w:color="auto" w:fill="auto"/>
          </w:tcPr>
          <w:p w14:paraId="2908BD40" w14:textId="77777777" w:rsidR="000E0B0C" w:rsidRPr="0081146C" w:rsidRDefault="003A364D" w:rsidP="00C72BA2">
            <w:pPr>
              <w:pStyle w:val="ENoteTableText"/>
            </w:pPr>
            <w:r w:rsidRPr="0081146C">
              <w:rPr>
                <w:b/>
              </w:rPr>
              <w:t>Division 6</w:t>
            </w:r>
          </w:p>
        </w:tc>
        <w:tc>
          <w:tcPr>
            <w:tcW w:w="4537" w:type="dxa"/>
            <w:shd w:val="clear" w:color="auto" w:fill="auto"/>
          </w:tcPr>
          <w:p w14:paraId="4F510901" w14:textId="77777777" w:rsidR="000E0B0C" w:rsidRPr="0081146C" w:rsidRDefault="000E0B0C" w:rsidP="00C72BA2">
            <w:pPr>
              <w:pStyle w:val="ENoteTableText"/>
            </w:pPr>
          </w:p>
        </w:tc>
      </w:tr>
      <w:tr w:rsidR="000E0B0C" w:rsidRPr="0081146C" w14:paraId="122CEC38" w14:textId="77777777" w:rsidTr="00965397">
        <w:trPr>
          <w:cantSplit/>
        </w:trPr>
        <w:tc>
          <w:tcPr>
            <w:tcW w:w="2551" w:type="dxa"/>
            <w:shd w:val="clear" w:color="auto" w:fill="auto"/>
          </w:tcPr>
          <w:p w14:paraId="3037B4DD" w14:textId="77777777" w:rsidR="000E0B0C" w:rsidRPr="0081146C" w:rsidRDefault="000E0B0C" w:rsidP="00AE2DA2">
            <w:pPr>
              <w:pStyle w:val="ENoteTableText"/>
              <w:tabs>
                <w:tab w:val="center" w:leader="dot" w:pos="2268"/>
              </w:tabs>
            </w:pPr>
            <w:r w:rsidRPr="0081146C">
              <w:t>s 228</w:t>
            </w:r>
            <w:r w:rsidRPr="0081146C">
              <w:tab/>
            </w:r>
          </w:p>
        </w:tc>
        <w:tc>
          <w:tcPr>
            <w:tcW w:w="4537" w:type="dxa"/>
            <w:shd w:val="clear" w:color="auto" w:fill="auto"/>
          </w:tcPr>
          <w:p w14:paraId="642247E4" w14:textId="77777777" w:rsidR="000E0B0C" w:rsidRPr="0081146C" w:rsidRDefault="000E0B0C" w:rsidP="00C72BA2">
            <w:pPr>
              <w:pStyle w:val="ENoteTableText"/>
            </w:pPr>
            <w:r w:rsidRPr="0081146C">
              <w:t>am No</w:t>
            </w:r>
            <w:r w:rsidR="004F64A4" w:rsidRPr="0081146C">
              <w:t> </w:t>
            </w:r>
            <w:r w:rsidRPr="0081146C">
              <w:t>52, 2007</w:t>
            </w:r>
          </w:p>
        </w:tc>
      </w:tr>
      <w:tr w:rsidR="0041570D" w:rsidRPr="0081146C" w14:paraId="49CF3F32" w14:textId="77777777" w:rsidTr="00965397">
        <w:trPr>
          <w:cantSplit/>
        </w:trPr>
        <w:tc>
          <w:tcPr>
            <w:tcW w:w="2551" w:type="dxa"/>
            <w:shd w:val="clear" w:color="auto" w:fill="auto"/>
          </w:tcPr>
          <w:p w14:paraId="606ED385" w14:textId="77777777" w:rsidR="0041570D" w:rsidRPr="0081146C" w:rsidRDefault="003A364D" w:rsidP="00AE2DA2">
            <w:pPr>
              <w:pStyle w:val="ENoteTableText"/>
              <w:tabs>
                <w:tab w:val="center" w:leader="dot" w:pos="2268"/>
              </w:tabs>
              <w:rPr>
                <w:b/>
              </w:rPr>
            </w:pPr>
            <w:r w:rsidRPr="0081146C">
              <w:rPr>
                <w:b/>
              </w:rPr>
              <w:t>Division 6</w:t>
            </w:r>
            <w:r w:rsidR="0041570D" w:rsidRPr="0081146C">
              <w:rPr>
                <w:b/>
              </w:rPr>
              <w:t>A</w:t>
            </w:r>
          </w:p>
        </w:tc>
        <w:tc>
          <w:tcPr>
            <w:tcW w:w="4537" w:type="dxa"/>
            <w:shd w:val="clear" w:color="auto" w:fill="auto"/>
          </w:tcPr>
          <w:p w14:paraId="16B5717B" w14:textId="77777777" w:rsidR="0041570D" w:rsidRPr="0081146C" w:rsidRDefault="0041570D" w:rsidP="00C72BA2">
            <w:pPr>
              <w:pStyle w:val="ENoteTableText"/>
            </w:pPr>
          </w:p>
        </w:tc>
      </w:tr>
      <w:tr w:rsidR="0041570D" w:rsidRPr="0081146C" w14:paraId="30A73ACB" w14:textId="77777777" w:rsidTr="00965397">
        <w:trPr>
          <w:cantSplit/>
        </w:trPr>
        <w:tc>
          <w:tcPr>
            <w:tcW w:w="2551" w:type="dxa"/>
            <w:shd w:val="clear" w:color="auto" w:fill="auto"/>
          </w:tcPr>
          <w:p w14:paraId="2EB82DE4" w14:textId="77777777" w:rsidR="0041570D" w:rsidRPr="0081146C" w:rsidRDefault="003A364D" w:rsidP="00AE2DA2">
            <w:pPr>
              <w:pStyle w:val="ENoteTableText"/>
              <w:tabs>
                <w:tab w:val="center" w:leader="dot" w:pos="2268"/>
              </w:tabs>
            </w:pPr>
            <w:r w:rsidRPr="0081146C">
              <w:t>Division 6</w:t>
            </w:r>
            <w:r w:rsidR="0041570D" w:rsidRPr="0081146C">
              <w:t>A</w:t>
            </w:r>
            <w:r w:rsidR="0041570D" w:rsidRPr="0081146C">
              <w:tab/>
            </w:r>
          </w:p>
        </w:tc>
        <w:tc>
          <w:tcPr>
            <w:tcW w:w="4537" w:type="dxa"/>
            <w:shd w:val="clear" w:color="auto" w:fill="auto"/>
          </w:tcPr>
          <w:p w14:paraId="6AC55DAA" w14:textId="77777777" w:rsidR="0041570D" w:rsidRPr="0081146C" w:rsidRDefault="0041570D" w:rsidP="00C72BA2">
            <w:pPr>
              <w:pStyle w:val="ENoteTableText"/>
            </w:pPr>
            <w:r w:rsidRPr="0081146C">
              <w:t>ad No 63, 2023</w:t>
            </w:r>
          </w:p>
        </w:tc>
      </w:tr>
      <w:tr w:rsidR="0041570D" w:rsidRPr="0081146C" w14:paraId="23926816" w14:textId="77777777" w:rsidTr="00965397">
        <w:trPr>
          <w:cantSplit/>
        </w:trPr>
        <w:tc>
          <w:tcPr>
            <w:tcW w:w="2551" w:type="dxa"/>
            <w:shd w:val="clear" w:color="auto" w:fill="auto"/>
          </w:tcPr>
          <w:p w14:paraId="1A87574A" w14:textId="77777777" w:rsidR="0041570D" w:rsidRPr="0081146C" w:rsidRDefault="0041570D" w:rsidP="00AE2DA2">
            <w:pPr>
              <w:pStyle w:val="ENoteTableText"/>
              <w:tabs>
                <w:tab w:val="center" w:leader="dot" w:pos="2268"/>
              </w:tabs>
            </w:pPr>
            <w:r w:rsidRPr="0081146C">
              <w:t>s 228A</w:t>
            </w:r>
            <w:r w:rsidRPr="0081146C">
              <w:tab/>
            </w:r>
          </w:p>
        </w:tc>
        <w:tc>
          <w:tcPr>
            <w:tcW w:w="4537" w:type="dxa"/>
            <w:shd w:val="clear" w:color="auto" w:fill="auto"/>
          </w:tcPr>
          <w:p w14:paraId="552C67AE" w14:textId="77777777" w:rsidR="0041570D" w:rsidRPr="0081146C" w:rsidRDefault="0041570D" w:rsidP="00C72BA2">
            <w:pPr>
              <w:pStyle w:val="ENoteTableText"/>
            </w:pPr>
            <w:r w:rsidRPr="0081146C">
              <w:t>ad No 63, 2023</w:t>
            </w:r>
          </w:p>
        </w:tc>
      </w:tr>
      <w:tr w:rsidR="000E0B0C" w:rsidRPr="0081146C" w14:paraId="4D55273F" w14:textId="77777777" w:rsidTr="00965397">
        <w:trPr>
          <w:cantSplit/>
        </w:trPr>
        <w:tc>
          <w:tcPr>
            <w:tcW w:w="2551" w:type="dxa"/>
            <w:shd w:val="clear" w:color="auto" w:fill="auto"/>
          </w:tcPr>
          <w:p w14:paraId="42AFE0B8" w14:textId="77777777" w:rsidR="000E0B0C" w:rsidRPr="0081146C" w:rsidRDefault="00CA78AA" w:rsidP="002C455C">
            <w:pPr>
              <w:pStyle w:val="ENoteTableText"/>
              <w:keepNext/>
              <w:tabs>
                <w:tab w:val="right" w:pos="482"/>
                <w:tab w:val="center" w:leader="dot" w:pos="2268"/>
              </w:tabs>
              <w:ind w:left="748" w:hanging="748"/>
              <w:rPr>
                <w:b/>
              </w:rPr>
            </w:pPr>
            <w:r w:rsidRPr="0081146C">
              <w:rPr>
                <w:b/>
              </w:rPr>
              <w:t>Part 1</w:t>
            </w:r>
            <w:r w:rsidR="000E0B0C" w:rsidRPr="0081146C">
              <w:rPr>
                <w:b/>
              </w:rPr>
              <w:t>7A</w:t>
            </w:r>
          </w:p>
        </w:tc>
        <w:tc>
          <w:tcPr>
            <w:tcW w:w="4537" w:type="dxa"/>
            <w:shd w:val="clear" w:color="auto" w:fill="auto"/>
          </w:tcPr>
          <w:p w14:paraId="704CCCAE" w14:textId="77777777" w:rsidR="000E0B0C" w:rsidRPr="0081146C" w:rsidRDefault="000E0B0C" w:rsidP="00C72BA2">
            <w:pPr>
              <w:pStyle w:val="ENoteTableText"/>
            </w:pPr>
          </w:p>
        </w:tc>
      </w:tr>
      <w:tr w:rsidR="000E0B0C" w:rsidRPr="0081146C" w14:paraId="674EA659" w14:textId="77777777" w:rsidTr="00965397">
        <w:trPr>
          <w:cantSplit/>
        </w:trPr>
        <w:tc>
          <w:tcPr>
            <w:tcW w:w="2551" w:type="dxa"/>
            <w:shd w:val="clear" w:color="auto" w:fill="auto"/>
          </w:tcPr>
          <w:p w14:paraId="56CF756D" w14:textId="77777777" w:rsidR="000E0B0C" w:rsidRPr="0081146C" w:rsidRDefault="00CA78AA" w:rsidP="000A606C">
            <w:pPr>
              <w:pStyle w:val="ENoteTableText"/>
              <w:tabs>
                <w:tab w:val="center" w:leader="dot" w:pos="2268"/>
              </w:tabs>
            </w:pPr>
            <w:r w:rsidRPr="0081146C">
              <w:t>Part 1</w:t>
            </w:r>
            <w:r w:rsidR="000E0B0C" w:rsidRPr="0081146C">
              <w:t>7A</w:t>
            </w:r>
            <w:r w:rsidR="000E0B0C" w:rsidRPr="0081146C">
              <w:tab/>
            </w:r>
          </w:p>
        </w:tc>
        <w:tc>
          <w:tcPr>
            <w:tcW w:w="4537" w:type="dxa"/>
            <w:shd w:val="clear" w:color="auto" w:fill="auto"/>
          </w:tcPr>
          <w:p w14:paraId="6FD8B2C2" w14:textId="77777777" w:rsidR="000E0B0C" w:rsidRPr="0081146C" w:rsidRDefault="000E0B0C" w:rsidP="004D005A">
            <w:pPr>
              <w:pStyle w:val="ENoteTableText"/>
              <w:tabs>
                <w:tab w:val="center" w:leader="dot" w:pos="2268"/>
              </w:tabs>
            </w:pPr>
            <w:r w:rsidRPr="0081146C">
              <w:t>ad No 74, 2013</w:t>
            </w:r>
          </w:p>
        </w:tc>
      </w:tr>
      <w:tr w:rsidR="000E0B0C" w:rsidRPr="0081146C" w14:paraId="20F9E878" w14:textId="77777777" w:rsidTr="00965397">
        <w:trPr>
          <w:cantSplit/>
        </w:trPr>
        <w:tc>
          <w:tcPr>
            <w:tcW w:w="2551" w:type="dxa"/>
            <w:shd w:val="clear" w:color="auto" w:fill="auto"/>
          </w:tcPr>
          <w:p w14:paraId="4F50977F" w14:textId="77777777" w:rsidR="000E0B0C" w:rsidRPr="0081146C" w:rsidRDefault="000E0B0C" w:rsidP="000A606C">
            <w:pPr>
              <w:pStyle w:val="ENoteTableText"/>
              <w:tabs>
                <w:tab w:val="center" w:leader="dot" w:pos="2268"/>
              </w:tabs>
              <w:rPr>
                <w:b/>
              </w:rPr>
            </w:pPr>
            <w:r w:rsidRPr="0081146C">
              <w:t>s 233A</w:t>
            </w:r>
            <w:r w:rsidRPr="0081146C">
              <w:tab/>
            </w:r>
          </w:p>
        </w:tc>
        <w:tc>
          <w:tcPr>
            <w:tcW w:w="4537" w:type="dxa"/>
            <w:shd w:val="clear" w:color="auto" w:fill="auto"/>
          </w:tcPr>
          <w:p w14:paraId="61D0C3F1" w14:textId="77777777" w:rsidR="000E0B0C" w:rsidRPr="0081146C" w:rsidRDefault="000E0B0C" w:rsidP="004D005A">
            <w:pPr>
              <w:pStyle w:val="ENoteTableText"/>
            </w:pPr>
            <w:r w:rsidRPr="0081146C">
              <w:t>ad No 74, 2013</w:t>
            </w:r>
          </w:p>
        </w:tc>
      </w:tr>
      <w:tr w:rsidR="00307629" w:rsidRPr="0081146C" w14:paraId="6C756A1D" w14:textId="77777777" w:rsidTr="00965397">
        <w:trPr>
          <w:cantSplit/>
        </w:trPr>
        <w:tc>
          <w:tcPr>
            <w:tcW w:w="2551" w:type="dxa"/>
            <w:shd w:val="clear" w:color="auto" w:fill="auto"/>
          </w:tcPr>
          <w:p w14:paraId="2E57F6FF" w14:textId="77777777" w:rsidR="00307629" w:rsidRPr="0081146C" w:rsidRDefault="00307629" w:rsidP="000A606C">
            <w:pPr>
              <w:pStyle w:val="ENoteTableText"/>
              <w:tabs>
                <w:tab w:val="center" w:leader="dot" w:pos="2268"/>
              </w:tabs>
            </w:pPr>
          </w:p>
        </w:tc>
        <w:tc>
          <w:tcPr>
            <w:tcW w:w="4537" w:type="dxa"/>
            <w:shd w:val="clear" w:color="auto" w:fill="auto"/>
          </w:tcPr>
          <w:p w14:paraId="7FAB5F56" w14:textId="77777777" w:rsidR="00307629" w:rsidRPr="0081146C" w:rsidRDefault="00307629" w:rsidP="004D005A">
            <w:pPr>
              <w:pStyle w:val="ENoteTableText"/>
            </w:pPr>
            <w:r w:rsidRPr="0081146C">
              <w:t>am No 38, 2024</w:t>
            </w:r>
          </w:p>
        </w:tc>
      </w:tr>
      <w:tr w:rsidR="000E0B0C" w:rsidRPr="0081146C" w14:paraId="161585B6" w14:textId="77777777" w:rsidTr="00965397">
        <w:trPr>
          <w:cantSplit/>
        </w:trPr>
        <w:tc>
          <w:tcPr>
            <w:tcW w:w="2551" w:type="dxa"/>
            <w:shd w:val="clear" w:color="auto" w:fill="auto"/>
          </w:tcPr>
          <w:p w14:paraId="6F74CEBF" w14:textId="77777777" w:rsidR="000E0B0C" w:rsidRPr="0081146C" w:rsidRDefault="000E0B0C" w:rsidP="000A606C">
            <w:pPr>
              <w:pStyle w:val="ENoteTableText"/>
              <w:tabs>
                <w:tab w:val="center" w:leader="dot" w:pos="2268"/>
              </w:tabs>
              <w:rPr>
                <w:b/>
              </w:rPr>
            </w:pPr>
            <w:r w:rsidRPr="0081146C">
              <w:t>s 233B</w:t>
            </w:r>
            <w:r w:rsidRPr="0081146C">
              <w:tab/>
            </w:r>
          </w:p>
        </w:tc>
        <w:tc>
          <w:tcPr>
            <w:tcW w:w="4537" w:type="dxa"/>
            <w:shd w:val="clear" w:color="auto" w:fill="auto"/>
          </w:tcPr>
          <w:p w14:paraId="6F2C6B19" w14:textId="77777777" w:rsidR="000E0B0C" w:rsidRPr="0081146C" w:rsidRDefault="000E0B0C" w:rsidP="004D005A">
            <w:pPr>
              <w:pStyle w:val="ENoteTableText"/>
            </w:pPr>
            <w:r w:rsidRPr="0081146C">
              <w:t>ad No 74, 2013</w:t>
            </w:r>
          </w:p>
        </w:tc>
      </w:tr>
      <w:tr w:rsidR="000E0B0C" w:rsidRPr="0081146C" w14:paraId="3EED0269" w14:textId="77777777" w:rsidTr="00965397">
        <w:trPr>
          <w:cantSplit/>
        </w:trPr>
        <w:tc>
          <w:tcPr>
            <w:tcW w:w="2551" w:type="dxa"/>
            <w:shd w:val="clear" w:color="auto" w:fill="auto"/>
          </w:tcPr>
          <w:p w14:paraId="52B752AF" w14:textId="77777777" w:rsidR="000E0B0C" w:rsidRPr="0081146C" w:rsidRDefault="000E0B0C" w:rsidP="000A606C">
            <w:pPr>
              <w:pStyle w:val="ENoteTableText"/>
              <w:tabs>
                <w:tab w:val="center" w:leader="dot" w:pos="2268"/>
              </w:tabs>
            </w:pPr>
          </w:p>
        </w:tc>
        <w:tc>
          <w:tcPr>
            <w:tcW w:w="4537" w:type="dxa"/>
            <w:shd w:val="clear" w:color="auto" w:fill="auto"/>
          </w:tcPr>
          <w:p w14:paraId="5DEBECEC" w14:textId="77777777" w:rsidR="000E0B0C" w:rsidRPr="0081146C" w:rsidRDefault="000E0B0C" w:rsidP="009816DF">
            <w:pPr>
              <w:pStyle w:val="ENoteTableText"/>
            </w:pPr>
            <w:r w:rsidRPr="0081146C">
              <w:t>am No 130, 2017</w:t>
            </w:r>
          </w:p>
        </w:tc>
      </w:tr>
      <w:tr w:rsidR="000E0B0C" w:rsidRPr="0081146C" w14:paraId="6247DD9E" w14:textId="77777777" w:rsidTr="00965397">
        <w:trPr>
          <w:cantSplit/>
        </w:trPr>
        <w:tc>
          <w:tcPr>
            <w:tcW w:w="2551" w:type="dxa"/>
            <w:shd w:val="clear" w:color="auto" w:fill="auto"/>
          </w:tcPr>
          <w:p w14:paraId="25824678" w14:textId="77777777" w:rsidR="000E0B0C" w:rsidRPr="0081146C" w:rsidRDefault="000E0B0C" w:rsidP="000A606C">
            <w:pPr>
              <w:pStyle w:val="ENoteTableText"/>
              <w:tabs>
                <w:tab w:val="center" w:leader="dot" w:pos="2268"/>
              </w:tabs>
              <w:rPr>
                <w:b/>
              </w:rPr>
            </w:pPr>
            <w:r w:rsidRPr="0081146C">
              <w:t>s 233C</w:t>
            </w:r>
            <w:r w:rsidRPr="0081146C">
              <w:tab/>
            </w:r>
          </w:p>
        </w:tc>
        <w:tc>
          <w:tcPr>
            <w:tcW w:w="4537" w:type="dxa"/>
            <w:shd w:val="clear" w:color="auto" w:fill="auto"/>
          </w:tcPr>
          <w:p w14:paraId="11D638A5" w14:textId="77777777" w:rsidR="000E0B0C" w:rsidRPr="0081146C" w:rsidRDefault="000E0B0C" w:rsidP="004D005A">
            <w:pPr>
              <w:pStyle w:val="ENoteTableText"/>
            </w:pPr>
            <w:r w:rsidRPr="0081146C">
              <w:t>ad No 74, 2013</w:t>
            </w:r>
          </w:p>
        </w:tc>
      </w:tr>
      <w:tr w:rsidR="000E0B0C" w:rsidRPr="0081146C" w14:paraId="3849E02F" w14:textId="77777777" w:rsidTr="00965397">
        <w:trPr>
          <w:cantSplit/>
        </w:trPr>
        <w:tc>
          <w:tcPr>
            <w:tcW w:w="2551" w:type="dxa"/>
            <w:shd w:val="clear" w:color="auto" w:fill="auto"/>
          </w:tcPr>
          <w:p w14:paraId="7A0DE1C4" w14:textId="77777777" w:rsidR="000E0B0C" w:rsidRPr="0081146C" w:rsidRDefault="000E0B0C" w:rsidP="000A606C">
            <w:pPr>
              <w:pStyle w:val="ENoteTableText"/>
              <w:tabs>
                <w:tab w:val="center" w:leader="dot" w:pos="2268"/>
              </w:tabs>
            </w:pPr>
          </w:p>
        </w:tc>
        <w:tc>
          <w:tcPr>
            <w:tcW w:w="4537" w:type="dxa"/>
            <w:shd w:val="clear" w:color="auto" w:fill="auto"/>
          </w:tcPr>
          <w:p w14:paraId="019B2793" w14:textId="77777777" w:rsidR="000E0B0C" w:rsidRPr="0081146C" w:rsidRDefault="000E0B0C" w:rsidP="009816DF">
            <w:pPr>
              <w:pStyle w:val="ENoteTableText"/>
            </w:pPr>
            <w:r w:rsidRPr="0081146C">
              <w:t>am No 130, 2017</w:t>
            </w:r>
          </w:p>
        </w:tc>
      </w:tr>
      <w:tr w:rsidR="000E0B0C" w:rsidRPr="0081146C" w14:paraId="36B97DCC" w14:textId="77777777" w:rsidTr="00965397">
        <w:trPr>
          <w:cantSplit/>
        </w:trPr>
        <w:tc>
          <w:tcPr>
            <w:tcW w:w="2551" w:type="dxa"/>
            <w:shd w:val="clear" w:color="auto" w:fill="auto"/>
          </w:tcPr>
          <w:p w14:paraId="052A443E" w14:textId="77777777" w:rsidR="000E0B0C" w:rsidRPr="0081146C" w:rsidRDefault="000E0B0C" w:rsidP="000A606C">
            <w:pPr>
              <w:pStyle w:val="ENoteTableText"/>
              <w:tabs>
                <w:tab w:val="center" w:leader="dot" w:pos="2268"/>
              </w:tabs>
              <w:rPr>
                <w:b/>
              </w:rPr>
            </w:pPr>
            <w:r w:rsidRPr="0081146C">
              <w:t>s 233D</w:t>
            </w:r>
            <w:r w:rsidRPr="0081146C">
              <w:tab/>
            </w:r>
          </w:p>
        </w:tc>
        <w:tc>
          <w:tcPr>
            <w:tcW w:w="4537" w:type="dxa"/>
            <w:shd w:val="clear" w:color="auto" w:fill="auto"/>
          </w:tcPr>
          <w:p w14:paraId="4188C34F" w14:textId="77777777" w:rsidR="000E0B0C" w:rsidRPr="0081146C" w:rsidRDefault="000E0B0C" w:rsidP="004D005A">
            <w:pPr>
              <w:pStyle w:val="ENoteTableText"/>
            </w:pPr>
            <w:r w:rsidRPr="0081146C">
              <w:t>ad No 74, 2013</w:t>
            </w:r>
          </w:p>
        </w:tc>
      </w:tr>
      <w:tr w:rsidR="00307629" w:rsidRPr="0081146C" w14:paraId="5BADF6EF" w14:textId="77777777" w:rsidTr="00965397">
        <w:trPr>
          <w:cantSplit/>
        </w:trPr>
        <w:tc>
          <w:tcPr>
            <w:tcW w:w="2551" w:type="dxa"/>
            <w:shd w:val="clear" w:color="auto" w:fill="auto"/>
          </w:tcPr>
          <w:p w14:paraId="051BDB9F" w14:textId="77777777" w:rsidR="00307629" w:rsidRPr="0081146C" w:rsidRDefault="00307629" w:rsidP="000A606C">
            <w:pPr>
              <w:pStyle w:val="ENoteTableText"/>
              <w:tabs>
                <w:tab w:val="center" w:leader="dot" w:pos="2268"/>
              </w:tabs>
            </w:pPr>
          </w:p>
        </w:tc>
        <w:tc>
          <w:tcPr>
            <w:tcW w:w="4537" w:type="dxa"/>
            <w:shd w:val="clear" w:color="auto" w:fill="auto"/>
          </w:tcPr>
          <w:p w14:paraId="18C51471" w14:textId="77777777" w:rsidR="00307629" w:rsidRPr="0081146C" w:rsidRDefault="00307629" w:rsidP="004D005A">
            <w:pPr>
              <w:pStyle w:val="ENoteTableText"/>
            </w:pPr>
            <w:r w:rsidRPr="0081146C">
              <w:t>am No 38, 2024</w:t>
            </w:r>
          </w:p>
        </w:tc>
      </w:tr>
      <w:tr w:rsidR="000E0B0C" w:rsidRPr="0081146C" w14:paraId="2439D0A5" w14:textId="77777777" w:rsidTr="00965397">
        <w:trPr>
          <w:cantSplit/>
        </w:trPr>
        <w:tc>
          <w:tcPr>
            <w:tcW w:w="2551" w:type="dxa"/>
            <w:shd w:val="clear" w:color="auto" w:fill="auto"/>
          </w:tcPr>
          <w:p w14:paraId="3BE71E65" w14:textId="77777777" w:rsidR="000E0B0C" w:rsidRPr="0081146C" w:rsidRDefault="000E0B0C" w:rsidP="000A606C">
            <w:pPr>
              <w:pStyle w:val="ENoteTableText"/>
              <w:tabs>
                <w:tab w:val="center" w:leader="dot" w:pos="2268"/>
              </w:tabs>
              <w:rPr>
                <w:b/>
              </w:rPr>
            </w:pPr>
            <w:r w:rsidRPr="0081146C">
              <w:t>s 233E</w:t>
            </w:r>
            <w:r w:rsidRPr="0081146C">
              <w:tab/>
            </w:r>
          </w:p>
        </w:tc>
        <w:tc>
          <w:tcPr>
            <w:tcW w:w="4537" w:type="dxa"/>
            <w:shd w:val="clear" w:color="auto" w:fill="auto"/>
          </w:tcPr>
          <w:p w14:paraId="2C85CDED" w14:textId="77777777" w:rsidR="000E0B0C" w:rsidRPr="0081146C" w:rsidRDefault="000E0B0C" w:rsidP="004D005A">
            <w:pPr>
              <w:pStyle w:val="ENoteTableText"/>
            </w:pPr>
            <w:r w:rsidRPr="0081146C">
              <w:t>ad No 74, 2013</w:t>
            </w:r>
          </w:p>
        </w:tc>
      </w:tr>
      <w:tr w:rsidR="00307629" w:rsidRPr="0081146C" w14:paraId="0DFF9D42" w14:textId="77777777" w:rsidTr="00965397">
        <w:trPr>
          <w:cantSplit/>
        </w:trPr>
        <w:tc>
          <w:tcPr>
            <w:tcW w:w="2551" w:type="dxa"/>
            <w:shd w:val="clear" w:color="auto" w:fill="auto"/>
          </w:tcPr>
          <w:p w14:paraId="590611B9" w14:textId="77777777" w:rsidR="00307629" w:rsidRPr="0081146C" w:rsidRDefault="00307629" w:rsidP="000A606C">
            <w:pPr>
              <w:pStyle w:val="ENoteTableText"/>
              <w:tabs>
                <w:tab w:val="center" w:leader="dot" w:pos="2268"/>
              </w:tabs>
            </w:pPr>
          </w:p>
        </w:tc>
        <w:tc>
          <w:tcPr>
            <w:tcW w:w="4537" w:type="dxa"/>
            <w:shd w:val="clear" w:color="auto" w:fill="auto"/>
          </w:tcPr>
          <w:p w14:paraId="58E2C07F" w14:textId="77777777" w:rsidR="00307629" w:rsidRPr="0081146C" w:rsidRDefault="00307629" w:rsidP="004D005A">
            <w:pPr>
              <w:pStyle w:val="ENoteTableText"/>
            </w:pPr>
            <w:r w:rsidRPr="0081146C">
              <w:t>am No 38, 2024</w:t>
            </w:r>
          </w:p>
        </w:tc>
      </w:tr>
      <w:tr w:rsidR="000E0B0C" w:rsidRPr="0081146C" w14:paraId="3BFCF8B6" w14:textId="77777777" w:rsidTr="00965397">
        <w:trPr>
          <w:cantSplit/>
        </w:trPr>
        <w:tc>
          <w:tcPr>
            <w:tcW w:w="2551" w:type="dxa"/>
            <w:shd w:val="clear" w:color="auto" w:fill="auto"/>
          </w:tcPr>
          <w:p w14:paraId="2240ADA4" w14:textId="77777777" w:rsidR="000E0B0C" w:rsidRPr="0081146C" w:rsidRDefault="000E0B0C" w:rsidP="000A606C">
            <w:pPr>
              <w:pStyle w:val="ENoteTableText"/>
              <w:tabs>
                <w:tab w:val="center" w:leader="dot" w:pos="2268"/>
              </w:tabs>
              <w:rPr>
                <w:b/>
              </w:rPr>
            </w:pPr>
            <w:r w:rsidRPr="0081146C">
              <w:t>s 233F</w:t>
            </w:r>
            <w:r w:rsidRPr="0081146C">
              <w:tab/>
            </w:r>
          </w:p>
        </w:tc>
        <w:tc>
          <w:tcPr>
            <w:tcW w:w="4537" w:type="dxa"/>
            <w:shd w:val="clear" w:color="auto" w:fill="auto"/>
          </w:tcPr>
          <w:p w14:paraId="26523D0E" w14:textId="77777777" w:rsidR="000E0B0C" w:rsidRPr="0081146C" w:rsidRDefault="000E0B0C" w:rsidP="004D005A">
            <w:pPr>
              <w:pStyle w:val="ENoteTableText"/>
            </w:pPr>
            <w:r w:rsidRPr="0081146C">
              <w:t>ad No 74, 2013</w:t>
            </w:r>
          </w:p>
        </w:tc>
      </w:tr>
      <w:tr w:rsidR="00307629" w:rsidRPr="0081146C" w14:paraId="522BB001" w14:textId="77777777" w:rsidTr="00965397">
        <w:trPr>
          <w:cantSplit/>
        </w:trPr>
        <w:tc>
          <w:tcPr>
            <w:tcW w:w="2551" w:type="dxa"/>
            <w:shd w:val="clear" w:color="auto" w:fill="auto"/>
          </w:tcPr>
          <w:p w14:paraId="72DE218D" w14:textId="77777777" w:rsidR="00307629" w:rsidRPr="0081146C" w:rsidRDefault="00307629" w:rsidP="000A606C">
            <w:pPr>
              <w:pStyle w:val="ENoteTableText"/>
              <w:tabs>
                <w:tab w:val="center" w:leader="dot" w:pos="2268"/>
              </w:tabs>
            </w:pPr>
          </w:p>
        </w:tc>
        <w:tc>
          <w:tcPr>
            <w:tcW w:w="4537" w:type="dxa"/>
            <w:shd w:val="clear" w:color="auto" w:fill="auto"/>
          </w:tcPr>
          <w:p w14:paraId="4EBA0A58" w14:textId="77777777" w:rsidR="00307629" w:rsidRPr="0081146C" w:rsidRDefault="00307629" w:rsidP="004D005A">
            <w:pPr>
              <w:pStyle w:val="ENoteTableText"/>
            </w:pPr>
            <w:r w:rsidRPr="0081146C">
              <w:t>am No 38, 2024</w:t>
            </w:r>
          </w:p>
        </w:tc>
      </w:tr>
      <w:tr w:rsidR="000E0B0C" w:rsidRPr="0081146C" w14:paraId="178FDA13" w14:textId="77777777" w:rsidTr="00965397">
        <w:trPr>
          <w:cantSplit/>
        </w:trPr>
        <w:tc>
          <w:tcPr>
            <w:tcW w:w="2551" w:type="dxa"/>
            <w:shd w:val="clear" w:color="auto" w:fill="auto"/>
          </w:tcPr>
          <w:p w14:paraId="710BEEA0" w14:textId="77777777" w:rsidR="000E0B0C" w:rsidRPr="0081146C" w:rsidRDefault="000E0B0C" w:rsidP="000A606C">
            <w:pPr>
              <w:pStyle w:val="ENoteTableText"/>
              <w:tabs>
                <w:tab w:val="center" w:leader="dot" w:pos="2268"/>
              </w:tabs>
              <w:rPr>
                <w:b/>
              </w:rPr>
            </w:pPr>
            <w:r w:rsidRPr="0081146C">
              <w:t>s 233G</w:t>
            </w:r>
            <w:r w:rsidRPr="0081146C">
              <w:tab/>
            </w:r>
          </w:p>
        </w:tc>
        <w:tc>
          <w:tcPr>
            <w:tcW w:w="4537" w:type="dxa"/>
            <w:shd w:val="clear" w:color="auto" w:fill="auto"/>
          </w:tcPr>
          <w:p w14:paraId="71CE6F47" w14:textId="77777777" w:rsidR="000E0B0C" w:rsidRPr="0081146C" w:rsidRDefault="000E0B0C" w:rsidP="004D005A">
            <w:pPr>
              <w:pStyle w:val="ENoteTableText"/>
            </w:pPr>
            <w:r w:rsidRPr="0081146C">
              <w:t>ad No 74, 2013</w:t>
            </w:r>
          </w:p>
        </w:tc>
      </w:tr>
      <w:tr w:rsidR="000E0B0C" w:rsidRPr="0081146C" w14:paraId="4256C234" w14:textId="77777777" w:rsidTr="00965397">
        <w:trPr>
          <w:cantSplit/>
        </w:trPr>
        <w:tc>
          <w:tcPr>
            <w:tcW w:w="2551" w:type="dxa"/>
            <w:shd w:val="clear" w:color="auto" w:fill="auto"/>
          </w:tcPr>
          <w:p w14:paraId="04ADD84F" w14:textId="77777777" w:rsidR="000E0B0C" w:rsidRPr="0081146C" w:rsidRDefault="00CA78AA" w:rsidP="00C72BA2">
            <w:pPr>
              <w:pStyle w:val="ENoteTableText"/>
            </w:pPr>
            <w:r w:rsidRPr="0081146C">
              <w:rPr>
                <w:b/>
              </w:rPr>
              <w:t>Part 1</w:t>
            </w:r>
            <w:r w:rsidR="000E0B0C" w:rsidRPr="0081146C">
              <w:rPr>
                <w:b/>
              </w:rPr>
              <w:t>8</w:t>
            </w:r>
          </w:p>
        </w:tc>
        <w:tc>
          <w:tcPr>
            <w:tcW w:w="4537" w:type="dxa"/>
            <w:shd w:val="clear" w:color="auto" w:fill="auto"/>
          </w:tcPr>
          <w:p w14:paraId="1C4FF42A" w14:textId="77777777" w:rsidR="000E0B0C" w:rsidRPr="0081146C" w:rsidRDefault="000E0B0C" w:rsidP="00C72BA2">
            <w:pPr>
              <w:pStyle w:val="ENoteTableText"/>
            </w:pPr>
          </w:p>
        </w:tc>
      </w:tr>
      <w:tr w:rsidR="00B84CBF" w:rsidRPr="0081146C" w14:paraId="2B28DE6F" w14:textId="77777777" w:rsidTr="00965397">
        <w:trPr>
          <w:cantSplit/>
        </w:trPr>
        <w:tc>
          <w:tcPr>
            <w:tcW w:w="2551" w:type="dxa"/>
            <w:shd w:val="clear" w:color="auto" w:fill="auto"/>
          </w:tcPr>
          <w:p w14:paraId="156521A8" w14:textId="77777777" w:rsidR="00B84CBF" w:rsidRPr="0081146C" w:rsidRDefault="00B84CBF" w:rsidP="00186B81">
            <w:pPr>
              <w:pStyle w:val="ENoteTableText"/>
              <w:tabs>
                <w:tab w:val="center" w:leader="dot" w:pos="2268"/>
              </w:tabs>
            </w:pPr>
            <w:r w:rsidRPr="0081146C">
              <w:t>s 244</w:t>
            </w:r>
            <w:r w:rsidRPr="0081146C">
              <w:tab/>
            </w:r>
          </w:p>
        </w:tc>
        <w:tc>
          <w:tcPr>
            <w:tcW w:w="4537" w:type="dxa"/>
            <w:shd w:val="clear" w:color="auto" w:fill="auto"/>
          </w:tcPr>
          <w:p w14:paraId="63C8D88F" w14:textId="77777777" w:rsidR="00B84CBF" w:rsidRPr="0081146C" w:rsidRDefault="00B84CBF" w:rsidP="00C72BA2">
            <w:pPr>
              <w:pStyle w:val="ENoteTableText"/>
              <w:rPr>
                <w:u w:val="single"/>
              </w:rPr>
            </w:pPr>
            <w:r w:rsidRPr="0081146C">
              <w:t>am No 133, 2020</w:t>
            </w:r>
          </w:p>
        </w:tc>
      </w:tr>
      <w:tr w:rsidR="000E0B0C" w:rsidRPr="0081146C" w14:paraId="5438ED7A" w14:textId="77777777" w:rsidTr="00965397">
        <w:trPr>
          <w:cantSplit/>
        </w:trPr>
        <w:tc>
          <w:tcPr>
            <w:tcW w:w="2551" w:type="dxa"/>
            <w:shd w:val="clear" w:color="auto" w:fill="auto"/>
          </w:tcPr>
          <w:p w14:paraId="59EA2529" w14:textId="77777777" w:rsidR="000E0B0C" w:rsidRPr="0081146C" w:rsidRDefault="000E0B0C" w:rsidP="00570E75">
            <w:pPr>
              <w:pStyle w:val="ENoteTableText"/>
              <w:tabs>
                <w:tab w:val="center" w:leader="dot" w:pos="2268"/>
              </w:tabs>
            </w:pPr>
            <w:r w:rsidRPr="0081146C">
              <w:t>s 245</w:t>
            </w:r>
            <w:r w:rsidRPr="0081146C">
              <w:tab/>
            </w:r>
          </w:p>
        </w:tc>
        <w:tc>
          <w:tcPr>
            <w:tcW w:w="4537" w:type="dxa"/>
            <w:shd w:val="clear" w:color="auto" w:fill="auto"/>
          </w:tcPr>
          <w:p w14:paraId="06A071C3" w14:textId="77777777" w:rsidR="000E0B0C" w:rsidRPr="0081146C" w:rsidRDefault="000E0B0C" w:rsidP="00C72BA2">
            <w:pPr>
              <w:pStyle w:val="ENoteTableText"/>
            </w:pPr>
            <w:r w:rsidRPr="0081146C">
              <w:t>am No 59, 2015; No 126, 2015</w:t>
            </w:r>
          </w:p>
        </w:tc>
      </w:tr>
      <w:tr w:rsidR="000E0B0C" w:rsidRPr="0081146C" w14:paraId="3EBAE225" w14:textId="77777777" w:rsidTr="00965397">
        <w:trPr>
          <w:cantSplit/>
        </w:trPr>
        <w:tc>
          <w:tcPr>
            <w:tcW w:w="2551" w:type="dxa"/>
            <w:shd w:val="clear" w:color="auto" w:fill="auto"/>
          </w:tcPr>
          <w:p w14:paraId="26FB3E88" w14:textId="77777777" w:rsidR="000E0B0C" w:rsidRPr="0081146C" w:rsidRDefault="000E0B0C" w:rsidP="00AE2DA2">
            <w:pPr>
              <w:pStyle w:val="ENoteTableText"/>
              <w:tabs>
                <w:tab w:val="center" w:leader="dot" w:pos="2268"/>
              </w:tabs>
            </w:pPr>
            <w:r w:rsidRPr="0081146C">
              <w:t>s 248</w:t>
            </w:r>
            <w:r w:rsidRPr="0081146C">
              <w:tab/>
            </w:r>
          </w:p>
        </w:tc>
        <w:tc>
          <w:tcPr>
            <w:tcW w:w="4537" w:type="dxa"/>
            <w:shd w:val="clear" w:color="auto" w:fill="auto"/>
          </w:tcPr>
          <w:p w14:paraId="0F9ABFC0" w14:textId="77777777" w:rsidR="000E0B0C" w:rsidRPr="0081146C" w:rsidRDefault="000E0B0C" w:rsidP="00C72BA2">
            <w:pPr>
              <w:pStyle w:val="ENoteTableText"/>
            </w:pPr>
            <w:r w:rsidRPr="0081146C">
              <w:t>am No</w:t>
            </w:r>
            <w:r w:rsidR="004F64A4" w:rsidRPr="0081146C">
              <w:t> </w:t>
            </w:r>
            <w:r w:rsidRPr="0081146C">
              <w:t>8, 2010</w:t>
            </w:r>
          </w:p>
        </w:tc>
      </w:tr>
      <w:tr w:rsidR="000E0B0C" w:rsidRPr="0081146C" w14:paraId="4C3B98C0" w14:textId="77777777" w:rsidTr="00965397">
        <w:trPr>
          <w:cantSplit/>
        </w:trPr>
        <w:tc>
          <w:tcPr>
            <w:tcW w:w="2551" w:type="dxa"/>
            <w:shd w:val="clear" w:color="auto" w:fill="auto"/>
          </w:tcPr>
          <w:p w14:paraId="22828487" w14:textId="77777777" w:rsidR="000E0B0C" w:rsidRPr="0081146C" w:rsidRDefault="000E0B0C" w:rsidP="004D01DF">
            <w:pPr>
              <w:pStyle w:val="ENoteTableText"/>
              <w:tabs>
                <w:tab w:val="center" w:leader="dot" w:pos="2268"/>
              </w:tabs>
            </w:pPr>
            <w:r w:rsidRPr="0081146C">
              <w:t>s 249</w:t>
            </w:r>
            <w:r w:rsidRPr="0081146C">
              <w:tab/>
            </w:r>
          </w:p>
        </w:tc>
        <w:tc>
          <w:tcPr>
            <w:tcW w:w="4537" w:type="dxa"/>
            <w:shd w:val="clear" w:color="auto" w:fill="auto"/>
          </w:tcPr>
          <w:p w14:paraId="0422F5C7" w14:textId="77777777" w:rsidR="000E0B0C" w:rsidRPr="0081146C" w:rsidRDefault="000E0B0C" w:rsidP="004D01DF">
            <w:pPr>
              <w:pStyle w:val="ENoteTableText"/>
            </w:pPr>
            <w:r w:rsidRPr="0081146C">
              <w:t>am No</w:t>
            </w:r>
            <w:r w:rsidR="004F64A4" w:rsidRPr="0081146C">
              <w:t> </w:t>
            </w:r>
            <w:r w:rsidRPr="0081146C">
              <w:t>46, 2011; No 126, 2015</w:t>
            </w:r>
          </w:p>
        </w:tc>
      </w:tr>
      <w:tr w:rsidR="000E0B0C" w:rsidRPr="0081146C" w14:paraId="3C8AF61D" w14:textId="77777777" w:rsidTr="00965397">
        <w:trPr>
          <w:cantSplit/>
        </w:trPr>
        <w:tc>
          <w:tcPr>
            <w:tcW w:w="2551" w:type="dxa"/>
            <w:shd w:val="clear" w:color="auto" w:fill="auto"/>
          </w:tcPr>
          <w:p w14:paraId="255FE634" w14:textId="77777777" w:rsidR="000E0B0C" w:rsidRPr="0081146C" w:rsidRDefault="000E0B0C" w:rsidP="000806D3">
            <w:pPr>
              <w:pStyle w:val="ENoteTableText"/>
              <w:tabs>
                <w:tab w:val="center" w:leader="dot" w:pos="2268"/>
              </w:tabs>
              <w:rPr>
                <w:b/>
              </w:rPr>
            </w:pPr>
            <w:r w:rsidRPr="0081146C">
              <w:rPr>
                <w:b/>
              </w:rPr>
              <w:t>Schedule</w:t>
            </w:r>
            <w:r w:rsidR="004F64A4" w:rsidRPr="0081146C">
              <w:rPr>
                <w:b/>
              </w:rPr>
              <w:t> </w:t>
            </w:r>
            <w:r w:rsidRPr="0081146C">
              <w:rPr>
                <w:b/>
              </w:rPr>
              <w:t>1</w:t>
            </w:r>
          </w:p>
        </w:tc>
        <w:tc>
          <w:tcPr>
            <w:tcW w:w="4537" w:type="dxa"/>
            <w:shd w:val="clear" w:color="auto" w:fill="auto"/>
          </w:tcPr>
          <w:p w14:paraId="6B0F144E" w14:textId="77777777" w:rsidR="000E0B0C" w:rsidRPr="0081146C" w:rsidRDefault="000E0B0C" w:rsidP="00C72BA2">
            <w:pPr>
              <w:pStyle w:val="ENoteTableText"/>
            </w:pPr>
          </w:p>
        </w:tc>
      </w:tr>
      <w:tr w:rsidR="000E0B0C" w:rsidRPr="0081146C" w14:paraId="5EF0668D" w14:textId="77777777" w:rsidTr="00965397">
        <w:trPr>
          <w:cantSplit/>
        </w:trPr>
        <w:tc>
          <w:tcPr>
            <w:tcW w:w="2551" w:type="dxa"/>
            <w:tcBorders>
              <w:bottom w:val="single" w:sz="12" w:space="0" w:color="auto"/>
            </w:tcBorders>
            <w:shd w:val="clear" w:color="auto" w:fill="auto"/>
          </w:tcPr>
          <w:p w14:paraId="3A108117" w14:textId="77777777" w:rsidR="000E0B0C" w:rsidRPr="0081146C" w:rsidRDefault="000E0B0C" w:rsidP="00AE2DA2">
            <w:pPr>
              <w:pStyle w:val="ENoteTableText"/>
              <w:tabs>
                <w:tab w:val="center" w:leader="dot" w:pos="2268"/>
              </w:tabs>
            </w:pPr>
            <w:r w:rsidRPr="0081146C">
              <w:t>c 1</w:t>
            </w:r>
            <w:r w:rsidRPr="0081146C">
              <w:tab/>
            </w:r>
          </w:p>
        </w:tc>
        <w:tc>
          <w:tcPr>
            <w:tcW w:w="4537" w:type="dxa"/>
            <w:tcBorders>
              <w:bottom w:val="single" w:sz="12" w:space="0" w:color="auto"/>
            </w:tcBorders>
            <w:shd w:val="clear" w:color="auto" w:fill="auto"/>
          </w:tcPr>
          <w:p w14:paraId="26351EEE" w14:textId="77777777" w:rsidR="000E0B0C" w:rsidRPr="0081146C" w:rsidRDefault="000E0B0C" w:rsidP="00C72BA2">
            <w:pPr>
              <w:pStyle w:val="ENoteTableText"/>
            </w:pPr>
            <w:r w:rsidRPr="0081146C">
              <w:t>am No 31, 2014</w:t>
            </w:r>
            <w:r w:rsidR="00B44C2C" w:rsidRPr="0081146C">
              <w:t>; No 133, 2020</w:t>
            </w:r>
          </w:p>
        </w:tc>
      </w:tr>
    </w:tbl>
    <w:p w14:paraId="479B241C" w14:textId="77777777" w:rsidR="00EC13A5" w:rsidRPr="0081146C" w:rsidRDefault="00EC13A5" w:rsidP="00B002CC">
      <w:pPr>
        <w:sectPr w:rsidR="00EC13A5" w:rsidRPr="0081146C" w:rsidSect="00562BD1">
          <w:headerReference w:type="even" r:id="rId30"/>
          <w:headerReference w:type="default" r:id="rId31"/>
          <w:headerReference w:type="first" r:id="rId32"/>
          <w:pgSz w:w="11907" w:h="16839"/>
          <w:pgMar w:top="2381" w:right="2410" w:bottom="4252" w:left="2410" w:header="720" w:footer="3402" w:gutter="0"/>
          <w:cols w:space="708"/>
          <w:docGrid w:linePitch="360"/>
        </w:sectPr>
      </w:pPr>
    </w:p>
    <w:p w14:paraId="25C52DCD" w14:textId="77777777" w:rsidR="00390FD2" w:rsidRPr="007139BD" w:rsidRDefault="00390FD2" w:rsidP="00062243"/>
    <w:sectPr w:rsidR="00390FD2" w:rsidRPr="007139BD" w:rsidSect="00562BD1">
      <w:headerReference w:type="even" r:id="rId33"/>
      <w:headerReference w:type="default" r:id="rId34"/>
      <w:head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7DB3" w14:textId="77777777" w:rsidR="003803C2" w:rsidRPr="00364620" w:rsidRDefault="003803C2" w:rsidP="00E9769B">
      <w:pPr>
        <w:pStyle w:val="CTA2ai"/>
        <w:spacing w:before="0" w:line="240" w:lineRule="auto"/>
        <w:rPr>
          <w:rFonts w:eastAsia="Calibri"/>
          <w:sz w:val="16"/>
        </w:rPr>
      </w:pPr>
      <w:r>
        <w:separator/>
      </w:r>
    </w:p>
  </w:endnote>
  <w:endnote w:type="continuationSeparator" w:id="0">
    <w:p w14:paraId="39006470" w14:textId="77777777" w:rsidR="003803C2" w:rsidRPr="00364620" w:rsidRDefault="003803C2" w:rsidP="00E9769B">
      <w:pPr>
        <w:pStyle w:val="CTA2ai"/>
        <w:spacing w:before="0"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5F1A" w14:textId="77777777" w:rsidR="003803C2" w:rsidRDefault="003803C2">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EDE8" w14:textId="77777777" w:rsidR="003803C2" w:rsidRDefault="003803C2" w:rsidP="0075038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2067" w14:textId="77777777" w:rsidR="003803C2" w:rsidRPr="00ED79B6" w:rsidRDefault="003803C2" w:rsidP="0075038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7E70" w14:textId="77777777" w:rsidR="003803C2" w:rsidRPr="007B3B51" w:rsidRDefault="003803C2" w:rsidP="00673F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227"/>
      <w:gridCol w:w="649"/>
    </w:tblGrid>
    <w:tr w:rsidR="003803C2" w:rsidRPr="007B3B51" w14:paraId="5C3D7E2E" w14:textId="77777777" w:rsidTr="00673F6C">
      <w:tc>
        <w:tcPr>
          <w:tcW w:w="854" w:type="pct"/>
        </w:tcPr>
        <w:p w14:paraId="448E56C5" w14:textId="07EE3096" w:rsidR="003803C2" w:rsidRPr="007B3B51" w:rsidRDefault="003803C2" w:rsidP="00673F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2DB2">
            <w:rPr>
              <w:i/>
              <w:noProof/>
              <w:sz w:val="16"/>
              <w:szCs w:val="16"/>
            </w:rPr>
            <w:t>xiv</w:t>
          </w:r>
          <w:r w:rsidRPr="007B3B51">
            <w:rPr>
              <w:i/>
              <w:sz w:val="16"/>
              <w:szCs w:val="16"/>
            </w:rPr>
            <w:fldChar w:fldCharType="end"/>
          </w:r>
        </w:p>
      </w:tc>
      <w:tc>
        <w:tcPr>
          <w:tcW w:w="3688" w:type="pct"/>
        </w:tcPr>
        <w:p w14:paraId="23A3935E" w14:textId="12910AFA" w:rsidR="003803C2" w:rsidRPr="007B3B51" w:rsidRDefault="003803C2" w:rsidP="00673F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DB2">
            <w:rPr>
              <w:i/>
              <w:noProof/>
              <w:sz w:val="16"/>
              <w:szCs w:val="16"/>
            </w:rPr>
            <w:t>Anti-Money Laundering and Counter-Terrorism Financing Act 2006</w:t>
          </w:r>
          <w:r w:rsidRPr="007B3B51">
            <w:rPr>
              <w:i/>
              <w:sz w:val="16"/>
              <w:szCs w:val="16"/>
            </w:rPr>
            <w:fldChar w:fldCharType="end"/>
          </w:r>
        </w:p>
      </w:tc>
      <w:tc>
        <w:tcPr>
          <w:tcW w:w="458" w:type="pct"/>
        </w:tcPr>
        <w:p w14:paraId="555941C8" w14:textId="77777777" w:rsidR="003803C2" w:rsidRPr="007B3B51" w:rsidRDefault="003803C2" w:rsidP="00673F6C">
          <w:pPr>
            <w:jc w:val="right"/>
            <w:rPr>
              <w:sz w:val="16"/>
              <w:szCs w:val="16"/>
            </w:rPr>
          </w:pPr>
        </w:p>
      </w:tc>
    </w:tr>
    <w:tr w:rsidR="00EB0CE3" w:rsidRPr="0055472E" w14:paraId="50DD52B4" w14:textId="77777777" w:rsidTr="00EB0CE3">
      <w:tc>
        <w:tcPr>
          <w:tcW w:w="5000" w:type="pct"/>
          <w:gridSpan w:val="3"/>
        </w:tcPr>
        <w:p w14:paraId="029608D4" w14:textId="28F0A70B" w:rsidR="00EB0CE3" w:rsidRPr="0055472E" w:rsidRDefault="00EB0CE3" w:rsidP="00EB0CE3">
          <w:pPr>
            <w:spacing w:before="120"/>
            <w:jc w:val="center"/>
            <w:rPr>
              <w:sz w:val="16"/>
              <w:szCs w:val="16"/>
            </w:rPr>
          </w:pPr>
          <w:r w:rsidRPr="00EB0CE3">
            <w:rPr>
              <w:sz w:val="16"/>
              <w:szCs w:val="16"/>
            </w:rPr>
            <w:t xml:space="preserve">Future compilation prepared on </w:t>
          </w:r>
          <w:r w:rsidR="009E2BDF">
            <w:rPr>
              <w:sz w:val="16"/>
              <w:szCs w:val="16"/>
            </w:rPr>
            <w:t>12</w:t>
          </w:r>
          <w:r>
            <w:rPr>
              <w:sz w:val="16"/>
              <w:szCs w:val="16"/>
            </w:rPr>
            <w:t xml:space="preserve"> December 2024</w:t>
          </w:r>
        </w:p>
      </w:tc>
    </w:tr>
  </w:tbl>
  <w:p w14:paraId="55BAAB3E" w14:textId="77777777" w:rsidR="003803C2" w:rsidRPr="009254D4" w:rsidRDefault="003803C2" w:rsidP="009254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610C" w14:textId="4D35B0E1" w:rsidR="003803C2" w:rsidRPr="007B3B51" w:rsidRDefault="003803C2" w:rsidP="00673F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227"/>
      <w:gridCol w:w="649"/>
    </w:tblGrid>
    <w:tr w:rsidR="003803C2" w:rsidRPr="007B3B51" w14:paraId="0AD0A644" w14:textId="77777777" w:rsidTr="00673F6C">
      <w:tc>
        <w:tcPr>
          <w:tcW w:w="854" w:type="pct"/>
        </w:tcPr>
        <w:p w14:paraId="5078F82D" w14:textId="77777777" w:rsidR="003803C2" w:rsidRPr="007B3B51" w:rsidRDefault="003803C2" w:rsidP="00673F6C">
          <w:pPr>
            <w:rPr>
              <w:i/>
              <w:sz w:val="16"/>
              <w:szCs w:val="16"/>
            </w:rPr>
          </w:pPr>
        </w:p>
      </w:tc>
      <w:tc>
        <w:tcPr>
          <w:tcW w:w="3688" w:type="pct"/>
        </w:tcPr>
        <w:p w14:paraId="4BD5C910" w14:textId="355E3E71" w:rsidR="003803C2" w:rsidRPr="007B3B51" w:rsidRDefault="003803C2" w:rsidP="00673F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DB2">
            <w:rPr>
              <w:i/>
              <w:noProof/>
              <w:sz w:val="16"/>
              <w:szCs w:val="16"/>
            </w:rPr>
            <w:t>Anti-Money Laundering and Counter-Terrorism Financing Act 2006</w:t>
          </w:r>
          <w:r w:rsidRPr="007B3B51">
            <w:rPr>
              <w:i/>
              <w:sz w:val="16"/>
              <w:szCs w:val="16"/>
            </w:rPr>
            <w:fldChar w:fldCharType="end"/>
          </w:r>
        </w:p>
      </w:tc>
      <w:tc>
        <w:tcPr>
          <w:tcW w:w="458" w:type="pct"/>
        </w:tcPr>
        <w:p w14:paraId="638F482C" w14:textId="1C4A5FF4" w:rsidR="003803C2" w:rsidRPr="007B3B51" w:rsidRDefault="003803C2" w:rsidP="00673F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2DB2">
            <w:rPr>
              <w:i/>
              <w:noProof/>
              <w:sz w:val="16"/>
              <w:szCs w:val="16"/>
            </w:rPr>
            <w:t>xv</w:t>
          </w:r>
          <w:r w:rsidRPr="007B3B51">
            <w:rPr>
              <w:i/>
              <w:sz w:val="16"/>
              <w:szCs w:val="16"/>
            </w:rPr>
            <w:fldChar w:fldCharType="end"/>
          </w:r>
        </w:p>
      </w:tc>
    </w:tr>
    <w:tr w:rsidR="00EB0CE3" w:rsidRPr="00130F37" w14:paraId="1AB17BAE" w14:textId="77777777" w:rsidTr="00EB0CE3">
      <w:tc>
        <w:tcPr>
          <w:tcW w:w="5000" w:type="pct"/>
          <w:gridSpan w:val="3"/>
        </w:tcPr>
        <w:p w14:paraId="54D21661" w14:textId="6B29B808" w:rsidR="00EB0CE3" w:rsidRPr="00130F37" w:rsidRDefault="00EB0CE3" w:rsidP="00EB0CE3">
          <w:pPr>
            <w:spacing w:before="120"/>
            <w:jc w:val="center"/>
            <w:rPr>
              <w:sz w:val="16"/>
              <w:szCs w:val="16"/>
            </w:rPr>
          </w:pPr>
          <w:r w:rsidRPr="00EB0CE3">
            <w:rPr>
              <w:sz w:val="16"/>
              <w:szCs w:val="16"/>
            </w:rPr>
            <w:t xml:space="preserve">Future compilation prepared on </w:t>
          </w:r>
          <w:r w:rsidR="009E2BDF">
            <w:rPr>
              <w:sz w:val="16"/>
              <w:szCs w:val="16"/>
            </w:rPr>
            <w:t>12</w:t>
          </w:r>
          <w:r>
            <w:rPr>
              <w:sz w:val="16"/>
              <w:szCs w:val="16"/>
            </w:rPr>
            <w:t xml:space="preserve"> December 2024</w:t>
          </w:r>
        </w:p>
      </w:tc>
    </w:tr>
  </w:tbl>
  <w:p w14:paraId="25E28007" w14:textId="77777777" w:rsidR="003803C2" w:rsidRPr="009254D4" w:rsidRDefault="003803C2" w:rsidP="009254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11B84" w14:textId="77777777" w:rsidR="003803C2" w:rsidRPr="007B3B51" w:rsidRDefault="003803C2" w:rsidP="00673F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227"/>
      <w:gridCol w:w="649"/>
    </w:tblGrid>
    <w:tr w:rsidR="003803C2" w:rsidRPr="007B3B51" w14:paraId="446C614F" w14:textId="77777777" w:rsidTr="00673F6C">
      <w:tc>
        <w:tcPr>
          <w:tcW w:w="854" w:type="pct"/>
        </w:tcPr>
        <w:p w14:paraId="52098279" w14:textId="738DC9EF" w:rsidR="003803C2" w:rsidRPr="007B3B51" w:rsidRDefault="003803C2" w:rsidP="00673F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2DB2">
            <w:rPr>
              <w:i/>
              <w:noProof/>
              <w:sz w:val="16"/>
              <w:szCs w:val="16"/>
            </w:rPr>
            <w:t>404</w:t>
          </w:r>
          <w:r w:rsidRPr="007B3B51">
            <w:rPr>
              <w:i/>
              <w:sz w:val="16"/>
              <w:szCs w:val="16"/>
            </w:rPr>
            <w:fldChar w:fldCharType="end"/>
          </w:r>
        </w:p>
      </w:tc>
      <w:tc>
        <w:tcPr>
          <w:tcW w:w="3688" w:type="pct"/>
        </w:tcPr>
        <w:p w14:paraId="51DF4EF9" w14:textId="17FAEE24" w:rsidR="003803C2" w:rsidRPr="007B3B51" w:rsidRDefault="003803C2" w:rsidP="00673F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DB2">
            <w:rPr>
              <w:i/>
              <w:noProof/>
              <w:sz w:val="16"/>
              <w:szCs w:val="16"/>
            </w:rPr>
            <w:t>Anti-Money Laundering and Counter-Terrorism Financing Act 2006</w:t>
          </w:r>
          <w:r w:rsidRPr="007B3B51">
            <w:rPr>
              <w:i/>
              <w:sz w:val="16"/>
              <w:szCs w:val="16"/>
            </w:rPr>
            <w:fldChar w:fldCharType="end"/>
          </w:r>
        </w:p>
      </w:tc>
      <w:tc>
        <w:tcPr>
          <w:tcW w:w="458" w:type="pct"/>
        </w:tcPr>
        <w:p w14:paraId="7EE57953" w14:textId="77777777" w:rsidR="003803C2" w:rsidRPr="007B3B51" w:rsidRDefault="003803C2" w:rsidP="00673F6C">
          <w:pPr>
            <w:jc w:val="right"/>
            <w:rPr>
              <w:sz w:val="16"/>
              <w:szCs w:val="16"/>
            </w:rPr>
          </w:pPr>
        </w:p>
      </w:tc>
    </w:tr>
    <w:tr w:rsidR="00EB0CE3" w:rsidRPr="0055472E" w14:paraId="17D98D45" w14:textId="77777777" w:rsidTr="00EB0CE3">
      <w:tc>
        <w:tcPr>
          <w:tcW w:w="5000" w:type="pct"/>
          <w:gridSpan w:val="3"/>
        </w:tcPr>
        <w:p w14:paraId="65A8CD51" w14:textId="042767E4" w:rsidR="00EB0CE3" w:rsidRPr="0055472E" w:rsidRDefault="00EB0CE3" w:rsidP="00EB0CE3">
          <w:pPr>
            <w:spacing w:before="120"/>
            <w:jc w:val="center"/>
            <w:rPr>
              <w:sz w:val="16"/>
              <w:szCs w:val="16"/>
            </w:rPr>
          </w:pPr>
          <w:r w:rsidRPr="00EB0CE3">
            <w:rPr>
              <w:sz w:val="16"/>
              <w:szCs w:val="16"/>
            </w:rPr>
            <w:t xml:space="preserve">Future compilation prepared on </w:t>
          </w:r>
          <w:r w:rsidR="009E2BDF">
            <w:rPr>
              <w:sz w:val="16"/>
              <w:szCs w:val="16"/>
            </w:rPr>
            <w:t>12</w:t>
          </w:r>
          <w:r>
            <w:rPr>
              <w:sz w:val="16"/>
              <w:szCs w:val="16"/>
            </w:rPr>
            <w:t xml:space="preserve"> December 2024</w:t>
          </w:r>
        </w:p>
      </w:tc>
    </w:tr>
  </w:tbl>
  <w:p w14:paraId="100D58AD" w14:textId="77777777" w:rsidR="003803C2" w:rsidRPr="009254D4" w:rsidRDefault="003803C2" w:rsidP="009254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D92D" w14:textId="77777777" w:rsidR="003803C2" w:rsidRPr="007B3B51" w:rsidRDefault="003803C2" w:rsidP="00673F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227"/>
      <w:gridCol w:w="649"/>
    </w:tblGrid>
    <w:tr w:rsidR="003803C2" w:rsidRPr="007B3B51" w14:paraId="775E8C94" w14:textId="77777777" w:rsidTr="00673F6C">
      <w:tc>
        <w:tcPr>
          <w:tcW w:w="854" w:type="pct"/>
        </w:tcPr>
        <w:p w14:paraId="54D57E92" w14:textId="77777777" w:rsidR="003803C2" w:rsidRPr="007B3B51" w:rsidRDefault="003803C2" w:rsidP="00673F6C">
          <w:pPr>
            <w:rPr>
              <w:i/>
              <w:sz w:val="16"/>
              <w:szCs w:val="16"/>
            </w:rPr>
          </w:pPr>
        </w:p>
      </w:tc>
      <w:tc>
        <w:tcPr>
          <w:tcW w:w="3688" w:type="pct"/>
        </w:tcPr>
        <w:p w14:paraId="1D657E1C" w14:textId="5C118762" w:rsidR="003803C2" w:rsidRPr="007B3B51" w:rsidRDefault="003803C2" w:rsidP="00673F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DB2">
            <w:rPr>
              <w:i/>
              <w:noProof/>
              <w:sz w:val="16"/>
              <w:szCs w:val="16"/>
            </w:rPr>
            <w:t>Anti-Money Laundering and Counter-Terrorism Financing Act 2006</w:t>
          </w:r>
          <w:r w:rsidRPr="007B3B51">
            <w:rPr>
              <w:i/>
              <w:sz w:val="16"/>
              <w:szCs w:val="16"/>
            </w:rPr>
            <w:fldChar w:fldCharType="end"/>
          </w:r>
        </w:p>
      </w:tc>
      <w:tc>
        <w:tcPr>
          <w:tcW w:w="458" w:type="pct"/>
        </w:tcPr>
        <w:p w14:paraId="59A3AE32" w14:textId="7D94E836" w:rsidR="003803C2" w:rsidRPr="007B3B51" w:rsidRDefault="003803C2" w:rsidP="00673F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2DB2">
            <w:rPr>
              <w:i/>
              <w:noProof/>
              <w:sz w:val="16"/>
              <w:szCs w:val="16"/>
            </w:rPr>
            <w:t>405</w:t>
          </w:r>
          <w:r w:rsidRPr="007B3B51">
            <w:rPr>
              <w:i/>
              <w:sz w:val="16"/>
              <w:szCs w:val="16"/>
            </w:rPr>
            <w:fldChar w:fldCharType="end"/>
          </w:r>
        </w:p>
      </w:tc>
    </w:tr>
    <w:tr w:rsidR="00EB0CE3" w:rsidRPr="00130F37" w14:paraId="689F1DE5" w14:textId="77777777" w:rsidTr="00EB0CE3">
      <w:tc>
        <w:tcPr>
          <w:tcW w:w="5000" w:type="pct"/>
          <w:gridSpan w:val="3"/>
        </w:tcPr>
        <w:p w14:paraId="6222B5A3" w14:textId="027E5979" w:rsidR="00EB0CE3" w:rsidRPr="00130F37" w:rsidRDefault="00EB0CE3" w:rsidP="00EB0CE3">
          <w:pPr>
            <w:spacing w:before="120"/>
            <w:jc w:val="center"/>
            <w:rPr>
              <w:sz w:val="16"/>
              <w:szCs w:val="16"/>
            </w:rPr>
          </w:pPr>
          <w:r w:rsidRPr="00EB0CE3">
            <w:rPr>
              <w:sz w:val="16"/>
              <w:szCs w:val="16"/>
            </w:rPr>
            <w:t xml:space="preserve">Future compilation prepared on </w:t>
          </w:r>
          <w:r w:rsidR="009E2BDF">
            <w:rPr>
              <w:sz w:val="16"/>
              <w:szCs w:val="16"/>
            </w:rPr>
            <w:t>12</w:t>
          </w:r>
          <w:r>
            <w:rPr>
              <w:sz w:val="16"/>
              <w:szCs w:val="16"/>
            </w:rPr>
            <w:t xml:space="preserve"> December 2024</w:t>
          </w:r>
        </w:p>
      </w:tc>
    </w:tr>
  </w:tbl>
  <w:p w14:paraId="3B4ABD19" w14:textId="77777777" w:rsidR="003803C2" w:rsidRPr="009254D4" w:rsidRDefault="003803C2" w:rsidP="009254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4CE0" w14:textId="77777777" w:rsidR="003803C2" w:rsidRPr="007A1328" w:rsidRDefault="003803C2" w:rsidP="00B002CC">
    <w:pPr>
      <w:pBdr>
        <w:top w:val="single" w:sz="6" w:space="1" w:color="auto"/>
      </w:pBdr>
      <w:spacing w:before="120"/>
      <w:rPr>
        <w:sz w:val="18"/>
      </w:rPr>
    </w:pPr>
  </w:p>
  <w:p w14:paraId="3B802017" w14:textId="3F231904" w:rsidR="003803C2" w:rsidRPr="007A1328" w:rsidRDefault="003803C2" w:rsidP="00B002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2DB2">
      <w:rPr>
        <w:i/>
        <w:noProof/>
        <w:sz w:val="18"/>
      </w:rPr>
      <w:t>Anti-Money Laundering and Counter-Terrorism Financing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2DB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376</w:t>
    </w:r>
    <w:r w:rsidRPr="007A1328">
      <w:rPr>
        <w:i/>
        <w:sz w:val="18"/>
      </w:rPr>
      <w:fldChar w:fldCharType="end"/>
    </w:r>
  </w:p>
  <w:p w14:paraId="3D5BEFCB" w14:textId="77777777" w:rsidR="003803C2" w:rsidRPr="007A1328" w:rsidRDefault="003803C2" w:rsidP="00B002CC">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BD8F7" w14:textId="53767D1C" w:rsidR="003803C2" w:rsidRDefault="003803C2" w:rsidP="00C72B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39F720B" w14:textId="106E0385" w:rsidR="003803C2" w:rsidRDefault="003803C2" w:rsidP="00C72B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6E6E2A5" w14:textId="0126FF79" w:rsidR="003803C2" w:rsidRPr="007A1328" w:rsidRDefault="003803C2" w:rsidP="00C72B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29194D5" w14:textId="77777777" w:rsidR="003803C2" w:rsidRPr="007A1328" w:rsidRDefault="003803C2" w:rsidP="00C72BA2">
      <w:pPr>
        <w:rPr>
          <w:b/>
          <w:sz w:val="24"/>
        </w:rPr>
      </w:pPr>
    </w:p>
    <w:p w14:paraId="26076E65" w14:textId="7B882F3A" w:rsidR="003803C2" w:rsidRPr="007A1328" w:rsidRDefault="003803C2" w:rsidP="00C72B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02DB2">
        <w:rPr>
          <w:noProof/>
          <w:sz w:val="24"/>
        </w:rPr>
        <w:t>1</w:t>
      </w:r>
      <w:r w:rsidRPr="007A1328">
        <w:rPr>
          <w:sz w:val="24"/>
        </w:rPr>
        <w:fldChar w:fldCharType="end"/>
      </w:r>
    </w:p>
    <w:p w14:paraId="0622E952" w14:textId="77777777" w:rsidR="003803C2" w:rsidRPr="00C72BA2" w:rsidRDefault="003803C2" w:rsidP="00C72BA2">
      <w:pPr>
        <w:pStyle w:val="Header"/>
      </w:pPr>
    </w:p>
    <w:p w14:paraId="045DA3FE" w14:textId="77777777" w:rsidR="003803C2" w:rsidRPr="00364620" w:rsidRDefault="003803C2" w:rsidP="00E9769B">
      <w:pPr>
        <w:pStyle w:val="CTA2ai"/>
        <w:spacing w:before="0" w:line="240" w:lineRule="auto"/>
        <w:rPr>
          <w:rFonts w:eastAsia="Calibri"/>
          <w:sz w:val="16"/>
        </w:rPr>
      </w:pPr>
      <w:r>
        <w:separator/>
      </w:r>
    </w:p>
  </w:footnote>
  <w:footnote w:type="continuationSeparator" w:id="0">
    <w:p w14:paraId="3134ABC0" w14:textId="77777777" w:rsidR="003803C2" w:rsidRPr="00364620" w:rsidRDefault="003803C2" w:rsidP="00E9769B">
      <w:pPr>
        <w:pStyle w:val="CTA2ai"/>
        <w:spacing w:before="0"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D68B" w14:textId="6189BF63" w:rsidR="003803C2" w:rsidRDefault="00302DB2" w:rsidP="00750389">
    <w:pPr>
      <w:pStyle w:val="Header"/>
      <w:pBdr>
        <w:bottom w:val="single" w:sz="6" w:space="1" w:color="auto"/>
      </w:pBdr>
    </w:pPr>
    <w:r>
      <w:rPr>
        <w:noProof/>
      </w:rPr>
      <w:pict w14:anchorId="31B40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66" o:spid="_x0000_s375810" type="#_x0000_t136" style="position:absolute;margin-left:0;margin-top:0;width:461.15pt;height:38.4pt;rotation:315;z-index:-251655168;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p w14:paraId="70DA4ED0" w14:textId="77777777" w:rsidR="003803C2" w:rsidRDefault="003803C2" w:rsidP="00750389">
    <w:pPr>
      <w:pStyle w:val="Header"/>
      <w:pBdr>
        <w:bottom w:val="single" w:sz="6" w:space="1" w:color="auto"/>
      </w:pBdr>
    </w:pPr>
  </w:p>
  <w:p w14:paraId="020E63DF" w14:textId="77777777" w:rsidR="003803C2" w:rsidRPr="001E77D2" w:rsidRDefault="003803C2" w:rsidP="0075038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C4E2" w14:textId="1BD749F0" w:rsidR="003803C2" w:rsidRDefault="00302DB2">
    <w:pPr>
      <w:rPr>
        <w:sz w:val="20"/>
      </w:rPr>
    </w:pPr>
    <w:r>
      <w:rPr>
        <w:noProof/>
      </w:rPr>
      <w:pict w14:anchorId="08CF5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5" o:spid="_x0000_s375819" type="#_x0000_t136" style="position:absolute;margin-left:0;margin-top:0;width:461.15pt;height:38.4pt;rotation:315;z-index:-251636736;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r w:rsidR="003803C2">
      <w:rPr>
        <w:b/>
        <w:sz w:val="20"/>
      </w:rPr>
      <w:fldChar w:fldCharType="begin"/>
    </w:r>
    <w:r w:rsidR="003803C2">
      <w:rPr>
        <w:b/>
        <w:sz w:val="20"/>
      </w:rPr>
      <w:instrText xml:space="preserve"> STYLEREF CharChapNo </w:instrText>
    </w:r>
    <w:r>
      <w:rPr>
        <w:b/>
        <w:sz w:val="20"/>
      </w:rPr>
      <w:fldChar w:fldCharType="separate"/>
    </w:r>
    <w:r>
      <w:rPr>
        <w:b/>
        <w:noProof/>
        <w:sz w:val="20"/>
      </w:rPr>
      <w:t>Schedule 1</w:t>
    </w:r>
    <w:r w:rsidR="003803C2">
      <w:rPr>
        <w:b/>
        <w:sz w:val="20"/>
      </w:rPr>
      <w:fldChar w:fldCharType="end"/>
    </w:r>
    <w:r w:rsidR="003803C2">
      <w:rPr>
        <w:b/>
        <w:sz w:val="20"/>
      </w:rPr>
      <w:t xml:space="preserve">  </w:t>
    </w:r>
    <w:r w:rsidR="003803C2">
      <w:rPr>
        <w:sz w:val="20"/>
      </w:rPr>
      <w:fldChar w:fldCharType="begin"/>
    </w:r>
    <w:r w:rsidR="003803C2">
      <w:rPr>
        <w:sz w:val="20"/>
      </w:rPr>
      <w:instrText xml:space="preserve"> STYLEREF CharChapText </w:instrText>
    </w:r>
    <w:r>
      <w:rPr>
        <w:sz w:val="20"/>
      </w:rPr>
      <w:fldChar w:fldCharType="separate"/>
    </w:r>
    <w:r>
      <w:rPr>
        <w:noProof/>
        <w:sz w:val="20"/>
      </w:rPr>
      <w:t>Alternative constitutional basis</w:t>
    </w:r>
    <w:r w:rsidR="003803C2">
      <w:rPr>
        <w:sz w:val="20"/>
      </w:rPr>
      <w:fldChar w:fldCharType="end"/>
    </w:r>
  </w:p>
  <w:p w14:paraId="7D04F24E" w14:textId="4B4E6A71" w:rsidR="003803C2" w:rsidRDefault="003803C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41D0A33B" w14:textId="127CA808" w:rsidR="003803C2" w:rsidRDefault="003803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7C12E2E0" w14:textId="77777777" w:rsidR="003803C2" w:rsidRDefault="003803C2">
    <w:pPr>
      <w:rPr>
        <w:b/>
      </w:rPr>
    </w:pPr>
  </w:p>
  <w:p w14:paraId="7B96A069" w14:textId="62A15DDE" w:rsidR="003803C2" w:rsidRDefault="003803C2" w:rsidP="00D74A7B">
    <w:pPr>
      <w:pBdr>
        <w:bottom w:val="single" w:sz="6" w:space="1" w:color="auto"/>
      </w:pBdr>
      <w:spacing w:after="120"/>
    </w:pPr>
    <w:r>
      <w:t xml:space="preserve">Clause </w:t>
    </w:r>
    <w:r w:rsidR="00302DB2">
      <w:fldChar w:fldCharType="begin"/>
    </w:r>
    <w:r w:rsidR="00302DB2">
      <w:instrText xml:space="preserve"> STYLEREF CharSectno </w:instrText>
    </w:r>
    <w:r w:rsidR="00302DB2">
      <w:fldChar w:fldCharType="separate"/>
    </w:r>
    <w:r w:rsidR="00302DB2">
      <w:rPr>
        <w:noProof/>
      </w:rPr>
      <w:t>1</w:t>
    </w:r>
    <w:r w:rsidR="00302DB2">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A62F" w14:textId="32775001" w:rsidR="003803C2" w:rsidRDefault="00302DB2" w:rsidP="00B002CC">
    <w:pPr>
      <w:jc w:val="right"/>
      <w:rPr>
        <w:sz w:val="20"/>
      </w:rPr>
    </w:pPr>
    <w:r>
      <w:rPr>
        <w:noProof/>
      </w:rPr>
      <w:pict w14:anchorId="39190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6" o:spid="_x0000_s375820" type="#_x0000_t136" style="position:absolute;left:0;text-align:left;margin-left:0;margin-top:0;width:461.15pt;height:38.4pt;rotation:315;z-index:-251634688;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r w:rsidR="003803C2">
      <w:rPr>
        <w:sz w:val="20"/>
      </w:rPr>
      <w:fldChar w:fldCharType="begin"/>
    </w:r>
    <w:r w:rsidR="003803C2">
      <w:rPr>
        <w:sz w:val="20"/>
      </w:rPr>
      <w:instrText xml:space="preserve"> STYLEREF CharChapText </w:instrText>
    </w:r>
    <w:r>
      <w:rPr>
        <w:sz w:val="20"/>
      </w:rPr>
      <w:fldChar w:fldCharType="separate"/>
    </w:r>
    <w:r>
      <w:rPr>
        <w:noProof/>
        <w:sz w:val="20"/>
      </w:rPr>
      <w:t>Alternative constitutional basis</w:t>
    </w:r>
    <w:r w:rsidR="003803C2">
      <w:rPr>
        <w:sz w:val="20"/>
      </w:rPr>
      <w:fldChar w:fldCharType="end"/>
    </w:r>
    <w:r w:rsidR="003803C2">
      <w:rPr>
        <w:sz w:val="20"/>
      </w:rPr>
      <w:t xml:space="preserve">  </w:t>
    </w:r>
    <w:r w:rsidR="003803C2">
      <w:rPr>
        <w:b/>
        <w:sz w:val="20"/>
      </w:rPr>
      <w:fldChar w:fldCharType="begin"/>
    </w:r>
    <w:r w:rsidR="003803C2">
      <w:rPr>
        <w:b/>
        <w:sz w:val="20"/>
      </w:rPr>
      <w:instrText xml:space="preserve"> STYLEREF CharChapNo </w:instrText>
    </w:r>
    <w:r>
      <w:rPr>
        <w:b/>
        <w:sz w:val="20"/>
      </w:rPr>
      <w:fldChar w:fldCharType="separate"/>
    </w:r>
    <w:r>
      <w:rPr>
        <w:b/>
        <w:noProof/>
        <w:sz w:val="20"/>
      </w:rPr>
      <w:t>Schedule 1</w:t>
    </w:r>
    <w:r w:rsidR="003803C2">
      <w:rPr>
        <w:b/>
        <w:sz w:val="20"/>
      </w:rPr>
      <w:fldChar w:fldCharType="end"/>
    </w:r>
  </w:p>
  <w:p w14:paraId="424B3AEE" w14:textId="50A9A543" w:rsidR="003803C2" w:rsidRDefault="003803C2" w:rsidP="00B002CC">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B209ED7" w14:textId="2FE325AA" w:rsidR="003803C2" w:rsidRDefault="003803C2" w:rsidP="00B002C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D7A8AE8" w14:textId="77777777" w:rsidR="003803C2" w:rsidRDefault="003803C2" w:rsidP="00B002CC">
    <w:pPr>
      <w:jc w:val="right"/>
      <w:rPr>
        <w:b/>
      </w:rPr>
    </w:pPr>
  </w:p>
  <w:p w14:paraId="312F8FDE" w14:textId="0F4D1048" w:rsidR="003803C2" w:rsidRDefault="003803C2" w:rsidP="00D74A7B">
    <w:pPr>
      <w:pBdr>
        <w:bottom w:val="single" w:sz="6" w:space="1" w:color="auto"/>
      </w:pBdr>
      <w:spacing w:after="120"/>
      <w:jc w:val="right"/>
    </w:pPr>
    <w:r>
      <w:t xml:space="preserve">Clause </w:t>
    </w:r>
    <w:r w:rsidR="00302DB2">
      <w:fldChar w:fldCharType="begin"/>
    </w:r>
    <w:r w:rsidR="00302DB2">
      <w:instrText xml:space="preserve"> STYLEREF CharSectno </w:instrText>
    </w:r>
    <w:r w:rsidR="00302DB2">
      <w:fldChar w:fldCharType="separate"/>
    </w:r>
    <w:r w:rsidR="00302DB2">
      <w:rPr>
        <w:noProof/>
      </w:rPr>
      <w:t>1</w:t>
    </w:r>
    <w:r w:rsidR="00302DB2">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E6A1" w14:textId="4ABBBD3B" w:rsidR="003803C2" w:rsidRDefault="00302DB2">
    <w:r>
      <w:rPr>
        <w:noProof/>
      </w:rPr>
      <w:pict w14:anchorId="33A7E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4" o:spid="_x0000_s375818" type="#_x0000_t136" style="position:absolute;margin-left:0;margin-top:0;width:461.15pt;height:38.4pt;rotation:315;z-index:-251638784;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D75F" w14:textId="5C3ECE8F" w:rsidR="003803C2" w:rsidRPr="007E528B" w:rsidRDefault="00302DB2" w:rsidP="00B002CC">
    <w:pPr>
      <w:rPr>
        <w:sz w:val="26"/>
        <w:szCs w:val="26"/>
      </w:rPr>
    </w:pPr>
    <w:r>
      <w:rPr>
        <w:noProof/>
      </w:rPr>
      <w:pict w14:anchorId="684C9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8" o:spid="_x0000_s375822" type="#_x0000_t136" style="position:absolute;margin-left:0;margin-top:0;width:461.15pt;height:38.4pt;rotation:315;z-index:-251630592;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p w14:paraId="4A7945F5" w14:textId="77777777" w:rsidR="003803C2" w:rsidRPr="00750516" w:rsidRDefault="003803C2" w:rsidP="00B002CC">
    <w:pPr>
      <w:rPr>
        <w:b/>
        <w:sz w:val="20"/>
      </w:rPr>
    </w:pPr>
    <w:r w:rsidRPr="00750516">
      <w:rPr>
        <w:b/>
        <w:sz w:val="20"/>
      </w:rPr>
      <w:t>Endnotes</w:t>
    </w:r>
  </w:p>
  <w:p w14:paraId="297D97CE" w14:textId="77777777" w:rsidR="003803C2" w:rsidRPr="007A1328" w:rsidRDefault="003803C2" w:rsidP="00B002CC">
    <w:pPr>
      <w:rPr>
        <w:sz w:val="20"/>
      </w:rPr>
    </w:pPr>
  </w:p>
  <w:p w14:paraId="52357E78" w14:textId="77777777" w:rsidR="003803C2" w:rsidRPr="007A1328" w:rsidRDefault="003803C2" w:rsidP="00B002CC">
    <w:pPr>
      <w:rPr>
        <w:b/>
        <w:sz w:val="24"/>
      </w:rPr>
    </w:pPr>
  </w:p>
  <w:p w14:paraId="6941AA1E" w14:textId="1315016B" w:rsidR="003803C2" w:rsidRPr="007E528B" w:rsidRDefault="003803C2" w:rsidP="00B002C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02DB2">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9C98" w14:textId="174A4C17" w:rsidR="003803C2" w:rsidRPr="007E528B" w:rsidRDefault="00302DB2" w:rsidP="00B002CC">
    <w:pPr>
      <w:jc w:val="right"/>
      <w:rPr>
        <w:sz w:val="26"/>
        <w:szCs w:val="26"/>
      </w:rPr>
    </w:pPr>
    <w:r>
      <w:rPr>
        <w:noProof/>
      </w:rPr>
      <w:pict w14:anchorId="7E22C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9" o:spid="_x0000_s375823" type="#_x0000_t136" style="position:absolute;left:0;text-align:left;margin-left:0;margin-top:0;width:461.15pt;height:38.4pt;rotation:315;z-index:-251628544;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p w14:paraId="7CCE6482" w14:textId="77777777" w:rsidR="003803C2" w:rsidRPr="00750516" w:rsidRDefault="003803C2" w:rsidP="00B002CC">
    <w:pPr>
      <w:jc w:val="right"/>
      <w:rPr>
        <w:b/>
        <w:sz w:val="20"/>
      </w:rPr>
    </w:pPr>
    <w:r w:rsidRPr="00750516">
      <w:rPr>
        <w:b/>
        <w:sz w:val="20"/>
      </w:rPr>
      <w:t>Endnotes</w:t>
    </w:r>
  </w:p>
  <w:p w14:paraId="14F2C1A5" w14:textId="77777777" w:rsidR="003803C2" w:rsidRPr="007A1328" w:rsidRDefault="003803C2" w:rsidP="00B002CC">
    <w:pPr>
      <w:jc w:val="right"/>
      <w:rPr>
        <w:sz w:val="20"/>
      </w:rPr>
    </w:pPr>
  </w:p>
  <w:p w14:paraId="3FFB9881" w14:textId="77777777" w:rsidR="003803C2" w:rsidRPr="007A1328" w:rsidRDefault="003803C2" w:rsidP="00B002CC">
    <w:pPr>
      <w:jc w:val="right"/>
      <w:rPr>
        <w:b/>
        <w:sz w:val="24"/>
      </w:rPr>
    </w:pPr>
  </w:p>
  <w:p w14:paraId="3216643B" w14:textId="5ABCFA90" w:rsidR="003803C2" w:rsidRPr="007E528B" w:rsidRDefault="003803C2" w:rsidP="00B002C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02DB2">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E923" w14:textId="1999E10C" w:rsidR="00F340C3" w:rsidRDefault="00302DB2">
    <w:pPr>
      <w:pStyle w:val="Header"/>
    </w:pPr>
    <w:r>
      <w:rPr>
        <w:noProof/>
      </w:rPr>
      <w:pict w14:anchorId="74C08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7" o:spid="_x0000_s375821" type="#_x0000_t136" style="position:absolute;margin-left:0;margin-top:0;width:461.15pt;height:38.4pt;rotation:315;z-index:-251632640;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6DD0" w14:textId="164721F7" w:rsidR="003803C2" w:rsidRDefault="00302DB2" w:rsidP="00C72BA2">
    <w:pPr>
      <w:rPr>
        <w:sz w:val="20"/>
      </w:rPr>
    </w:pPr>
    <w:r>
      <w:rPr>
        <w:noProof/>
      </w:rPr>
      <w:pict w14:anchorId="000A8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81" o:spid="_x0000_s375825" type="#_x0000_t136" style="position:absolute;margin-left:0;margin-top:0;width:461.15pt;height:38.4pt;rotation:315;z-index:-251624448;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r w:rsidR="003803C2" w:rsidRPr="007A1328">
      <w:rPr>
        <w:b/>
        <w:sz w:val="20"/>
      </w:rPr>
      <w:fldChar w:fldCharType="begin"/>
    </w:r>
    <w:r w:rsidR="003803C2" w:rsidRPr="007A1328">
      <w:rPr>
        <w:b/>
        <w:sz w:val="20"/>
      </w:rPr>
      <w:instrText xml:space="preserve"> STYLEREF CharChapNo </w:instrText>
    </w:r>
    <w:r w:rsidR="003803C2" w:rsidRPr="007A1328">
      <w:rPr>
        <w:b/>
        <w:sz w:val="20"/>
      </w:rPr>
      <w:fldChar w:fldCharType="separate"/>
    </w:r>
    <w:r>
      <w:rPr>
        <w:b/>
        <w:noProof/>
        <w:sz w:val="20"/>
      </w:rPr>
      <w:t>Schedule 1</w:t>
    </w:r>
    <w:r w:rsidR="003803C2" w:rsidRPr="007A1328">
      <w:rPr>
        <w:b/>
        <w:sz w:val="20"/>
      </w:rPr>
      <w:fldChar w:fldCharType="end"/>
    </w:r>
    <w:r w:rsidR="003803C2" w:rsidRPr="007A1328">
      <w:rPr>
        <w:b/>
        <w:sz w:val="20"/>
      </w:rPr>
      <w:t xml:space="preserve"> </w:t>
    </w:r>
    <w:r w:rsidR="003803C2">
      <w:rPr>
        <w:sz w:val="20"/>
      </w:rPr>
      <w:t xml:space="preserve"> </w:t>
    </w:r>
    <w:r w:rsidR="003803C2">
      <w:rPr>
        <w:sz w:val="20"/>
      </w:rPr>
      <w:fldChar w:fldCharType="begin"/>
    </w:r>
    <w:r w:rsidR="003803C2">
      <w:rPr>
        <w:sz w:val="20"/>
      </w:rPr>
      <w:instrText xml:space="preserve"> STYLEREF CharChapText </w:instrText>
    </w:r>
    <w:r w:rsidR="003803C2">
      <w:rPr>
        <w:sz w:val="20"/>
      </w:rPr>
      <w:fldChar w:fldCharType="separate"/>
    </w:r>
    <w:r>
      <w:rPr>
        <w:noProof/>
        <w:sz w:val="20"/>
      </w:rPr>
      <w:t>Alternative constitutional basis</w:t>
    </w:r>
    <w:r w:rsidR="003803C2">
      <w:rPr>
        <w:sz w:val="20"/>
      </w:rPr>
      <w:fldChar w:fldCharType="end"/>
    </w:r>
  </w:p>
  <w:p w14:paraId="7A5F866C" w14:textId="49985A21" w:rsidR="003803C2" w:rsidRDefault="003803C2" w:rsidP="00C72B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DB4D079" w14:textId="379D0E6C" w:rsidR="003803C2" w:rsidRPr="007A1328" w:rsidRDefault="003803C2" w:rsidP="00C72B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CAE99E2" w14:textId="77777777" w:rsidR="003803C2" w:rsidRPr="007A1328" w:rsidRDefault="003803C2" w:rsidP="00C72BA2">
    <w:pPr>
      <w:rPr>
        <w:b/>
        <w:sz w:val="24"/>
      </w:rPr>
    </w:pPr>
  </w:p>
  <w:p w14:paraId="31524A78" w14:textId="5039945F" w:rsidR="003803C2" w:rsidRPr="007A1328" w:rsidRDefault="003803C2" w:rsidP="00C72B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02DB2">
      <w:rPr>
        <w:noProof/>
        <w:sz w:val="24"/>
      </w:rPr>
      <w:t>1</w:t>
    </w:r>
    <w:r w:rsidRPr="007A1328">
      <w:rPr>
        <w:sz w:val="24"/>
      </w:rPr>
      <w:fldChar w:fldCharType="end"/>
    </w:r>
  </w:p>
  <w:p w14:paraId="3CFFAF7E" w14:textId="77777777" w:rsidR="003803C2" w:rsidRPr="00C72BA2" w:rsidRDefault="003803C2" w:rsidP="00C72B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A62F" w14:textId="686280B4" w:rsidR="00F340C3" w:rsidRDefault="00302DB2">
    <w:pPr>
      <w:pStyle w:val="Header"/>
    </w:pPr>
    <w:r>
      <w:rPr>
        <w:noProof/>
      </w:rPr>
      <w:pict w14:anchorId="036F8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82" o:spid="_x0000_s375826" type="#_x0000_t136" style="position:absolute;margin-left:0;margin-top:0;width:461.15pt;height:38.4pt;rotation:315;z-index:-251622400;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312F" w14:textId="7BA9B802" w:rsidR="00F340C3" w:rsidRDefault="00302DB2">
    <w:pPr>
      <w:pStyle w:val="Header"/>
    </w:pPr>
    <w:r>
      <w:rPr>
        <w:noProof/>
      </w:rPr>
      <w:pict w14:anchorId="5F4BD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80" o:spid="_x0000_s375824" type="#_x0000_t136" style="position:absolute;margin-left:0;margin-top:0;width:461.15pt;height:38.4pt;rotation:315;z-index:-251626496;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1964" w14:textId="366CBA0C" w:rsidR="003803C2" w:rsidRDefault="00302DB2" w:rsidP="00750389">
    <w:pPr>
      <w:pStyle w:val="Header"/>
      <w:pBdr>
        <w:bottom w:val="single" w:sz="4" w:space="1" w:color="auto"/>
      </w:pBdr>
    </w:pPr>
    <w:r>
      <w:rPr>
        <w:noProof/>
      </w:rPr>
      <w:pict w14:anchorId="1E622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67" o:spid="_x0000_s375811" type="#_x0000_t136" style="position:absolute;margin-left:0;margin-top:0;width:461.15pt;height:38.4pt;rotation:315;z-index:-251653120;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p w14:paraId="3671FA9A" w14:textId="77777777" w:rsidR="003803C2" w:rsidRDefault="003803C2" w:rsidP="00750389">
    <w:pPr>
      <w:pStyle w:val="Header"/>
      <w:pBdr>
        <w:bottom w:val="single" w:sz="4" w:space="1" w:color="auto"/>
      </w:pBdr>
    </w:pPr>
  </w:p>
  <w:p w14:paraId="4DA7C7BA" w14:textId="77777777" w:rsidR="003803C2" w:rsidRPr="001E77D2" w:rsidRDefault="003803C2" w:rsidP="0075038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77DD" w14:textId="620459CC" w:rsidR="00D00B00" w:rsidRPr="00D00B00" w:rsidRDefault="00302DB2" w:rsidP="00D00B00">
    <w:pPr>
      <w:pStyle w:val="Header"/>
      <w:tabs>
        <w:tab w:val="clear" w:pos="4150"/>
        <w:tab w:val="clear" w:pos="8307"/>
      </w:tabs>
    </w:pPr>
    <w:r>
      <w:rPr>
        <w:noProof/>
      </w:rPr>
      <w:pict w14:anchorId="53258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65" o:spid="_x0000_s375809" type="#_x0000_t136" style="position:absolute;margin-left:0;margin-top:0;width:461.15pt;height:38.4pt;rotation:315;z-index:-251657216;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99EE" w14:textId="621EB508" w:rsidR="003803C2" w:rsidRPr="00ED79B6" w:rsidRDefault="00302DB2" w:rsidP="00B002CC">
    <w:pPr>
      <w:pBdr>
        <w:bottom w:val="single" w:sz="6" w:space="1" w:color="auto"/>
      </w:pBdr>
      <w:spacing w:before="1000" w:after="120" w:line="240" w:lineRule="auto"/>
    </w:pPr>
    <w:r>
      <w:rPr>
        <w:noProof/>
      </w:rPr>
      <w:pict w14:anchorId="471A9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69" o:spid="_x0000_s375813" type="#_x0000_t136" style="position:absolute;margin-left:0;margin-top:0;width:461.15pt;height:38.4pt;rotation:315;z-index:-251649024;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9D31" w14:textId="6983D47E" w:rsidR="003803C2" w:rsidRPr="00ED79B6" w:rsidRDefault="00302DB2" w:rsidP="00B002CC">
    <w:pPr>
      <w:pBdr>
        <w:bottom w:val="single" w:sz="6" w:space="1" w:color="auto"/>
      </w:pBdr>
      <w:spacing w:before="1000" w:after="120" w:line="240" w:lineRule="auto"/>
    </w:pPr>
    <w:r>
      <w:rPr>
        <w:noProof/>
      </w:rPr>
      <w:pict w14:anchorId="6572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0" o:spid="_x0000_s375814" type="#_x0000_t136" style="position:absolute;margin-left:0;margin-top:0;width:461.15pt;height:38.4pt;rotation:315;z-index:-251646976;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AF8F8" w14:textId="4C46FDEE" w:rsidR="003803C2" w:rsidRPr="00ED79B6" w:rsidRDefault="00302DB2" w:rsidP="00B002CC">
    <w:pPr>
      <w:pStyle w:val="Header"/>
      <w:tabs>
        <w:tab w:val="clear" w:pos="4150"/>
        <w:tab w:val="clear" w:pos="8307"/>
      </w:tabs>
    </w:pPr>
    <w:r>
      <w:rPr>
        <w:noProof/>
      </w:rPr>
      <w:pict w14:anchorId="68C0E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68" o:spid="_x0000_s375812" type="#_x0000_t136" style="position:absolute;margin-left:0;margin-top:0;width:461.15pt;height:38.4pt;rotation:315;z-index:-251651072;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72C40" w14:textId="05BCEA0E" w:rsidR="003803C2" w:rsidRPr="00CD3246" w:rsidRDefault="00302DB2" w:rsidP="00B002CC">
    <w:pPr>
      <w:rPr>
        <w:sz w:val="20"/>
      </w:rPr>
    </w:pPr>
    <w:r>
      <w:rPr>
        <w:noProof/>
      </w:rPr>
      <w:pict w14:anchorId="015D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2" o:spid="_x0000_s375816" type="#_x0000_t136" style="position:absolute;margin-left:0;margin-top:0;width:461.15pt;height:38.4pt;rotation:315;z-index:-251642880;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p w14:paraId="617983CA" w14:textId="3BE71ABF" w:rsidR="003803C2" w:rsidRDefault="003803C2" w:rsidP="00B002CC">
    <w:pPr>
      <w:rPr>
        <w:sz w:val="20"/>
      </w:rPr>
    </w:pPr>
    <w:r w:rsidRPr="007A1328">
      <w:rPr>
        <w:b/>
        <w:sz w:val="20"/>
      </w:rPr>
      <w:fldChar w:fldCharType="begin"/>
    </w:r>
    <w:r w:rsidRPr="007A1328">
      <w:rPr>
        <w:b/>
        <w:sz w:val="20"/>
      </w:rPr>
      <w:instrText xml:space="preserve"> STYLEREF CharPartNo </w:instrText>
    </w:r>
    <w:r w:rsidR="00302DB2">
      <w:rPr>
        <w:b/>
        <w:sz w:val="20"/>
      </w:rPr>
      <w:fldChar w:fldCharType="separate"/>
    </w:r>
    <w:r w:rsidR="00302DB2">
      <w:rPr>
        <w:b/>
        <w:noProof/>
        <w:sz w:val="20"/>
      </w:rPr>
      <w:t>Part 18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02DB2">
      <w:rPr>
        <w:sz w:val="20"/>
      </w:rPr>
      <w:fldChar w:fldCharType="separate"/>
    </w:r>
    <w:r w:rsidR="00302DB2">
      <w:rPr>
        <w:noProof/>
        <w:sz w:val="20"/>
      </w:rPr>
      <w:t>Miscellaneous</w:t>
    </w:r>
    <w:r>
      <w:rPr>
        <w:sz w:val="20"/>
      </w:rPr>
      <w:fldChar w:fldCharType="end"/>
    </w:r>
  </w:p>
  <w:p w14:paraId="0DC1D5D8" w14:textId="5EF6A086" w:rsidR="003803C2" w:rsidRPr="007A1328" w:rsidRDefault="003803C2" w:rsidP="00B002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3583CD" w14:textId="77777777" w:rsidR="003803C2" w:rsidRPr="007A1328" w:rsidRDefault="003803C2" w:rsidP="00B002CC">
    <w:pPr>
      <w:rPr>
        <w:b/>
        <w:sz w:val="24"/>
      </w:rPr>
    </w:pPr>
  </w:p>
  <w:p w14:paraId="000E427E" w14:textId="609E6E6A" w:rsidR="003803C2" w:rsidRPr="007A1328" w:rsidRDefault="003803C2" w:rsidP="00D74A7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02DB2">
      <w:rPr>
        <w:noProof/>
        <w:sz w:val="24"/>
      </w:rPr>
      <w:t>249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07F3" w14:textId="78EBF367" w:rsidR="003803C2" w:rsidRDefault="00302DB2" w:rsidP="00B002CC">
    <w:pPr>
      <w:jc w:val="right"/>
      <w:rPr>
        <w:sz w:val="20"/>
      </w:rPr>
    </w:pPr>
    <w:r>
      <w:rPr>
        <w:noProof/>
      </w:rPr>
      <w:pict w14:anchorId="1F180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3" o:spid="_x0000_s375817" type="#_x0000_t136" style="position:absolute;left:0;text-align:left;margin-left:0;margin-top:0;width:461.15pt;height:38.4pt;rotation:315;z-index:-251640832;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p w14:paraId="07D3DBEF" w14:textId="7BAB37F0" w:rsidR="003803C2" w:rsidRPr="00CD3246" w:rsidRDefault="003803C2" w:rsidP="00B002CC">
    <w:pPr>
      <w:jc w:val="right"/>
      <w:rPr>
        <w:b/>
        <w:sz w:val="20"/>
      </w:rPr>
    </w:pPr>
    <w:r w:rsidRPr="007A1328">
      <w:rPr>
        <w:sz w:val="20"/>
      </w:rPr>
      <w:fldChar w:fldCharType="begin"/>
    </w:r>
    <w:r w:rsidRPr="007A1328">
      <w:rPr>
        <w:sz w:val="20"/>
      </w:rPr>
      <w:instrText xml:space="preserve"> STYLEREF CharPartText </w:instrText>
    </w:r>
    <w:r w:rsidR="00302DB2">
      <w:rPr>
        <w:sz w:val="20"/>
      </w:rPr>
      <w:fldChar w:fldCharType="separate"/>
    </w:r>
    <w:r w:rsidR="00302DB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02DB2">
      <w:rPr>
        <w:b/>
        <w:sz w:val="20"/>
      </w:rPr>
      <w:fldChar w:fldCharType="separate"/>
    </w:r>
    <w:r w:rsidR="00302DB2">
      <w:rPr>
        <w:b/>
        <w:noProof/>
        <w:sz w:val="20"/>
      </w:rPr>
      <w:t>Part 18</w:t>
    </w:r>
    <w:r>
      <w:rPr>
        <w:b/>
        <w:sz w:val="20"/>
      </w:rPr>
      <w:fldChar w:fldCharType="end"/>
    </w:r>
  </w:p>
  <w:p w14:paraId="65A90D9A" w14:textId="75512229" w:rsidR="003803C2" w:rsidRPr="007A1328" w:rsidRDefault="003803C2" w:rsidP="00B002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7BCC7A" w14:textId="77777777" w:rsidR="003803C2" w:rsidRPr="007A1328" w:rsidRDefault="003803C2" w:rsidP="00B002CC">
    <w:pPr>
      <w:jc w:val="right"/>
      <w:rPr>
        <w:b/>
        <w:sz w:val="24"/>
      </w:rPr>
    </w:pPr>
  </w:p>
  <w:p w14:paraId="25601DA4" w14:textId="27624A13" w:rsidR="003803C2" w:rsidRPr="007A1328" w:rsidRDefault="003803C2" w:rsidP="00D74A7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02DB2">
      <w:rPr>
        <w:noProof/>
        <w:sz w:val="24"/>
      </w:rPr>
      <w:t>251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DBED" w14:textId="0EB05337" w:rsidR="003803C2" w:rsidRPr="007A1328" w:rsidRDefault="00302DB2" w:rsidP="00B002CC">
    <w:r>
      <w:rPr>
        <w:noProof/>
      </w:rPr>
      <w:pict w14:anchorId="7E4DE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70771" o:spid="_x0000_s375815" type="#_x0000_t136" style="position:absolute;margin-left:0;margin-top:0;width:461.15pt;height:38.4pt;rotation:315;z-index:-251644928;mso-position-horizontal:center;mso-position-horizontal-relative:margin;mso-position-vertical:center;mso-position-vertical-relative:margin" o:allowincell="f" fillcolor="silver" stroked="f">
          <v:fill opacity=".5"/>
          <v:textpath style="font-family:&quot;Times New Roman&quot;;font-size:1pt" string="FUTURE LAW COMPI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2144E"/>
    <w:multiLevelType w:val="hybridMultilevel"/>
    <w:tmpl w:val="F63AB9B8"/>
    <w:lvl w:ilvl="0" w:tplc="4EBC16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8D12DD"/>
    <w:multiLevelType w:val="hybridMultilevel"/>
    <w:tmpl w:val="B694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833B9"/>
    <w:multiLevelType w:val="hybridMultilevel"/>
    <w:tmpl w:val="4E56B4EA"/>
    <w:lvl w:ilvl="0" w:tplc="7D5CAB8C">
      <w:start w:val="1"/>
      <w:numFmt w:val="decimal"/>
      <w:lvlText w:val="%1."/>
      <w:lvlJc w:val="left"/>
      <w:pPr>
        <w:ind w:left="720" w:hanging="360"/>
      </w:pPr>
      <w:rPr>
        <w:rFonts w:ascii="Times New Roman" w:hAnsi="Times New Roman" w:cs="Times New Roman" w:hint="default"/>
        <w:b w:val="0"/>
        <w:color w:val="auto"/>
      </w:rPr>
    </w:lvl>
    <w:lvl w:ilvl="1" w:tplc="0C090001">
      <w:start w:val="1"/>
      <w:numFmt w:val="bullet"/>
      <w:lvlText w:val=""/>
      <w:lvlJc w:val="left"/>
      <w:pPr>
        <w:ind w:left="1440" w:hanging="360"/>
      </w:pPr>
      <w:rPr>
        <w:rFonts w:ascii="Symbol" w:hAnsi="Symbol"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72F72C6"/>
    <w:multiLevelType w:val="hybridMultilevel"/>
    <w:tmpl w:val="E0CC6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A64D3A"/>
    <w:multiLevelType w:val="hybridMultilevel"/>
    <w:tmpl w:val="FAB6CA5A"/>
    <w:lvl w:ilvl="0" w:tplc="E18689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4401CF"/>
    <w:multiLevelType w:val="hybridMultilevel"/>
    <w:tmpl w:val="265E6080"/>
    <w:lvl w:ilvl="0" w:tplc="226A8558">
      <w:start w:val="1"/>
      <w:numFmt w:val="lowerLetter"/>
      <w:lvlText w:val="(%1)"/>
      <w:lvlJc w:val="left"/>
      <w:pPr>
        <w:ind w:left="720" w:hanging="360"/>
      </w:pPr>
      <w:rPr>
        <w:rFonts w:hint="default"/>
        <w:sz w:val="16"/>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4C460F"/>
    <w:multiLevelType w:val="hybridMultilevel"/>
    <w:tmpl w:val="C80AA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DA62A9"/>
    <w:multiLevelType w:val="hybridMultilevel"/>
    <w:tmpl w:val="7A74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35553"/>
    <w:multiLevelType w:val="hybridMultilevel"/>
    <w:tmpl w:val="2654E4D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4D586B0B"/>
    <w:multiLevelType w:val="hybridMultilevel"/>
    <w:tmpl w:val="AFAE2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4A27DD"/>
    <w:multiLevelType w:val="hybridMultilevel"/>
    <w:tmpl w:val="9A4CDB1E"/>
    <w:lvl w:ilvl="0" w:tplc="226A8558">
      <w:start w:val="1"/>
      <w:numFmt w:val="lowerLetter"/>
      <w:lvlText w:val="(%1)"/>
      <w:lvlJc w:val="left"/>
      <w:pPr>
        <w:ind w:left="720" w:hanging="360"/>
      </w:pPr>
      <w:rPr>
        <w:rFonts w:hint="default"/>
        <w:sz w:val="16"/>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B373F4"/>
    <w:multiLevelType w:val="hybridMultilevel"/>
    <w:tmpl w:val="828A4634"/>
    <w:lvl w:ilvl="0" w:tplc="6916E25E">
      <w:start w:val="1"/>
      <w:numFmt w:val="decimal"/>
      <w:lvlText w:val="%1."/>
      <w:lvlJc w:val="left"/>
      <w:pPr>
        <w:ind w:left="720" w:hanging="360"/>
      </w:pPr>
      <w:rPr>
        <w:b w:val="0"/>
      </w:rPr>
    </w:lvl>
    <w:lvl w:ilvl="1" w:tplc="4DB0B5BE">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3B320F"/>
    <w:multiLevelType w:val="hybridMultilevel"/>
    <w:tmpl w:val="4A2A8D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6429560B"/>
    <w:multiLevelType w:val="hybridMultilevel"/>
    <w:tmpl w:val="7902C9F8"/>
    <w:lvl w:ilvl="0" w:tplc="14E86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696B5B"/>
    <w:multiLevelType w:val="hybridMultilevel"/>
    <w:tmpl w:val="F8EE86D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5"/>
  </w:num>
  <w:num w:numId="2">
    <w:abstractNumId w:val="29"/>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3"/>
  </w:num>
  <w:num w:numId="16">
    <w:abstractNumId w:val="12"/>
  </w:num>
  <w:num w:numId="17">
    <w:abstractNumId w:val="11"/>
  </w:num>
  <w:num w:numId="18">
    <w:abstractNumId w:val="18"/>
  </w:num>
  <w:num w:numId="19">
    <w:abstractNumId w:val="20"/>
  </w:num>
  <w:num w:numId="20">
    <w:abstractNumId w:val="15"/>
  </w:num>
  <w:num w:numId="21">
    <w:abstractNumId w:val="22"/>
  </w:num>
  <w:num w:numId="22">
    <w:abstractNumId w:val="17"/>
  </w:num>
  <w:num w:numId="23">
    <w:abstractNumId w:val="16"/>
  </w:num>
  <w:num w:numId="24">
    <w:abstractNumId w:val="28"/>
  </w:num>
  <w:num w:numId="25">
    <w:abstractNumId w:val="24"/>
  </w:num>
  <w:num w:numId="26">
    <w:abstractNumId w:val="10"/>
  </w:num>
  <w:num w:numId="27">
    <w:abstractNumId w:val="26"/>
  </w:num>
  <w:num w:numId="28">
    <w:abstractNumId w:val="13"/>
  </w:num>
  <w:num w:numId="29">
    <w:abstractNumId w:val="30"/>
  </w:num>
  <w:num w:numId="30">
    <w:abstractNumId w:val="27"/>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75827"/>
    <o:shapelayout v:ext="edit">
      <o:idmap v:ext="edit" data="36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90"/>
    <w:rsid w:val="00000AF9"/>
    <w:rsid w:val="00002B6C"/>
    <w:rsid w:val="00003047"/>
    <w:rsid w:val="00003750"/>
    <w:rsid w:val="00005480"/>
    <w:rsid w:val="000054AF"/>
    <w:rsid w:val="00005809"/>
    <w:rsid w:val="00005894"/>
    <w:rsid w:val="00005A51"/>
    <w:rsid w:val="00005BDB"/>
    <w:rsid w:val="0000649C"/>
    <w:rsid w:val="000075F9"/>
    <w:rsid w:val="00011B46"/>
    <w:rsid w:val="00012C9D"/>
    <w:rsid w:val="000143B1"/>
    <w:rsid w:val="00014EF2"/>
    <w:rsid w:val="00015B50"/>
    <w:rsid w:val="000161B2"/>
    <w:rsid w:val="000161B9"/>
    <w:rsid w:val="00016FC8"/>
    <w:rsid w:val="00016FC9"/>
    <w:rsid w:val="00017A82"/>
    <w:rsid w:val="00021F23"/>
    <w:rsid w:val="00022111"/>
    <w:rsid w:val="00022198"/>
    <w:rsid w:val="000222CF"/>
    <w:rsid w:val="0002260F"/>
    <w:rsid w:val="00022889"/>
    <w:rsid w:val="00022A78"/>
    <w:rsid w:val="00023ED5"/>
    <w:rsid w:val="0002400E"/>
    <w:rsid w:val="00025227"/>
    <w:rsid w:val="0002756C"/>
    <w:rsid w:val="00030281"/>
    <w:rsid w:val="00030672"/>
    <w:rsid w:val="000311A0"/>
    <w:rsid w:val="0003172B"/>
    <w:rsid w:val="000318DA"/>
    <w:rsid w:val="0003334A"/>
    <w:rsid w:val="00033446"/>
    <w:rsid w:val="000337BC"/>
    <w:rsid w:val="00035069"/>
    <w:rsid w:val="00035544"/>
    <w:rsid w:val="00037C62"/>
    <w:rsid w:val="00037C7E"/>
    <w:rsid w:val="000422F6"/>
    <w:rsid w:val="00043621"/>
    <w:rsid w:val="000440D2"/>
    <w:rsid w:val="00045442"/>
    <w:rsid w:val="00045498"/>
    <w:rsid w:val="00045953"/>
    <w:rsid w:val="00045B5A"/>
    <w:rsid w:val="0004715C"/>
    <w:rsid w:val="0004787D"/>
    <w:rsid w:val="00051626"/>
    <w:rsid w:val="00051A3C"/>
    <w:rsid w:val="00052FE9"/>
    <w:rsid w:val="00053004"/>
    <w:rsid w:val="00053F0E"/>
    <w:rsid w:val="000548A8"/>
    <w:rsid w:val="0005631A"/>
    <w:rsid w:val="000570D9"/>
    <w:rsid w:val="00057311"/>
    <w:rsid w:val="00062243"/>
    <w:rsid w:val="00062957"/>
    <w:rsid w:val="00062A85"/>
    <w:rsid w:val="000636D7"/>
    <w:rsid w:val="000639B5"/>
    <w:rsid w:val="0006483D"/>
    <w:rsid w:val="00064C94"/>
    <w:rsid w:val="00065045"/>
    <w:rsid w:val="000652CF"/>
    <w:rsid w:val="000666D7"/>
    <w:rsid w:val="000672B0"/>
    <w:rsid w:val="00067599"/>
    <w:rsid w:val="00067A05"/>
    <w:rsid w:val="00067AB9"/>
    <w:rsid w:val="00070EA7"/>
    <w:rsid w:val="00071602"/>
    <w:rsid w:val="00072DA7"/>
    <w:rsid w:val="0007327B"/>
    <w:rsid w:val="00073A42"/>
    <w:rsid w:val="00073F89"/>
    <w:rsid w:val="00074830"/>
    <w:rsid w:val="00074963"/>
    <w:rsid w:val="0007499F"/>
    <w:rsid w:val="00074A71"/>
    <w:rsid w:val="00074B74"/>
    <w:rsid w:val="00076A27"/>
    <w:rsid w:val="00076F33"/>
    <w:rsid w:val="0007738D"/>
    <w:rsid w:val="00077F4B"/>
    <w:rsid w:val="000805F1"/>
    <w:rsid w:val="000806D3"/>
    <w:rsid w:val="00081977"/>
    <w:rsid w:val="000820A1"/>
    <w:rsid w:val="00082190"/>
    <w:rsid w:val="00083468"/>
    <w:rsid w:val="00083A1D"/>
    <w:rsid w:val="00084A76"/>
    <w:rsid w:val="00084B18"/>
    <w:rsid w:val="00091B21"/>
    <w:rsid w:val="00093D51"/>
    <w:rsid w:val="00095BCB"/>
    <w:rsid w:val="00095E4B"/>
    <w:rsid w:val="000960A1"/>
    <w:rsid w:val="00096CC5"/>
    <w:rsid w:val="000A007C"/>
    <w:rsid w:val="000A105B"/>
    <w:rsid w:val="000A18AF"/>
    <w:rsid w:val="000A3147"/>
    <w:rsid w:val="000A4EBE"/>
    <w:rsid w:val="000A59C5"/>
    <w:rsid w:val="000A606C"/>
    <w:rsid w:val="000A74C3"/>
    <w:rsid w:val="000B008A"/>
    <w:rsid w:val="000B0D1A"/>
    <w:rsid w:val="000B110C"/>
    <w:rsid w:val="000B1142"/>
    <w:rsid w:val="000B1902"/>
    <w:rsid w:val="000B3504"/>
    <w:rsid w:val="000B3CE6"/>
    <w:rsid w:val="000B4578"/>
    <w:rsid w:val="000B4839"/>
    <w:rsid w:val="000B49C9"/>
    <w:rsid w:val="000B519D"/>
    <w:rsid w:val="000B603C"/>
    <w:rsid w:val="000B65F6"/>
    <w:rsid w:val="000B71A6"/>
    <w:rsid w:val="000C135F"/>
    <w:rsid w:val="000C19C1"/>
    <w:rsid w:val="000C22EE"/>
    <w:rsid w:val="000C2386"/>
    <w:rsid w:val="000C2EF6"/>
    <w:rsid w:val="000C35B3"/>
    <w:rsid w:val="000C419E"/>
    <w:rsid w:val="000C46E2"/>
    <w:rsid w:val="000C66D0"/>
    <w:rsid w:val="000C6D2C"/>
    <w:rsid w:val="000C6EFC"/>
    <w:rsid w:val="000D0441"/>
    <w:rsid w:val="000D2417"/>
    <w:rsid w:val="000D2482"/>
    <w:rsid w:val="000D4C4A"/>
    <w:rsid w:val="000D4F2C"/>
    <w:rsid w:val="000D5210"/>
    <w:rsid w:val="000D59C1"/>
    <w:rsid w:val="000D6629"/>
    <w:rsid w:val="000D693A"/>
    <w:rsid w:val="000D6CDC"/>
    <w:rsid w:val="000D6D75"/>
    <w:rsid w:val="000D6FE2"/>
    <w:rsid w:val="000D74BC"/>
    <w:rsid w:val="000E0575"/>
    <w:rsid w:val="000E0B0C"/>
    <w:rsid w:val="000E0E4F"/>
    <w:rsid w:val="000E1426"/>
    <w:rsid w:val="000E1888"/>
    <w:rsid w:val="000E1B1A"/>
    <w:rsid w:val="000E5393"/>
    <w:rsid w:val="000E677B"/>
    <w:rsid w:val="000E6820"/>
    <w:rsid w:val="000E7DE9"/>
    <w:rsid w:val="000E7E93"/>
    <w:rsid w:val="000F021C"/>
    <w:rsid w:val="000F07E1"/>
    <w:rsid w:val="000F2A4F"/>
    <w:rsid w:val="000F3D75"/>
    <w:rsid w:val="000F5728"/>
    <w:rsid w:val="000F5956"/>
    <w:rsid w:val="000F61BB"/>
    <w:rsid w:val="000F6899"/>
    <w:rsid w:val="000F784A"/>
    <w:rsid w:val="000F7D74"/>
    <w:rsid w:val="0010030D"/>
    <w:rsid w:val="00100356"/>
    <w:rsid w:val="00100AEE"/>
    <w:rsid w:val="0010297C"/>
    <w:rsid w:val="00104389"/>
    <w:rsid w:val="001044E7"/>
    <w:rsid w:val="00105589"/>
    <w:rsid w:val="00105E63"/>
    <w:rsid w:val="00106320"/>
    <w:rsid w:val="0010689A"/>
    <w:rsid w:val="00106F78"/>
    <w:rsid w:val="00110E58"/>
    <w:rsid w:val="00111F53"/>
    <w:rsid w:val="0011278A"/>
    <w:rsid w:val="00112DE7"/>
    <w:rsid w:val="0011424D"/>
    <w:rsid w:val="00114C28"/>
    <w:rsid w:val="00114E43"/>
    <w:rsid w:val="00114F97"/>
    <w:rsid w:val="00115606"/>
    <w:rsid w:val="00115C16"/>
    <w:rsid w:val="00115C19"/>
    <w:rsid w:val="00116C6B"/>
    <w:rsid w:val="0012000F"/>
    <w:rsid w:val="00120057"/>
    <w:rsid w:val="00122F75"/>
    <w:rsid w:val="00123189"/>
    <w:rsid w:val="0012356A"/>
    <w:rsid w:val="00123DFE"/>
    <w:rsid w:val="001241CE"/>
    <w:rsid w:val="00125D3C"/>
    <w:rsid w:val="001309EF"/>
    <w:rsid w:val="0013120B"/>
    <w:rsid w:val="001313D0"/>
    <w:rsid w:val="001320B1"/>
    <w:rsid w:val="001327CA"/>
    <w:rsid w:val="00134118"/>
    <w:rsid w:val="00136059"/>
    <w:rsid w:val="001363E5"/>
    <w:rsid w:val="00137A2C"/>
    <w:rsid w:val="00140671"/>
    <w:rsid w:val="0014372E"/>
    <w:rsid w:val="00143C50"/>
    <w:rsid w:val="00143E8B"/>
    <w:rsid w:val="001451C9"/>
    <w:rsid w:val="00145E66"/>
    <w:rsid w:val="00147378"/>
    <w:rsid w:val="0014751D"/>
    <w:rsid w:val="0014772E"/>
    <w:rsid w:val="00147F95"/>
    <w:rsid w:val="001510A5"/>
    <w:rsid w:val="0015437F"/>
    <w:rsid w:val="001546C3"/>
    <w:rsid w:val="00154E96"/>
    <w:rsid w:val="001563FC"/>
    <w:rsid w:val="001571AB"/>
    <w:rsid w:val="00160F8E"/>
    <w:rsid w:val="00161938"/>
    <w:rsid w:val="00164678"/>
    <w:rsid w:val="0016480F"/>
    <w:rsid w:val="001662E3"/>
    <w:rsid w:val="00167121"/>
    <w:rsid w:val="0016725B"/>
    <w:rsid w:val="001674C5"/>
    <w:rsid w:val="00167C59"/>
    <w:rsid w:val="0017144D"/>
    <w:rsid w:val="00171A6A"/>
    <w:rsid w:val="00172C04"/>
    <w:rsid w:val="00174346"/>
    <w:rsid w:val="00175475"/>
    <w:rsid w:val="00175E36"/>
    <w:rsid w:val="0017660D"/>
    <w:rsid w:val="00176BEE"/>
    <w:rsid w:val="001770AF"/>
    <w:rsid w:val="00180EEA"/>
    <w:rsid w:val="00180F98"/>
    <w:rsid w:val="001813B6"/>
    <w:rsid w:val="001815CE"/>
    <w:rsid w:val="00181F84"/>
    <w:rsid w:val="00182BC0"/>
    <w:rsid w:val="00182E26"/>
    <w:rsid w:val="00184253"/>
    <w:rsid w:val="001842D3"/>
    <w:rsid w:val="00184373"/>
    <w:rsid w:val="0018485B"/>
    <w:rsid w:val="00184C5F"/>
    <w:rsid w:val="0018555D"/>
    <w:rsid w:val="00186B81"/>
    <w:rsid w:val="00187744"/>
    <w:rsid w:val="001879AF"/>
    <w:rsid w:val="00187C0B"/>
    <w:rsid w:val="0019127A"/>
    <w:rsid w:val="00192C42"/>
    <w:rsid w:val="00193002"/>
    <w:rsid w:val="00197440"/>
    <w:rsid w:val="001A02B6"/>
    <w:rsid w:val="001A05A5"/>
    <w:rsid w:val="001A078B"/>
    <w:rsid w:val="001A0826"/>
    <w:rsid w:val="001A421B"/>
    <w:rsid w:val="001A54EF"/>
    <w:rsid w:val="001A55B1"/>
    <w:rsid w:val="001A64A5"/>
    <w:rsid w:val="001A7256"/>
    <w:rsid w:val="001A7A7A"/>
    <w:rsid w:val="001A7F90"/>
    <w:rsid w:val="001B1DB4"/>
    <w:rsid w:val="001B3358"/>
    <w:rsid w:val="001B3C51"/>
    <w:rsid w:val="001B4C43"/>
    <w:rsid w:val="001B4F5B"/>
    <w:rsid w:val="001B5639"/>
    <w:rsid w:val="001B5915"/>
    <w:rsid w:val="001B5D8B"/>
    <w:rsid w:val="001B65EB"/>
    <w:rsid w:val="001B6D98"/>
    <w:rsid w:val="001B7B47"/>
    <w:rsid w:val="001C0ED9"/>
    <w:rsid w:val="001C2349"/>
    <w:rsid w:val="001C2838"/>
    <w:rsid w:val="001C2A6A"/>
    <w:rsid w:val="001C2A88"/>
    <w:rsid w:val="001C2C32"/>
    <w:rsid w:val="001C4790"/>
    <w:rsid w:val="001C5A6B"/>
    <w:rsid w:val="001C6125"/>
    <w:rsid w:val="001C6C4B"/>
    <w:rsid w:val="001C6D21"/>
    <w:rsid w:val="001C7C9A"/>
    <w:rsid w:val="001D14B0"/>
    <w:rsid w:val="001D27B7"/>
    <w:rsid w:val="001D37BD"/>
    <w:rsid w:val="001D42C1"/>
    <w:rsid w:val="001D4A9A"/>
    <w:rsid w:val="001D4DA3"/>
    <w:rsid w:val="001D4F8B"/>
    <w:rsid w:val="001D5F69"/>
    <w:rsid w:val="001D6A50"/>
    <w:rsid w:val="001D73BD"/>
    <w:rsid w:val="001D75AC"/>
    <w:rsid w:val="001D7F70"/>
    <w:rsid w:val="001E12D3"/>
    <w:rsid w:val="001E14E0"/>
    <w:rsid w:val="001E380A"/>
    <w:rsid w:val="001E59AD"/>
    <w:rsid w:val="001E615E"/>
    <w:rsid w:val="001E61D1"/>
    <w:rsid w:val="001E656A"/>
    <w:rsid w:val="001E6B62"/>
    <w:rsid w:val="001E6E5A"/>
    <w:rsid w:val="001E76E4"/>
    <w:rsid w:val="001E7C1D"/>
    <w:rsid w:val="001E7DEE"/>
    <w:rsid w:val="001F0DB9"/>
    <w:rsid w:val="001F140F"/>
    <w:rsid w:val="001F2742"/>
    <w:rsid w:val="001F28FD"/>
    <w:rsid w:val="001F2EF0"/>
    <w:rsid w:val="001F3A8E"/>
    <w:rsid w:val="001F4629"/>
    <w:rsid w:val="001F5156"/>
    <w:rsid w:val="001F582E"/>
    <w:rsid w:val="001F63E9"/>
    <w:rsid w:val="001F7920"/>
    <w:rsid w:val="00200DFC"/>
    <w:rsid w:val="002012C4"/>
    <w:rsid w:val="002017F1"/>
    <w:rsid w:val="0020183B"/>
    <w:rsid w:val="0020310F"/>
    <w:rsid w:val="002034BA"/>
    <w:rsid w:val="002035AA"/>
    <w:rsid w:val="00203858"/>
    <w:rsid w:val="002040B3"/>
    <w:rsid w:val="00204385"/>
    <w:rsid w:val="00204BEB"/>
    <w:rsid w:val="00205D31"/>
    <w:rsid w:val="00207AD8"/>
    <w:rsid w:val="00210553"/>
    <w:rsid w:val="002113F2"/>
    <w:rsid w:val="0021211A"/>
    <w:rsid w:val="0021297F"/>
    <w:rsid w:val="002132BE"/>
    <w:rsid w:val="00213B2A"/>
    <w:rsid w:val="00213F8F"/>
    <w:rsid w:val="0021421F"/>
    <w:rsid w:val="0021440A"/>
    <w:rsid w:val="002162F5"/>
    <w:rsid w:val="00216ABD"/>
    <w:rsid w:val="00216B31"/>
    <w:rsid w:val="00216F86"/>
    <w:rsid w:val="00217A85"/>
    <w:rsid w:val="00220DFA"/>
    <w:rsid w:val="00222118"/>
    <w:rsid w:val="00222440"/>
    <w:rsid w:val="00222E86"/>
    <w:rsid w:val="00223F44"/>
    <w:rsid w:val="00224BCA"/>
    <w:rsid w:val="00225118"/>
    <w:rsid w:val="00225BEB"/>
    <w:rsid w:val="00230F77"/>
    <w:rsid w:val="00231766"/>
    <w:rsid w:val="00231D54"/>
    <w:rsid w:val="00233B13"/>
    <w:rsid w:val="00233E44"/>
    <w:rsid w:val="00235BAF"/>
    <w:rsid w:val="00235CB9"/>
    <w:rsid w:val="00235F92"/>
    <w:rsid w:val="00236C0B"/>
    <w:rsid w:val="00240059"/>
    <w:rsid w:val="002402AA"/>
    <w:rsid w:val="00240E6D"/>
    <w:rsid w:val="00241388"/>
    <w:rsid w:val="0024169A"/>
    <w:rsid w:val="00241EF5"/>
    <w:rsid w:val="002424BB"/>
    <w:rsid w:val="0024257E"/>
    <w:rsid w:val="00242C10"/>
    <w:rsid w:val="00245105"/>
    <w:rsid w:val="00245247"/>
    <w:rsid w:val="00245F88"/>
    <w:rsid w:val="0024693A"/>
    <w:rsid w:val="00246DB4"/>
    <w:rsid w:val="002477BE"/>
    <w:rsid w:val="002479D8"/>
    <w:rsid w:val="002505D8"/>
    <w:rsid w:val="00250C0B"/>
    <w:rsid w:val="00251305"/>
    <w:rsid w:val="00252231"/>
    <w:rsid w:val="002529E2"/>
    <w:rsid w:val="00252B97"/>
    <w:rsid w:val="00252E5E"/>
    <w:rsid w:val="00254BA6"/>
    <w:rsid w:val="002569E3"/>
    <w:rsid w:val="00257594"/>
    <w:rsid w:val="00257F04"/>
    <w:rsid w:val="00260988"/>
    <w:rsid w:val="00260BBC"/>
    <w:rsid w:val="00261CB4"/>
    <w:rsid w:val="00263CBA"/>
    <w:rsid w:val="00263ED1"/>
    <w:rsid w:val="00264196"/>
    <w:rsid w:val="00264B0B"/>
    <w:rsid w:val="00266167"/>
    <w:rsid w:val="0026734B"/>
    <w:rsid w:val="00271F52"/>
    <w:rsid w:val="0027234E"/>
    <w:rsid w:val="00272680"/>
    <w:rsid w:val="002739F8"/>
    <w:rsid w:val="00275F53"/>
    <w:rsid w:val="002763FB"/>
    <w:rsid w:val="002764BE"/>
    <w:rsid w:val="00277920"/>
    <w:rsid w:val="0027794D"/>
    <w:rsid w:val="00277CE0"/>
    <w:rsid w:val="00280A20"/>
    <w:rsid w:val="0028241C"/>
    <w:rsid w:val="00282923"/>
    <w:rsid w:val="00282C16"/>
    <w:rsid w:val="002838CD"/>
    <w:rsid w:val="00283B26"/>
    <w:rsid w:val="00283DE3"/>
    <w:rsid w:val="0028439E"/>
    <w:rsid w:val="002850C6"/>
    <w:rsid w:val="00285839"/>
    <w:rsid w:val="002864D9"/>
    <w:rsid w:val="0028674C"/>
    <w:rsid w:val="0029139F"/>
    <w:rsid w:val="00292393"/>
    <w:rsid w:val="00292747"/>
    <w:rsid w:val="00295328"/>
    <w:rsid w:val="00295821"/>
    <w:rsid w:val="0029650A"/>
    <w:rsid w:val="002965E6"/>
    <w:rsid w:val="0029681D"/>
    <w:rsid w:val="00296C5F"/>
    <w:rsid w:val="0029714E"/>
    <w:rsid w:val="0029736B"/>
    <w:rsid w:val="0029755D"/>
    <w:rsid w:val="002A01CE"/>
    <w:rsid w:val="002A1AC2"/>
    <w:rsid w:val="002A32CC"/>
    <w:rsid w:val="002A427B"/>
    <w:rsid w:val="002A57F2"/>
    <w:rsid w:val="002A639D"/>
    <w:rsid w:val="002A715B"/>
    <w:rsid w:val="002B01E6"/>
    <w:rsid w:val="002B032A"/>
    <w:rsid w:val="002B06CE"/>
    <w:rsid w:val="002B0BFA"/>
    <w:rsid w:val="002B0FF3"/>
    <w:rsid w:val="002B1A64"/>
    <w:rsid w:val="002B1A7A"/>
    <w:rsid w:val="002B1D80"/>
    <w:rsid w:val="002B259B"/>
    <w:rsid w:val="002B261B"/>
    <w:rsid w:val="002B27A6"/>
    <w:rsid w:val="002B2C95"/>
    <w:rsid w:val="002B3357"/>
    <w:rsid w:val="002B35E8"/>
    <w:rsid w:val="002B4AED"/>
    <w:rsid w:val="002B5C18"/>
    <w:rsid w:val="002B6EB3"/>
    <w:rsid w:val="002B7F36"/>
    <w:rsid w:val="002C0124"/>
    <w:rsid w:val="002C0AEF"/>
    <w:rsid w:val="002C1E30"/>
    <w:rsid w:val="002C217E"/>
    <w:rsid w:val="002C366B"/>
    <w:rsid w:val="002C374B"/>
    <w:rsid w:val="002C455C"/>
    <w:rsid w:val="002C60B9"/>
    <w:rsid w:val="002D0554"/>
    <w:rsid w:val="002D098D"/>
    <w:rsid w:val="002D37E6"/>
    <w:rsid w:val="002D42DA"/>
    <w:rsid w:val="002D480A"/>
    <w:rsid w:val="002D76EF"/>
    <w:rsid w:val="002D7A2F"/>
    <w:rsid w:val="002D7B67"/>
    <w:rsid w:val="002E1124"/>
    <w:rsid w:val="002E130C"/>
    <w:rsid w:val="002E37CC"/>
    <w:rsid w:val="002E3B77"/>
    <w:rsid w:val="002E4124"/>
    <w:rsid w:val="002E4B4F"/>
    <w:rsid w:val="002E4CB6"/>
    <w:rsid w:val="002E4EF4"/>
    <w:rsid w:val="002E6351"/>
    <w:rsid w:val="002E70CE"/>
    <w:rsid w:val="002F05B0"/>
    <w:rsid w:val="002F18ED"/>
    <w:rsid w:val="002F1953"/>
    <w:rsid w:val="002F1F1F"/>
    <w:rsid w:val="002F22DB"/>
    <w:rsid w:val="002F3747"/>
    <w:rsid w:val="002F3FA8"/>
    <w:rsid w:val="002F4208"/>
    <w:rsid w:val="002F4633"/>
    <w:rsid w:val="002F4B2C"/>
    <w:rsid w:val="002F57FC"/>
    <w:rsid w:val="002F5B83"/>
    <w:rsid w:val="002F6ABC"/>
    <w:rsid w:val="002F708C"/>
    <w:rsid w:val="00300149"/>
    <w:rsid w:val="00300710"/>
    <w:rsid w:val="00300D38"/>
    <w:rsid w:val="0030116B"/>
    <w:rsid w:val="003018AB"/>
    <w:rsid w:val="00302B19"/>
    <w:rsid w:val="00302DB2"/>
    <w:rsid w:val="0030348B"/>
    <w:rsid w:val="00303E73"/>
    <w:rsid w:val="003061E2"/>
    <w:rsid w:val="00306A4D"/>
    <w:rsid w:val="00306C24"/>
    <w:rsid w:val="00307130"/>
    <w:rsid w:val="00307629"/>
    <w:rsid w:val="00307E43"/>
    <w:rsid w:val="0031020A"/>
    <w:rsid w:val="003135F3"/>
    <w:rsid w:val="00313EBE"/>
    <w:rsid w:val="00314293"/>
    <w:rsid w:val="003149DD"/>
    <w:rsid w:val="003158E8"/>
    <w:rsid w:val="00316379"/>
    <w:rsid w:val="00316FC1"/>
    <w:rsid w:val="0031754D"/>
    <w:rsid w:val="003209EC"/>
    <w:rsid w:val="00322C84"/>
    <w:rsid w:val="00324D3F"/>
    <w:rsid w:val="00325D6F"/>
    <w:rsid w:val="00325F88"/>
    <w:rsid w:val="00327646"/>
    <w:rsid w:val="00331254"/>
    <w:rsid w:val="003320CF"/>
    <w:rsid w:val="00333B2C"/>
    <w:rsid w:val="003349A6"/>
    <w:rsid w:val="003362E2"/>
    <w:rsid w:val="00336A65"/>
    <w:rsid w:val="00337277"/>
    <w:rsid w:val="0033793F"/>
    <w:rsid w:val="003405F7"/>
    <w:rsid w:val="003415AA"/>
    <w:rsid w:val="003416EE"/>
    <w:rsid w:val="00341ACF"/>
    <w:rsid w:val="00342F15"/>
    <w:rsid w:val="00347F4C"/>
    <w:rsid w:val="0035217D"/>
    <w:rsid w:val="003521BE"/>
    <w:rsid w:val="0035275F"/>
    <w:rsid w:val="00352E31"/>
    <w:rsid w:val="00354122"/>
    <w:rsid w:val="003551C9"/>
    <w:rsid w:val="0035748F"/>
    <w:rsid w:val="00357D52"/>
    <w:rsid w:val="00360C51"/>
    <w:rsid w:val="003611F0"/>
    <w:rsid w:val="00361937"/>
    <w:rsid w:val="003641AE"/>
    <w:rsid w:val="00364AE5"/>
    <w:rsid w:val="00364E0F"/>
    <w:rsid w:val="00365D31"/>
    <w:rsid w:val="00366921"/>
    <w:rsid w:val="003701EB"/>
    <w:rsid w:val="003707C4"/>
    <w:rsid w:val="00372345"/>
    <w:rsid w:val="00372890"/>
    <w:rsid w:val="00372A82"/>
    <w:rsid w:val="00374DAD"/>
    <w:rsid w:val="00375184"/>
    <w:rsid w:val="003751C5"/>
    <w:rsid w:val="0037540F"/>
    <w:rsid w:val="003756DA"/>
    <w:rsid w:val="003765DC"/>
    <w:rsid w:val="00377A23"/>
    <w:rsid w:val="003803B2"/>
    <w:rsid w:val="003803C2"/>
    <w:rsid w:val="00380E07"/>
    <w:rsid w:val="00381024"/>
    <w:rsid w:val="003811F9"/>
    <w:rsid w:val="00381AB0"/>
    <w:rsid w:val="00381D57"/>
    <w:rsid w:val="003823A8"/>
    <w:rsid w:val="00382571"/>
    <w:rsid w:val="00382B96"/>
    <w:rsid w:val="00383786"/>
    <w:rsid w:val="00384CB7"/>
    <w:rsid w:val="00385FC9"/>
    <w:rsid w:val="00386CB5"/>
    <w:rsid w:val="00386E9B"/>
    <w:rsid w:val="00387132"/>
    <w:rsid w:val="00390463"/>
    <w:rsid w:val="00390EF1"/>
    <w:rsid w:val="00390FD2"/>
    <w:rsid w:val="003923F3"/>
    <w:rsid w:val="003930D9"/>
    <w:rsid w:val="00393E03"/>
    <w:rsid w:val="0039692C"/>
    <w:rsid w:val="003970EE"/>
    <w:rsid w:val="00397A24"/>
    <w:rsid w:val="00397BD4"/>
    <w:rsid w:val="003A02C3"/>
    <w:rsid w:val="003A13F4"/>
    <w:rsid w:val="003A1CF1"/>
    <w:rsid w:val="003A361C"/>
    <w:rsid w:val="003A364D"/>
    <w:rsid w:val="003A3C58"/>
    <w:rsid w:val="003A4A48"/>
    <w:rsid w:val="003A4F4B"/>
    <w:rsid w:val="003A603B"/>
    <w:rsid w:val="003A63C3"/>
    <w:rsid w:val="003B034F"/>
    <w:rsid w:val="003B0956"/>
    <w:rsid w:val="003B496B"/>
    <w:rsid w:val="003B5A08"/>
    <w:rsid w:val="003B73F7"/>
    <w:rsid w:val="003B743B"/>
    <w:rsid w:val="003B7E15"/>
    <w:rsid w:val="003C0F8F"/>
    <w:rsid w:val="003C15FD"/>
    <w:rsid w:val="003C3695"/>
    <w:rsid w:val="003C4447"/>
    <w:rsid w:val="003C5BDD"/>
    <w:rsid w:val="003C6DB4"/>
    <w:rsid w:val="003C6E61"/>
    <w:rsid w:val="003C75B2"/>
    <w:rsid w:val="003C77C7"/>
    <w:rsid w:val="003D075E"/>
    <w:rsid w:val="003D0BE7"/>
    <w:rsid w:val="003D3931"/>
    <w:rsid w:val="003D3C28"/>
    <w:rsid w:val="003D40A0"/>
    <w:rsid w:val="003D4689"/>
    <w:rsid w:val="003D46AF"/>
    <w:rsid w:val="003D57C8"/>
    <w:rsid w:val="003D65A7"/>
    <w:rsid w:val="003D6929"/>
    <w:rsid w:val="003D7A99"/>
    <w:rsid w:val="003E0332"/>
    <w:rsid w:val="003E06C6"/>
    <w:rsid w:val="003E13CD"/>
    <w:rsid w:val="003E1978"/>
    <w:rsid w:val="003E1DE8"/>
    <w:rsid w:val="003E22B4"/>
    <w:rsid w:val="003E37C9"/>
    <w:rsid w:val="003E400B"/>
    <w:rsid w:val="003E49F9"/>
    <w:rsid w:val="003E53AC"/>
    <w:rsid w:val="003E542A"/>
    <w:rsid w:val="003E552A"/>
    <w:rsid w:val="003E6B2F"/>
    <w:rsid w:val="003E6B66"/>
    <w:rsid w:val="003E6F7F"/>
    <w:rsid w:val="003E7473"/>
    <w:rsid w:val="003F1C43"/>
    <w:rsid w:val="003F1DD1"/>
    <w:rsid w:val="003F23C7"/>
    <w:rsid w:val="003F2480"/>
    <w:rsid w:val="003F3192"/>
    <w:rsid w:val="003F3CBD"/>
    <w:rsid w:val="003F448A"/>
    <w:rsid w:val="003F5418"/>
    <w:rsid w:val="003F6178"/>
    <w:rsid w:val="003F702A"/>
    <w:rsid w:val="003F7278"/>
    <w:rsid w:val="003F751E"/>
    <w:rsid w:val="003F7C32"/>
    <w:rsid w:val="003F7D5A"/>
    <w:rsid w:val="004002D2"/>
    <w:rsid w:val="00400673"/>
    <w:rsid w:val="00400872"/>
    <w:rsid w:val="0040253B"/>
    <w:rsid w:val="00402EC6"/>
    <w:rsid w:val="00403806"/>
    <w:rsid w:val="0040409A"/>
    <w:rsid w:val="004044F0"/>
    <w:rsid w:val="00406BD5"/>
    <w:rsid w:val="00406C66"/>
    <w:rsid w:val="00406E16"/>
    <w:rsid w:val="00407B1C"/>
    <w:rsid w:val="00410586"/>
    <w:rsid w:val="00410CC3"/>
    <w:rsid w:val="00412640"/>
    <w:rsid w:val="004137C8"/>
    <w:rsid w:val="004137F5"/>
    <w:rsid w:val="00413FD5"/>
    <w:rsid w:val="0041570D"/>
    <w:rsid w:val="00415961"/>
    <w:rsid w:val="0041718D"/>
    <w:rsid w:val="004179CC"/>
    <w:rsid w:val="0042038C"/>
    <w:rsid w:val="0042081B"/>
    <w:rsid w:val="00420E48"/>
    <w:rsid w:val="00421682"/>
    <w:rsid w:val="0042263A"/>
    <w:rsid w:val="00424C3B"/>
    <w:rsid w:val="004250A0"/>
    <w:rsid w:val="00426AB2"/>
    <w:rsid w:val="004275D1"/>
    <w:rsid w:val="00427709"/>
    <w:rsid w:val="00427A39"/>
    <w:rsid w:val="00427FF0"/>
    <w:rsid w:val="00430517"/>
    <w:rsid w:val="00432124"/>
    <w:rsid w:val="00432AAA"/>
    <w:rsid w:val="00432EC7"/>
    <w:rsid w:val="00432EF1"/>
    <w:rsid w:val="00433A4C"/>
    <w:rsid w:val="0043498E"/>
    <w:rsid w:val="00434DB2"/>
    <w:rsid w:val="00434FD8"/>
    <w:rsid w:val="0043508D"/>
    <w:rsid w:val="00435653"/>
    <w:rsid w:val="00435E0A"/>
    <w:rsid w:val="00435E70"/>
    <w:rsid w:val="00435F5C"/>
    <w:rsid w:val="004373A7"/>
    <w:rsid w:val="004406A6"/>
    <w:rsid w:val="004408FC"/>
    <w:rsid w:val="00440A1A"/>
    <w:rsid w:val="004413B3"/>
    <w:rsid w:val="00441967"/>
    <w:rsid w:val="0044237A"/>
    <w:rsid w:val="00442C88"/>
    <w:rsid w:val="00442D91"/>
    <w:rsid w:val="00446004"/>
    <w:rsid w:val="0044604F"/>
    <w:rsid w:val="00446BD3"/>
    <w:rsid w:val="0044752C"/>
    <w:rsid w:val="0045115E"/>
    <w:rsid w:val="0045232B"/>
    <w:rsid w:val="004537F1"/>
    <w:rsid w:val="0045410D"/>
    <w:rsid w:val="00454431"/>
    <w:rsid w:val="004544E8"/>
    <w:rsid w:val="00455354"/>
    <w:rsid w:val="0045646B"/>
    <w:rsid w:val="004564B7"/>
    <w:rsid w:val="00456E9E"/>
    <w:rsid w:val="0045713E"/>
    <w:rsid w:val="00457D5F"/>
    <w:rsid w:val="00460FCB"/>
    <w:rsid w:val="0046102E"/>
    <w:rsid w:val="004614F5"/>
    <w:rsid w:val="00461AB8"/>
    <w:rsid w:val="00461DE8"/>
    <w:rsid w:val="00462D57"/>
    <w:rsid w:val="004651C6"/>
    <w:rsid w:val="00465D12"/>
    <w:rsid w:val="00467E9F"/>
    <w:rsid w:val="004707F0"/>
    <w:rsid w:val="00470DDD"/>
    <w:rsid w:val="00470F6F"/>
    <w:rsid w:val="00472ACF"/>
    <w:rsid w:val="00472B04"/>
    <w:rsid w:val="00472BC4"/>
    <w:rsid w:val="00473345"/>
    <w:rsid w:val="00474986"/>
    <w:rsid w:val="00474D69"/>
    <w:rsid w:val="00477F60"/>
    <w:rsid w:val="004803BC"/>
    <w:rsid w:val="0048109A"/>
    <w:rsid w:val="0048156A"/>
    <w:rsid w:val="004824AE"/>
    <w:rsid w:val="0048300A"/>
    <w:rsid w:val="00483036"/>
    <w:rsid w:val="0048308E"/>
    <w:rsid w:val="0048400E"/>
    <w:rsid w:val="00484CAC"/>
    <w:rsid w:val="004863AA"/>
    <w:rsid w:val="004867A6"/>
    <w:rsid w:val="0049002F"/>
    <w:rsid w:val="00490DCC"/>
    <w:rsid w:val="004918A6"/>
    <w:rsid w:val="00491A3C"/>
    <w:rsid w:val="00491CA9"/>
    <w:rsid w:val="00492965"/>
    <w:rsid w:val="00492BF8"/>
    <w:rsid w:val="00493673"/>
    <w:rsid w:val="00493822"/>
    <w:rsid w:val="004939FE"/>
    <w:rsid w:val="0049404C"/>
    <w:rsid w:val="004946DD"/>
    <w:rsid w:val="00494C96"/>
    <w:rsid w:val="0049595A"/>
    <w:rsid w:val="004A057D"/>
    <w:rsid w:val="004A088A"/>
    <w:rsid w:val="004A247D"/>
    <w:rsid w:val="004A282A"/>
    <w:rsid w:val="004A3492"/>
    <w:rsid w:val="004A3EA8"/>
    <w:rsid w:val="004A4A58"/>
    <w:rsid w:val="004A633A"/>
    <w:rsid w:val="004A671B"/>
    <w:rsid w:val="004B15A8"/>
    <w:rsid w:val="004B1D10"/>
    <w:rsid w:val="004B24AF"/>
    <w:rsid w:val="004B3324"/>
    <w:rsid w:val="004B6C94"/>
    <w:rsid w:val="004C16E1"/>
    <w:rsid w:val="004C1FB2"/>
    <w:rsid w:val="004C2DD1"/>
    <w:rsid w:val="004C354F"/>
    <w:rsid w:val="004C4D0B"/>
    <w:rsid w:val="004C6A6A"/>
    <w:rsid w:val="004C6D6F"/>
    <w:rsid w:val="004C7868"/>
    <w:rsid w:val="004C78F0"/>
    <w:rsid w:val="004D005A"/>
    <w:rsid w:val="004D01DF"/>
    <w:rsid w:val="004D0934"/>
    <w:rsid w:val="004D18E0"/>
    <w:rsid w:val="004D20EA"/>
    <w:rsid w:val="004D277B"/>
    <w:rsid w:val="004D2BCD"/>
    <w:rsid w:val="004D3630"/>
    <w:rsid w:val="004D37C3"/>
    <w:rsid w:val="004D4712"/>
    <w:rsid w:val="004D479F"/>
    <w:rsid w:val="004D4B98"/>
    <w:rsid w:val="004D5F48"/>
    <w:rsid w:val="004D625F"/>
    <w:rsid w:val="004D7C9E"/>
    <w:rsid w:val="004D7DC7"/>
    <w:rsid w:val="004E02D7"/>
    <w:rsid w:val="004E094B"/>
    <w:rsid w:val="004E2014"/>
    <w:rsid w:val="004E3EE7"/>
    <w:rsid w:val="004E3F00"/>
    <w:rsid w:val="004E3FF3"/>
    <w:rsid w:val="004E43AD"/>
    <w:rsid w:val="004E47E3"/>
    <w:rsid w:val="004E7B83"/>
    <w:rsid w:val="004F012B"/>
    <w:rsid w:val="004F1B85"/>
    <w:rsid w:val="004F2B0D"/>
    <w:rsid w:val="004F3630"/>
    <w:rsid w:val="004F3873"/>
    <w:rsid w:val="004F3A80"/>
    <w:rsid w:val="004F4012"/>
    <w:rsid w:val="004F40A7"/>
    <w:rsid w:val="004F53AD"/>
    <w:rsid w:val="004F5B0B"/>
    <w:rsid w:val="004F64A4"/>
    <w:rsid w:val="004F7109"/>
    <w:rsid w:val="0050017A"/>
    <w:rsid w:val="00501D57"/>
    <w:rsid w:val="00501F96"/>
    <w:rsid w:val="005033A3"/>
    <w:rsid w:val="00503747"/>
    <w:rsid w:val="005059EA"/>
    <w:rsid w:val="00506B92"/>
    <w:rsid w:val="0051043A"/>
    <w:rsid w:val="00512768"/>
    <w:rsid w:val="0051354E"/>
    <w:rsid w:val="00514EE6"/>
    <w:rsid w:val="00517CBA"/>
    <w:rsid w:val="0052062A"/>
    <w:rsid w:val="00520C0E"/>
    <w:rsid w:val="00520EDD"/>
    <w:rsid w:val="00521B13"/>
    <w:rsid w:val="00522DD5"/>
    <w:rsid w:val="00522E7E"/>
    <w:rsid w:val="00522F9A"/>
    <w:rsid w:val="005236A3"/>
    <w:rsid w:val="00523A2A"/>
    <w:rsid w:val="005246B0"/>
    <w:rsid w:val="0052622A"/>
    <w:rsid w:val="005267A3"/>
    <w:rsid w:val="00527550"/>
    <w:rsid w:val="00527932"/>
    <w:rsid w:val="00530830"/>
    <w:rsid w:val="00531E08"/>
    <w:rsid w:val="00532BFF"/>
    <w:rsid w:val="00533CAE"/>
    <w:rsid w:val="00534121"/>
    <w:rsid w:val="00534E5D"/>
    <w:rsid w:val="00535A57"/>
    <w:rsid w:val="00535A84"/>
    <w:rsid w:val="005363D5"/>
    <w:rsid w:val="005407EA"/>
    <w:rsid w:val="00541120"/>
    <w:rsid w:val="0054156C"/>
    <w:rsid w:val="005419E2"/>
    <w:rsid w:val="00541B0D"/>
    <w:rsid w:val="0054211F"/>
    <w:rsid w:val="00542D17"/>
    <w:rsid w:val="005447C3"/>
    <w:rsid w:val="00544B4E"/>
    <w:rsid w:val="00544C15"/>
    <w:rsid w:val="00545719"/>
    <w:rsid w:val="00545B34"/>
    <w:rsid w:val="005464FF"/>
    <w:rsid w:val="005470FE"/>
    <w:rsid w:val="005479B3"/>
    <w:rsid w:val="005518CA"/>
    <w:rsid w:val="005519D3"/>
    <w:rsid w:val="0055233A"/>
    <w:rsid w:val="00552BB3"/>
    <w:rsid w:val="00552ED6"/>
    <w:rsid w:val="005552DC"/>
    <w:rsid w:val="005555B5"/>
    <w:rsid w:val="005563FC"/>
    <w:rsid w:val="00557923"/>
    <w:rsid w:val="00557FB9"/>
    <w:rsid w:val="00560E87"/>
    <w:rsid w:val="0056192A"/>
    <w:rsid w:val="00561C5A"/>
    <w:rsid w:val="00561E3D"/>
    <w:rsid w:val="00562845"/>
    <w:rsid w:val="00562B8D"/>
    <w:rsid w:val="00562BD1"/>
    <w:rsid w:val="005645C5"/>
    <w:rsid w:val="00564CDC"/>
    <w:rsid w:val="005657CF"/>
    <w:rsid w:val="0056640B"/>
    <w:rsid w:val="0056690B"/>
    <w:rsid w:val="0057091C"/>
    <w:rsid w:val="00570C25"/>
    <w:rsid w:val="00570E75"/>
    <w:rsid w:val="00571861"/>
    <w:rsid w:val="00572EAA"/>
    <w:rsid w:val="00574006"/>
    <w:rsid w:val="005745FB"/>
    <w:rsid w:val="00574D2D"/>
    <w:rsid w:val="005756D6"/>
    <w:rsid w:val="00575D2D"/>
    <w:rsid w:val="0057647F"/>
    <w:rsid w:val="0057698D"/>
    <w:rsid w:val="00577BC6"/>
    <w:rsid w:val="00580B23"/>
    <w:rsid w:val="00581370"/>
    <w:rsid w:val="00582B06"/>
    <w:rsid w:val="00582EFA"/>
    <w:rsid w:val="00583AA4"/>
    <w:rsid w:val="00585EEC"/>
    <w:rsid w:val="00586132"/>
    <w:rsid w:val="00590B3E"/>
    <w:rsid w:val="00590DD2"/>
    <w:rsid w:val="00591137"/>
    <w:rsid w:val="005912EF"/>
    <w:rsid w:val="00591B91"/>
    <w:rsid w:val="005923C0"/>
    <w:rsid w:val="00592E73"/>
    <w:rsid w:val="00593024"/>
    <w:rsid w:val="005940EB"/>
    <w:rsid w:val="005943A9"/>
    <w:rsid w:val="005946C3"/>
    <w:rsid w:val="00594D12"/>
    <w:rsid w:val="0059503F"/>
    <w:rsid w:val="00597680"/>
    <w:rsid w:val="00597974"/>
    <w:rsid w:val="005A22ED"/>
    <w:rsid w:val="005A3DA7"/>
    <w:rsid w:val="005A43B9"/>
    <w:rsid w:val="005A4BFD"/>
    <w:rsid w:val="005A4E92"/>
    <w:rsid w:val="005A512B"/>
    <w:rsid w:val="005A527A"/>
    <w:rsid w:val="005A59B6"/>
    <w:rsid w:val="005A5F88"/>
    <w:rsid w:val="005B0E8F"/>
    <w:rsid w:val="005B0F12"/>
    <w:rsid w:val="005B3CB5"/>
    <w:rsid w:val="005B3E6A"/>
    <w:rsid w:val="005B6C63"/>
    <w:rsid w:val="005B76AF"/>
    <w:rsid w:val="005C1116"/>
    <w:rsid w:val="005C21AA"/>
    <w:rsid w:val="005C21D1"/>
    <w:rsid w:val="005C22A9"/>
    <w:rsid w:val="005C2355"/>
    <w:rsid w:val="005C262B"/>
    <w:rsid w:val="005C370A"/>
    <w:rsid w:val="005C5C98"/>
    <w:rsid w:val="005C60D1"/>
    <w:rsid w:val="005C6BA8"/>
    <w:rsid w:val="005C6E98"/>
    <w:rsid w:val="005C786B"/>
    <w:rsid w:val="005D162E"/>
    <w:rsid w:val="005D296E"/>
    <w:rsid w:val="005D3BC6"/>
    <w:rsid w:val="005D71C3"/>
    <w:rsid w:val="005D7571"/>
    <w:rsid w:val="005D7D99"/>
    <w:rsid w:val="005E04FF"/>
    <w:rsid w:val="005E16F7"/>
    <w:rsid w:val="005E179E"/>
    <w:rsid w:val="005E2D29"/>
    <w:rsid w:val="005E2E4D"/>
    <w:rsid w:val="005E31A7"/>
    <w:rsid w:val="005E31CB"/>
    <w:rsid w:val="005E3559"/>
    <w:rsid w:val="005E4357"/>
    <w:rsid w:val="005E5A2F"/>
    <w:rsid w:val="005E6640"/>
    <w:rsid w:val="005E67F1"/>
    <w:rsid w:val="005E68A0"/>
    <w:rsid w:val="005F251E"/>
    <w:rsid w:val="005F3412"/>
    <w:rsid w:val="005F38E4"/>
    <w:rsid w:val="005F4D99"/>
    <w:rsid w:val="005F537A"/>
    <w:rsid w:val="005F6094"/>
    <w:rsid w:val="005F7216"/>
    <w:rsid w:val="00600EAD"/>
    <w:rsid w:val="00602C81"/>
    <w:rsid w:val="00602FA6"/>
    <w:rsid w:val="0060306F"/>
    <w:rsid w:val="006030C3"/>
    <w:rsid w:val="00603B0A"/>
    <w:rsid w:val="00605263"/>
    <w:rsid w:val="00605B3B"/>
    <w:rsid w:val="00605FE5"/>
    <w:rsid w:val="00606063"/>
    <w:rsid w:val="00606148"/>
    <w:rsid w:val="00606538"/>
    <w:rsid w:val="00606F78"/>
    <w:rsid w:val="006074BD"/>
    <w:rsid w:val="006108B7"/>
    <w:rsid w:val="00610BA7"/>
    <w:rsid w:val="00610C10"/>
    <w:rsid w:val="00611CAB"/>
    <w:rsid w:val="006128F2"/>
    <w:rsid w:val="006139FB"/>
    <w:rsid w:val="006149AA"/>
    <w:rsid w:val="00614C25"/>
    <w:rsid w:val="006161CA"/>
    <w:rsid w:val="00617AD6"/>
    <w:rsid w:val="00617BC5"/>
    <w:rsid w:val="00617D28"/>
    <w:rsid w:val="00617DF7"/>
    <w:rsid w:val="00620EC7"/>
    <w:rsid w:val="0062134F"/>
    <w:rsid w:val="00621824"/>
    <w:rsid w:val="0062184D"/>
    <w:rsid w:val="00621DEF"/>
    <w:rsid w:val="00621FB8"/>
    <w:rsid w:val="00624063"/>
    <w:rsid w:val="0062418B"/>
    <w:rsid w:val="00624DFA"/>
    <w:rsid w:val="00624F7D"/>
    <w:rsid w:val="00625C72"/>
    <w:rsid w:val="00626323"/>
    <w:rsid w:val="00626C22"/>
    <w:rsid w:val="00627885"/>
    <w:rsid w:val="00630B94"/>
    <w:rsid w:val="00631201"/>
    <w:rsid w:val="00632FAE"/>
    <w:rsid w:val="00634564"/>
    <w:rsid w:val="00637BEF"/>
    <w:rsid w:val="006411D7"/>
    <w:rsid w:val="00641294"/>
    <w:rsid w:val="00641F2B"/>
    <w:rsid w:val="0064262D"/>
    <w:rsid w:val="00643DB5"/>
    <w:rsid w:val="00643DBF"/>
    <w:rsid w:val="006447D8"/>
    <w:rsid w:val="00645870"/>
    <w:rsid w:val="00646186"/>
    <w:rsid w:val="006466C3"/>
    <w:rsid w:val="0064712B"/>
    <w:rsid w:val="006476B9"/>
    <w:rsid w:val="006505D8"/>
    <w:rsid w:val="0065067A"/>
    <w:rsid w:val="00650B28"/>
    <w:rsid w:val="00651DF1"/>
    <w:rsid w:val="00654F5F"/>
    <w:rsid w:val="00655079"/>
    <w:rsid w:val="00656BB0"/>
    <w:rsid w:val="0065712B"/>
    <w:rsid w:val="00660685"/>
    <w:rsid w:val="00660B98"/>
    <w:rsid w:val="00660C91"/>
    <w:rsid w:val="00661E72"/>
    <w:rsid w:val="00662B21"/>
    <w:rsid w:val="00662B46"/>
    <w:rsid w:val="00663FA4"/>
    <w:rsid w:val="006647FF"/>
    <w:rsid w:val="00665B39"/>
    <w:rsid w:val="0066614B"/>
    <w:rsid w:val="00667B2B"/>
    <w:rsid w:val="00670E45"/>
    <w:rsid w:val="00671824"/>
    <w:rsid w:val="00671DE3"/>
    <w:rsid w:val="0067228A"/>
    <w:rsid w:val="00672EBC"/>
    <w:rsid w:val="00673A91"/>
    <w:rsid w:val="00673F6C"/>
    <w:rsid w:val="00677B4A"/>
    <w:rsid w:val="006808E8"/>
    <w:rsid w:val="00681145"/>
    <w:rsid w:val="00681731"/>
    <w:rsid w:val="00683039"/>
    <w:rsid w:val="00683F7F"/>
    <w:rsid w:val="00684B99"/>
    <w:rsid w:val="00684EB4"/>
    <w:rsid w:val="00685E9D"/>
    <w:rsid w:val="006862CC"/>
    <w:rsid w:val="00686FF4"/>
    <w:rsid w:val="00690934"/>
    <w:rsid w:val="006919A5"/>
    <w:rsid w:val="0069504C"/>
    <w:rsid w:val="00695256"/>
    <w:rsid w:val="00695346"/>
    <w:rsid w:val="0069545F"/>
    <w:rsid w:val="006A0D4A"/>
    <w:rsid w:val="006A0EC3"/>
    <w:rsid w:val="006A1501"/>
    <w:rsid w:val="006A17DD"/>
    <w:rsid w:val="006A2A87"/>
    <w:rsid w:val="006A46DC"/>
    <w:rsid w:val="006A47BD"/>
    <w:rsid w:val="006A4F98"/>
    <w:rsid w:val="006A5342"/>
    <w:rsid w:val="006A58F4"/>
    <w:rsid w:val="006A70C4"/>
    <w:rsid w:val="006A7178"/>
    <w:rsid w:val="006A7C40"/>
    <w:rsid w:val="006B04C9"/>
    <w:rsid w:val="006B167F"/>
    <w:rsid w:val="006B21F0"/>
    <w:rsid w:val="006B31F4"/>
    <w:rsid w:val="006B5372"/>
    <w:rsid w:val="006B57D1"/>
    <w:rsid w:val="006B5C73"/>
    <w:rsid w:val="006B60D7"/>
    <w:rsid w:val="006B6F37"/>
    <w:rsid w:val="006B7DDB"/>
    <w:rsid w:val="006C208D"/>
    <w:rsid w:val="006C2653"/>
    <w:rsid w:val="006C3649"/>
    <w:rsid w:val="006C4F8D"/>
    <w:rsid w:val="006C5A18"/>
    <w:rsid w:val="006C7418"/>
    <w:rsid w:val="006C78D0"/>
    <w:rsid w:val="006C7945"/>
    <w:rsid w:val="006D10EF"/>
    <w:rsid w:val="006D1F67"/>
    <w:rsid w:val="006D26ED"/>
    <w:rsid w:val="006D401F"/>
    <w:rsid w:val="006D42E3"/>
    <w:rsid w:val="006D5A1E"/>
    <w:rsid w:val="006D6A9C"/>
    <w:rsid w:val="006D7191"/>
    <w:rsid w:val="006E1790"/>
    <w:rsid w:val="006E18F6"/>
    <w:rsid w:val="006E1AC9"/>
    <w:rsid w:val="006E1F9E"/>
    <w:rsid w:val="006E1FD0"/>
    <w:rsid w:val="006E20F5"/>
    <w:rsid w:val="006E26DC"/>
    <w:rsid w:val="006E3443"/>
    <w:rsid w:val="006E39A2"/>
    <w:rsid w:val="006E435F"/>
    <w:rsid w:val="006E4634"/>
    <w:rsid w:val="006E499B"/>
    <w:rsid w:val="006E4E5A"/>
    <w:rsid w:val="006E5810"/>
    <w:rsid w:val="006E5BEC"/>
    <w:rsid w:val="006E66CF"/>
    <w:rsid w:val="006E686E"/>
    <w:rsid w:val="006E71BE"/>
    <w:rsid w:val="006E7BBE"/>
    <w:rsid w:val="006F0B8B"/>
    <w:rsid w:val="006F107B"/>
    <w:rsid w:val="006F1566"/>
    <w:rsid w:val="006F1E7A"/>
    <w:rsid w:val="006F4668"/>
    <w:rsid w:val="006F4B42"/>
    <w:rsid w:val="006F63EF"/>
    <w:rsid w:val="006F6B03"/>
    <w:rsid w:val="00700523"/>
    <w:rsid w:val="00700A0E"/>
    <w:rsid w:val="00700AB7"/>
    <w:rsid w:val="00700D0C"/>
    <w:rsid w:val="00702058"/>
    <w:rsid w:val="007034F7"/>
    <w:rsid w:val="00704EBC"/>
    <w:rsid w:val="00705BCD"/>
    <w:rsid w:val="007102E7"/>
    <w:rsid w:val="00710765"/>
    <w:rsid w:val="00712E85"/>
    <w:rsid w:val="00713196"/>
    <w:rsid w:val="007139BD"/>
    <w:rsid w:val="00713A23"/>
    <w:rsid w:val="00713C94"/>
    <w:rsid w:val="007155A5"/>
    <w:rsid w:val="00716094"/>
    <w:rsid w:val="007170B2"/>
    <w:rsid w:val="00717A1A"/>
    <w:rsid w:val="00717E95"/>
    <w:rsid w:val="00717F4D"/>
    <w:rsid w:val="00721A1A"/>
    <w:rsid w:val="00721A2C"/>
    <w:rsid w:val="00722E5C"/>
    <w:rsid w:val="00723972"/>
    <w:rsid w:val="00723BBB"/>
    <w:rsid w:val="00723D5A"/>
    <w:rsid w:val="00724321"/>
    <w:rsid w:val="00724515"/>
    <w:rsid w:val="007246CB"/>
    <w:rsid w:val="00724DC1"/>
    <w:rsid w:val="00726F5C"/>
    <w:rsid w:val="007279E4"/>
    <w:rsid w:val="00727ACB"/>
    <w:rsid w:val="0073159E"/>
    <w:rsid w:val="00732A0B"/>
    <w:rsid w:val="00732E4D"/>
    <w:rsid w:val="007330A4"/>
    <w:rsid w:val="007335A3"/>
    <w:rsid w:val="00735546"/>
    <w:rsid w:val="00735A52"/>
    <w:rsid w:val="00736940"/>
    <w:rsid w:val="00736D84"/>
    <w:rsid w:val="007371E2"/>
    <w:rsid w:val="0073756D"/>
    <w:rsid w:val="0073766D"/>
    <w:rsid w:val="007377CA"/>
    <w:rsid w:val="0074005D"/>
    <w:rsid w:val="007403C6"/>
    <w:rsid w:val="00741C02"/>
    <w:rsid w:val="00742A9A"/>
    <w:rsid w:val="007431EA"/>
    <w:rsid w:val="00743E9F"/>
    <w:rsid w:val="007441FA"/>
    <w:rsid w:val="00744AAF"/>
    <w:rsid w:val="0074573E"/>
    <w:rsid w:val="00746450"/>
    <w:rsid w:val="00746642"/>
    <w:rsid w:val="007468F4"/>
    <w:rsid w:val="00746BD2"/>
    <w:rsid w:val="007474EE"/>
    <w:rsid w:val="007477C9"/>
    <w:rsid w:val="00747C5D"/>
    <w:rsid w:val="00750389"/>
    <w:rsid w:val="00750DB9"/>
    <w:rsid w:val="0075193C"/>
    <w:rsid w:val="00751D89"/>
    <w:rsid w:val="00753026"/>
    <w:rsid w:val="00753679"/>
    <w:rsid w:val="00753C1F"/>
    <w:rsid w:val="00754318"/>
    <w:rsid w:val="007546D2"/>
    <w:rsid w:val="00756AF9"/>
    <w:rsid w:val="0075769F"/>
    <w:rsid w:val="00760BDA"/>
    <w:rsid w:val="00760DF1"/>
    <w:rsid w:val="00761C50"/>
    <w:rsid w:val="00761D25"/>
    <w:rsid w:val="007623B8"/>
    <w:rsid w:val="00762B39"/>
    <w:rsid w:val="00762E36"/>
    <w:rsid w:val="00762F86"/>
    <w:rsid w:val="007630C9"/>
    <w:rsid w:val="0076413F"/>
    <w:rsid w:val="00764F07"/>
    <w:rsid w:val="007665C4"/>
    <w:rsid w:val="00770BC1"/>
    <w:rsid w:val="007712C7"/>
    <w:rsid w:val="0077300F"/>
    <w:rsid w:val="00774CEE"/>
    <w:rsid w:val="00774E1B"/>
    <w:rsid w:val="00774EFB"/>
    <w:rsid w:val="0077559F"/>
    <w:rsid w:val="007755F1"/>
    <w:rsid w:val="00775877"/>
    <w:rsid w:val="007766D2"/>
    <w:rsid w:val="00776836"/>
    <w:rsid w:val="00776F8F"/>
    <w:rsid w:val="00777562"/>
    <w:rsid w:val="00780DA0"/>
    <w:rsid w:val="0078308E"/>
    <w:rsid w:val="0078434A"/>
    <w:rsid w:val="00784ED4"/>
    <w:rsid w:val="007853E7"/>
    <w:rsid w:val="00785B2B"/>
    <w:rsid w:val="00786166"/>
    <w:rsid w:val="007866CC"/>
    <w:rsid w:val="00786B32"/>
    <w:rsid w:val="007873A1"/>
    <w:rsid w:val="00791144"/>
    <w:rsid w:val="00791ED8"/>
    <w:rsid w:val="00792104"/>
    <w:rsid w:val="007925B0"/>
    <w:rsid w:val="00792B1D"/>
    <w:rsid w:val="00792E80"/>
    <w:rsid w:val="007931CC"/>
    <w:rsid w:val="0079344F"/>
    <w:rsid w:val="00796075"/>
    <w:rsid w:val="00797F36"/>
    <w:rsid w:val="007A0BFD"/>
    <w:rsid w:val="007A0F1B"/>
    <w:rsid w:val="007A1F56"/>
    <w:rsid w:val="007A2342"/>
    <w:rsid w:val="007A28A1"/>
    <w:rsid w:val="007A38A8"/>
    <w:rsid w:val="007A5816"/>
    <w:rsid w:val="007A7CA1"/>
    <w:rsid w:val="007B2492"/>
    <w:rsid w:val="007B2885"/>
    <w:rsid w:val="007B537C"/>
    <w:rsid w:val="007B54A9"/>
    <w:rsid w:val="007B5D08"/>
    <w:rsid w:val="007B62F0"/>
    <w:rsid w:val="007B7959"/>
    <w:rsid w:val="007B7E19"/>
    <w:rsid w:val="007C03EB"/>
    <w:rsid w:val="007C0443"/>
    <w:rsid w:val="007C15A2"/>
    <w:rsid w:val="007C1727"/>
    <w:rsid w:val="007C21F3"/>
    <w:rsid w:val="007C34CC"/>
    <w:rsid w:val="007C4528"/>
    <w:rsid w:val="007C49A5"/>
    <w:rsid w:val="007C527B"/>
    <w:rsid w:val="007C6563"/>
    <w:rsid w:val="007D0AD7"/>
    <w:rsid w:val="007D1045"/>
    <w:rsid w:val="007D1271"/>
    <w:rsid w:val="007D190C"/>
    <w:rsid w:val="007D23F6"/>
    <w:rsid w:val="007D2A5C"/>
    <w:rsid w:val="007D4809"/>
    <w:rsid w:val="007D5738"/>
    <w:rsid w:val="007D5817"/>
    <w:rsid w:val="007D64DE"/>
    <w:rsid w:val="007D75A7"/>
    <w:rsid w:val="007E17C8"/>
    <w:rsid w:val="007E2350"/>
    <w:rsid w:val="007E2BE6"/>
    <w:rsid w:val="007E2F77"/>
    <w:rsid w:val="007E362F"/>
    <w:rsid w:val="007E4FB0"/>
    <w:rsid w:val="007E5571"/>
    <w:rsid w:val="007E6E8D"/>
    <w:rsid w:val="007F035C"/>
    <w:rsid w:val="007F04B0"/>
    <w:rsid w:val="007F28F4"/>
    <w:rsid w:val="007F436D"/>
    <w:rsid w:val="007F49A7"/>
    <w:rsid w:val="007F4F21"/>
    <w:rsid w:val="007F5BBE"/>
    <w:rsid w:val="007F68AA"/>
    <w:rsid w:val="007F69E5"/>
    <w:rsid w:val="007F7037"/>
    <w:rsid w:val="007F78A5"/>
    <w:rsid w:val="007F7D7B"/>
    <w:rsid w:val="00800059"/>
    <w:rsid w:val="0080027F"/>
    <w:rsid w:val="00800CFA"/>
    <w:rsid w:val="0080190F"/>
    <w:rsid w:val="00801E7A"/>
    <w:rsid w:val="008031FD"/>
    <w:rsid w:val="008034F2"/>
    <w:rsid w:val="00803F4F"/>
    <w:rsid w:val="00804466"/>
    <w:rsid w:val="00805348"/>
    <w:rsid w:val="00806E0B"/>
    <w:rsid w:val="00807262"/>
    <w:rsid w:val="00807F0C"/>
    <w:rsid w:val="00810B33"/>
    <w:rsid w:val="0081146C"/>
    <w:rsid w:val="00811CD7"/>
    <w:rsid w:val="00811D9B"/>
    <w:rsid w:val="00813F3B"/>
    <w:rsid w:val="0081640C"/>
    <w:rsid w:val="00822E40"/>
    <w:rsid w:val="00824795"/>
    <w:rsid w:val="00824995"/>
    <w:rsid w:val="00825469"/>
    <w:rsid w:val="008262C4"/>
    <w:rsid w:val="00827A89"/>
    <w:rsid w:val="00831DA9"/>
    <w:rsid w:val="00832A64"/>
    <w:rsid w:val="0083472B"/>
    <w:rsid w:val="00834CFA"/>
    <w:rsid w:val="00834DB4"/>
    <w:rsid w:val="0083527F"/>
    <w:rsid w:val="0083562C"/>
    <w:rsid w:val="00836460"/>
    <w:rsid w:val="00836BB0"/>
    <w:rsid w:val="0083759E"/>
    <w:rsid w:val="008378CA"/>
    <w:rsid w:val="00837925"/>
    <w:rsid w:val="00840EE9"/>
    <w:rsid w:val="008440A7"/>
    <w:rsid w:val="00844FC2"/>
    <w:rsid w:val="00846FFE"/>
    <w:rsid w:val="0085081F"/>
    <w:rsid w:val="008523F3"/>
    <w:rsid w:val="00852ED3"/>
    <w:rsid w:val="008539BE"/>
    <w:rsid w:val="008546E2"/>
    <w:rsid w:val="008560B4"/>
    <w:rsid w:val="008601B9"/>
    <w:rsid w:val="0086059F"/>
    <w:rsid w:val="00860A30"/>
    <w:rsid w:val="00860C76"/>
    <w:rsid w:val="00860F36"/>
    <w:rsid w:val="00861656"/>
    <w:rsid w:val="00862B41"/>
    <w:rsid w:val="00863C35"/>
    <w:rsid w:val="008641C0"/>
    <w:rsid w:val="008645CD"/>
    <w:rsid w:val="00866E68"/>
    <w:rsid w:val="0087213D"/>
    <w:rsid w:val="0087388E"/>
    <w:rsid w:val="00875161"/>
    <w:rsid w:val="00875F6F"/>
    <w:rsid w:val="0088246D"/>
    <w:rsid w:val="00882864"/>
    <w:rsid w:val="00883046"/>
    <w:rsid w:val="00883F24"/>
    <w:rsid w:val="00884F00"/>
    <w:rsid w:val="00885366"/>
    <w:rsid w:val="008855E0"/>
    <w:rsid w:val="00886169"/>
    <w:rsid w:val="00890304"/>
    <w:rsid w:val="00890543"/>
    <w:rsid w:val="008925D2"/>
    <w:rsid w:val="00892B88"/>
    <w:rsid w:val="00893AD1"/>
    <w:rsid w:val="00894427"/>
    <w:rsid w:val="008952F6"/>
    <w:rsid w:val="0089539F"/>
    <w:rsid w:val="00895996"/>
    <w:rsid w:val="00895AFD"/>
    <w:rsid w:val="008963AA"/>
    <w:rsid w:val="008A0046"/>
    <w:rsid w:val="008A0961"/>
    <w:rsid w:val="008A1047"/>
    <w:rsid w:val="008A1FA1"/>
    <w:rsid w:val="008A494C"/>
    <w:rsid w:val="008A636F"/>
    <w:rsid w:val="008A7D6D"/>
    <w:rsid w:val="008B1E73"/>
    <w:rsid w:val="008B2082"/>
    <w:rsid w:val="008B2973"/>
    <w:rsid w:val="008B3D55"/>
    <w:rsid w:val="008B4035"/>
    <w:rsid w:val="008B43D3"/>
    <w:rsid w:val="008B69D6"/>
    <w:rsid w:val="008B6C45"/>
    <w:rsid w:val="008B7026"/>
    <w:rsid w:val="008B74F4"/>
    <w:rsid w:val="008B7783"/>
    <w:rsid w:val="008C058A"/>
    <w:rsid w:val="008C11BE"/>
    <w:rsid w:val="008C2F83"/>
    <w:rsid w:val="008C6ADB"/>
    <w:rsid w:val="008D1392"/>
    <w:rsid w:val="008D1705"/>
    <w:rsid w:val="008D1BB8"/>
    <w:rsid w:val="008D1D0B"/>
    <w:rsid w:val="008D1EBC"/>
    <w:rsid w:val="008D20CB"/>
    <w:rsid w:val="008D2E61"/>
    <w:rsid w:val="008D419F"/>
    <w:rsid w:val="008D431E"/>
    <w:rsid w:val="008D5219"/>
    <w:rsid w:val="008D5917"/>
    <w:rsid w:val="008D5D34"/>
    <w:rsid w:val="008D6A88"/>
    <w:rsid w:val="008D7F7C"/>
    <w:rsid w:val="008E264B"/>
    <w:rsid w:val="008E2904"/>
    <w:rsid w:val="008E2B56"/>
    <w:rsid w:val="008E42FE"/>
    <w:rsid w:val="008E617F"/>
    <w:rsid w:val="008E66FF"/>
    <w:rsid w:val="008E73B0"/>
    <w:rsid w:val="008E7E28"/>
    <w:rsid w:val="008E7F22"/>
    <w:rsid w:val="008F0EF8"/>
    <w:rsid w:val="008F0F76"/>
    <w:rsid w:val="008F10FD"/>
    <w:rsid w:val="008F1FBA"/>
    <w:rsid w:val="008F209F"/>
    <w:rsid w:val="008F343A"/>
    <w:rsid w:val="008F369A"/>
    <w:rsid w:val="008F3A33"/>
    <w:rsid w:val="008F51C4"/>
    <w:rsid w:val="008F56FD"/>
    <w:rsid w:val="008F694A"/>
    <w:rsid w:val="008F78FE"/>
    <w:rsid w:val="008F7B6C"/>
    <w:rsid w:val="00900D04"/>
    <w:rsid w:val="0090106C"/>
    <w:rsid w:val="00902784"/>
    <w:rsid w:val="00904A76"/>
    <w:rsid w:val="00904D5F"/>
    <w:rsid w:val="00905F87"/>
    <w:rsid w:val="0090787B"/>
    <w:rsid w:val="00910AC4"/>
    <w:rsid w:val="00910C23"/>
    <w:rsid w:val="00910D32"/>
    <w:rsid w:val="00911CE6"/>
    <w:rsid w:val="0091288F"/>
    <w:rsid w:val="00912E8D"/>
    <w:rsid w:val="009133AF"/>
    <w:rsid w:val="00915D37"/>
    <w:rsid w:val="00920247"/>
    <w:rsid w:val="0092053B"/>
    <w:rsid w:val="009212AB"/>
    <w:rsid w:val="00921449"/>
    <w:rsid w:val="00922302"/>
    <w:rsid w:val="009240C7"/>
    <w:rsid w:val="009254D4"/>
    <w:rsid w:val="009271A3"/>
    <w:rsid w:val="009271A8"/>
    <w:rsid w:val="00930F04"/>
    <w:rsid w:val="0093102E"/>
    <w:rsid w:val="009319FD"/>
    <w:rsid w:val="00931B55"/>
    <w:rsid w:val="00931C56"/>
    <w:rsid w:val="00931E77"/>
    <w:rsid w:val="0093346A"/>
    <w:rsid w:val="0093456D"/>
    <w:rsid w:val="009347E4"/>
    <w:rsid w:val="00934F4D"/>
    <w:rsid w:val="009350C7"/>
    <w:rsid w:val="00937298"/>
    <w:rsid w:val="00937603"/>
    <w:rsid w:val="00940111"/>
    <w:rsid w:val="009401DC"/>
    <w:rsid w:val="00940902"/>
    <w:rsid w:val="00941034"/>
    <w:rsid w:val="0094173F"/>
    <w:rsid w:val="009428ED"/>
    <w:rsid w:val="009442C7"/>
    <w:rsid w:val="009444E5"/>
    <w:rsid w:val="00944C80"/>
    <w:rsid w:val="00945687"/>
    <w:rsid w:val="00945D90"/>
    <w:rsid w:val="00945DCF"/>
    <w:rsid w:val="00946652"/>
    <w:rsid w:val="009473CC"/>
    <w:rsid w:val="00947913"/>
    <w:rsid w:val="00947E19"/>
    <w:rsid w:val="00947F21"/>
    <w:rsid w:val="00951293"/>
    <w:rsid w:val="009526B3"/>
    <w:rsid w:val="00952D8C"/>
    <w:rsid w:val="00953D8A"/>
    <w:rsid w:val="0095413C"/>
    <w:rsid w:val="0095499A"/>
    <w:rsid w:val="009549AB"/>
    <w:rsid w:val="00955C44"/>
    <w:rsid w:val="00956445"/>
    <w:rsid w:val="009568FA"/>
    <w:rsid w:val="00957455"/>
    <w:rsid w:val="00960FDB"/>
    <w:rsid w:val="009616AC"/>
    <w:rsid w:val="00964802"/>
    <w:rsid w:val="00965397"/>
    <w:rsid w:val="009656BB"/>
    <w:rsid w:val="00965E8B"/>
    <w:rsid w:val="00966948"/>
    <w:rsid w:val="00970B77"/>
    <w:rsid w:val="00970BF6"/>
    <w:rsid w:val="00971414"/>
    <w:rsid w:val="00971C9C"/>
    <w:rsid w:val="00971E4B"/>
    <w:rsid w:val="009720DF"/>
    <w:rsid w:val="00972F82"/>
    <w:rsid w:val="0097346C"/>
    <w:rsid w:val="00973F22"/>
    <w:rsid w:val="0097401F"/>
    <w:rsid w:val="00974FCE"/>
    <w:rsid w:val="009753E5"/>
    <w:rsid w:val="00975F45"/>
    <w:rsid w:val="00975FF9"/>
    <w:rsid w:val="009776D5"/>
    <w:rsid w:val="009779DD"/>
    <w:rsid w:val="009800C6"/>
    <w:rsid w:val="009816DF"/>
    <w:rsid w:val="009824F0"/>
    <w:rsid w:val="00986301"/>
    <w:rsid w:val="00987583"/>
    <w:rsid w:val="009879A2"/>
    <w:rsid w:val="00987D79"/>
    <w:rsid w:val="00987EDC"/>
    <w:rsid w:val="0099072C"/>
    <w:rsid w:val="00990C59"/>
    <w:rsid w:val="00992D0D"/>
    <w:rsid w:val="00992FEE"/>
    <w:rsid w:val="00993150"/>
    <w:rsid w:val="009954A9"/>
    <w:rsid w:val="00995AD6"/>
    <w:rsid w:val="009965C1"/>
    <w:rsid w:val="0099708F"/>
    <w:rsid w:val="009A052E"/>
    <w:rsid w:val="009A08E8"/>
    <w:rsid w:val="009A1A36"/>
    <w:rsid w:val="009A2FDD"/>
    <w:rsid w:val="009A365B"/>
    <w:rsid w:val="009A3CF5"/>
    <w:rsid w:val="009A4323"/>
    <w:rsid w:val="009A4D45"/>
    <w:rsid w:val="009A60B4"/>
    <w:rsid w:val="009A60F6"/>
    <w:rsid w:val="009A7A36"/>
    <w:rsid w:val="009A7D6B"/>
    <w:rsid w:val="009B01D9"/>
    <w:rsid w:val="009B0A3A"/>
    <w:rsid w:val="009B0E31"/>
    <w:rsid w:val="009B155E"/>
    <w:rsid w:val="009B17D5"/>
    <w:rsid w:val="009B185A"/>
    <w:rsid w:val="009B18CD"/>
    <w:rsid w:val="009B278E"/>
    <w:rsid w:val="009B2975"/>
    <w:rsid w:val="009B3257"/>
    <w:rsid w:val="009B3570"/>
    <w:rsid w:val="009B37C5"/>
    <w:rsid w:val="009B38A5"/>
    <w:rsid w:val="009B38C8"/>
    <w:rsid w:val="009B763A"/>
    <w:rsid w:val="009C0449"/>
    <w:rsid w:val="009C0BA5"/>
    <w:rsid w:val="009C1623"/>
    <w:rsid w:val="009C1900"/>
    <w:rsid w:val="009C2A35"/>
    <w:rsid w:val="009C2D01"/>
    <w:rsid w:val="009C3258"/>
    <w:rsid w:val="009C366E"/>
    <w:rsid w:val="009C3882"/>
    <w:rsid w:val="009C3D79"/>
    <w:rsid w:val="009C4106"/>
    <w:rsid w:val="009C6061"/>
    <w:rsid w:val="009D0327"/>
    <w:rsid w:val="009D1D82"/>
    <w:rsid w:val="009D225F"/>
    <w:rsid w:val="009D2C84"/>
    <w:rsid w:val="009D4794"/>
    <w:rsid w:val="009D4867"/>
    <w:rsid w:val="009D4C84"/>
    <w:rsid w:val="009D7D1A"/>
    <w:rsid w:val="009E01F8"/>
    <w:rsid w:val="009E073A"/>
    <w:rsid w:val="009E10D0"/>
    <w:rsid w:val="009E1929"/>
    <w:rsid w:val="009E2BDF"/>
    <w:rsid w:val="009E325D"/>
    <w:rsid w:val="009E43ED"/>
    <w:rsid w:val="009E5204"/>
    <w:rsid w:val="009E5D12"/>
    <w:rsid w:val="009E66C7"/>
    <w:rsid w:val="009E66D5"/>
    <w:rsid w:val="009E689C"/>
    <w:rsid w:val="009F1A3E"/>
    <w:rsid w:val="009F3F4D"/>
    <w:rsid w:val="009F6A0D"/>
    <w:rsid w:val="009F6C44"/>
    <w:rsid w:val="009F70E0"/>
    <w:rsid w:val="009F7213"/>
    <w:rsid w:val="00A01E50"/>
    <w:rsid w:val="00A02D4F"/>
    <w:rsid w:val="00A03173"/>
    <w:rsid w:val="00A03DDD"/>
    <w:rsid w:val="00A05F37"/>
    <w:rsid w:val="00A060B0"/>
    <w:rsid w:val="00A068FD"/>
    <w:rsid w:val="00A103C2"/>
    <w:rsid w:val="00A12B57"/>
    <w:rsid w:val="00A12C88"/>
    <w:rsid w:val="00A13770"/>
    <w:rsid w:val="00A1487B"/>
    <w:rsid w:val="00A14FE7"/>
    <w:rsid w:val="00A17DF0"/>
    <w:rsid w:val="00A21BE4"/>
    <w:rsid w:val="00A21CC7"/>
    <w:rsid w:val="00A21E23"/>
    <w:rsid w:val="00A22856"/>
    <w:rsid w:val="00A23742"/>
    <w:rsid w:val="00A23A41"/>
    <w:rsid w:val="00A24369"/>
    <w:rsid w:val="00A2453E"/>
    <w:rsid w:val="00A24C37"/>
    <w:rsid w:val="00A25036"/>
    <w:rsid w:val="00A253AC"/>
    <w:rsid w:val="00A26CE4"/>
    <w:rsid w:val="00A26EC3"/>
    <w:rsid w:val="00A3054A"/>
    <w:rsid w:val="00A313DE"/>
    <w:rsid w:val="00A316CA"/>
    <w:rsid w:val="00A324A7"/>
    <w:rsid w:val="00A333D0"/>
    <w:rsid w:val="00A33417"/>
    <w:rsid w:val="00A34E49"/>
    <w:rsid w:val="00A352D6"/>
    <w:rsid w:val="00A3561B"/>
    <w:rsid w:val="00A36294"/>
    <w:rsid w:val="00A37118"/>
    <w:rsid w:val="00A37225"/>
    <w:rsid w:val="00A403BA"/>
    <w:rsid w:val="00A40C8F"/>
    <w:rsid w:val="00A41A5E"/>
    <w:rsid w:val="00A427BF"/>
    <w:rsid w:val="00A43597"/>
    <w:rsid w:val="00A44F6A"/>
    <w:rsid w:val="00A45251"/>
    <w:rsid w:val="00A50129"/>
    <w:rsid w:val="00A51EEF"/>
    <w:rsid w:val="00A522E2"/>
    <w:rsid w:val="00A5286A"/>
    <w:rsid w:val="00A53DE3"/>
    <w:rsid w:val="00A54F4D"/>
    <w:rsid w:val="00A558EE"/>
    <w:rsid w:val="00A5616E"/>
    <w:rsid w:val="00A56294"/>
    <w:rsid w:val="00A5673D"/>
    <w:rsid w:val="00A567FC"/>
    <w:rsid w:val="00A601A1"/>
    <w:rsid w:val="00A604D2"/>
    <w:rsid w:val="00A6109C"/>
    <w:rsid w:val="00A61B6B"/>
    <w:rsid w:val="00A61D5B"/>
    <w:rsid w:val="00A626F6"/>
    <w:rsid w:val="00A633C4"/>
    <w:rsid w:val="00A64B62"/>
    <w:rsid w:val="00A6598D"/>
    <w:rsid w:val="00A659C6"/>
    <w:rsid w:val="00A67383"/>
    <w:rsid w:val="00A67DEF"/>
    <w:rsid w:val="00A70A48"/>
    <w:rsid w:val="00A70B0C"/>
    <w:rsid w:val="00A710B0"/>
    <w:rsid w:val="00A72895"/>
    <w:rsid w:val="00A72A10"/>
    <w:rsid w:val="00A72F8F"/>
    <w:rsid w:val="00A743C6"/>
    <w:rsid w:val="00A75130"/>
    <w:rsid w:val="00A75658"/>
    <w:rsid w:val="00A75B5B"/>
    <w:rsid w:val="00A76129"/>
    <w:rsid w:val="00A769F6"/>
    <w:rsid w:val="00A8198A"/>
    <w:rsid w:val="00A834EA"/>
    <w:rsid w:val="00A83996"/>
    <w:rsid w:val="00A84218"/>
    <w:rsid w:val="00A857D4"/>
    <w:rsid w:val="00A864DD"/>
    <w:rsid w:val="00A86797"/>
    <w:rsid w:val="00A87E2C"/>
    <w:rsid w:val="00A87FB8"/>
    <w:rsid w:val="00A9143D"/>
    <w:rsid w:val="00A924B7"/>
    <w:rsid w:val="00A92D93"/>
    <w:rsid w:val="00A92FAA"/>
    <w:rsid w:val="00A93097"/>
    <w:rsid w:val="00A93150"/>
    <w:rsid w:val="00A94550"/>
    <w:rsid w:val="00A96391"/>
    <w:rsid w:val="00A9798E"/>
    <w:rsid w:val="00A97E3C"/>
    <w:rsid w:val="00AA1A81"/>
    <w:rsid w:val="00AA1E97"/>
    <w:rsid w:val="00AA213F"/>
    <w:rsid w:val="00AA2609"/>
    <w:rsid w:val="00AA409A"/>
    <w:rsid w:val="00AA63FA"/>
    <w:rsid w:val="00AA64CB"/>
    <w:rsid w:val="00AA6564"/>
    <w:rsid w:val="00AA6C6C"/>
    <w:rsid w:val="00AA7301"/>
    <w:rsid w:val="00AA7ECC"/>
    <w:rsid w:val="00AB0510"/>
    <w:rsid w:val="00AB0884"/>
    <w:rsid w:val="00AB13A1"/>
    <w:rsid w:val="00AB55C7"/>
    <w:rsid w:val="00AB60A4"/>
    <w:rsid w:val="00AB61C4"/>
    <w:rsid w:val="00AB6986"/>
    <w:rsid w:val="00AB7153"/>
    <w:rsid w:val="00AB7DEF"/>
    <w:rsid w:val="00AC03ED"/>
    <w:rsid w:val="00AC1DA5"/>
    <w:rsid w:val="00AC2D00"/>
    <w:rsid w:val="00AC334E"/>
    <w:rsid w:val="00AC384C"/>
    <w:rsid w:val="00AC3C21"/>
    <w:rsid w:val="00AC5286"/>
    <w:rsid w:val="00AC59DA"/>
    <w:rsid w:val="00AC61E1"/>
    <w:rsid w:val="00AC6E6D"/>
    <w:rsid w:val="00AC7B11"/>
    <w:rsid w:val="00AD1A9F"/>
    <w:rsid w:val="00AD53B3"/>
    <w:rsid w:val="00AD58FB"/>
    <w:rsid w:val="00AD5D83"/>
    <w:rsid w:val="00AD6E44"/>
    <w:rsid w:val="00AE04CA"/>
    <w:rsid w:val="00AE1861"/>
    <w:rsid w:val="00AE294B"/>
    <w:rsid w:val="00AE2DA2"/>
    <w:rsid w:val="00AE44C1"/>
    <w:rsid w:val="00AE49D2"/>
    <w:rsid w:val="00AE52BB"/>
    <w:rsid w:val="00AE641E"/>
    <w:rsid w:val="00AE7548"/>
    <w:rsid w:val="00AE756D"/>
    <w:rsid w:val="00AE7651"/>
    <w:rsid w:val="00AF05B2"/>
    <w:rsid w:val="00AF0C80"/>
    <w:rsid w:val="00AF29C0"/>
    <w:rsid w:val="00AF29FA"/>
    <w:rsid w:val="00AF391E"/>
    <w:rsid w:val="00AF561D"/>
    <w:rsid w:val="00AF56C2"/>
    <w:rsid w:val="00AF574F"/>
    <w:rsid w:val="00AF5F06"/>
    <w:rsid w:val="00AF61C5"/>
    <w:rsid w:val="00AF63A3"/>
    <w:rsid w:val="00AF6877"/>
    <w:rsid w:val="00AF6E02"/>
    <w:rsid w:val="00AF7076"/>
    <w:rsid w:val="00AF728F"/>
    <w:rsid w:val="00AF73D4"/>
    <w:rsid w:val="00AF7E17"/>
    <w:rsid w:val="00B002CC"/>
    <w:rsid w:val="00B01908"/>
    <w:rsid w:val="00B01B0E"/>
    <w:rsid w:val="00B032BC"/>
    <w:rsid w:val="00B03636"/>
    <w:rsid w:val="00B03B4D"/>
    <w:rsid w:val="00B042FD"/>
    <w:rsid w:val="00B04A45"/>
    <w:rsid w:val="00B07383"/>
    <w:rsid w:val="00B1038B"/>
    <w:rsid w:val="00B10EA9"/>
    <w:rsid w:val="00B12EA2"/>
    <w:rsid w:val="00B132CA"/>
    <w:rsid w:val="00B13C4E"/>
    <w:rsid w:val="00B149DF"/>
    <w:rsid w:val="00B15D89"/>
    <w:rsid w:val="00B17BE8"/>
    <w:rsid w:val="00B20C02"/>
    <w:rsid w:val="00B22EB7"/>
    <w:rsid w:val="00B23793"/>
    <w:rsid w:val="00B24800"/>
    <w:rsid w:val="00B25068"/>
    <w:rsid w:val="00B25205"/>
    <w:rsid w:val="00B25F81"/>
    <w:rsid w:val="00B26A4F"/>
    <w:rsid w:val="00B26DB8"/>
    <w:rsid w:val="00B27ECB"/>
    <w:rsid w:val="00B304D3"/>
    <w:rsid w:val="00B31402"/>
    <w:rsid w:val="00B31518"/>
    <w:rsid w:val="00B32A98"/>
    <w:rsid w:val="00B3349E"/>
    <w:rsid w:val="00B33A0D"/>
    <w:rsid w:val="00B33A0F"/>
    <w:rsid w:val="00B33CE6"/>
    <w:rsid w:val="00B3491C"/>
    <w:rsid w:val="00B34FF2"/>
    <w:rsid w:val="00B3501F"/>
    <w:rsid w:val="00B3572A"/>
    <w:rsid w:val="00B3761F"/>
    <w:rsid w:val="00B37D87"/>
    <w:rsid w:val="00B40FE0"/>
    <w:rsid w:val="00B41CBA"/>
    <w:rsid w:val="00B4301F"/>
    <w:rsid w:val="00B444FD"/>
    <w:rsid w:val="00B4450C"/>
    <w:rsid w:val="00B4487C"/>
    <w:rsid w:val="00B44C2C"/>
    <w:rsid w:val="00B46885"/>
    <w:rsid w:val="00B46A82"/>
    <w:rsid w:val="00B504CD"/>
    <w:rsid w:val="00B5124C"/>
    <w:rsid w:val="00B524D2"/>
    <w:rsid w:val="00B5251B"/>
    <w:rsid w:val="00B52981"/>
    <w:rsid w:val="00B52B9A"/>
    <w:rsid w:val="00B53389"/>
    <w:rsid w:val="00B534FD"/>
    <w:rsid w:val="00B56100"/>
    <w:rsid w:val="00B573A0"/>
    <w:rsid w:val="00B601A7"/>
    <w:rsid w:val="00B62795"/>
    <w:rsid w:val="00B63D5F"/>
    <w:rsid w:val="00B64537"/>
    <w:rsid w:val="00B648F3"/>
    <w:rsid w:val="00B65DD9"/>
    <w:rsid w:val="00B70FCE"/>
    <w:rsid w:val="00B71133"/>
    <w:rsid w:val="00B71B1F"/>
    <w:rsid w:val="00B72F42"/>
    <w:rsid w:val="00B75625"/>
    <w:rsid w:val="00B76290"/>
    <w:rsid w:val="00B76D18"/>
    <w:rsid w:val="00B77841"/>
    <w:rsid w:val="00B77D82"/>
    <w:rsid w:val="00B808F2"/>
    <w:rsid w:val="00B81875"/>
    <w:rsid w:val="00B82B20"/>
    <w:rsid w:val="00B83182"/>
    <w:rsid w:val="00B835F0"/>
    <w:rsid w:val="00B84A47"/>
    <w:rsid w:val="00B84CBF"/>
    <w:rsid w:val="00B854A1"/>
    <w:rsid w:val="00B86214"/>
    <w:rsid w:val="00B865F7"/>
    <w:rsid w:val="00B86813"/>
    <w:rsid w:val="00B87B77"/>
    <w:rsid w:val="00B9079F"/>
    <w:rsid w:val="00B91E6E"/>
    <w:rsid w:val="00B92A9F"/>
    <w:rsid w:val="00B92AA9"/>
    <w:rsid w:val="00B92BFC"/>
    <w:rsid w:val="00B939C5"/>
    <w:rsid w:val="00B9417A"/>
    <w:rsid w:val="00B94EC9"/>
    <w:rsid w:val="00B95B8E"/>
    <w:rsid w:val="00B969D5"/>
    <w:rsid w:val="00B972E6"/>
    <w:rsid w:val="00B979C1"/>
    <w:rsid w:val="00BA0243"/>
    <w:rsid w:val="00BA0A0D"/>
    <w:rsid w:val="00BA0EBF"/>
    <w:rsid w:val="00BA15F4"/>
    <w:rsid w:val="00BA553C"/>
    <w:rsid w:val="00BA59C3"/>
    <w:rsid w:val="00BA5F2A"/>
    <w:rsid w:val="00BA71EB"/>
    <w:rsid w:val="00BA74EA"/>
    <w:rsid w:val="00BB0A50"/>
    <w:rsid w:val="00BB234C"/>
    <w:rsid w:val="00BB42AA"/>
    <w:rsid w:val="00BB45C9"/>
    <w:rsid w:val="00BB483A"/>
    <w:rsid w:val="00BB6767"/>
    <w:rsid w:val="00BB6963"/>
    <w:rsid w:val="00BB7A06"/>
    <w:rsid w:val="00BC01B3"/>
    <w:rsid w:val="00BC135F"/>
    <w:rsid w:val="00BC1463"/>
    <w:rsid w:val="00BC1C78"/>
    <w:rsid w:val="00BC1D08"/>
    <w:rsid w:val="00BC3241"/>
    <w:rsid w:val="00BC34F7"/>
    <w:rsid w:val="00BC6D55"/>
    <w:rsid w:val="00BC6D64"/>
    <w:rsid w:val="00BC6F9C"/>
    <w:rsid w:val="00BD08EF"/>
    <w:rsid w:val="00BD14E3"/>
    <w:rsid w:val="00BD1789"/>
    <w:rsid w:val="00BD1A68"/>
    <w:rsid w:val="00BD2251"/>
    <w:rsid w:val="00BD5FA3"/>
    <w:rsid w:val="00BD6846"/>
    <w:rsid w:val="00BD75B1"/>
    <w:rsid w:val="00BD75F3"/>
    <w:rsid w:val="00BE0620"/>
    <w:rsid w:val="00BE0FB2"/>
    <w:rsid w:val="00BE15F8"/>
    <w:rsid w:val="00BE1A13"/>
    <w:rsid w:val="00BE21AA"/>
    <w:rsid w:val="00BE224A"/>
    <w:rsid w:val="00BE2332"/>
    <w:rsid w:val="00BE339F"/>
    <w:rsid w:val="00BE3435"/>
    <w:rsid w:val="00BE3F00"/>
    <w:rsid w:val="00BE5DF4"/>
    <w:rsid w:val="00BE7106"/>
    <w:rsid w:val="00BE7E7F"/>
    <w:rsid w:val="00BF19B6"/>
    <w:rsid w:val="00BF347B"/>
    <w:rsid w:val="00BF35A6"/>
    <w:rsid w:val="00BF38F2"/>
    <w:rsid w:val="00BF4B22"/>
    <w:rsid w:val="00BF524D"/>
    <w:rsid w:val="00BF6140"/>
    <w:rsid w:val="00C0054E"/>
    <w:rsid w:val="00C0275B"/>
    <w:rsid w:val="00C02B1A"/>
    <w:rsid w:val="00C0394E"/>
    <w:rsid w:val="00C0513A"/>
    <w:rsid w:val="00C05AE6"/>
    <w:rsid w:val="00C05E90"/>
    <w:rsid w:val="00C066FD"/>
    <w:rsid w:val="00C118AE"/>
    <w:rsid w:val="00C11909"/>
    <w:rsid w:val="00C11F37"/>
    <w:rsid w:val="00C12812"/>
    <w:rsid w:val="00C142A6"/>
    <w:rsid w:val="00C1512C"/>
    <w:rsid w:val="00C1739C"/>
    <w:rsid w:val="00C20079"/>
    <w:rsid w:val="00C20212"/>
    <w:rsid w:val="00C202E0"/>
    <w:rsid w:val="00C205AA"/>
    <w:rsid w:val="00C2074B"/>
    <w:rsid w:val="00C207C2"/>
    <w:rsid w:val="00C208D7"/>
    <w:rsid w:val="00C20EB8"/>
    <w:rsid w:val="00C21F03"/>
    <w:rsid w:val="00C21F56"/>
    <w:rsid w:val="00C2281E"/>
    <w:rsid w:val="00C23CB2"/>
    <w:rsid w:val="00C23E76"/>
    <w:rsid w:val="00C257A2"/>
    <w:rsid w:val="00C30693"/>
    <w:rsid w:val="00C30A04"/>
    <w:rsid w:val="00C31206"/>
    <w:rsid w:val="00C3176A"/>
    <w:rsid w:val="00C32445"/>
    <w:rsid w:val="00C32824"/>
    <w:rsid w:val="00C32F80"/>
    <w:rsid w:val="00C34B0E"/>
    <w:rsid w:val="00C35093"/>
    <w:rsid w:val="00C355DA"/>
    <w:rsid w:val="00C40799"/>
    <w:rsid w:val="00C40AF8"/>
    <w:rsid w:val="00C41128"/>
    <w:rsid w:val="00C415D3"/>
    <w:rsid w:val="00C41F94"/>
    <w:rsid w:val="00C426F1"/>
    <w:rsid w:val="00C44E07"/>
    <w:rsid w:val="00C44E4B"/>
    <w:rsid w:val="00C44FF6"/>
    <w:rsid w:val="00C451F4"/>
    <w:rsid w:val="00C4552C"/>
    <w:rsid w:val="00C4598B"/>
    <w:rsid w:val="00C45DD7"/>
    <w:rsid w:val="00C4684C"/>
    <w:rsid w:val="00C4704E"/>
    <w:rsid w:val="00C47947"/>
    <w:rsid w:val="00C50895"/>
    <w:rsid w:val="00C50B0D"/>
    <w:rsid w:val="00C51263"/>
    <w:rsid w:val="00C51D75"/>
    <w:rsid w:val="00C51E25"/>
    <w:rsid w:val="00C532AD"/>
    <w:rsid w:val="00C53AF5"/>
    <w:rsid w:val="00C5467D"/>
    <w:rsid w:val="00C54709"/>
    <w:rsid w:val="00C5505A"/>
    <w:rsid w:val="00C5507E"/>
    <w:rsid w:val="00C5679F"/>
    <w:rsid w:val="00C57E26"/>
    <w:rsid w:val="00C6007B"/>
    <w:rsid w:val="00C6054D"/>
    <w:rsid w:val="00C6166B"/>
    <w:rsid w:val="00C62480"/>
    <w:rsid w:val="00C63325"/>
    <w:rsid w:val="00C635D9"/>
    <w:rsid w:val="00C63DF1"/>
    <w:rsid w:val="00C64D71"/>
    <w:rsid w:val="00C6568A"/>
    <w:rsid w:val="00C65926"/>
    <w:rsid w:val="00C66F0D"/>
    <w:rsid w:val="00C70AC2"/>
    <w:rsid w:val="00C71B7E"/>
    <w:rsid w:val="00C72BA2"/>
    <w:rsid w:val="00C73ACE"/>
    <w:rsid w:val="00C75086"/>
    <w:rsid w:val="00C77873"/>
    <w:rsid w:val="00C815E5"/>
    <w:rsid w:val="00C8240B"/>
    <w:rsid w:val="00C83D90"/>
    <w:rsid w:val="00C85125"/>
    <w:rsid w:val="00C85368"/>
    <w:rsid w:val="00C86151"/>
    <w:rsid w:val="00C86751"/>
    <w:rsid w:val="00C905D8"/>
    <w:rsid w:val="00C90ACA"/>
    <w:rsid w:val="00C91760"/>
    <w:rsid w:val="00C92487"/>
    <w:rsid w:val="00C930DE"/>
    <w:rsid w:val="00C93C0D"/>
    <w:rsid w:val="00C95C5A"/>
    <w:rsid w:val="00C961E2"/>
    <w:rsid w:val="00C96252"/>
    <w:rsid w:val="00C97892"/>
    <w:rsid w:val="00C97A4D"/>
    <w:rsid w:val="00CA0FBA"/>
    <w:rsid w:val="00CA2000"/>
    <w:rsid w:val="00CA3CCE"/>
    <w:rsid w:val="00CA4E03"/>
    <w:rsid w:val="00CA550C"/>
    <w:rsid w:val="00CA59EE"/>
    <w:rsid w:val="00CA674E"/>
    <w:rsid w:val="00CA733C"/>
    <w:rsid w:val="00CA78AA"/>
    <w:rsid w:val="00CA7C69"/>
    <w:rsid w:val="00CA7F30"/>
    <w:rsid w:val="00CB040A"/>
    <w:rsid w:val="00CB5929"/>
    <w:rsid w:val="00CB602B"/>
    <w:rsid w:val="00CB6858"/>
    <w:rsid w:val="00CB6F63"/>
    <w:rsid w:val="00CC0635"/>
    <w:rsid w:val="00CC0698"/>
    <w:rsid w:val="00CC161C"/>
    <w:rsid w:val="00CC1EEA"/>
    <w:rsid w:val="00CC1FCE"/>
    <w:rsid w:val="00CC20F0"/>
    <w:rsid w:val="00CC2962"/>
    <w:rsid w:val="00CC382D"/>
    <w:rsid w:val="00CC3C1C"/>
    <w:rsid w:val="00CC3DD3"/>
    <w:rsid w:val="00CC428D"/>
    <w:rsid w:val="00CC4CD8"/>
    <w:rsid w:val="00CC5145"/>
    <w:rsid w:val="00CC73EE"/>
    <w:rsid w:val="00CC78B1"/>
    <w:rsid w:val="00CC78E6"/>
    <w:rsid w:val="00CC7F3F"/>
    <w:rsid w:val="00CD0177"/>
    <w:rsid w:val="00CD124D"/>
    <w:rsid w:val="00CD17A2"/>
    <w:rsid w:val="00CD23F2"/>
    <w:rsid w:val="00CD2919"/>
    <w:rsid w:val="00CD3246"/>
    <w:rsid w:val="00CD57DE"/>
    <w:rsid w:val="00CD585D"/>
    <w:rsid w:val="00CD6438"/>
    <w:rsid w:val="00CD749E"/>
    <w:rsid w:val="00CE0DAE"/>
    <w:rsid w:val="00CE2E1E"/>
    <w:rsid w:val="00CE2E89"/>
    <w:rsid w:val="00CE3556"/>
    <w:rsid w:val="00CE424B"/>
    <w:rsid w:val="00CE4616"/>
    <w:rsid w:val="00CE4AF5"/>
    <w:rsid w:val="00CE696D"/>
    <w:rsid w:val="00CF0D40"/>
    <w:rsid w:val="00CF248E"/>
    <w:rsid w:val="00CF3519"/>
    <w:rsid w:val="00CF397E"/>
    <w:rsid w:val="00CF3C44"/>
    <w:rsid w:val="00CF42E3"/>
    <w:rsid w:val="00CF557B"/>
    <w:rsid w:val="00CF5585"/>
    <w:rsid w:val="00CF5852"/>
    <w:rsid w:val="00CF75E7"/>
    <w:rsid w:val="00D00968"/>
    <w:rsid w:val="00D00B00"/>
    <w:rsid w:val="00D011C1"/>
    <w:rsid w:val="00D03612"/>
    <w:rsid w:val="00D0373E"/>
    <w:rsid w:val="00D06263"/>
    <w:rsid w:val="00D066F1"/>
    <w:rsid w:val="00D06942"/>
    <w:rsid w:val="00D06A4A"/>
    <w:rsid w:val="00D07EE1"/>
    <w:rsid w:val="00D10C63"/>
    <w:rsid w:val="00D112EB"/>
    <w:rsid w:val="00D116BE"/>
    <w:rsid w:val="00D12266"/>
    <w:rsid w:val="00D12304"/>
    <w:rsid w:val="00D13C9A"/>
    <w:rsid w:val="00D142DE"/>
    <w:rsid w:val="00D1500D"/>
    <w:rsid w:val="00D161E9"/>
    <w:rsid w:val="00D166B3"/>
    <w:rsid w:val="00D1786F"/>
    <w:rsid w:val="00D20EAD"/>
    <w:rsid w:val="00D212B2"/>
    <w:rsid w:val="00D214C4"/>
    <w:rsid w:val="00D218D0"/>
    <w:rsid w:val="00D21B2A"/>
    <w:rsid w:val="00D22483"/>
    <w:rsid w:val="00D22871"/>
    <w:rsid w:val="00D22C5A"/>
    <w:rsid w:val="00D244ED"/>
    <w:rsid w:val="00D24C88"/>
    <w:rsid w:val="00D25429"/>
    <w:rsid w:val="00D25488"/>
    <w:rsid w:val="00D258A1"/>
    <w:rsid w:val="00D27AAE"/>
    <w:rsid w:val="00D301D4"/>
    <w:rsid w:val="00D301F5"/>
    <w:rsid w:val="00D312D6"/>
    <w:rsid w:val="00D3178F"/>
    <w:rsid w:val="00D32014"/>
    <w:rsid w:val="00D32945"/>
    <w:rsid w:val="00D34040"/>
    <w:rsid w:val="00D3528B"/>
    <w:rsid w:val="00D353AD"/>
    <w:rsid w:val="00D3688F"/>
    <w:rsid w:val="00D36C0E"/>
    <w:rsid w:val="00D373F3"/>
    <w:rsid w:val="00D37B2E"/>
    <w:rsid w:val="00D37EEF"/>
    <w:rsid w:val="00D404D1"/>
    <w:rsid w:val="00D43383"/>
    <w:rsid w:val="00D444FB"/>
    <w:rsid w:val="00D46AB9"/>
    <w:rsid w:val="00D4771E"/>
    <w:rsid w:val="00D50657"/>
    <w:rsid w:val="00D515B3"/>
    <w:rsid w:val="00D51709"/>
    <w:rsid w:val="00D524FF"/>
    <w:rsid w:val="00D528A0"/>
    <w:rsid w:val="00D5494F"/>
    <w:rsid w:val="00D54C5F"/>
    <w:rsid w:val="00D555FF"/>
    <w:rsid w:val="00D55BC5"/>
    <w:rsid w:val="00D5614F"/>
    <w:rsid w:val="00D572D1"/>
    <w:rsid w:val="00D61204"/>
    <w:rsid w:val="00D6165F"/>
    <w:rsid w:val="00D61CCA"/>
    <w:rsid w:val="00D61E52"/>
    <w:rsid w:val="00D62594"/>
    <w:rsid w:val="00D63230"/>
    <w:rsid w:val="00D63D7B"/>
    <w:rsid w:val="00D6467B"/>
    <w:rsid w:val="00D64953"/>
    <w:rsid w:val="00D658C1"/>
    <w:rsid w:val="00D65B38"/>
    <w:rsid w:val="00D662C9"/>
    <w:rsid w:val="00D67C75"/>
    <w:rsid w:val="00D70D2E"/>
    <w:rsid w:val="00D70DA2"/>
    <w:rsid w:val="00D7155A"/>
    <w:rsid w:val="00D71829"/>
    <w:rsid w:val="00D718C8"/>
    <w:rsid w:val="00D730F9"/>
    <w:rsid w:val="00D7445A"/>
    <w:rsid w:val="00D74A7B"/>
    <w:rsid w:val="00D74DE7"/>
    <w:rsid w:val="00D753BE"/>
    <w:rsid w:val="00D75782"/>
    <w:rsid w:val="00D7594B"/>
    <w:rsid w:val="00D76F38"/>
    <w:rsid w:val="00D77D8B"/>
    <w:rsid w:val="00D8048D"/>
    <w:rsid w:val="00D80A49"/>
    <w:rsid w:val="00D80C9D"/>
    <w:rsid w:val="00D819B6"/>
    <w:rsid w:val="00D83617"/>
    <w:rsid w:val="00D83CEC"/>
    <w:rsid w:val="00D840A2"/>
    <w:rsid w:val="00D852DD"/>
    <w:rsid w:val="00D86570"/>
    <w:rsid w:val="00D86AB1"/>
    <w:rsid w:val="00D90CA5"/>
    <w:rsid w:val="00D9177D"/>
    <w:rsid w:val="00D923C1"/>
    <w:rsid w:val="00D9250C"/>
    <w:rsid w:val="00D93EB4"/>
    <w:rsid w:val="00D95876"/>
    <w:rsid w:val="00D9693D"/>
    <w:rsid w:val="00DA086E"/>
    <w:rsid w:val="00DA0E64"/>
    <w:rsid w:val="00DA268C"/>
    <w:rsid w:val="00DA30DF"/>
    <w:rsid w:val="00DA5C46"/>
    <w:rsid w:val="00DA62A6"/>
    <w:rsid w:val="00DA65FB"/>
    <w:rsid w:val="00DA6D36"/>
    <w:rsid w:val="00DA6FC9"/>
    <w:rsid w:val="00DA707B"/>
    <w:rsid w:val="00DB03ED"/>
    <w:rsid w:val="00DB08A6"/>
    <w:rsid w:val="00DB0FD9"/>
    <w:rsid w:val="00DB13FA"/>
    <w:rsid w:val="00DB15F8"/>
    <w:rsid w:val="00DB1A0C"/>
    <w:rsid w:val="00DB23E5"/>
    <w:rsid w:val="00DB245F"/>
    <w:rsid w:val="00DB26B4"/>
    <w:rsid w:val="00DB283D"/>
    <w:rsid w:val="00DB37D5"/>
    <w:rsid w:val="00DB3932"/>
    <w:rsid w:val="00DB476F"/>
    <w:rsid w:val="00DB4863"/>
    <w:rsid w:val="00DB6BFC"/>
    <w:rsid w:val="00DB729B"/>
    <w:rsid w:val="00DB7488"/>
    <w:rsid w:val="00DB7924"/>
    <w:rsid w:val="00DB7F85"/>
    <w:rsid w:val="00DC0CB6"/>
    <w:rsid w:val="00DC15EB"/>
    <w:rsid w:val="00DC1AA3"/>
    <w:rsid w:val="00DC228F"/>
    <w:rsid w:val="00DC2F5D"/>
    <w:rsid w:val="00DC2F9F"/>
    <w:rsid w:val="00DC52A0"/>
    <w:rsid w:val="00DC7C33"/>
    <w:rsid w:val="00DC7E13"/>
    <w:rsid w:val="00DD0700"/>
    <w:rsid w:val="00DD16EB"/>
    <w:rsid w:val="00DD1E71"/>
    <w:rsid w:val="00DD259F"/>
    <w:rsid w:val="00DD2781"/>
    <w:rsid w:val="00DD3A66"/>
    <w:rsid w:val="00DD3F5E"/>
    <w:rsid w:val="00DD439D"/>
    <w:rsid w:val="00DD6AE1"/>
    <w:rsid w:val="00DD6E9C"/>
    <w:rsid w:val="00DD7D53"/>
    <w:rsid w:val="00DE16A7"/>
    <w:rsid w:val="00DE1AB0"/>
    <w:rsid w:val="00DE291B"/>
    <w:rsid w:val="00DE4B58"/>
    <w:rsid w:val="00DE5E70"/>
    <w:rsid w:val="00DE680C"/>
    <w:rsid w:val="00DE7B9E"/>
    <w:rsid w:val="00DE7DF1"/>
    <w:rsid w:val="00DF0658"/>
    <w:rsid w:val="00DF14B1"/>
    <w:rsid w:val="00DF237F"/>
    <w:rsid w:val="00DF2AF9"/>
    <w:rsid w:val="00DF3C9A"/>
    <w:rsid w:val="00DF442B"/>
    <w:rsid w:val="00DF4560"/>
    <w:rsid w:val="00DF50E3"/>
    <w:rsid w:val="00DF56F0"/>
    <w:rsid w:val="00DF5C93"/>
    <w:rsid w:val="00DF6689"/>
    <w:rsid w:val="00DF6BCA"/>
    <w:rsid w:val="00DF7197"/>
    <w:rsid w:val="00DF77C0"/>
    <w:rsid w:val="00DF7C81"/>
    <w:rsid w:val="00E0079E"/>
    <w:rsid w:val="00E01861"/>
    <w:rsid w:val="00E03931"/>
    <w:rsid w:val="00E03E29"/>
    <w:rsid w:val="00E052BC"/>
    <w:rsid w:val="00E05939"/>
    <w:rsid w:val="00E05EEF"/>
    <w:rsid w:val="00E100E8"/>
    <w:rsid w:val="00E1131A"/>
    <w:rsid w:val="00E11783"/>
    <w:rsid w:val="00E11B4B"/>
    <w:rsid w:val="00E11BB3"/>
    <w:rsid w:val="00E12160"/>
    <w:rsid w:val="00E129AE"/>
    <w:rsid w:val="00E13612"/>
    <w:rsid w:val="00E13A1D"/>
    <w:rsid w:val="00E14435"/>
    <w:rsid w:val="00E145C0"/>
    <w:rsid w:val="00E14F35"/>
    <w:rsid w:val="00E1544F"/>
    <w:rsid w:val="00E16BF0"/>
    <w:rsid w:val="00E215A7"/>
    <w:rsid w:val="00E21948"/>
    <w:rsid w:val="00E221BF"/>
    <w:rsid w:val="00E24078"/>
    <w:rsid w:val="00E25A99"/>
    <w:rsid w:val="00E2629A"/>
    <w:rsid w:val="00E265A4"/>
    <w:rsid w:val="00E27E95"/>
    <w:rsid w:val="00E30F9E"/>
    <w:rsid w:val="00E31850"/>
    <w:rsid w:val="00E32AA9"/>
    <w:rsid w:val="00E33362"/>
    <w:rsid w:val="00E33902"/>
    <w:rsid w:val="00E33C70"/>
    <w:rsid w:val="00E36171"/>
    <w:rsid w:val="00E37248"/>
    <w:rsid w:val="00E403D2"/>
    <w:rsid w:val="00E40ED2"/>
    <w:rsid w:val="00E41004"/>
    <w:rsid w:val="00E42BA4"/>
    <w:rsid w:val="00E4362A"/>
    <w:rsid w:val="00E45194"/>
    <w:rsid w:val="00E45F92"/>
    <w:rsid w:val="00E46A01"/>
    <w:rsid w:val="00E46DB2"/>
    <w:rsid w:val="00E47859"/>
    <w:rsid w:val="00E47DB3"/>
    <w:rsid w:val="00E525AB"/>
    <w:rsid w:val="00E53154"/>
    <w:rsid w:val="00E548F4"/>
    <w:rsid w:val="00E54C2D"/>
    <w:rsid w:val="00E5616D"/>
    <w:rsid w:val="00E56C8C"/>
    <w:rsid w:val="00E60DA8"/>
    <w:rsid w:val="00E611AB"/>
    <w:rsid w:val="00E6232C"/>
    <w:rsid w:val="00E63C05"/>
    <w:rsid w:val="00E64BAF"/>
    <w:rsid w:val="00E657FF"/>
    <w:rsid w:val="00E659CB"/>
    <w:rsid w:val="00E65A11"/>
    <w:rsid w:val="00E65F40"/>
    <w:rsid w:val="00E6643D"/>
    <w:rsid w:val="00E666C3"/>
    <w:rsid w:val="00E670C8"/>
    <w:rsid w:val="00E678EE"/>
    <w:rsid w:val="00E67FFD"/>
    <w:rsid w:val="00E709EB"/>
    <w:rsid w:val="00E71267"/>
    <w:rsid w:val="00E7364F"/>
    <w:rsid w:val="00E75DF7"/>
    <w:rsid w:val="00E7715B"/>
    <w:rsid w:val="00E8111A"/>
    <w:rsid w:val="00E822C7"/>
    <w:rsid w:val="00E823D8"/>
    <w:rsid w:val="00E82B59"/>
    <w:rsid w:val="00E83302"/>
    <w:rsid w:val="00E83E83"/>
    <w:rsid w:val="00E85499"/>
    <w:rsid w:val="00E85C89"/>
    <w:rsid w:val="00E8656C"/>
    <w:rsid w:val="00E87A8F"/>
    <w:rsid w:val="00E90477"/>
    <w:rsid w:val="00E9078E"/>
    <w:rsid w:val="00E90E09"/>
    <w:rsid w:val="00E90E6C"/>
    <w:rsid w:val="00E911AC"/>
    <w:rsid w:val="00E91613"/>
    <w:rsid w:val="00E91C12"/>
    <w:rsid w:val="00E91E71"/>
    <w:rsid w:val="00E947E3"/>
    <w:rsid w:val="00E95846"/>
    <w:rsid w:val="00E96B88"/>
    <w:rsid w:val="00E96EC9"/>
    <w:rsid w:val="00E9769B"/>
    <w:rsid w:val="00EA03DF"/>
    <w:rsid w:val="00EA0A48"/>
    <w:rsid w:val="00EA120A"/>
    <w:rsid w:val="00EA2448"/>
    <w:rsid w:val="00EA278C"/>
    <w:rsid w:val="00EA2EAB"/>
    <w:rsid w:val="00EA32EE"/>
    <w:rsid w:val="00EA3E6A"/>
    <w:rsid w:val="00EA56B4"/>
    <w:rsid w:val="00EA56B7"/>
    <w:rsid w:val="00EA5BB6"/>
    <w:rsid w:val="00EA5BC6"/>
    <w:rsid w:val="00EA6F3C"/>
    <w:rsid w:val="00EA7A24"/>
    <w:rsid w:val="00EB0872"/>
    <w:rsid w:val="00EB0CE3"/>
    <w:rsid w:val="00EB14FC"/>
    <w:rsid w:val="00EB4D0C"/>
    <w:rsid w:val="00EB58E8"/>
    <w:rsid w:val="00EB5F7E"/>
    <w:rsid w:val="00EB6D36"/>
    <w:rsid w:val="00EB709E"/>
    <w:rsid w:val="00EB7AB2"/>
    <w:rsid w:val="00EB7F1B"/>
    <w:rsid w:val="00EC13A5"/>
    <w:rsid w:val="00EC19FC"/>
    <w:rsid w:val="00EC1F33"/>
    <w:rsid w:val="00EC27C6"/>
    <w:rsid w:val="00EC38C7"/>
    <w:rsid w:val="00EC3B77"/>
    <w:rsid w:val="00EC4706"/>
    <w:rsid w:val="00EC4E45"/>
    <w:rsid w:val="00EC5188"/>
    <w:rsid w:val="00EC5B65"/>
    <w:rsid w:val="00ED08A0"/>
    <w:rsid w:val="00ED11C4"/>
    <w:rsid w:val="00ED1465"/>
    <w:rsid w:val="00ED177D"/>
    <w:rsid w:val="00ED1E1B"/>
    <w:rsid w:val="00ED238A"/>
    <w:rsid w:val="00ED2C57"/>
    <w:rsid w:val="00ED3475"/>
    <w:rsid w:val="00ED43B5"/>
    <w:rsid w:val="00ED4DA8"/>
    <w:rsid w:val="00ED517C"/>
    <w:rsid w:val="00ED5582"/>
    <w:rsid w:val="00ED55AA"/>
    <w:rsid w:val="00ED5B4B"/>
    <w:rsid w:val="00ED6B8A"/>
    <w:rsid w:val="00ED784E"/>
    <w:rsid w:val="00EE0809"/>
    <w:rsid w:val="00EE081F"/>
    <w:rsid w:val="00EE2433"/>
    <w:rsid w:val="00EE25C3"/>
    <w:rsid w:val="00EE2818"/>
    <w:rsid w:val="00EE3DE8"/>
    <w:rsid w:val="00EE4A64"/>
    <w:rsid w:val="00EE5945"/>
    <w:rsid w:val="00EE5C4B"/>
    <w:rsid w:val="00EE6148"/>
    <w:rsid w:val="00EE66E5"/>
    <w:rsid w:val="00EE7564"/>
    <w:rsid w:val="00EE792B"/>
    <w:rsid w:val="00EF008A"/>
    <w:rsid w:val="00EF0994"/>
    <w:rsid w:val="00EF0CA9"/>
    <w:rsid w:val="00EF16C0"/>
    <w:rsid w:val="00EF1EE3"/>
    <w:rsid w:val="00EF2753"/>
    <w:rsid w:val="00EF3C38"/>
    <w:rsid w:val="00EF4816"/>
    <w:rsid w:val="00EF4BB6"/>
    <w:rsid w:val="00EF4DCF"/>
    <w:rsid w:val="00EF5222"/>
    <w:rsid w:val="00EF5A49"/>
    <w:rsid w:val="00EF64A2"/>
    <w:rsid w:val="00EF6DBB"/>
    <w:rsid w:val="00EF6FD2"/>
    <w:rsid w:val="00EF7635"/>
    <w:rsid w:val="00EF7E23"/>
    <w:rsid w:val="00F003CC"/>
    <w:rsid w:val="00F01092"/>
    <w:rsid w:val="00F011D7"/>
    <w:rsid w:val="00F01B35"/>
    <w:rsid w:val="00F021ED"/>
    <w:rsid w:val="00F02410"/>
    <w:rsid w:val="00F02EB0"/>
    <w:rsid w:val="00F04512"/>
    <w:rsid w:val="00F05D6D"/>
    <w:rsid w:val="00F06D6B"/>
    <w:rsid w:val="00F06E76"/>
    <w:rsid w:val="00F071CC"/>
    <w:rsid w:val="00F0749B"/>
    <w:rsid w:val="00F1194F"/>
    <w:rsid w:val="00F129B8"/>
    <w:rsid w:val="00F12F0D"/>
    <w:rsid w:val="00F12F34"/>
    <w:rsid w:val="00F145E0"/>
    <w:rsid w:val="00F15BA5"/>
    <w:rsid w:val="00F16B6A"/>
    <w:rsid w:val="00F16DA1"/>
    <w:rsid w:val="00F20F1D"/>
    <w:rsid w:val="00F21735"/>
    <w:rsid w:val="00F2231C"/>
    <w:rsid w:val="00F22CF5"/>
    <w:rsid w:val="00F23B37"/>
    <w:rsid w:val="00F24FC7"/>
    <w:rsid w:val="00F266EC"/>
    <w:rsid w:val="00F26E40"/>
    <w:rsid w:val="00F3098A"/>
    <w:rsid w:val="00F31224"/>
    <w:rsid w:val="00F31979"/>
    <w:rsid w:val="00F31B8B"/>
    <w:rsid w:val="00F339AC"/>
    <w:rsid w:val="00F340C3"/>
    <w:rsid w:val="00F34446"/>
    <w:rsid w:val="00F3544A"/>
    <w:rsid w:val="00F35997"/>
    <w:rsid w:val="00F35DCB"/>
    <w:rsid w:val="00F3635C"/>
    <w:rsid w:val="00F3656C"/>
    <w:rsid w:val="00F3674A"/>
    <w:rsid w:val="00F407D6"/>
    <w:rsid w:val="00F409D6"/>
    <w:rsid w:val="00F409E9"/>
    <w:rsid w:val="00F40B0D"/>
    <w:rsid w:val="00F42128"/>
    <w:rsid w:val="00F42A74"/>
    <w:rsid w:val="00F43A9E"/>
    <w:rsid w:val="00F43DF5"/>
    <w:rsid w:val="00F4453A"/>
    <w:rsid w:val="00F44753"/>
    <w:rsid w:val="00F448F4"/>
    <w:rsid w:val="00F45449"/>
    <w:rsid w:val="00F47088"/>
    <w:rsid w:val="00F4757D"/>
    <w:rsid w:val="00F508BA"/>
    <w:rsid w:val="00F50A06"/>
    <w:rsid w:val="00F539A7"/>
    <w:rsid w:val="00F541D3"/>
    <w:rsid w:val="00F544CE"/>
    <w:rsid w:val="00F5541E"/>
    <w:rsid w:val="00F56031"/>
    <w:rsid w:val="00F566BC"/>
    <w:rsid w:val="00F56F09"/>
    <w:rsid w:val="00F577D4"/>
    <w:rsid w:val="00F57EE4"/>
    <w:rsid w:val="00F615F4"/>
    <w:rsid w:val="00F627E8"/>
    <w:rsid w:val="00F63707"/>
    <w:rsid w:val="00F63FF0"/>
    <w:rsid w:val="00F64012"/>
    <w:rsid w:val="00F64627"/>
    <w:rsid w:val="00F64C4D"/>
    <w:rsid w:val="00F64F64"/>
    <w:rsid w:val="00F66005"/>
    <w:rsid w:val="00F6706B"/>
    <w:rsid w:val="00F679B3"/>
    <w:rsid w:val="00F703E9"/>
    <w:rsid w:val="00F71075"/>
    <w:rsid w:val="00F71231"/>
    <w:rsid w:val="00F74EA6"/>
    <w:rsid w:val="00F76B41"/>
    <w:rsid w:val="00F8067C"/>
    <w:rsid w:val="00F8369A"/>
    <w:rsid w:val="00F83CB7"/>
    <w:rsid w:val="00F84211"/>
    <w:rsid w:val="00F84BCE"/>
    <w:rsid w:val="00F84E53"/>
    <w:rsid w:val="00F85447"/>
    <w:rsid w:val="00F86524"/>
    <w:rsid w:val="00F87767"/>
    <w:rsid w:val="00F92B5E"/>
    <w:rsid w:val="00F93320"/>
    <w:rsid w:val="00F93624"/>
    <w:rsid w:val="00F93BEB"/>
    <w:rsid w:val="00F93EF8"/>
    <w:rsid w:val="00F95123"/>
    <w:rsid w:val="00F952DD"/>
    <w:rsid w:val="00F9783D"/>
    <w:rsid w:val="00FA00FC"/>
    <w:rsid w:val="00FA095B"/>
    <w:rsid w:val="00FA251F"/>
    <w:rsid w:val="00FA28E9"/>
    <w:rsid w:val="00FA4805"/>
    <w:rsid w:val="00FA4EB5"/>
    <w:rsid w:val="00FA6475"/>
    <w:rsid w:val="00FA7C38"/>
    <w:rsid w:val="00FB1412"/>
    <w:rsid w:val="00FB1AE0"/>
    <w:rsid w:val="00FB20E3"/>
    <w:rsid w:val="00FB2428"/>
    <w:rsid w:val="00FB29DE"/>
    <w:rsid w:val="00FB3203"/>
    <w:rsid w:val="00FB44EF"/>
    <w:rsid w:val="00FB554A"/>
    <w:rsid w:val="00FB624F"/>
    <w:rsid w:val="00FB627F"/>
    <w:rsid w:val="00FC0525"/>
    <w:rsid w:val="00FC0945"/>
    <w:rsid w:val="00FC0982"/>
    <w:rsid w:val="00FC0C67"/>
    <w:rsid w:val="00FC0EE5"/>
    <w:rsid w:val="00FC0EF3"/>
    <w:rsid w:val="00FC1378"/>
    <w:rsid w:val="00FC269A"/>
    <w:rsid w:val="00FC2E65"/>
    <w:rsid w:val="00FC31F9"/>
    <w:rsid w:val="00FC3E7E"/>
    <w:rsid w:val="00FC4021"/>
    <w:rsid w:val="00FC4216"/>
    <w:rsid w:val="00FC5C1A"/>
    <w:rsid w:val="00FC67E4"/>
    <w:rsid w:val="00FD18ED"/>
    <w:rsid w:val="00FD20E8"/>
    <w:rsid w:val="00FD29FE"/>
    <w:rsid w:val="00FD3C6D"/>
    <w:rsid w:val="00FD48B0"/>
    <w:rsid w:val="00FD5509"/>
    <w:rsid w:val="00FD7314"/>
    <w:rsid w:val="00FD797E"/>
    <w:rsid w:val="00FE048E"/>
    <w:rsid w:val="00FE0FA7"/>
    <w:rsid w:val="00FE1748"/>
    <w:rsid w:val="00FE1C2B"/>
    <w:rsid w:val="00FE2E90"/>
    <w:rsid w:val="00FE33E1"/>
    <w:rsid w:val="00FE5642"/>
    <w:rsid w:val="00FE59A9"/>
    <w:rsid w:val="00FE5B9F"/>
    <w:rsid w:val="00FE5FFA"/>
    <w:rsid w:val="00FE6DEF"/>
    <w:rsid w:val="00FE7E76"/>
    <w:rsid w:val="00FF006D"/>
    <w:rsid w:val="00FF0327"/>
    <w:rsid w:val="00FF0A04"/>
    <w:rsid w:val="00FF12A3"/>
    <w:rsid w:val="00FF1CFA"/>
    <w:rsid w:val="00FF2AFC"/>
    <w:rsid w:val="00FF4DB8"/>
    <w:rsid w:val="00FF5096"/>
    <w:rsid w:val="00FF5214"/>
    <w:rsid w:val="00FF5388"/>
    <w:rsid w:val="00FF5CDF"/>
    <w:rsid w:val="00FF5F4E"/>
    <w:rsid w:val="00FF64A1"/>
    <w:rsid w:val="00FF6565"/>
    <w:rsid w:val="00FF6E0B"/>
    <w:rsid w:val="00FF783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75827"/>
    <o:shapelayout v:ext="edit">
      <o:idmap v:ext="edit" data="1"/>
    </o:shapelayout>
  </w:shapeDefaults>
  <w:decimalSymbol w:val="."/>
  <w:listSeparator w:val=","/>
  <w14:docId w14:val="1EAD8C35"/>
  <w15:docId w15:val="{9DC8CAD0-D5D9-4CC5-929C-C44A7D25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264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E264B"/>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264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E264B"/>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264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264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E264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E264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E264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E264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E264B"/>
    <w:pPr>
      <w:numPr>
        <w:numId w:val="1"/>
      </w:numPr>
    </w:pPr>
  </w:style>
  <w:style w:type="numbering" w:styleId="1ai">
    <w:name w:val="Outline List 1"/>
    <w:basedOn w:val="NoList"/>
    <w:uiPriority w:val="99"/>
    <w:unhideWhenUsed/>
    <w:rsid w:val="008E264B"/>
    <w:pPr>
      <w:numPr>
        <w:numId w:val="2"/>
      </w:numPr>
    </w:pPr>
  </w:style>
  <w:style w:type="paragraph" w:customStyle="1" w:styleId="ActHead1">
    <w:name w:val="ActHead 1"/>
    <w:aliases w:val="c"/>
    <w:basedOn w:val="OPCParaBase"/>
    <w:next w:val="Normal"/>
    <w:qFormat/>
    <w:rsid w:val="008E26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26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26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26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26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26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26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26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264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8E264B"/>
  </w:style>
  <w:style w:type="paragraph" w:customStyle="1" w:styleId="Actno">
    <w:name w:val="Actno"/>
    <w:basedOn w:val="ShortT"/>
    <w:next w:val="Normal"/>
    <w:qFormat/>
    <w:rsid w:val="008E264B"/>
  </w:style>
  <w:style w:type="character" w:customStyle="1" w:styleId="CharSubPartNoCASA">
    <w:name w:val="CharSubPartNo(CASA)"/>
    <w:basedOn w:val="OPCCharBase"/>
    <w:uiPriority w:val="1"/>
    <w:rsid w:val="008E264B"/>
  </w:style>
  <w:style w:type="paragraph" w:customStyle="1" w:styleId="ENoteTTIndentHeadingSub">
    <w:name w:val="ENoteTTIndentHeadingSub"/>
    <w:aliases w:val="enTTHis"/>
    <w:basedOn w:val="OPCParaBase"/>
    <w:rsid w:val="008E264B"/>
    <w:pPr>
      <w:keepNext/>
      <w:spacing w:before="60" w:line="240" w:lineRule="atLeast"/>
      <w:ind w:left="340"/>
    </w:pPr>
    <w:rPr>
      <w:b/>
      <w:sz w:val="16"/>
    </w:rPr>
  </w:style>
  <w:style w:type="paragraph" w:customStyle="1" w:styleId="ENoteTTiSub">
    <w:name w:val="ENoteTTiSub"/>
    <w:aliases w:val="enttis"/>
    <w:basedOn w:val="OPCParaBase"/>
    <w:rsid w:val="008E264B"/>
    <w:pPr>
      <w:keepNext/>
      <w:spacing w:before="60" w:line="240" w:lineRule="atLeast"/>
      <w:ind w:left="340"/>
    </w:pPr>
    <w:rPr>
      <w:sz w:val="16"/>
    </w:rPr>
  </w:style>
  <w:style w:type="paragraph" w:customStyle="1" w:styleId="SubDivisionMigration">
    <w:name w:val="SubDivisionMigration"/>
    <w:aliases w:val="sdm"/>
    <w:basedOn w:val="OPCParaBase"/>
    <w:rsid w:val="008E26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264B"/>
    <w:pPr>
      <w:keepNext/>
      <w:keepLines/>
      <w:spacing w:before="240" w:line="240" w:lineRule="auto"/>
      <w:ind w:left="1134" w:hanging="1134"/>
    </w:pPr>
    <w:rPr>
      <w:b/>
      <w:sz w:val="28"/>
    </w:rPr>
  </w:style>
  <w:style w:type="numbering" w:styleId="ArticleSection">
    <w:name w:val="Outline List 3"/>
    <w:basedOn w:val="NoList"/>
    <w:uiPriority w:val="99"/>
    <w:unhideWhenUsed/>
    <w:rsid w:val="008E264B"/>
    <w:pPr>
      <w:numPr>
        <w:numId w:val="3"/>
      </w:numPr>
    </w:pPr>
  </w:style>
  <w:style w:type="paragraph" w:styleId="BalloonText">
    <w:name w:val="Balloon Text"/>
    <w:basedOn w:val="Normal"/>
    <w:link w:val="BalloonTextChar"/>
    <w:uiPriority w:val="99"/>
    <w:unhideWhenUsed/>
    <w:rsid w:val="008E264B"/>
    <w:pPr>
      <w:spacing w:line="240" w:lineRule="auto"/>
    </w:pPr>
    <w:rPr>
      <w:rFonts w:ascii="Segoe UI" w:hAnsi="Segoe UI" w:cs="Segoe UI"/>
      <w:sz w:val="18"/>
      <w:szCs w:val="18"/>
    </w:rPr>
  </w:style>
  <w:style w:type="paragraph" w:styleId="BlockText">
    <w:name w:val="Block Text"/>
    <w:basedOn w:val="Normal"/>
    <w:uiPriority w:val="99"/>
    <w:unhideWhenUsed/>
    <w:rsid w:val="008E264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E264B"/>
    <w:pPr>
      <w:spacing w:line="240" w:lineRule="auto"/>
    </w:pPr>
    <w:rPr>
      <w:sz w:val="24"/>
    </w:rPr>
  </w:style>
  <w:style w:type="paragraph" w:styleId="BodyText">
    <w:name w:val="Body Text"/>
    <w:basedOn w:val="Normal"/>
    <w:link w:val="BodyTextChar"/>
    <w:uiPriority w:val="99"/>
    <w:unhideWhenUsed/>
    <w:rsid w:val="008E264B"/>
    <w:pPr>
      <w:spacing w:after="120"/>
    </w:pPr>
  </w:style>
  <w:style w:type="paragraph" w:styleId="BodyText2">
    <w:name w:val="Body Text 2"/>
    <w:basedOn w:val="Normal"/>
    <w:link w:val="BodyText2Char"/>
    <w:uiPriority w:val="99"/>
    <w:unhideWhenUsed/>
    <w:rsid w:val="008E264B"/>
    <w:pPr>
      <w:spacing w:after="120" w:line="480" w:lineRule="auto"/>
    </w:pPr>
  </w:style>
  <w:style w:type="paragraph" w:styleId="BodyText3">
    <w:name w:val="Body Text 3"/>
    <w:basedOn w:val="Normal"/>
    <w:link w:val="BodyText3Char"/>
    <w:uiPriority w:val="99"/>
    <w:unhideWhenUsed/>
    <w:rsid w:val="008E264B"/>
    <w:pPr>
      <w:spacing w:after="120"/>
    </w:pPr>
    <w:rPr>
      <w:sz w:val="16"/>
      <w:szCs w:val="16"/>
    </w:rPr>
  </w:style>
  <w:style w:type="paragraph" w:styleId="BodyTextFirstIndent">
    <w:name w:val="Body Text First Indent"/>
    <w:basedOn w:val="BodyText"/>
    <w:link w:val="BodyTextFirstIndentChar"/>
    <w:uiPriority w:val="99"/>
    <w:unhideWhenUsed/>
    <w:rsid w:val="008E264B"/>
    <w:pPr>
      <w:spacing w:after="0"/>
      <w:ind w:firstLine="360"/>
    </w:pPr>
  </w:style>
  <w:style w:type="paragraph" w:styleId="BodyTextIndent">
    <w:name w:val="Body Text Indent"/>
    <w:basedOn w:val="Normal"/>
    <w:link w:val="BodyTextIndentChar"/>
    <w:uiPriority w:val="99"/>
    <w:unhideWhenUsed/>
    <w:rsid w:val="008E264B"/>
    <w:pPr>
      <w:spacing w:after="120"/>
      <w:ind w:left="283"/>
    </w:pPr>
  </w:style>
  <w:style w:type="paragraph" w:styleId="BodyTextFirstIndent2">
    <w:name w:val="Body Text First Indent 2"/>
    <w:basedOn w:val="BodyTextIndent"/>
    <w:link w:val="BodyTextFirstIndent2Char"/>
    <w:uiPriority w:val="99"/>
    <w:unhideWhenUsed/>
    <w:rsid w:val="008E264B"/>
    <w:pPr>
      <w:spacing w:after="0"/>
      <w:ind w:left="360" w:firstLine="360"/>
    </w:pPr>
  </w:style>
  <w:style w:type="paragraph" w:styleId="BodyTextIndent2">
    <w:name w:val="Body Text Indent 2"/>
    <w:basedOn w:val="Normal"/>
    <w:link w:val="BodyTextIndent2Char"/>
    <w:uiPriority w:val="99"/>
    <w:unhideWhenUsed/>
    <w:rsid w:val="008E264B"/>
    <w:pPr>
      <w:spacing w:after="120" w:line="480" w:lineRule="auto"/>
      <w:ind w:left="283"/>
    </w:pPr>
  </w:style>
  <w:style w:type="paragraph" w:styleId="BodyTextIndent3">
    <w:name w:val="Body Text Indent 3"/>
    <w:basedOn w:val="Normal"/>
    <w:link w:val="BodyTextIndent3Char"/>
    <w:uiPriority w:val="99"/>
    <w:unhideWhenUsed/>
    <w:rsid w:val="008E264B"/>
    <w:pPr>
      <w:spacing w:after="120"/>
      <w:ind w:left="283"/>
    </w:pPr>
    <w:rPr>
      <w:sz w:val="16"/>
      <w:szCs w:val="16"/>
    </w:rPr>
  </w:style>
  <w:style w:type="paragraph" w:customStyle="1" w:styleId="BoxText">
    <w:name w:val="BoxText"/>
    <w:aliases w:val="bt"/>
    <w:basedOn w:val="OPCParaBase"/>
    <w:qFormat/>
    <w:rsid w:val="008E26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264B"/>
    <w:rPr>
      <w:b/>
    </w:rPr>
  </w:style>
  <w:style w:type="paragraph" w:customStyle="1" w:styleId="BoxHeadItalic">
    <w:name w:val="BoxHeadItalic"/>
    <w:aliases w:val="bhi"/>
    <w:basedOn w:val="BoxText"/>
    <w:next w:val="BoxStep"/>
    <w:qFormat/>
    <w:rsid w:val="008E264B"/>
    <w:rPr>
      <w:i/>
    </w:rPr>
  </w:style>
  <w:style w:type="paragraph" w:customStyle="1" w:styleId="BoxList">
    <w:name w:val="BoxList"/>
    <w:aliases w:val="bl"/>
    <w:basedOn w:val="BoxText"/>
    <w:qFormat/>
    <w:rsid w:val="008E264B"/>
    <w:pPr>
      <w:ind w:left="1559" w:hanging="425"/>
    </w:pPr>
  </w:style>
  <w:style w:type="paragraph" w:customStyle="1" w:styleId="BoxNote">
    <w:name w:val="BoxNote"/>
    <w:aliases w:val="bn"/>
    <w:basedOn w:val="BoxText"/>
    <w:qFormat/>
    <w:rsid w:val="008E264B"/>
    <w:pPr>
      <w:tabs>
        <w:tab w:val="left" w:pos="1985"/>
      </w:tabs>
      <w:spacing w:before="122" w:line="198" w:lineRule="exact"/>
      <w:ind w:left="2948" w:hanging="1814"/>
    </w:pPr>
    <w:rPr>
      <w:sz w:val="18"/>
    </w:rPr>
  </w:style>
  <w:style w:type="paragraph" w:customStyle="1" w:styleId="BoxPara">
    <w:name w:val="BoxPara"/>
    <w:aliases w:val="bp"/>
    <w:basedOn w:val="BoxText"/>
    <w:qFormat/>
    <w:rsid w:val="008E264B"/>
    <w:pPr>
      <w:tabs>
        <w:tab w:val="right" w:pos="2268"/>
      </w:tabs>
      <w:ind w:left="2552" w:hanging="1418"/>
    </w:pPr>
  </w:style>
  <w:style w:type="paragraph" w:customStyle="1" w:styleId="BoxStep">
    <w:name w:val="BoxStep"/>
    <w:aliases w:val="bs"/>
    <w:basedOn w:val="BoxText"/>
    <w:qFormat/>
    <w:rsid w:val="008E264B"/>
    <w:pPr>
      <w:ind w:left="1985" w:hanging="851"/>
    </w:pPr>
  </w:style>
  <w:style w:type="paragraph" w:styleId="Caption">
    <w:name w:val="caption"/>
    <w:basedOn w:val="Normal"/>
    <w:next w:val="Normal"/>
    <w:uiPriority w:val="35"/>
    <w:unhideWhenUsed/>
    <w:qFormat/>
    <w:rsid w:val="008E264B"/>
    <w:pPr>
      <w:spacing w:after="200" w:line="240" w:lineRule="auto"/>
    </w:pPr>
    <w:rPr>
      <w:i/>
      <w:iCs/>
      <w:color w:val="1F497D" w:themeColor="text2"/>
      <w:sz w:val="18"/>
      <w:szCs w:val="18"/>
    </w:rPr>
  </w:style>
  <w:style w:type="character" w:customStyle="1" w:styleId="CharAmPartNo">
    <w:name w:val="CharAmPartNo"/>
    <w:basedOn w:val="OPCCharBase"/>
    <w:qFormat/>
    <w:rsid w:val="008E264B"/>
  </w:style>
  <w:style w:type="character" w:customStyle="1" w:styleId="CharAmPartText">
    <w:name w:val="CharAmPartText"/>
    <w:basedOn w:val="OPCCharBase"/>
    <w:qFormat/>
    <w:rsid w:val="008E264B"/>
  </w:style>
  <w:style w:type="character" w:customStyle="1" w:styleId="CharAmSchNo">
    <w:name w:val="CharAmSchNo"/>
    <w:basedOn w:val="OPCCharBase"/>
    <w:qFormat/>
    <w:rsid w:val="008E264B"/>
  </w:style>
  <w:style w:type="character" w:customStyle="1" w:styleId="CharAmSchText">
    <w:name w:val="CharAmSchText"/>
    <w:basedOn w:val="OPCCharBase"/>
    <w:qFormat/>
    <w:rsid w:val="008E264B"/>
  </w:style>
  <w:style w:type="character" w:customStyle="1" w:styleId="CharBoldItalic">
    <w:name w:val="CharBoldItalic"/>
    <w:basedOn w:val="OPCCharBase"/>
    <w:uiPriority w:val="1"/>
    <w:qFormat/>
    <w:rsid w:val="008E264B"/>
    <w:rPr>
      <w:b/>
      <w:i/>
    </w:rPr>
  </w:style>
  <w:style w:type="character" w:customStyle="1" w:styleId="CharChapNo">
    <w:name w:val="CharChapNo"/>
    <w:basedOn w:val="OPCCharBase"/>
    <w:uiPriority w:val="1"/>
    <w:qFormat/>
    <w:rsid w:val="008E264B"/>
  </w:style>
  <w:style w:type="character" w:customStyle="1" w:styleId="CharChapText">
    <w:name w:val="CharChapText"/>
    <w:basedOn w:val="OPCCharBase"/>
    <w:uiPriority w:val="1"/>
    <w:qFormat/>
    <w:rsid w:val="008E264B"/>
  </w:style>
  <w:style w:type="character" w:customStyle="1" w:styleId="CharDivNo">
    <w:name w:val="CharDivNo"/>
    <w:basedOn w:val="OPCCharBase"/>
    <w:uiPriority w:val="1"/>
    <w:qFormat/>
    <w:rsid w:val="008E264B"/>
  </w:style>
  <w:style w:type="character" w:customStyle="1" w:styleId="CharDivText">
    <w:name w:val="CharDivText"/>
    <w:basedOn w:val="OPCCharBase"/>
    <w:uiPriority w:val="1"/>
    <w:qFormat/>
    <w:rsid w:val="008E264B"/>
  </w:style>
  <w:style w:type="character" w:customStyle="1" w:styleId="CharItalic">
    <w:name w:val="CharItalic"/>
    <w:basedOn w:val="OPCCharBase"/>
    <w:uiPriority w:val="1"/>
    <w:qFormat/>
    <w:rsid w:val="008E264B"/>
    <w:rPr>
      <w:i/>
    </w:rPr>
  </w:style>
  <w:style w:type="character" w:customStyle="1" w:styleId="CharPartNo">
    <w:name w:val="CharPartNo"/>
    <w:basedOn w:val="OPCCharBase"/>
    <w:uiPriority w:val="1"/>
    <w:qFormat/>
    <w:rsid w:val="008E264B"/>
  </w:style>
  <w:style w:type="character" w:customStyle="1" w:styleId="CharPartText">
    <w:name w:val="CharPartText"/>
    <w:basedOn w:val="OPCCharBase"/>
    <w:uiPriority w:val="1"/>
    <w:qFormat/>
    <w:rsid w:val="008E264B"/>
  </w:style>
  <w:style w:type="character" w:customStyle="1" w:styleId="CharSectno">
    <w:name w:val="CharSectno"/>
    <w:basedOn w:val="OPCCharBase"/>
    <w:qFormat/>
    <w:rsid w:val="008E264B"/>
  </w:style>
  <w:style w:type="character" w:customStyle="1" w:styleId="CharSubdNo">
    <w:name w:val="CharSubdNo"/>
    <w:basedOn w:val="OPCCharBase"/>
    <w:uiPriority w:val="1"/>
    <w:qFormat/>
    <w:rsid w:val="008E264B"/>
  </w:style>
  <w:style w:type="character" w:customStyle="1" w:styleId="CharSubdText">
    <w:name w:val="CharSubdText"/>
    <w:basedOn w:val="OPCCharBase"/>
    <w:uiPriority w:val="1"/>
    <w:qFormat/>
    <w:rsid w:val="008E264B"/>
  </w:style>
  <w:style w:type="paragraph" w:styleId="Closing">
    <w:name w:val="Closing"/>
    <w:basedOn w:val="Normal"/>
    <w:link w:val="ClosingChar"/>
    <w:uiPriority w:val="99"/>
    <w:unhideWhenUsed/>
    <w:rsid w:val="008E264B"/>
    <w:pPr>
      <w:spacing w:line="240" w:lineRule="auto"/>
      <w:ind w:left="4252"/>
    </w:pPr>
  </w:style>
  <w:style w:type="character" w:styleId="CommentReference">
    <w:name w:val="annotation reference"/>
    <w:basedOn w:val="DefaultParagraphFont"/>
    <w:uiPriority w:val="99"/>
    <w:unhideWhenUsed/>
    <w:rsid w:val="008E264B"/>
    <w:rPr>
      <w:sz w:val="16"/>
      <w:szCs w:val="16"/>
    </w:rPr>
  </w:style>
  <w:style w:type="paragraph" w:styleId="CommentText">
    <w:name w:val="annotation text"/>
    <w:basedOn w:val="Normal"/>
    <w:link w:val="CommentTextChar"/>
    <w:uiPriority w:val="99"/>
    <w:unhideWhenUsed/>
    <w:rsid w:val="008E264B"/>
    <w:pPr>
      <w:spacing w:line="240" w:lineRule="auto"/>
    </w:pPr>
    <w:rPr>
      <w:sz w:val="20"/>
    </w:rPr>
  </w:style>
  <w:style w:type="paragraph" w:styleId="CommentSubject">
    <w:name w:val="annotation subject"/>
    <w:basedOn w:val="CommentText"/>
    <w:next w:val="CommentText"/>
    <w:link w:val="CommentSubjectChar"/>
    <w:uiPriority w:val="99"/>
    <w:unhideWhenUsed/>
    <w:rsid w:val="008E264B"/>
    <w:rPr>
      <w:b/>
      <w:bCs/>
    </w:rPr>
  </w:style>
  <w:style w:type="paragraph" w:customStyle="1" w:styleId="notetext">
    <w:name w:val="note(text)"/>
    <w:aliases w:val="n"/>
    <w:basedOn w:val="OPCParaBase"/>
    <w:link w:val="notetextChar"/>
    <w:rsid w:val="008E264B"/>
    <w:pPr>
      <w:spacing w:before="122" w:line="240" w:lineRule="auto"/>
      <w:ind w:left="1985" w:hanging="851"/>
    </w:pPr>
    <w:rPr>
      <w:sz w:val="18"/>
    </w:rPr>
  </w:style>
  <w:style w:type="paragraph" w:customStyle="1" w:styleId="notemargin">
    <w:name w:val="note(margin)"/>
    <w:aliases w:val="nm"/>
    <w:basedOn w:val="OPCParaBase"/>
    <w:rsid w:val="008E264B"/>
    <w:pPr>
      <w:tabs>
        <w:tab w:val="left" w:pos="709"/>
      </w:tabs>
      <w:spacing w:before="122" w:line="198" w:lineRule="exact"/>
      <w:ind w:left="709" w:hanging="709"/>
    </w:pPr>
    <w:rPr>
      <w:sz w:val="18"/>
    </w:rPr>
  </w:style>
  <w:style w:type="paragraph" w:customStyle="1" w:styleId="CTA-">
    <w:name w:val="CTA -"/>
    <w:basedOn w:val="OPCParaBase"/>
    <w:rsid w:val="008E264B"/>
    <w:pPr>
      <w:spacing w:before="60" w:line="240" w:lineRule="atLeast"/>
      <w:ind w:left="85" w:hanging="85"/>
    </w:pPr>
    <w:rPr>
      <w:sz w:val="20"/>
    </w:rPr>
  </w:style>
  <w:style w:type="paragraph" w:customStyle="1" w:styleId="CTA--">
    <w:name w:val="CTA --"/>
    <w:basedOn w:val="OPCParaBase"/>
    <w:next w:val="Normal"/>
    <w:rsid w:val="008E264B"/>
    <w:pPr>
      <w:spacing w:before="60" w:line="240" w:lineRule="atLeast"/>
      <w:ind w:left="142" w:hanging="142"/>
    </w:pPr>
    <w:rPr>
      <w:sz w:val="20"/>
    </w:rPr>
  </w:style>
  <w:style w:type="paragraph" w:customStyle="1" w:styleId="CTA---">
    <w:name w:val="CTA ---"/>
    <w:basedOn w:val="OPCParaBase"/>
    <w:next w:val="Normal"/>
    <w:rsid w:val="008E264B"/>
    <w:pPr>
      <w:spacing w:before="60" w:line="240" w:lineRule="atLeast"/>
      <w:ind w:left="198" w:hanging="198"/>
    </w:pPr>
    <w:rPr>
      <w:sz w:val="20"/>
    </w:rPr>
  </w:style>
  <w:style w:type="paragraph" w:customStyle="1" w:styleId="CTA----">
    <w:name w:val="CTA ----"/>
    <w:basedOn w:val="OPCParaBase"/>
    <w:next w:val="Normal"/>
    <w:rsid w:val="008E264B"/>
    <w:pPr>
      <w:spacing w:before="60" w:line="240" w:lineRule="atLeast"/>
      <w:ind w:left="255" w:hanging="255"/>
    </w:pPr>
    <w:rPr>
      <w:sz w:val="20"/>
    </w:rPr>
  </w:style>
  <w:style w:type="paragraph" w:customStyle="1" w:styleId="CTA1a">
    <w:name w:val="CTA 1(a)"/>
    <w:basedOn w:val="OPCParaBase"/>
    <w:rsid w:val="008E264B"/>
    <w:pPr>
      <w:tabs>
        <w:tab w:val="right" w:pos="414"/>
      </w:tabs>
      <w:spacing w:before="40" w:line="240" w:lineRule="atLeast"/>
      <w:ind w:left="675" w:hanging="675"/>
    </w:pPr>
    <w:rPr>
      <w:sz w:val="20"/>
    </w:rPr>
  </w:style>
  <w:style w:type="paragraph" w:customStyle="1" w:styleId="CTA1ai">
    <w:name w:val="CTA 1(a)(i)"/>
    <w:basedOn w:val="OPCParaBase"/>
    <w:rsid w:val="008E264B"/>
    <w:pPr>
      <w:tabs>
        <w:tab w:val="right" w:pos="1004"/>
      </w:tabs>
      <w:spacing w:before="40" w:line="240" w:lineRule="atLeast"/>
      <w:ind w:left="1253" w:hanging="1253"/>
    </w:pPr>
    <w:rPr>
      <w:sz w:val="20"/>
    </w:rPr>
  </w:style>
  <w:style w:type="paragraph" w:customStyle="1" w:styleId="CTA2a">
    <w:name w:val="CTA 2(a)"/>
    <w:basedOn w:val="OPCParaBase"/>
    <w:rsid w:val="008E264B"/>
    <w:pPr>
      <w:tabs>
        <w:tab w:val="right" w:pos="482"/>
      </w:tabs>
      <w:spacing w:before="40" w:line="240" w:lineRule="atLeast"/>
      <w:ind w:left="748" w:hanging="748"/>
    </w:pPr>
    <w:rPr>
      <w:sz w:val="20"/>
    </w:rPr>
  </w:style>
  <w:style w:type="paragraph" w:customStyle="1" w:styleId="CTA2ai">
    <w:name w:val="CTA 2(a)(i)"/>
    <w:basedOn w:val="OPCParaBase"/>
    <w:rsid w:val="008E264B"/>
    <w:pPr>
      <w:tabs>
        <w:tab w:val="right" w:pos="1089"/>
      </w:tabs>
      <w:spacing w:before="40" w:line="240" w:lineRule="atLeast"/>
      <w:ind w:left="1327" w:hanging="1327"/>
    </w:pPr>
    <w:rPr>
      <w:sz w:val="20"/>
    </w:rPr>
  </w:style>
  <w:style w:type="paragraph" w:customStyle="1" w:styleId="CTA3a">
    <w:name w:val="CTA 3(a)"/>
    <w:basedOn w:val="OPCParaBase"/>
    <w:rsid w:val="008E264B"/>
    <w:pPr>
      <w:tabs>
        <w:tab w:val="right" w:pos="556"/>
      </w:tabs>
      <w:spacing w:before="40" w:line="240" w:lineRule="atLeast"/>
      <w:ind w:left="805" w:hanging="805"/>
    </w:pPr>
    <w:rPr>
      <w:sz w:val="20"/>
    </w:rPr>
  </w:style>
  <w:style w:type="paragraph" w:customStyle="1" w:styleId="CTA3ai">
    <w:name w:val="CTA 3(a)(i)"/>
    <w:basedOn w:val="OPCParaBase"/>
    <w:rsid w:val="008E264B"/>
    <w:pPr>
      <w:tabs>
        <w:tab w:val="right" w:pos="1140"/>
      </w:tabs>
      <w:spacing w:before="40" w:line="240" w:lineRule="atLeast"/>
      <w:ind w:left="1361" w:hanging="1361"/>
    </w:pPr>
    <w:rPr>
      <w:sz w:val="20"/>
    </w:rPr>
  </w:style>
  <w:style w:type="paragraph" w:customStyle="1" w:styleId="CTA4a">
    <w:name w:val="CTA 4(a)"/>
    <w:basedOn w:val="OPCParaBase"/>
    <w:rsid w:val="008E264B"/>
    <w:pPr>
      <w:tabs>
        <w:tab w:val="right" w:pos="624"/>
      </w:tabs>
      <w:spacing w:before="40" w:line="240" w:lineRule="atLeast"/>
      <w:ind w:left="873" w:hanging="873"/>
    </w:pPr>
    <w:rPr>
      <w:sz w:val="20"/>
    </w:rPr>
  </w:style>
  <w:style w:type="paragraph" w:customStyle="1" w:styleId="CTA4ai">
    <w:name w:val="CTA 4(a)(i)"/>
    <w:basedOn w:val="OPCParaBase"/>
    <w:rsid w:val="008E264B"/>
    <w:pPr>
      <w:tabs>
        <w:tab w:val="right" w:pos="1213"/>
      </w:tabs>
      <w:spacing w:before="40" w:line="240" w:lineRule="atLeast"/>
      <w:ind w:left="1452" w:hanging="1452"/>
    </w:pPr>
    <w:rPr>
      <w:sz w:val="20"/>
    </w:rPr>
  </w:style>
  <w:style w:type="paragraph" w:customStyle="1" w:styleId="CTACAPS">
    <w:name w:val="CTA CAPS"/>
    <w:basedOn w:val="OPCParaBase"/>
    <w:rsid w:val="008E264B"/>
    <w:pPr>
      <w:spacing w:before="60" w:line="240" w:lineRule="atLeast"/>
    </w:pPr>
    <w:rPr>
      <w:sz w:val="20"/>
    </w:rPr>
  </w:style>
  <w:style w:type="paragraph" w:customStyle="1" w:styleId="CTAright">
    <w:name w:val="CTA right"/>
    <w:basedOn w:val="OPCParaBase"/>
    <w:rsid w:val="008E264B"/>
    <w:pPr>
      <w:spacing w:before="60" w:line="240" w:lineRule="auto"/>
      <w:jc w:val="right"/>
    </w:pPr>
    <w:rPr>
      <w:sz w:val="20"/>
    </w:rPr>
  </w:style>
  <w:style w:type="paragraph" w:styleId="Date">
    <w:name w:val="Date"/>
    <w:basedOn w:val="Normal"/>
    <w:next w:val="Normal"/>
    <w:link w:val="DateChar"/>
    <w:uiPriority w:val="99"/>
    <w:unhideWhenUsed/>
    <w:rsid w:val="008E264B"/>
  </w:style>
  <w:style w:type="paragraph" w:customStyle="1" w:styleId="subsection">
    <w:name w:val="subsection"/>
    <w:aliases w:val="ss"/>
    <w:basedOn w:val="OPCParaBase"/>
    <w:link w:val="subsectionChar"/>
    <w:rsid w:val="008E264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E264B"/>
    <w:pPr>
      <w:spacing w:before="180" w:line="240" w:lineRule="auto"/>
      <w:ind w:left="1134"/>
    </w:pPr>
  </w:style>
  <w:style w:type="paragraph" w:styleId="DocumentMap">
    <w:name w:val="Document Map"/>
    <w:basedOn w:val="Normal"/>
    <w:link w:val="DocumentMapChar"/>
    <w:uiPriority w:val="99"/>
    <w:unhideWhenUsed/>
    <w:rsid w:val="008E264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E264B"/>
    <w:pPr>
      <w:spacing w:line="240" w:lineRule="auto"/>
    </w:pPr>
  </w:style>
  <w:style w:type="character" w:styleId="Emphasis">
    <w:name w:val="Emphasis"/>
    <w:basedOn w:val="DefaultParagraphFont"/>
    <w:uiPriority w:val="20"/>
    <w:qFormat/>
    <w:rsid w:val="008E264B"/>
    <w:rPr>
      <w:i/>
      <w:iCs/>
    </w:rPr>
  </w:style>
  <w:style w:type="character" w:styleId="EndnoteReference">
    <w:name w:val="endnote reference"/>
    <w:basedOn w:val="DefaultParagraphFont"/>
    <w:uiPriority w:val="99"/>
    <w:unhideWhenUsed/>
    <w:rsid w:val="008E264B"/>
    <w:rPr>
      <w:vertAlign w:val="superscript"/>
    </w:rPr>
  </w:style>
  <w:style w:type="paragraph" w:styleId="EndnoteText">
    <w:name w:val="endnote text"/>
    <w:basedOn w:val="Normal"/>
    <w:link w:val="EndnoteTextChar"/>
    <w:uiPriority w:val="99"/>
    <w:unhideWhenUsed/>
    <w:rsid w:val="008E264B"/>
    <w:pPr>
      <w:spacing w:line="240" w:lineRule="auto"/>
    </w:pPr>
    <w:rPr>
      <w:sz w:val="20"/>
    </w:rPr>
  </w:style>
  <w:style w:type="paragraph" w:styleId="EnvelopeAddress">
    <w:name w:val="envelope address"/>
    <w:basedOn w:val="Normal"/>
    <w:uiPriority w:val="99"/>
    <w:unhideWhenUsed/>
    <w:rsid w:val="008E264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E264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E264B"/>
    <w:rPr>
      <w:color w:val="800080" w:themeColor="followedHyperlink"/>
      <w:u w:val="single"/>
    </w:rPr>
  </w:style>
  <w:style w:type="paragraph" w:styleId="Footer">
    <w:name w:val="footer"/>
    <w:link w:val="FooterChar"/>
    <w:rsid w:val="008E264B"/>
    <w:pPr>
      <w:tabs>
        <w:tab w:val="center" w:pos="4153"/>
        <w:tab w:val="right" w:pos="8306"/>
      </w:tabs>
    </w:pPr>
    <w:rPr>
      <w:sz w:val="22"/>
      <w:szCs w:val="24"/>
    </w:rPr>
  </w:style>
  <w:style w:type="character" w:styleId="FootnoteReference">
    <w:name w:val="footnote reference"/>
    <w:basedOn w:val="DefaultParagraphFont"/>
    <w:uiPriority w:val="99"/>
    <w:unhideWhenUsed/>
    <w:rsid w:val="008E264B"/>
    <w:rPr>
      <w:vertAlign w:val="superscript"/>
    </w:rPr>
  </w:style>
  <w:style w:type="paragraph" w:styleId="FootnoteText">
    <w:name w:val="footnote text"/>
    <w:basedOn w:val="Normal"/>
    <w:link w:val="FootnoteTextChar"/>
    <w:uiPriority w:val="99"/>
    <w:unhideWhenUsed/>
    <w:rsid w:val="008E264B"/>
    <w:pPr>
      <w:spacing w:line="240" w:lineRule="auto"/>
    </w:pPr>
    <w:rPr>
      <w:sz w:val="20"/>
    </w:rPr>
  </w:style>
  <w:style w:type="paragraph" w:customStyle="1" w:styleId="Formula">
    <w:name w:val="Formula"/>
    <w:basedOn w:val="OPCParaBase"/>
    <w:rsid w:val="008E264B"/>
    <w:pPr>
      <w:spacing w:line="240" w:lineRule="auto"/>
      <w:ind w:left="1134"/>
    </w:pPr>
    <w:rPr>
      <w:sz w:val="20"/>
    </w:rPr>
  </w:style>
  <w:style w:type="paragraph" w:styleId="Header">
    <w:name w:val="header"/>
    <w:basedOn w:val="OPCParaBase"/>
    <w:link w:val="HeaderChar"/>
    <w:unhideWhenUsed/>
    <w:rsid w:val="008E264B"/>
    <w:pPr>
      <w:keepNext/>
      <w:keepLines/>
      <w:tabs>
        <w:tab w:val="center" w:pos="4150"/>
        <w:tab w:val="right" w:pos="8307"/>
      </w:tabs>
      <w:spacing w:line="160" w:lineRule="exact"/>
    </w:pPr>
    <w:rPr>
      <w:sz w:val="16"/>
    </w:rPr>
  </w:style>
  <w:style w:type="paragraph" w:customStyle="1" w:styleId="House">
    <w:name w:val="House"/>
    <w:basedOn w:val="OPCParaBase"/>
    <w:rsid w:val="008E264B"/>
    <w:pPr>
      <w:spacing w:line="240" w:lineRule="auto"/>
    </w:pPr>
    <w:rPr>
      <w:sz w:val="28"/>
    </w:rPr>
  </w:style>
  <w:style w:type="character" w:styleId="HTMLAcronym">
    <w:name w:val="HTML Acronym"/>
    <w:basedOn w:val="DefaultParagraphFont"/>
    <w:uiPriority w:val="99"/>
    <w:unhideWhenUsed/>
    <w:rsid w:val="008E264B"/>
  </w:style>
  <w:style w:type="paragraph" w:styleId="HTMLAddress">
    <w:name w:val="HTML Address"/>
    <w:basedOn w:val="Normal"/>
    <w:link w:val="HTMLAddressChar"/>
    <w:uiPriority w:val="99"/>
    <w:unhideWhenUsed/>
    <w:rsid w:val="008E264B"/>
    <w:pPr>
      <w:spacing w:line="240" w:lineRule="auto"/>
    </w:pPr>
    <w:rPr>
      <w:i/>
      <w:iCs/>
    </w:rPr>
  </w:style>
  <w:style w:type="character" w:styleId="HTMLCite">
    <w:name w:val="HTML Cite"/>
    <w:basedOn w:val="DefaultParagraphFont"/>
    <w:uiPriority w:val="99"/>
    <w:unhideWhenUsed/>
    <w:rsid w:val="008E264B"/>
    <w:rPr>
      <w:i/>
      <w:iCs/>
    </w:rPr>
  </w:style>
  <w:style w:type="character" w:styleId="HTMLCode">
    <w:name w:val="HTML Code"/>
    <w:basedOn w:val="DefaultParagraphFont"/>
    <w:uiPriority w:val="99"/>
    <w:unhideWhenUsed/>
    <w:rsid w:val="008E264B"/>
    <w:rPr>
      <w:rFonts w:ascii="Consolas" w:hAnsi="Consolas"/>
      <w:sz w:val="20"/>
      <w:szCs w:val="20"/>
    </w:rPr>
  </w:style>
  <w:style w:type="character" w:styleId="HTMLDefinition">
    <w:name w:val="HTML Definition"/>
    <w:basedOn w:val="DefaultParagraphFont"/>
    <w:uiPriority w:val="99"/>
    <w:unhideWhenUsed/>
    <w:rsid w:val="008E264B"/>
    <w:rPr>
      <w:i/>
      <w:iCs/>
    </w:rPr>
  </w:style>
  <w:style w:type="character" w:styleId="HTMLKeyboard">
    <w:name w:val="HTML Keyboard"/>
    <w:basedOn w:val="DefaultParagraphFont"/>
    <w:uiPriority w:val="99"/>
    <w:unhideWhenUsed/>
    <w:rsid w:val="008E264B"/>
    <w:rPr>
      <w:rFonts w:ascii="Consolas" w:hAnsi="Consolas"/>
      <w:sz w:val="20"/>
      <w:szCs w:val="20"/>
    </w:rPr>
  </w:style>
  <w:style w:type="paragraph" w:styleId="HTMLPreformatted">
    <w:name w:val="HTML Preformatted"/>
    <w:basedOn w:val="Normal"/>
    <w:link w:val="HTMLPreformattedChar"/>
    <w:uiPriority w:val="99"/>
    <w:unhideWhenUsed/>
    <w:rsid w:val="008E264B"/>
    <w:pPr>
      <w:spacing w:line="240" w:lineRule="auto"/>
    </w:pPr>
    <w:rPr>
      <w:rFonts w:ascii="Consolas" w:hAnsi="Consolas"/>
      <w:sz w:val="20"/>
    </w:rPr>
  </w:style>
  <w:style w:type="character" w:styleId="HTMLSample">
    <w:name w:val="HTML Sample"/>
    <w:basedOn w:val="DefaultParagraphFont"/>
    <w:uiPriority w:val="99"/>
    <w:unhideWhenUsed/>
    <w:rsid w:val="008E264B"/>
    <w:rPr>
      <w:rFonts w:ascii="Consolas" w:hAnsi="Consolas"/>
      <w:sz w:val="24"/>
      <w:szCs w:val="24"/>
    </w:rPr>
  </w:style>
  <w:style w:type="character" w:styleId="HTMLTypewriter">
    <w:name w:val="HTML Typewriter"/>
    <w:basedOn w:val="DefaultParagraphFont"/>
    <w:uiPriority w:val="99"/>
    <w:unhideWhenUsed/>
    <w:rsid w:val="008E264B"/>
    <w:rPr>
      <w:rFonts w:ascii="Consolas" w:hAnsi="Consolas"/>
      <w:sz w:val="20"/>
      <w:szCs w:val="20"/>
    </w:rPr>
  </w:style>
  <w:style w:type="character" w:styleId="HTMLVariable">
    <w:name w:val="HTML Variable"/>
    <w:basedOn w:val="DefaultParagraphFont"/>
    <w:uiPriority w:val="99"/>
    <w:unhideWhenUsed/>
    <w:rsid w:val="008E264B"/>
    <w:rPr>
      <w:i/>
      <w:iCs/>
    </w:rPr>
  </w:style>
  <w:style w:type="character" w:styleId="Hyperlink">
    <w:name w:val="Hyperlink"/>
    <w:basedOn w:val="DefaultParagraphFont"/>
    <w:uiPriority w:val="99"/>
    <w:unhideWhenUsed/>
    <w:rsid w:val="008E264B"/>
    <w:rPr>
      <w:color w:val="0000FF" w:themeColor="hyperlink"/>
      <w:u w:val="single"/>
    </w:rPr>
  </w:style>
  <w:style w:type="paragraph" w:styleId="Index1">
    <w:name w:val="index 1"/>
    <w:basedOn w:val="Normal"/>
    <w:next w:val="Normal"/>
    <w:autoRedefine/>
    <w:uiPriority w:val="99"/>
    <w:unhideWhenUsed/>
    <w:rsid w:val="008E264B"/>
    <w:pPr>
      <w:spacing w:line="240" w:lineRule="auto"/>
      <w:ind w:left="220" w:hanging="220"/>
    </w:pPr>
  </w:style>
  <w:style w:type="paragraph" w:styleId="Index2">
    <w:name w:val="index 2"/>
    <w:basedOn w:val="Normal"/>
    <w:next w:val="Normal"/>
    <w:autoRedefine/>
    <w:uiPriority w:val="99"/>
    <w:unhideWhenUsed/>
    <w:rsid w:val="008E264B"/>
    <w:pPr>
      <w:spacing w:line="240" w:lineRule="auto"/>
      <w:ind w:left="440" w:hanging="220"/>
    </w:pPr>
  </w:style>
  <w:style w:type="paragraph" w:styleId="Index3">
    <w:name w:val="index 3"/>
    <w:basedOn w:val="Normal"/>
    <w:next w:val="Normal"/>
    <w:autoRedefine/>
    <w:uiPriority w:val="99"/>
    <w:unhideWhenUsed/>
    <w:rsid w:val="008E264B"/>
    <w:pPr>
      <w:spacing w:line="240" w:lineRule="auto"/>
      <w:ind w:left="660" w:hanging="220"/>
    </w:pPr>
  </w:style>
  <w:style w:type="paragraph" w:styleId="Index4">
    <w:name w:val="index 4"/>
    <w:basedOn w:val="Normal"/>
    <w:next w:val="Normal"/>
    <w:autoRedefine/>
    <w:uiPriority w:val="99"/>
    <w:unhideWhenUsed/>
    <w:rsid w:val="008E264B"/>
    <w:pPr>
      <w:spacing w:line="240" w:lineRule="auto"/>
      <w:ind w:left="880" w:hanging="220"/>
    </w:pPr>
  </w:style>
  <w:style w:type="paragraph" w:styleId="Index5">
    <w:name w:val="index 5"/>
    <w:basedOn w:val="Normal"/>
    <w:next w:val="Normal"/>
    <w:autoRedefine/>
    <w:uiPriority w:val="99"/>
    <w:unhideWhenUsed/>
    <w:rsid w:val="008E264B"/>
    <w:pPr>
      <w:spacing w:line="240" w:lineRule="auto"/>
      <w:ind w:left="1100" w:hanging="220"/>
    </w:pPr>
  </w:style>
  <w:style w:type="paragraph" w:styleId="Index6">
    <w:name w:val="index 6"/>
    <w:basedOn w:val="Normal"/>
    <w:next w:val="Normal"/>
    <w:autoRedefine/>
    <w:uiPriority w:val="99"/>
    <w:unhideWhenUsed/>
    <w:rsid w:val="008E264B"/>
    <w:pPr>
      <w:spacing w:line="240" w:lineRule="auto"/>
      <w:ind w:left="1320" w:hanging="220"/>
    </w:pPr>
  </w:style>
  <w:style w:type="paragraph" w:styleId="Index7">
    <w:name w:val="index 7"/>
    <w:basedOn w:val="Normal"/>
    <w:next w:val="Normal"/>
    <w:autoRedefine/>
    <w:uiPriority w:val="99"/>
    <w:unhideWhenUsed/>
    <w:rsid w:val="008E264B"/>
    <w:pPr>
      <w:spacing w:line="240" w:lineRule="auto"/>
      <w:ind w:left="1540" w:hanging="220"/>
    </w:pPr>
  </w:style>
  <w:style w:type="paragraph" w:styleId="Index8">
    <w:name w:val="index 8"/>
    <w:basedOn w:val="Normal"/>
    <w:next w:val="Normal"/>
    <w:autoRedefine/>
    <w:uiPriority w:val="99"/>
    <w:unhideWhenUsed/>
    <w:rsid w:val="008E264B"/>
    <w:pPr>
      <w:spacing w:line="240" w:lineRule="auto"/>
      <w:ind w:left="1760" w:hanging="220"/>
    </w:pPr>
  </w:style>
  <w:style w:type="paragraph" w:styleId="Index9">
    <w:name w:val="index 9"/>
    <w:basedOn w:val="Normal"/>
    <w:next w:val="Normal"/>
    <w:autoRedefine/>
    <w:uiPriority w:val="99"/>
    <w:unhideWhenUsed/>
    <w:rsid w:val="008E264B"/>
    <w:pPr>
      <w:spacing w:line="240" w:lineRule="auto"/>
      <w:ind w:left="1980" w:hanging="220"/>
    </w:pPr>
  </w:style>
  <w:style w:type="paragraph" w:styleId="IndexHeading">
    <w:name w:val="index heading"/>
    <w:basedOn w:val="Normal"/>
    <w:next w:val="Index1"/>
    <w:uiPriority w:val="99"/>
    <w:unhideWhenUsed/>
    <w:rsid w:val="008E264B"/>
    <w:rPr>
      <w:rFonts w:asciiTheme="majorHAnsi" w:eastAsiaTheme="majorEastAsia" w:hAnsiTheme="majorHAnsi" w:cstheme="majorBidi"/>
      <w:b/>
      <w:bCs/>
    </w:rPr>
  </w:style>
  <w:style w:type="paragraph" w:customStyle="1" w:styleId="Item">
    <w:name w:val="Item"/>
    <w:aliases w:val="i"/>
    <w:basedOn w:val="OPCParaBase"/>
    <w:next w:val="ItemHead"/>
    <w:rsid w:val="008E264B"/>
    <w:pPr>
      <w:keepLines/>
      <w:spacing w:before="80" w:line="240" w:lineRule="auto"/>
      <w:ind w:left="709"/>
    </w:pPr>
  </w:style>
  <w:style w:type="paragraph" w:customStyle="1" w:styleId="ItemHead">
    <w:name w:val="ItemHead"/>
    <w:aliases w:val="ih"/>
    <w:basedOn w:val="OPCParaBase"/>
    <w:next w:val="Item"/>
    <w:link w:val="ItemHeadChar"/>
    <w:rsid w:val="008E264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E264B"/>
    <w:rPr>
      <w:sz w:val="16"/>
    </w:rPr>
  </w:style>
  <w:style w:type="paragraph" w:styleId="List">
    <w:name w:val="List"/>
    <w:basedOn w:val="Normal"/>
    <w:uiPriority w:val="99"/>
    <w:unhideWhenUsed/>
    <w:rsid w:val="008E264B"/>
    <w:pPr>
      <w:ind w:left="283" w:hanging="283"/>
      <w:contextualSpacing/>
    </w:pPr>
  </w:style>
  <w:style w:type="paragraph" w:styleId="List2">
    <w:name w:val="List 2"/>
    <w:basedOn w:val="Normal"/>
    <w:uiPriority w:val="99"/>
    <w:unhideWhenUsed/>
    <w:rsid w:val="008E264B"/>
    <w:pPr>
      <w:ind w:left="566" w:hanging="283"/>
      <w:contextualSpacing/>
    </w:pPr>
  </w:style>
  <w:style w:type="paragraph" w:styleId="List3">
    <w:name w:val="List 3"/>
    <w:basedOn w:val="Normal"/>
    <w:uiPriority w:val="99"/>
    <w:unhideWhenUsed/>
    <w:rsid w:val="008E264B"/>
    <w:pPr>
      <w:ind w:left="849" w:hanging="283"/>
      <w:contextualSpacing/>
    </w:pPr>
  </w:style>
  <w:style w:type="paragraph" w:styleId="List4">
    <w:name w:val="List 4"/>
    <w:basedOn w:val="Normal"/>
    <w:uiPriority w:val="99"/>
    <w:unhideWhenUsed/>
    <w:rsid w:val="008E264B"/>
    <w:pPr>
      <w:ind w:left="1132" w:hanging="283"/>
      <w:contextualSpacing/>
    </w:pPr>
  </w:style>
  <w:style w:type="paragraph" w:styleId="List5">
    <w:name w:val="List 5"/>
    <w:basedOn w:val="Normal"/>
    <w:uiPriority w:val="99"/>
    <w:unhideWhenUsed/>
    <w:rsid w:val="008E264B"/>
    <w:pPr>
      <w:ind w:left="1415" w:hanging="283"/>
      <w:contextualSpacing/>
    </w:pPr>
  </w:style>
  <w:style w:type="paragraph" w:styleId="ListBullet">
    <w:name w:val="List Bullet"/>
    <w:basedOn w:val="Normal"/>
    <w:uiPriority w:val="99"/>
    <w:unhideWhenUsed/>
    <w:rsid w:val="008E264B"/>
    <w:pPr>
      <w:numPr>
        <w:numId w:val="4"/>
      </w:numPr>
      <w:contextualSpacing/>
    </w:pPr>
  </w:style>
  <w:style w:type="paragraph" w:styleId="ListBullet2">
    <w:name w:val="List Bullet 2"/>
    <w:basedOn w:val="Normal"/>
    <w:uiPriority w:val="99"/>
    <w:unhideWhenUsed/>
    <w:rsid w:val="008E264B"/>
    <w:pPr>
      <w:numPr>
        <w:numId w:val="5"/>
      </w:numPr>
      <w:contextualSpacing/>
    </w:pPr>
  </w:style>
  <w:style w:type="paragraph" w:styleId="ListBullet3">
    <w:name w:val="List Bullet 3"/>
    <w:basedOn w:val="Normal"/>
    <w:uiPriority w:val="99"/>
    <w:unhideWhenUsed/>
    <w:rsid w:val="008E264B"/>
    <w:pPr>
      <w:numPr>
        <w:numId w:val="6"/>
      </w:numPr>
      <w:contextualSpacing/>
    </w:pPr>
  </w:style>
  <w:style w:type="paragraph" w:styleId="ListBullet4">
    <w:name w:val="List Bullet 4"/>
    <w:basedOn w:val="Normal"/>
    <w:uiPriority w:val="99"/>
    <w:unhideWhenUsed/>
    <w:rsid w:val="008E264B"/>
    <w:pPr>
      <w:numPr>
        <w:numId w:val="7"/>
      </w:numPr>
      <w:contextualSpacing/>
    </w:pPr>
  </w:style>
  <w:style w:type="paragraph" w:styleId="ListBullet5">
    <w:name w:val="List Bullet 5"/>
    <w:basedOn w:val="Normal"/>
    <w:uiPriority w:val="99"/>
    <w:unhideWhenUsed/>
    <w:rsid w:val="008E264B"/>
    <w:pPr>
      <w:numPr>
        <w:numId w:val="8"/>
      </w:numPr>
      <w:contextualSpacing/>
    </w:pPr>
  </w:style>
  <w:style w:type="paragraph" w:styleId="ListContinue">
    <w:name w:val="List Continue"/>
    <w:basedOn w:val="Normal"/>
    <w:uiPriority w:val="99"/>
    <w:unhideWhenUsed/>
    <w:rsid w:val="008E264B"/>
    <w:pPr>
      <w:spacing w:after="120"/>
      <w:ind w:left="283"/>
      <w:contextualSpacing/>
    </w:pPr>
  </w:style>
  <w:style w:type="paragraph" w:styleId="ListContinue2">
    <w:name w:val="List Continue 2"/>
    <w:basedOn w:val="Normal"/>
    <w:uiPriority w:val="99"/>
    <w:unhideWhenUsed/>
    <w:rsid w:val="008E264B"/>
    <w:pPr>
      <w:spacing w:after="120"/>
      <w:ind w:left="566"/>
      <w:contextualSpacing/>
    </w:pPr>
  </w:style>
  <w:style w:type="paragraph" w:styleId="ListContinue3">
    <w:name w:val="List Continue 3"/>
    <w:basedOn w:val="Normal"/>
    <w:uiPriority w:val="99"/>
    <w:unhideWhenUsed/>
    <w:rsid w:val="008E264B"/>
    <w:pPr>
      <w:spacing w:after="120"/>
      <w:ind w:left="849"/>
      <w:contextualSpacing/>
    </w:pPr>
  </w:style>
  <w:style w:type="paragraph" w:styleId="ListContinue4">
    <w:name w:val="List Continue 4"/>
    <w:basedOn w:val="Normal"/>
    <w:uiPriority w:val="99"/>
    <w:unhideWhenUsed/>
    <w:rsid w:val="008E264B"/>
    <w:pPr>
      <w:spacing w:after="120"/>
      <w:ind w:left="1132"/>
      <w:contextualSpacing/>
    </w:pPr>
  </w:style>
  <w:style w:type="paragraph" w:styleId="ListContinue5">
    <w:name w:val="List Continue 5"/>
    <w:basedOn w:val="Normal"/>
    <w:uiPriority w:val="99"/>
    <w:unhideWhenUsed/>
    <w:rsid w:val="008E264B"/>
    <w:pPr>
      <w:spacing w:after="120"/>
      <w:ind w:left="1415"/>
      <w:contextualSpacing/>
    </w:pPr>
  </w:style>
  <w:style w:type="paragraph" w:styleId="ListNumber">
    <w:name w:val="List Number"/>
    <w:basedOn w:val="Normal"/>
    <w:uiPriority w:val="99"/>
    <w:unhideWhenUsed/>
    <w:rsid w:val="008E264B"/>
    <w:pPr>
      <w:numPr>
        <w:numId w:val="9"/>
      </w:numPr>
      <w:contextualSpacing/>
    </w:pPr>
  </w:style>
  <w:style w:type="paragraph" w:styleId="ListNumber2">
    <w:name w:val="List Number 2"/>
    <w:basedOn w:val="Normal"/>
    <w:uiPriority w:val="99"/>
    <w:unhideWhenUsed/>
    <w:rsid w:val="008E264B"/>
    <w:pPr>
      <w:numPr>
        <w:numId w:val="10"/>
      </w:numPr>
      <w:contextualSpacing/>
    </w:pPr>
  </w:style>
  <w:style w:type="paragraph" w:styleId="ListNumber3">
    <w:name w:val="List Number 3"/>
    <w:basedOn w:val="Normal"/>
    <w:uiPriority w:val="99"/>
    <w:unhideWhenUsed/>
    <w:rsid w:val="008E264B"/>
    <w:pPr>
      <w:numPr>
        <w:numId w:val="11"/>
      </w:numPr>
      <w:contextualSpacing/>
    </w:pPr>
  </w:style>
  <w:style w:type="paragraph" w:styleId="ListNumber4">
    <w:name w:val="List Number 4"/>
    <w:basedOn w:val="Normal"/>
    <w:uiPriority w:val="99"/>
    <w:unhideWhenUsed/>
    <w:rsid w:val="008E264B"/>
    <w:pPr>
      <w:numPr>
        <w:numId w:val="12"/>
      </w:numPr>
      <w:contextualSpacing/>
    </w:pPr>
  </w:style>
  <w:style w:type="paragraph" w:styleId="ListNumber5">
    <w:name w:val="List Number 5"/>
    <w:basedOn w:val="Normal"/>
    <w:uiPriority w:val="99"/>
    <w:unhideWhenUsed/>
    <w:rsid w:val="008E264B"/>
    <w:pPr>
      <w:numPr>
        <w:numId w:val="13"/>
      </w:numPr>
      <w:contextualSpacing/>
    </w:pPr>
  </w:style>
  <w:style w:type="paragraph" w:customStyle="1" w:styleId="LongT">
    <w:name w:val="LongT"/>
    <w:basedOn w:val="OPCParaBase"/>
    <w:rsid w:val="008E264B"/>
    <w:pPr>
      <w:spacing w:line="240" w:lineRule="auto"/>
    </w:pPr>
    <w:rPr>
      <w:b/>
      <w:sz w:val="32"/>
    </w:rPr>
  </w:style>
  <w:style w:type="paragraph" w:styleId="MacroText">
    <w:name w:val="macro"/>
    <w:link w:val="MacroTextChar"/>
    <w:uiPriority w:val="99"/>
    <w:unhideWhenUsed/>
    <w:rsid w:val="008E26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E26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E264B"/>
    <w:rPr>
      <w:rFonts w:cs="Times New Roman"/>
      <w:sz w:val="24"/>
      <w:szCs w:val="24"/>
    </w:rPr>
  </w:style>
  <w:style w:type="paragraph" w:styleId="NormalIndent">
    <w:name w:val="Normal Indent"/>
    <w:basedOn w:val="Normal"/>
    <w:uiPriority w:val="99"/>
    <w:unhideWhenUsed/>
    <w:rsid w:val="008E264B"/>
    <w:pPr>
      <w:ind w:left="720"/>
    </w:pPr>
  </w:style>
  <w:style w:type="paragraph" w:styleId="NoteHeading">
    <w:name w:val="Note Heading"/>
    <w:basedOn w:val="Normal"/>
    <w:next w:val="Normal"/>
    <w:link w:val="NoteHeadingChar"/>
    <w:uiPriority w:val="99"/>
    <w:unhideWhenUsed/>
    <w:rsid w:val="008E264B"/>
    <w:pPr>
      <w:spacing w:line="240" w:lineRule="auto"/>
    </w:pPr>
  </w:style>
  <w:style w:type="paragraph" w:customStyle="1" w:styleId="notedraft">
    <w:name w:val="note(draft)"/>
    <w:aliases w:val="nd"/>
    <w:basedOn w:val="OPCParaBase"/>
    <w:rsid w:val="008E264B"/>
    <w:pPr>
      <w:spacing w:before="240" w:line="240" w:lineRule="auto"/>
      <w:ind w:left="284" w:hanging="284"/>
    </w:pPr>
    <w:rPr>
      <w:i/>
      <w:sz w:val="24"/>
    </w:rPr>
  </w:style>
  <w:style w:type="paragraph" w:customStyle="1" w:styleId="notepara">
    <w:name w:val="note(para)"/>
    <w:aliases w:val="na"/>
    <w:basedOn w:val="OPCParaBase"/>
    <w:rsid w:val="008E264B"/>
    <w:pPr>
      <w:spacing w:before="40" w:line="198" w:lineRule="exact"/>
      <w:ind w:left="2354" w:hanging="369"/>
    </w:pPr>
    <w:rPr>
      <w:sz w:val="18"/>
    </w:rPr>
  </w:style>
  <w:style w:type="paragraph" w:customStyle="1" w:styleId="noteParlAmend">
    <w:name w:val="note(ParlAmend)"/>
    <w:aliases w:val="npp"/>
    <w:basedOn w:val="OPCParaBase"/>
    <w:next w:val="ParlAmend"/>
    <w:rsid w:val="008E264B"/>
    <w:pPr>
      <w:spacing w:line="240" w:lineRule="auto"/>
      <w:jc w:val="right"/>
    </w:pPr>
    <w:rPr>
      <w:rFonts w:ascii="Arial" w:hAnsi="Arial"/>
      <w:b/>
      <w:i/>
    </w:rPr>
  </w:style>
  <w:style w:type="character" w:styleId="PageNumber">
    <w:name w:val="page number"/>
    <w:basedOn w:val="DefaultParagraphFont"/>
    <w:uiPriority w:val="99"/>
    <w:unhideWhenUsed/>
    <w:rsid w:val="008E264B"/>
  </w:style>
  <w:style w:type="paragraph" w:customStyle="1" w:styleId="Page1">
    <w:name w:val="Page1"/>
    <w:basedOn w:val="OPCParaBase"/>
    <w:rsid w:val="008E264B"/>
    <w:pPr>
      <w:spacing w:before="5600" w:line="240" w:lineRule="auto"/>
    </w:pPr>
    <w:rPr>
      <w:b/>
      <w:sz w:val="32"/>
    </w:rPr>
  </w:style>
  <w:style w:type="paragraph" w:customStyle="1" w:styleId="PageBreak">
    <w:name w:val="PageBreak"/>
    <w:aliases w:val="pb"/>
    <w:basedOn w:val="OPCParaBase"/>
    <w:rsid w:val="008E264B"/>
    <w:pPr>
      <w:spacing w:line="240" w:lineRule="auto"/>
    </w:pPr>
    <w:rPr>
      <w:sz w:val="20"/>
    </w:rPr>
  </w:style>
  <w:style w:type="paragraph" w:customStyle="1" w:styleId="paragraph">
    <w:name w:val="paragraph"/>
    <w:aliases w:val="a,indent(a)"/>
    <w:basedOn w:val="OPCParaBase"/>
    <w:link w:val="paragraphChar"/>
    <w:rsid w:val="008E264B"/>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E264B"/>
    <w:pPr>
      <w:tabs>
        <w:tab w:val="right" w:pos="1985"/>
      </w:tabs>
      <w:spacing w:before="40" w:line="240" w:lineRule="auto"/>
      <w:ind w:left="2098" w:hanging="2098"/>
    </w:pPr>
  </w:style>
  <w:style w:type="paragraph" w:customStyle="1" w:styleId="paragraphsub-sub">
    <w:name w:val="paragraph(sub-sub)"/>
    <w:aliases w:val="aaa"/>
    <w:basedOn w:val="OPCParaBase"/>
    <w:rsid w:val="008E264B"/>
    <w:pPr>
      <w:tabs>
        <w:tab w:val="right" w:pos="2722"/>
      </w:tabs>
      <w:spacing w:before="40" w:line="240" w:lineRule="auto"/>
      <w:ind w:left="2835" w:hanging="2835"/>
    </w:pPr>
  </w:style>
  <w:style w:type="paragraph" w:customStyle="1" w:styleId="ParlAmend">
    <w:name w:val="ParlAmend"/>
    <w:aliases w:val="pp"/>
    <w:basedOn w:val="OPCParaBase"/>
    <w:rsid w:val="008E264B"/>
    <w:pPr>
      <w:spacing w:before="240" w:line="240" w:lineRule="atLeast"/>
      <w:ind w:hanging="567"/>
    </w:pPr>
    <w:rPr>
      <w:sz w:val="24"/>
    </w:rPr>
  </w:style>
  <w:style w:type="paragraph" w:customStyle="1" w:styleId="Penalty">
    <w:name w:val="Penalty"/>
    <w:basedOn w:val="OPCParaBase"/>
    <w:rsid w:val="008E264B"/>
    <w:pPr>
      <w:tabs>
        <w:tab w:val="left" w:pos="2977"/>
      </w:tabs>
      <w:spacing w:before="180" w:line="240" w:lineRule="auto"/>
      <w:ind w:left="1985" w:hanging="851"/>
    </w:pPr>
  </w:style>
  <w:style w:type="paragraph" w:styleId="PlainText">
    <w:name w:val="Plain Text"/>
    <w:basedOn w:val="Normal"/>
    <w:link w:val="PlainTextChar"/>
    <w:uiPriority w:val="99"/>
    <w:unhideWhenUsed/>
    <w:rsid w:val="008E264B"/>
    <w:pPr>
      <w:spacing w:line="240" w:lineRule="auto"/>
    </w:pPr>
    <w:rPr>
      <w:rFonts w:ascii="Consolas" w:hAnsi="Consolas"/>
      <w:sz w:val="21"/>
      <w:szCs w:val="21"/>
    </w:rPr>
  </w:style>
  <w:style w:type="paragraph" w:customStyle="1" w:styleId="Portfolio">
    <w:name w:val="Portfolio"/>
    <w:basedOn w:val="OPCParaBase"/>
    <w:rsid w:val="008E264B"/>
    <w:pPr>
      <w:spacing w:line="240" w:lineRule="auto"/>
    </w:pPr>
    <w:rPr>
      <w:i/>
      <w:sz w:val="20"/>
    </w:rPr>
  </w:style>
  <w:style w:type="paragraph" w:customStyle="1" w:styleId="Preamble">
    <w:name w:val="Preamble"/>
    <w:basedOn w:val="OPCParaBase"/>
    <w:next w:val="Normal"/>
    <w:rsid w:val="008E26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264B"/>
    <w:pPr>
      <w:spacing w:line="240" w:lineRule="auto"/>
    </w:pPr>
    <w:rPr>
      <w:i/>
      <w:sz w:val="20"/>
    </w:rPr>
  </w:style>
  <w:style w:type="paragraph" w:styleId="Salutation">
    <w:name w:val="Salutation"/>
    <w:basedOn w:val="Normal"/>
    <w:next w:val="Normal"/>
    <w:link w:val="SalutationChar"/>
    <w:uiPriority w:val="99"/>
    <w:unhideWhenUsed/>
    <w:rsid w:val="008E264B"/>
  </w:style>
  <w:style w:type="paragraph" w:customStyle="1" w:styleId="Session">
    <w:name w:val="Session"/>
    <w:basedOn w:val="OPCParaBase"/>
    <w:rsid w:val="008E264B"/>
    <w:pPr>
      <w:spacing w:line="240" w:lineRule="auto"/>
    </w:pPr>
    <w:rPr>
      <w:sz w:val="28"/>
    </w:rPr>
  </w:style>
  <w:style w:type="paragraph" w:customStyle="1" w:styleId="ShortT">
    <w:name w:val="ShortT"/>
    <w:basedOn w:val="OPCParaBase"/>
    <w:next w:val="Normal"/>
    <w:qFormat/>
    <w:rsid w:val="008E264B"/>
    <w:pPr>
      <w:spacing w:line="240" w:lineRule="auto"/>
    </w:pPr>
    <w:rPr>
      <w:b/>
      <w:sz w:val="40"/>
    </w:rPr>
  </w:style>
  <w:style w:type="paragraph" w:styleId="Signature">
    <w:name w:val="Signature"/>
    <w:basedOn w:val="Normal"/>
    <w:link w:val="SignatureChar"/>
    <w:uiPriority w:val="99"/>
    <w:unhideWhenUsed/>
    <w:rsid w:val="008E264B"/>
    <w:pPr>
      <w:spacing w:line="240" w:lineRule="auto"/>
      <w:ind w:left="4252"/>
    </w:pPr>
  </w:style>
  <w:style w:type="paragraph" w:customStyle="1" w:styleId="Sponsor">
    <w:name w:val="Sponsor"/>
    <w:basedOn w:val="OPCParaBase"/>
    <w:rsid w:val="008E264B"/>
    <w:pPr>
      <w:spacing w:line="240" w:lineRule="auto"/>
    </w:pPr>
    <w:rPr>
      <w:i/>
    </w:rPr>
  </w:style>
  <w:style w:type="character" w:styleId="Strong">
    <w:name w:val="Strong"/>
    <w:basedOn w:val="DefaultParagraphFont"/>
    <w:uiPriority w:val="22"/>
    <w:qFormat/>
    <w:rsid w:val="008E264B"/>
    <w:rPr>
      <w:b/>
      <w:bCs/>
    </w:rPr>
  </w:style>
  <w:style w:type="paragraph" w:customStyle="1" w:styleId="Subitem">
    <w:name w:val="Subitem"/>
    <w:aliases w:val="iss"/>
    <w:basedOn w:val="OPCParaBase"/>
    <w:rsid w:val="008E264B"/>
    <w:pPr>
      <w:spacing w:before="180" w:line="240" w:lineRule="auto"/>
      <w:ind w:left="709" w:hanging="709"/>
    </w:pPr>
  </w:style>
  <w:style w:type="paragraph" w:customStyle="1" w:styleId="SubitemHead">
    <w:name w:val="SubitemHead"/>
    <w:aliases w:val="issh"/>
    <w:basedOn w:val="OPCParaBase"/>
    <w:rsid w:val="008E26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E264B"/>
    <w:pPr>
      <w:spacing w:before="40" w:line="240" w:lineRule="auto"/>
      <w:ind w:left="1134"/>
    </w:pPr>
  </w:style>
  <w:style w:type="paragraph" w:customStyle="1" w:styleId="SubsectionHead">
    <w:name w:val="SubsectionHead"/>
    <w:aliases w:val="ssh"/>
    <w:basedOn w:val="OPCParaBase"/>
    <w:next w:val="subsection"/>
    <w:rsid w:val="008E264B"/>
    <w:pPr>
      <w:keepNext/>
      <w:keepLines/>
      <w:spacing w:before="240" w:line="240" w:lineRule="auto"/>
      <w:ind w:left="1134"/>
    </w:pPr>
    <w:rPr>
      <w:i/>
    </w:rPr>
  </w:style>
  <w:style w:type="paragraph" w:styleId="Subtitle">
    <w:name w:val="Subtitle"/>
    <w:basedOn w:val="Normal"/>
    <w:next w:val="Normal"/>
    <w:link w:val="SubtitleChar"/>
    <w:uiPriority w:val="11"/>
    <w:qFormat/>
    <w:rsid w:val="008E264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E264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E264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E264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E264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E264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E264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E264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E264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E264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E264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E264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E264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E264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E264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E264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E264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E264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264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E264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E264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E264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E264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E264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E264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E264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E264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E264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E264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E264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E264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E264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E264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E264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E264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E264B"/>
    <w:pPr>
      <w:ind w:left="220" w:hanging="220"/>
    </w:pPr>
  </w:style>
  <w:style w:type="paragraph" w:styleId="TableofFigures">
    <w:name w:val="table of figures"/>
    <w:basedOn w:val="Normal"/>
    <w:next w:val="Normal"/>
    <w:uiPriority w:val="99"/>
    <w:unhideWhenUsed/>
    <w:rsid w:val="008E264B"/>
  </w:style>
  <w:style w:type="table" w:styleId="TableProfessional">
    <w:name w:val="Table Professional"/>
    <w:basedOn w:val="TableNormal"/>
    <w:uiPriority w:val="99"/>
    <w:unhideWhenUsed/>
    <w:rsid w:val="008E264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E264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E264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E264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E264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E264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E264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E264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E264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E264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E264B"/>
    <w:pPr>
      <w:spacing w:before="60" w:line="240" w:lineRule="auto"/>
      <w:ind w:left="284" w:hanging="284"/>
    </w:pPr>
    <w:rPr>
      <w:sz w:val="20"/>
    </w:rPr>
  </w:style>
  <w:style w:type="paragraph" w:customStyle="1" w:styleId="Tablei">
    <w:name w:val="Table(i)"/>
    <w:aliases w:val="taa"/>
    <w:basedOn w:val="OPCParaBase"/>
    <w:rsid w:val="008E264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E264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E264B"/>
    <w:pPr>
      <w:spacing w:before="60" w:line="240" w:lineRule="atLeast"/>
    </w:pPr>
    <w:rPr>
      <w:sz w:val="20"/>
    </w:rPr>
  </w:style>
  <w:style w:type="paragraph" w:styleId="Title">
    <w:name w:val="Title"/>
    <w:basedOn w:val="Normal"/>
    <w:next w:val="Normal"/>
    <w:link w:val="TitleChar"/>
    <w:uiPriority w:val="10"/>
    <w:qFormat/>
    <w:rsid w:val="008E264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E26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264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264B"/>
    <w:pPr>
      <w:spacing w:before="122" w:line="198" w:lineRule="exact"/>
      <w:ind w:left="1985" w:hanging="851"/>
      <w:jc w:val="right"/>
    </w:pPr>
    <w:rPr>
      <w:sz w:val="18"/>
    </w:rPr>
  </w:style>
  <w:style w:type="paragraph" w:customStyle="1" w:styleId="TLPTableBullet">
    <w:name w:val="TLPTableBullet"/>
    <w:aliases w:val="ttb"/>
    <w:basedOn w:val="OPCParaBase"/>
    <w:rsid w:val="008E264B"/>
    <w:pPr>
      <w:spacing w:line="240" w:lineRule="exact"/>
      <w:ind w:left="284" w:hanging="284"/>
    </w:pPr>
    <w:rPr>
      <w:sz w:val="20"/>
    </w:rPr>
  </w:style>
  <w:style w:type="paragraph" w:styleId="TOAHeading">
    <w:name w:val="toa heading"/>
    <w:basedOn w:val="Normal"/>
    <w:next w:val="Normal"/>
    <w:uiPriority w:val="99"/>
    <w:unhideWhenUsed/>
    <w:rsid w:val="008E264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E264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264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264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264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264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264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264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264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264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264B"/>
    <w:pPr>
      <w:keepLines/>
      <w:spacing w:before="240" w:after="120" w:line="240" w:lineRule="auto"/>
      <w:ind w:left="794"/>
    </w:pPr>
    <w:rPr>
      <w:b/>
      <w:kern w:val="28"/>
      <w:sz w:val="20"/>
    </w:rPr>
  </w:style>
  <w:style w:type="paragraph" w:customStyle="1" w:styleId="TofSectsHeading">
    <w:name w:val="TofSects(Heading)"/>
    <w:basedOn w:val="OPCParaBase"/>
    <w:rsid w:val="008E264B"/>
    <w:pPr>
      <w:spacing w:before="240" w:after="120" w:line="240" w:lineRule="auto"/>
    </w:pPr>
    <w:rPr>
      <w:b/>
      <w:sz w:val="24"/>
    </w:rPr>
  </w:style>
  <w:style w:type="paragraph" w:customStyle="1" w:styleId="TofSectsSection">
    <w:name w:val="TofSects(Section)"/>
    <w:basedOn w:val="OPCParaBase"/>
    <w:rsid w:val="008E264B"/>
    <w:pPr>
      <w:keepLines/>
      <w:spacing w:before="40" w:line="240" w:lineRule="auto"/>
      <w:ind w:left="1588" w:hanging="794"/>
    </w:pPr>
    <w:rPr>
      <w:kern w:val="28"/>
      <w:sz w:val="18"/>
    </w:rPr>
  </w:style>
  <w:style w:type="paragraph" w:customStyle="1" w:styleId="TofSectsSubdiv">
    <w:name w:val="TofSects(Subdiv)"/>
    <w:basedOn w:val="OPCParaBase"/>
    <w:rsid w:val="008E264B"/>
    <w:pPr>
      <w:keepLines/>
      <w:spacing w:before="80" w:line="240" w:lineRule="auto"/>
      <w:ind w:left="1588" w:hanging="794"/>
    </w:pPr>
    <w:rPr>
      <w:kern w:val="28"/>
    </w:rPr>
  </w:style>
  <w:style w:type="paragraph" w:customStyle="1" w:styleId="WRStyle">
    <w:name w:val="WR Style"/>
    <w:aliases w:val="WR"/>
    <w:basedOn w:val="OPCParaBase"/>
    <w:rsid w:val="008E264B"/>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A333D0"/>
    <w:rPr>
      <w:sz w:val="22"/>
    </w:rPr>
  </w:style>
  <w:style w:type="character" w:customStyle="1" w:styleId="ItemHeadChar">
    <w:name w:val="ItemHead Char"/>
    <w:aliases w:val="ih Char"/>
    <w:basedOn w:val="DefaultParagraphFont"/>
    <w:link w:val="ItemHead"/>
    <w:rsid w:val="008F78FE"/>
    <w:rPr>
      <w:rFonts w:ascii="Arial" w:hAnsi="Arial"/>
      <w:b/>
      <w:kern w:val="28"/>
      <w:sz w:val="24"/>
    </w:rPr>
  </w:style>
  <w:style w:type="character" w:customStyle="1" w:styleId="paragraphChar">
    <w:name w:val="paragraph Char"/>
    <w:aliases w:val="a Char"/>
    <w:basedOn w:val="DefaultParagraphFont"/>
    <w:link w:val="paragraph"/>
    <w:rsid w:val="008F78FE"/>
    <w:rPr>
      <w:sz w:val="22"/>
    </w:rPr>
  </w:style>
  <w:style w:type="character" w:customStyle="1" w:styleId="HeaderChar">
    <w:name w:val="Header Char"/>
    <w:basedOn w:val="DefaultParagraphFont"/>
    <w:link w:val="Header"/>
    <w:rsid w:val="008E264B"/>
    <w:rPr>
      <w:sz w:val="16"/>
    </w:rPr>
  </w:style>
  <w:style w:type="character" w:customStyle="1" w:styleId="OPCCharBase">
    <w:name w:val="OPCCharBase"/>
    <w:uiPriority w:val="1"/>
    <w:qFormat/>
    <w:rsid w:val="008E264B"/>
  </w:style>
  <w:style w:type="paragraph" w:customStyle="1" w:styleId="OPCParaBase">
    <w:name w:val="OPCParaBase"/>
    <w:qFormat/>
    <w:rsid w:val="008E264B"/>
    <w:pPr>
      <w:spacing w:line="260" w:lineRule="atLeast"/>
    </w:pPr>
    <w:rPr>
      <w:sz w:val="22"/>
    </w:rPr>
  </w:style>
  <w:style w:type="paragraph" w:customStyle="1" w:styleId="noteToPara">
    <w:name w:val="noteToPara"/>
    <w:aliases w:val="ntp"/>
    <w:basedOn w:val="OPCParaBase"/>
    <w:rsid w:val="008E264B"/>
    <w:pPr>
      <w:spacing w:before="122" w:line="198" w:lineRule="exact"/>
      <w:ind w:left="2353" w:hanging="709"/>
    </w:pPr>
    <w:rPr>
      <w:sz w:val="18"/>
    </w:rPr>
  </w:style>
  <w:style w:type="character" w:customStyle="1" w:styleId="FooterChar">
    <w:name w:val="Footer Char"/>
    <w:basedOn w:val="DefaultParagraphFont"/>
    <w:link w:val="Footer"/>
    <w:rsid w:val="008E264B"/>
    <w:rPr>
      <w:sz w:val="22"/>
      <w:szCs w:val="24"/>
    </w:rPr>
  </w:style>
  <w:style w:type="table" w:customStyle="1" w:styleId="CFlag">
    <w:name w:val="CFlag"/>
    <w:basedOn w:val="TableNormal"/>
    <w:uiPriority w:val="99"/>
    <w:rsid w:val="008E264B"/>
    <w:tblPr/>
  </w:style>
  <w:style w:type="paragraph" w:customStyle="1" w:styleId="SignCoverPageEnd">
    <w:name w:val="SignCoverPageEnd"/>
    <w:basedOn w:val="OPCParaBase"/>
    <w:next w:val="Normal"/>
    <w:rsid w:val="008E264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264B"/>
    <w:pPr>
      <w:pBdr>
        <w:top w:val="single" w:sz="4" w:space="1" w:color="auto"/>
      </w:pBdr>
      <w:spacing w:before="360"/>
      <w:ind w:right="397"/>
      <w:jc w:val="both"/>
    </w:pPr>
  </w:style>
  <w:style w:type="paragraph" w:customStyle="1" w:styleId="ENotesHeading1">
    <w:name w:val="ENotesHeading 1"/>
    <w:aliases w:val="Enh1"/>
    <w:basedOn w:val="OPCParaBase"/>
    <w:next w:val="Normal"/>
    <w:rsid w:val="008E264B"/>
    <w:pPr>
      <w:spacing w:before="120"/>
      <w:outlineLvl w:val="1"/>
    </w:pPr>
    <w:rPr>
      <w:b/>
      <w:sz w:val="28"/>
      <w:szCs w:val="28"/>
    </w:rPr>
  </w:style>
  <w:style w:type="paragraph" w:customStyle="1" w:styleId="ENotesHeading2">
    <w:name w:val="ENotesHeading 2"/>
    <w:aliases w:val="Enh2"/>
    <w:basedOn w:val="OPCParaBase"/>
    <w:next w:val="Normal"/>
    <w:rsid w:val="008E264B"/>
    <w:pPr>
      <w:spacing w:before="120" w:after="120"/>
      <w:outlineLvl w:val="2"/>
    </w:pPr>
    <w:rPr>
      <w:b/>
      <w:sz w:val="24"/>
      <w:szCs w:val="28"/>
    </w:rPr>
  </w:style>
  <w:style w:type="paragraph" w:customStyle="1" w:styleId="CompiledActNo">
    <w:name w:val="CompiledActNo"/>
    <w:basedOn w:val="OPCParaBase"/>
    <w:next w:val="Normal"/>
    <w:rsid w:val="008E264B"/>
    <w:rPr>
      <w:b/>
      <w:sz w:val="24"/>
      <w:szCs w:val="24"/>
    </w:rPr>
  </w:style>
  <w:style w:type="paragraph" w:customStyle="1" w:styleId="ENotesText">
    <w:name w:val="ENotesText"/>
    <w:aliases w:val="Ent"/>
    <w:basedOn w:val="OPCParaBase"/>
    <w:next w:val="Normal"/>
    <w:rsid w:val="008E264B"/>
    <w:pPr>
      <w:spacing w:before="120"/>
    </w:pPr>
  </w:style>
  <w:style w:type="paragraph" w:customStyle="1" w:styleId="CompiledMadeUnder">
    <w:name w:val="CompiledMadeUnder"/>
    <w:basedOn w:val="OPCParaBase"/>
    <w:next w:val="Normal"/>
    <w:rsid w:val="008E264B"/>
    <w:rPr>
      <w:i/>
      <w:sz w:val="24"/>
      <w:szCs w:val="24"/>
    </w:rPr>
  </w:style>
  <w:style w:type="paragraph" w:customStyle="1" w:styleId="Paragraphsub-sub-sub">
    <w:name w:val="Paragraph(sub-sub-sub)"/>
    <w:aliases w:val="aaaa"/>
    <w:basedOn w:val="OPCParaBase"/>
    <w:rsid w:val="008E264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26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26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26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264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264B"/>
    <w:pPr>
      <w:spacing w:before="60" w:line="240" w:lineRule="auto"/>
    </w:pPr>
    <w:rPr>
      <w:rFonts w:cs="Arial"/>
      <w:sz w:val="20"/>
      <w:szCs w:val="22"/>
    </w:rPr>
  </w:style>
  <w:style w:type="paragraph" w:customStyle="1" w:styleId="ActHead10">
    <w:name w:val="ActHead 10"/>
    <w:aliases w:val="sp"/>
    <w:basedOn w:val="OPCParaBase"/>
    <w:next w:val="ActHead3"/>
    <w:rsid w:val="008E264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E264B"/>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E264B"/>
    <w:pPr>
      <w:keepNext/>
      <w:spacing w:before="60" w:line="240" w:lineRule="atLeast"/>
    </w:pPr>
    <w:rPr>
      <w:b/>
      <w:sz w:val="20"/>
    </w:rPr>
  </w:style>
  <w:style w:type="paragraph" w:customStyle="1" w:styleId="NoteToSubpara">
    <w:name w:val="NoteToSubpara"/>
    <w:aliases w:val="nts"/>
    <w:basedOn w:val="OPCParaBase"/>
    <w:rsid w:val="008E264B"/>
    <w:pPr>
      <w:spacing w:before="40" w:line="198" w:lineRule="exact"/>
      <w:ind w:left="2835" w:hanging="709"/>
    </w:pPr>
    <w:rPr>
      <w:sz w:val="18"/>
    </w:rPr>
  </w:style>
  <w:style w:type="paragraph" w:customStyle="1" w:styleId="ENoteTableHeading">
    <w:name w:val="ENoteTableHeading"/>
    <w:aliases w:val="enth"/>
    <w:basedOn w:val="OPCParaBase"/>
    <w:rsid w:val="008E264B"/>
    <w:pPr>
      <w:keepNext/>
      <w:spacing w:before="60" w:line="240" w:lineRule="atLeast"/>
    </w:pPr>
    <w:rPr>
      <w:rFonts w:ascii="Arial" w:hAnsi="Arial"/>
      <w:b/>
      <w:sz w:val="16"/>
    </w:rPr>
  </w:style>
  <w:style w:type="paragraph" w:customStyle="1" w:styleId="ENoteTTi">
    <w:name w:val="ENoteTTi"/>
    <w:aliases w:val="entti"/>
    <w:basedOn w:val="OPCParaBase"/>
    <w:rsid w:val="008E264B"/>
    <w:pPr>
      <w:keepNext/>
      <w:spacing w:before="60" w:line="240" w:lineRule="atLeast"/>
      <w:ind w:left="170"/>
    </w:pPr>
    <w:rPr>
      <w:sz w:val="16"/>
    </w:rPr>
  </w:style>
  <w:style w:type="paragraph" w:customStyle="1" w:styleId="ENoteTTIndentHeading">
    <w:name w:val="ENoteTTIndentHeading"/>
    <w:aliases w:val="enTTHi"/>
    <w:basedOn w:val="OPCParaBase"/>
    <w:rsid w:val="008E26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264B"/>
    <w:pPr>
      <w:spacing w:before="60" w:line="240" w:lineRule="atLeast"/>
    </w:pPr>
    <w:rPr>
      <w:sz w:val="16"/>
    </w:rPr>
  </w:style>
  <w:style w:type="paragraph" w:customStyle="1" w:styleId="MadeunderText">
    <w:name w:val="MadeunderText"/>
    <w:basedOn w:val="OPCParaBase"/>
    <w:next w:val="Normal"/>
    <w:rsid w:val="008E264B"/>
    <w:pPr>
      <w:spacing w:before="240"/>
    </w:pPr>
    <w:rPr>
      <w:sz w:val="24"/>
      <w:szCs w:val="24"/>
    </w:rPr>
  </w:style>
  <w:style w:type="paragraph" w:customStyle="1" w:styleId="ENotesHeading3">
    <w:name w:val="ENotesHeading 3"/>
    <w:aliases w:val="Enh3"/>
    <w:basedOn w:val="OPCParaBase"/>
    <w:next w:val="Normal"/>
    <w:rsid w:val="008E264B"/>
    <w:pPr>
      <w:keepNext/>
      <w:spacing w:before="120" w:line="240" w:lineRule="auto"/>
      <w:outlineLvl w:val="4"/>
    </w:pPr>
    <w:rPr>
      <w:b/>
      <w:szCs w:val="24"/>
    </w:rPr>
  </w:style>
  <w:style w:type="paragraph" w:customStyle="1" w:styleId="SubPartCASA">
    <w:name w:val="SubPart(CASA)"/>
    <w:aliases w:val="csp"/>
    <w:basedOn w:val="OPCParaBase"/>
    <w:next w:val="ActHead3"/>
    <w:rsid w:val="008E264B"/>
    <w:pPr>
      <w:keepNext/>
      <w:keepLines/>
      <w:spacing w:before="280"/>
      <w:ind w:left="1134" w:hanging="1134"/>
      <w:outlineLvl w:val="1"/>
    </w:pPr>
    <w:rPr>
      <w:b/>
      <w:kern w:val="28"/>
      <w:sz w:val="32"/>
    </w:rPr>
  </w:style>
  <w:style w:type="character" w:customStyle="1" w:styleId="notetextChar">
    <w:name w:val="note(text) Char"/>
    <w:aliases w:val="n Char"/>
    <w:basedOn w:val="DefaultParagraphFont"/>
    <w:link w:val="notetext"/>
    <w:rsid w:val="00407B1C"/>
    <w:rPr>
      <w:sz w:val="18"/>
    </w:rPr>
  </w:style>
  <w:style w:type="paragraph" w:customStyle="1" w:styleId="SOText">
    <w:name w:val="SO Text"/>
    <w:aliases w:val="sot"/>
    <w:link w:val="SOTextChar"/>
    <w:rsid w:val="008E264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264B"/>
    <w:rPr>
      <w:rFonts w:eastAsiaTheme="minorHAnsi" w:cstheme="minorBidi"/>
      <w:sz w:val="22"/>
      <w:lang w:eastAsia="en-US"/>
    </w:rPr>
  </w:style>
  <w:style w:type="paragraph" w:customStyle="1" w:styleId="SOTextNote">
    <w:name w:val="SO TextNote"/>
    <w:aliases w:val="sont"/>
    <w:basedOn w:val="SOText"/>
    <w:qFormat/>
    <w:rsid w:val="008E264B"/>
    <w:pPr>
      <w:spacing w:before="122" w:line="198" w:lineRule="exact"/>
      <w:ind w:left="1843" w:hanging="709"/>
    </w:pPr>
    <w:rPr>
      <w:sz w:val="18"/>
    </w:rPr>
  </w:style>
  <w:style w:type="paragraph" w:customStyle="1" w:styleId="SOPara">
    <w:name w:val="SO Para"/>
    <w:aliases w:val="soa"/>
    <w:basedOn w:val="SOText"/>
    <w:link w:val="SOParaChar"/>
    <w:qFormat/>
    <w:rsid w:val="008E264B"/>
    <w:pPr>
      <w:tabs>
        <w:tab w:val="right" w:pos="1786"/>
      </w:tabs>
      <w:spacing w:before="40"/>
      <w:ind w:left="2070" w:hanging="936"/>
    </w:pPr>
  </w:style>
  <w:style w:type="character" w:customStyle="1" w:styleId="SOParaChar">
    <w:name w:val="SO Para Char"/>
    <w:aliases w:val="soa Char"/>
    <w:basedOn w:val="DefaultParagraphFont"/>
    <w:link w:val="SOPara"/>
    <w:rsid w:val="008E264B"/>
    <w:rPr>
      <w:rFonts w:eastAsiaTheme="minorHAnsi" w:cstheme="minorBidi"/>
      <w:sz w:val="22"/>
      <w:lang w:eastAsia="en-US"/>
    </w:rPr>
  </w:style>
  <w:style w:type="paragraph" w:customStyle="1" w:styleId="FileName">
    <w:name w:val="FileName"/>
    <w:basedOn w:val="Normal"/>
    <w:rsid w:val="008E264B"/>
  </w:style>
  <w:style w:type="paragraph" w:customStyle="1" w:styleId="SOHeadBold">
    <w:name w:val="SO HeadBold"/>
    <w:aliases w:val="sohb"/>
    <w:basedOn w:val="SOText"/>
    <w:next w:val="SOText"/>
    <w:link w:val="SOHeadBoldChar"/>
    <w:qFormat/>
    <w:rsid w:val="008E264B"/>
    <w:rPr>
      <w:b/>
    </w:rPr>
  </w:style>
  <w:style w:type="character" w:customStyle="1" w:styleId="SOHeadBoldChar">
    <w:name w:val="SO HeadBold Char"/>
    <w:aliases w:val="sohb Char"/>
    <w:basedOn w:val="DefaultParagraphFont"/>
    <w:link w:val="SOHeadBold"/>
    <w:rsid w:val="008E264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264B"/>
    <w:rPr>
      <w:i/>
    </w:rPr>
  </w:style>
  <w:style w:type="character" w:customStyle="1" w:styleId="SOHeadItalicChar">
    <w:name w:val="SO HeadItalic Char"/>
    <w:aliases w:val="sohi Char"/>
    <w:basedOn w:val="DefaultParagraphFont"/>
    <w:link w:val="SOHeadItalic"/>
    <w:rsid w:val="008E264B"/>
    <w:rPr>
      <w:rFonts w:eastAsiaTheme="minorHAnsi" w:cstheme="minorBidi"/>
      <w:i/>
      <w:sz w:val="22"/>
      <w:lang w:eastAsia="en-US"/>
    </w:rPr>
  </w:style>
  <w:style w:type="paragraph" w:customStyle="1" w:styleId="SOBullet">
    <w:name w:val="SO Bullet"/>
    <w:aliases w:val="sotb"/>
    <w:basedOn w:val="SOText"/>
    <w:link w:val="SOBulletChar"/>
    <w:qFormat/>
    <w:rsid w:val="008E264B"/>
    <w:pPr>
      <w:ind w:left="1559" w:hanging="425"/>
    </w:pPr>
  </w:style>
  <w:style w:type="character" w:customStyle="1" w:styleId="SOBulletChar">
    <w:name w:val="SO Bullet Char"/>
    <w:aliases w:val="sotb Char"/>
    <w:basedOn w:val="DefaultParagraphFont"/>
    <w:link w:val="SOBullet"/>
    <w:rsid w:val="008E264B"/>
    <w:rPr>
      <w:rFonts w:eastAsiaTheme="minorHAnsi" w:cstheme="minorBidi"/>
      <w:sz w:val="22"/>
      <w:lang w:eastAsia="en-US"/>
    </w:rPr>
  </w:style>
  <w:style w:type="paragraph" w:customStyle="1" w:styleId="SOBulletNote">
    <w:name w:val="SO BulletNote"/>
    <w:aliases w:val="sonb"/>
    <w:basedOn w:val="SOTextNote"/>
    <w:link w:val="SOBulletNoteChar"/>
    <w:qFormat/>
    <w:rsid w:val="008E264B"/>
    <w:pPr>
      <w:tabs>
        <w:tab w:val="left" w:pos="1560"/>
      </w:tabs>
      <w:ind w:left="2268" w:hanging="1134"/>
    </w:pPr>
  </w:style>
  <w:style w:type="character" w:customStyle="1" w:styleId="SOBulletNoteChar">
    <w:name w:val="SO BulletNote Char"/>
    <w:aliases w:val="sonb Char"/>
    <w:basedOn w:val="DefaultParagraphFont"/>
    <w:link w:val="SOBulletNote"/>
    <w:rsid w:val="008E264B"/>
    <w:rPr>
      <w:rFonts w:eastAsiaTheme="minorHAnsi" w:cstheme="minorBidi"/>
      <w:sz w:val="18"/>
      <w:lang w:eastAsia="en-US"/>
    </w:rPr>
  </w:style>
  <w:style w:type="paragraph" w:customStyle="1" w:styleId="FreeForm">
    <w:name w:val="FreeForm"/>
    <w:rsid w:val="008E264B"/>
    <w:rPr>
      <w:rFonts w:ascii="Arial" w:eastAsiaTheme="minorHAnsi" w:hAnsi="Arial" w:cstheme="minorBidi"/>
      <w:sz w:val="22"/>
      <w:lang w:eastAsia="en-US"/>
    </w:rPr>
  </w:style>
  <w:style w:type="character" w:customStyle="1" w:styleId="DefinitionChar">
    <w:name w:val="Definition Char"/>
    <w:aliases w:val="dd Char"/>
    <w:link w:val="Definition"/>
    <w:rsid w:val="00E1131A"/>
    <w:rPr>
      <w:sz w:val="22"/>
    </w:rPr>
  </w:style>
  <w:style w:type="paragraph" w:customStyle="1" w:styleId="EnStatement">
    <w:name w:val="EnStatement"/>
    <w:basedOn w:val="Normal"/>
    <w:rsid w:val="008E264B"/>
    <w:pPr>
      <w:numPr>
        <w:numId w:val="15"/>
      </w:numPr>
    </w:pPr>
    <w:rPr>
      <w:rFonts w:eastAsia="Times New Roman" w:cs="Times New Roman"/>
      <w:lang w:eastAsia="en-AU"/>
    </w:rPr>
  </w:style>
  <w:style w:type="paragraph" w:customStyle="1" w:styleId="EnStatementHeading">
    <w:name w:val="EnStatementHeading"/>
    <w:basedOn w:val="Normal"/>
    <w:rsid w:val="008E264B"/>
    <w:rPr>
      <w:rFonts w:eastAsia="Times New Roman" w:cs="Times New Roman"/>
      <w:b/>
      <w:lang w:eastAsia="en-AU"/>
    </w:rPr>
  </w:style>
  <w:style w:type="paragraph" w:styleId="Revision">
    <w:name w:val="Revision"/>
    <w:hidden/>
    <w:uiPriority w:val="99"/>
    <w:semiHidden/>
    <w:rsid w:val="0060306F"/>
    <w:rPr>
      <w:rFonts w:eastAsiaTheme="minorHAnsi" w:cstheme="minorBidi"/>
      <w:sz w:val="22"/>
      <w:lang w:eastAsia="en-US"/>
    </w:rPr>
  </w:style>
  <w:style w:type="paragraph" w:customStyle="1" w:styleId="Transitional">
    <w:name w:val="Transitional"/>
    <w:aliases w:val="tr"/>
    <w:basedOn w:val="ItemHead"/>
    <w:next w:val="Item"/>
    <w:rsid w:val="008E264B"/>
  </w:style>
  <w:style w:type="character" w:customStyle="1" w:styleId="ActHead5Char">
    <w:name w:val="ActHead 5 Char"/>
    <w:aliases w:val="s Char"/>
    <w:link w:val="ActHead5"/>
    <w:rsid w:val="00A060B0"/>
    <w:rPr>
      <w:b/>
      <w:kern w:val="28"/>
      <w:sz w:val="24"/>
    </w:rPr>
  </w:style>
  <w:style w:type="character" w:customStyle="1" w:styleId="Heading1Char">
    <w:name w:val="Heading 1 Char"/>
    <w:basedOn w:val="DefaultParagraphFont"/>
    <w:link w:val="Heading1"/>
    <w:uiPriority w:val="9"/>
    <w:rsid w:val="008E264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E264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E264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E264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E264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E264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E264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E264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E264B"/>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8E264B"/>
  </w:style>
  <w:style w:type="character" w:customStyle="1" w:styleId="BodyTextChar">
    <w:name w:val="Body Text Char"/>
    <w:basedOn w:val="DefaultParagraphFont"/>
    <w:link w:val="BodyText"/>
    <w:uiPriority w:val="99"/>
    <w:rsid w:val="008E264B"/>
    <w:rPr>
      <w:rFonts w:eastAsiaTheme="minorHAnsi" w:cstheme="minorBidi"/>
      <w:sz w:val="22"/>
      <w:lang w:eastAsia="en-US"/>
    </w:rPr>
  </w:style>
  <w:style w:type="character" w:customStyle="1" w:styleId="BodyText2Char">
    <w:name w:val="Body Text 2 Char"/>
    <w:basedOn w:val="DefaultParagraphFont"/>
    <w:link w:val="BodyText2"/>
    <w:uiPriority w:val="99"/>
    <w:rsid w:val="008E264B"/>
    <w:rPr>
      <w:rFonts w:eastAsiaTheme="minorHAnsi" w:cstheme="minorBidi"/>
      <w:sz w:val="22"/>
      <w:lang w:eastAsia="en-US"/>
    </w:rPr>
  </w:style>
  <w:style w:type="character" w:customStyle="1" w:styleId="BodyText3Char">
    <w:name w:val="Body Text 3 Char"/>
    <w:basedOn w:val="DefaultParagraphFont"/>
    <w:link w:val="BodyText3"/>
    <w:uiPriority w:val="99"/>
    <w:rsid w:val="008E264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E264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E264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E264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E264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E264B"/>
    <w:rPr>
      <w:rFonts w:eastAsiaTheme="minorHAnsi" w:cstheme="minorBidi"/>
      <w:sz w:val="16"/>
      <w:szCs w:val="16"/>
      <w:lang w:eastAsia="en-US"/>
    </w:rPr>
  </w:style>
  <w:style w:type="character" w:styleId="BookTitle">
    <w:name w:val="Book Title"/>
    <w:basedOn w:val="DefaultParagraphFont"/>
    <w:uiPriority w:val="33"/>
    <w:qFormat/>
    <w:rsid w:val="008E264B"/>
    <w:rPr>
      <w:b/>
      <w:bCs/>
      <w:i/>
      <w:iCs/>
      <w:spacing w:val="5"/>
    </w:rPr>
  </w:style>
  <w:style w:type="character" w:customStyle="1" w:styleId="ClosingChar">
    <w:name w:val="Closing Char"/>
    <w:basedOn w:val="DefaultParagraphFont"/>
    <w:link w:val="Closing"/>
    <w:uiPriority w:val="99"/>
    <w:rsid w:val="008E264B"/>
    <w:rPr>
      <w:rFonts w:eastAsiaTheme="minorHAnsi" w:cstheme="minorBidi"/>
      <w:sz w:val="22"/>
      <w:lang w:eastAsia="en-US"/>
    </w:rPr>
  </w:style>
  <w:style w:type="table" w:styleId="ColorfulGrid">
    <w:name w:val="Colorful Grid"/>
    <w:basedOn w:val="TableNormal"/>
    <w:uiPriority w:val="73"/>
    <w:semiHidden/>
    <w:unhideWhenUsed/>
    <w:rsid w:val="008E264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264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264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264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264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264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264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264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264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264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264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264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264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264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264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264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264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264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264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264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264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E264B"/>
    <w:rPr>
      <w:rFonts w:eastAsiaTheme="minorHAnsi" w:cstheme="minorBidi"/>
      <w:lang w:eastAsia="en-US"/>
    </w:rPr>
  </w:style>
  <w:style w:type="character" w:customStyle="1" w:styleId="CommentSubjectChar">
    <w:name w:val="Comment Subject Char"/>
    <w:basedOn w:val="CommentTextChar"/>
    <w:link w:val="CommentSubject"/>
    <w:uiPriority w:val="99"/>
    <w:rsid w:val="008E264B"/>
    <w:rPr>
      <w:rFonts w:eastAsiaTheme="minorHAnsi" w:cstheme="minorBidi"/>
      <w:b/>
      <w:bCs/>
      <w:lang w:eastAsia="en-US"/>
    </w:rPr>
  </w:style>
  <w:style w:type="table" w:styleId="DarkList">
    <w:name w:val="Dark List"/>
    <w:basedOn w:val="TableNormal"/>
    <w:uiPriority w:val="70"/>
    <w:semiHidden/>
    <w:unhideWhenUsed/>
    <w:rsid w:val="008E264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264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264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264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264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264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264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E264B"/>
    <w:rPr>
      <w:rFonts w:eastAsiaTheme="minorHAnsi" w:cstheme="minorBidi"/>
      <w:sz w:val="22"/>
      <w:lang w:eastAsia="en-US"/>
    </w:rPr>
  </w:style>
  <w:style w:type="character" w:customStyle="1" w:styleId="DocumentMapChar">
    <w:name w:val="Document Map Char"/>
    <w:basedOn w:val="DefaultParagraphFont"/>
    <w:link w:val="DocumentMap"/>
    <w:uiPriority w:val="99"/>
    <w:rsid w:val="008E264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E264B"/>
    <w:rPr>
      <w:rFonts w:eastAsiaTheme="minorHAnsi" w:cstheme="minorBidi"/>
      <w:sz w:val="22"/>
      <w:lang w:eastAsia="en-US"/>
    </w:rPr>
  </w:style>
  <w:style w:type="character" w:customStyle="1" w:styleId="EndnoteTextChar">
    <w:name w:val="Endnote Text Char"/>
    <w:basedOn w:val="DefaultParagraphFont"/>
    <w:link w:val="EndnoteText"/>
    <w:uiPriority w:val="99"/>
    <w:rsid w:val="008E264B"/>
    <w:rPr>
      <w:rFonts w:eastAsiaTheme="minorHAnsi" w:cstheme="minorBidi"/>
      <w:lang w:eastAsia="en-US"/>
    </w:rPr>
  </w:style>
  <w:style w:type="character" w:customStyle="1" w:styleId="FootnoteTextChar">
    <w:name w:val="Footnote Text Char"/>
    <w:basedOn w:val="DefaultParagraphFont"/>
    <w:link w:val="FootnoteText"/>
    <w:uiPriority w:val="99"/>
    <w:rsid w:val="008E264B"/>
    <w:rPr>
      <w:rFonts w:eastAsiaTheme="minorHAnsi" w:cstheme="minorBidi"/>
      <w:lang w:eastAsia="en-US"/>
    </w:rPr>
  </w:style>
  <w:style w:type="table" w:styleId="GridTable1Light">
    <w:name w:val="Grid Table 1 Light"/>
    <w:basedOn w:val="TableNormal"/>
    <w:uiPriority w:val="46"/>
    <w:rsid w:val="008E264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264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264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264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264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264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264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264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264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264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264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264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264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264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264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264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264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264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264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264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264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264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264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264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264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264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264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264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264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264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264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264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264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264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264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264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264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264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264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264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264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264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264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264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264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264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264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264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264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8E264B"/>
    <w:rPr>
      <w:color w:val="2B579A"/>
      <w:shd w:val="clear" w:color="auto" w:fill="E1DFDD"/>
    </w:rPr>
  </w:style>
  <w:style w:type="character" w:customStyle="1" w:styleId="HTMLAddressChar">
    <w:name w:val="HTML Address Char"/>
    <w:basedOn w:val="DefaultParagraphFont"/>
    <w:link w:val="HTMLAddress"/>
    <w:uiPriority w:val="99"/>
    <w:rsid w:val="008E264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E264B"/>
    <w:rPr>
      <w:rFonts w:ascii="Consolas" w:eastAsiaTheme="minorHAnsi" w:hAnsi="Consolas" w:cstheme="minorBidi"/>
      <w:lang w:eastAsia="en-US"/>
    </w:rPr>
  </w:style>
  <w:style w:type="character" w:styleId="IntenseEmphasis">
    <w:name w:val="Intense Emphasis"/>
    <w:basedOn w:val="DefaultParagraphFont"/>
    <w:uiPriority w:val="21"/>
    <w:qFormat/>
    <w:rsid w:val="008E264B"/>
    <w:rPr>
      <w:i/>
      <w:iCs/>
      <w:color w:val="4F81BD" w:themeColor="accent1"/>
    </w:rPr>
  </w:style>
  <w:style w:type="paragraph" w:styleId="IntenseQuote">
    <w:name w:val="Intense Quote"/>
    <w:basedOn w:val="Normal"/>
    <w:next w:val="Normal"/>
    <w:link w:val="IntenseQuoteChar"/>
    <w:uiPriority w:val="30"/>
    <w:qFormat/>
    <w:rsid w:val="008E26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264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E264B"/>
    <w:rPr>
      <w:b/>
      <w:bCs/>
      <w:smallCaps/>
      <w:color w:val="4F81BD" w:themeColor="accent1"/>
      <w:spacing w:val="5"/>
    </w:rPr>
  </w:style>
  <w:style w:type="table" w:styleId="LightGrid">
    <w:name w:val="Light Grid"/>
    <w:basedOn w:val="TableNormal"/>
    <w:uiPriority w:val="62"/>
    <w:semiHidden/>
    <w:unhideWhenUsed/>
    <w:rsid w:val="008E264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264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264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264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264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264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264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264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264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264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264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264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264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264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264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264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264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264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264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264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264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264B"/>
    <w:pPr>
      <w:ind w:left="720"/>
      <w:contextualSpacing/>
    </w:pPr>
  </w:style>
  <w:style w:type="table" w:styleId="ListTable1Light">
    <w:name w:val="List Table 1 Light"/>
    <w:basedOn w:val="TableNormal"/>
    <w:uiPriority w:val="46"/>
    <w:rsid w:val="008E264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264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264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264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264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264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264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264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264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264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264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264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264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264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264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264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264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264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264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264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264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264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264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264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264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264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264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264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264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264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264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264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264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264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264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264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264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264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264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264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264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264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264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264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264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264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264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264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264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E264B"/>
    <w:rPr>
      <w:rFonts w:ascii="Consolas" w:eastAsiaTheme="minorHAnsi" w:hAnsi="Consolas" w:cstheme="minorBidi"/>
      <w:lang w:eastAsia="en-US"/>
    </w:rPr>
  </w:style>
  <w:style w:type="table" w:styleId="MediumGrid1">
    <w:name w:val="Medium Grid 1"/>
    <w:basedOn w:val="TableNormal"/>
    <w:uiPriority w:val="67"/>
    <w:semiHidden/>
    <w:unhideWhenUsed/>
    <w:rsid w:val="008E264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264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264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264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264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264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264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264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264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264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264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264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264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264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264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264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264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264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264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264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264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264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264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264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264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264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264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264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264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264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264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264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264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264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264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264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8E264B"/>
    <w:rPr>
      <w:color w:val="2B579A"/>
      <w:shd w:val="clear" w:color="auto" w:fill="E1DFDD"/>
    </w:rPr>
  </w:style>
  <w:style w:type="character" w:customStyle="1" w:styleId="MessageHeaderChar">
    <w:name w:val="Message Header Char"/>
    <w:basedOn w:val="DefaultParagraphFont"/>
    <w:link w:val="MessageHeader"/>
    <w:uiPriority w:val="99"/>
    <w:rsid w:val="008E264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E264B"/>
    <w:rPr>
      <w:rFonts w:eastAsiaTheme="minorHAnsi" w:cstheme="minorBidi"/>
      <w:sz w:val="22"/>
      <w:lang w:eastAsia="en-US"/>
    </w:rPr>
  </w:style>
  <w:style w:type="character" w:customStyle="1" w:styleId="NoteHeadingChar">
    <w:name w:val="Note Heading Char"/>
    <w:basedOn w:val="DefaultParagraphFont"/>
    <w:link w:val="NoteHeading"/>
    <w:uiPriority w:val="99"/>
    <w:rsid w:val="008E264B"/>
    <w:rPr>
      <w:rFonts w:eastAsiaTheme="minorHAnsi" w:cstheme="minorBidi"/>
      <w:sz w:val="22"/>
      <w:lang w:eastAsia="en-US"/>
    </w:rPr>
  </w:style>
  <w:style w:type="character" w:styleId="PlaceholderText">
    <w:name w:val="Placeholder Text"/>
    <w:basedOn w:val="DefaultParagraphFont"/>
    <w:uiPriority w:val="99"/>
    <w:semiHidden/>
    <w:rsid w:val="008E264B"/>
    <w:rPr>
      <w:color w:val="808080"/>
    </w:rPr>
  </w:style>
  <w:style w:type="table" w:styleId="PlainTable1">
    <w:name w:val="Plain Table 1"/>
    <w:basedOn w:val="TableNormal"/>
    <w:uiPriority w:val="41"/>
    <w:rsid w:val="008E264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264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264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264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264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E264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E26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264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E264B"/>
    <w:rPr>
      <w:rFonts w:eastAsiaTheme="minorHAnsi" w:cstheme="minorBidi"/>
      <w:sz w:val="22"/>
      <w:lang w:eastAsia="en-US"/>
    </w:rPr>
  </w:style>
  <w:style w:type="character" w:customStyle="1" w:styleId="SignatureChar">
    <w:name w:val="Signature Char"/>
    <w:basedOn w:val="DefaultParagraphFont"/>
    <w:link w:val="Signature"/>
    <w:uiPriority w:val="99"/>
    <w:rsid w:val="008E264B"/>
    <w:rPr>
      <w:rFonts w:eastAsiaTheme="minorHAnsi" w:cstheme="minorBidi"/>
      <w:sz w:val="22"/>
      <w:lang w:eastAsia="en-US"/>
    </w:rPr>
  </w:style>
  <w:style w:type="character" w:customStyle="1" w:styleId="SmartHyperlink">
    <w:name w:val="Smart Hyperlink"/>
    <w:basedOn w:val="DefaultParagraphFont"/>
    <w:uiPriority w:val="99"/>
    <w:semiHidden/>
    <w:unhideWhenUsed/>
    <w:rsid w:val="008E264B"/>
    <w:rPr>
      <w:u w:val="dotted"/>
    </w:rPr>
  </w:style>
  <w:style w:type="character" w:customStyle="1" w:styleId="SubtitleChar">
    <w:name w:val="Subtitle Char"/>
    <w:basedOn w:val="DefaultParagraphFont"/>
    <w:link w:val="Subtitle"/>
    <w:uiPriority w:val="11"/>
    <w:rsid w:val="008E264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E264B"/>
    <w:rPr>
      <w:i/>
      <w:iCs/>
      <w:color w:val="404040" w:themeColor="text1" w:themeTint="BF"/>
    </w:rPr>
  </w:style>
  <w:style w:type="character" w:styleId="SubtleReference">
    <w:name w:val="Subtle Reference"/>
    <w:basedOn w:val="DefaultParagraphFont"/>
    <w:uiPriority w:val="31"/>
    <w:qFormat/>
    <w:rsid w:val="008E264B"/>
    <w:rPr>
      <w:smallCaps/>
      <w:color w:val="5A5A5A" w:themeColor="text1" w:themeTint="A5"/>
    </w:rPr>
  </w:style>
  <w:style w:type="table" w:styleId="TableGridLight">
    <w:name w:val="Grid Table Light"/>
    <w:basedOn w:val="TableNormal"/>
    <w:uiPriority w:val="40"/>
    <w:rsid w:val="008E264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E264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E264B"/>
    <w:pPr>
      <w:numPr>
        <w:numId w:val="0"/>
      </w:numPr>
      <w:outlineLvl w:val="9"/>
    </w:pPr>
  </w:style>
  <w:style w:type="character" w:customStyle="1" w:styleId="UnresolvedMention">
    <w:name w:val="Unresolved Mention"/>
    <w:basedOn w:val="DefaultParagraphFont"/>
    <w:uiPriority w:val="99"/>
    <w:semiHidden/>
    <w:unhideWhenUsed/>
    <w:rsid w:val="008E264B"/>
    <w:rPr>
      <w:color w:val="605E5C"/>
      <w:shd w:val="clear" w:color="auto" w:fill="E1DFDD"/>
    </w:rPr>
  </w:style>
  <w:style w:type="paragraph" w:customStyle="1" w:styleId="SOText2">
    <w:name w:val="SO Text2"/>
    <w:aliases w:val="sot2"/>
    <w:basedOn w:val="Normal"/>
    <w:next w:val="SOText"/>
    <w:link w:val="SOText2Char"/>
    <w:rsid w:val="008E26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264B"/>
    <w:rPr>
      <w:rFonts w:eastAsiaTheme="minorHAnsi" w:cstheme="minorBidi"/>
      <w:sz w:val="22"/>
      <w:lang w:eastAsia="en-US"/>
    </w:rPr>
  </w:style>
  <w:style w:type="paragraph" w:customStyle="1" w:styleId="ETAsubitem">
    <w:name w:val="ETA(subitem)"/>
    <w:basedOn w:val="OPCParaBase"/>
    <w:rsid w:val="008E264B"/>
    <w:pPr>
      <w:tabs>
        <w:tab w:val="right" w:pos="340"/>
      </w:tabs>
      <w:spacing w:before="60" w:line="240" w:lineRule="auto"/>
      <w:ind w:left="454" w:hanging="454"/>
    </w:pPr>
    <w:rPr>
      <w:sz w:val="20"/>
    </w:rPr>
  </w:style>
  <w:style w:type="paragraph" w:customStyle="1" w:styleId="ETApara">
    <w:name w:val="ETA(para)"/>
    <w:basedOn w:val="OPCParaBase"/>
    <w:rsid w:val="008E264B"/>
    <w:pPr>
      <w:tabs>
        <w:tab w:val="right" w:pos="754"/>
      </w:tabs>
      <w:spacing w:before="60" w:line="240" w:lineRule="auto"/>
      <w:ind w:left="828" w:hanging="828"/>
    </w:pPr>
    <w:rPr>
      <w:sz w:val="20"/>
    </w:rPr>
  </w:style>
  <w:style w:type="paragraph" w:customStyle="1" w:styleId="ETAsubpara">
    <w:name w:val="ETA(subpara)"/>
    <w:basedOn w:val="OPCParaBase"/>
    <w:rsid w:val="008E264B"/>
    <w:pPr>
      <w:tabs>
        <w:tab w:val="right" w:pos="1083"/>
      </w:tabs>
      <w:spacing w:before="60" w:line="240" w:lineRule="auto"/>
      <w:ind w:left="1191" w:hanging="1191"/>
    </w:pPr>
    <w:rPr>
      <w:sz w:val="20"/>
    </w:rPr>
  </w:style>
  <w:style w:type="paragraph" w:customStyle="1" w:styleId="ETAsub-subpara">
    <w:name w:val="ETA(sub-subpara)"/>
    <w:basedOn w:val="OPCParaBase"/>
    <w:rsid w:val="008E264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E264B"/>
    <w:rPr>
      <w:b/>
      <w:sz w:val="28"/>
      <w:szCs w:val="28"/>
    </w:rPr>
  </w:style>
  <w:style w:type="paragraph" w:customStyle="1" w:styleId="NotesHeading2">
    <w:name w:val="NotesHeading 2"/>
    <w:basedOn w:val="OPCParaBase"/>
    <w:next w:val="Normal"/>
    <w:rsid w:val="008E264B"/>
    <w:rPr>
      <w:b/>
      <w:sz w:val="28"/>
      <w:szCs w:val="28"/>
    </w:rPr>
  </w:style>
  <w:style w:type="character" w:customStyle="1" w:styleId="paragraphsubChar">
    <w:name w:val="paragraph(sub) Char"/>
    <w:aliases w:val="aa Char"/>
    <w:link w:val="paragraphsub"/>
    <w:rsid w:val="000C2386"/>
    <w:rPr>
      <w:sz w:val="22"/>
    </w:rPr>
  </w:style>
  <w:style w:type="character" w:customStyle="1" w:styleId="subsection2Char">
    <w:name w:val="subsection2 Char"/>
    <w:aliases w:val="ss2 Char"/>
    <w:link w:val="subsection2"/>
    <w:rsid w:val="00970B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317">
      <w:bodyDiv w:val="1"/>
      <w:marLeft w:val="0"/>
      <w:marRight w:val="0"/>
      <w:marTop w:val="0"/>
      <w:marBottom w:val="0"/>
      <w:divBdr>
        <w:top w:val="none" w:sz="0" w:space="0" w:color="auto"/>
        <w:left w:val="none" w:sz="0" w:space="0" w:color="auto"/>
        <w:bottom w:val="none" w:sz="0" w:space="0" w:color="auto"/>
        <w:right w:val="none" w:sz="0" w:space="0" w:color="auto"/>
      </w:divBdr>
    </w:div>
    <w:div w:id="124662612">
      <w:bodyDiv w:val="1"/>
      <w:marLeft w:val="0"/>
      <w:marRight w:val="0"/>
      <w:marTop w:val="0"/>
      <w:marBottom w:val="0"/>
      <w:divBdr>
        <w:top w:val="none" w:sz="0" w:space="0" w:color="auto"/>
        <w:left w:val="none" w:sz="0" w:space="0" w:color="auto"/>
        <w:bottom w:val="none" w:sz="0" w:space="0" w:color="auto"/>
        <w:right w:val="none" w:sz="0" w:space="0" w:color="auto"/>
      </w:divBdr>
    </w:div>
    <w:div w:id="217475825">
      <w:bodyDiv w:val="1"/>
      <w:marLeft w:val="0"/>
      <w:marRight w:val="0"/>
      <w:marTop w:val="0"/>
      <w:marBottom w:val="0"/>
      <w:divBdr>
        <w:top w:val="none" w:sz="0" w:space="0" w:color="auto"/>
        <w:left w:val="none" w:sz="0" w:space="0" w:color="auto"/>
        <w:bottom w:val="none" w:sz="0" w:space="0" w:color="auto"/>
        <w:right w:val="none" w:sz="0" w:space="0" w:color="auto"/>
      </w:divBdr>
    </w:div>
    <w:div w:id="246885119">
      <w:bodyDiv w:val="1"/>
      <w:marLeft w:val="0"/>
      <w:marRight w:val="0"/>
      <w:marTop w:val="0"/>
      <w:marBottom w:val="0"/>
      <w:divBdr>
        <w:top w:val="none" w:sz="0" w:space="0" w:color="auto"/>
        <w:left w:val="none" w:sz="0" w:space="0" w:color="auto"/>
        <w:bottom w:val="none" w:sz="0" w:space="0" w:color="auto"/>
        <w:right w:val="none" w:sz="0" w:space="0" w:color="auto"/>
      </w:divBdr>
    </w:div>
    <w:div w:id="262609431">
      <w:bodyDiv w:val="1"/>
      <w:marLeft w:val="0"/>
      <w:marRight w:val="0"/>
      <w:marTop w:val="0"/>
      <w:marBottom w:val="0"/>
      <w:divBdr>
        <w:top w:val="none" w:sz="0" w:space="0" w:color="auto"/>
        <w:left w:val="none" w:sz="0" w:space="0" w:color="auto"/>
        <w:bottom w:val="none" w:sz="0" w:space="0" w:color="auto"/>
        <w:right w:val="none" w:sz="0" w:space="0" w:color="auto"/>
      </w:divBdr>
    </w:div>
    <w:div w:id="280112007">
      <w:bodyDiv w:val="1"/>
      <w:marLeft w:val="0"/>
      <w:marRight w:val="0"/>
      <w:marTop w:val="0"/>
      <w:marBottom w:val="0"/>
      <w:divBdr>
        <w:top w:val="none" w:sz="0" w:space="0" w:color="auto"/>
        <w:left w:val="none" w:sz="0" w:space="0" w:color="auto"/>
        <w:bottom w:val="none" w:sz="0" w:space="0" w:color="auto"/>
        <w:right w:val="none" w:sz="0" w:space="0" w:color="auto"/>
      </w:divBdr>
    </w:div>
    <w:div w:id="306084296">
      <w:bodyDiv w:val="1"/>
      <w:marLeft w:val="0"/>
      <w:marRight w:val="0"/>
      <w:marTop w:val="0"/>
      <w:marBottom w:val="0"/>
      <w:divBdr>
        <w:top w:val="none" w:sz="0" w:space="0" w:color="auto"/>
        <w:left w:val="none" w:sz="0" w:space="0" w:color="auto"/>
        <w:bottom w:val="none" w:sz="0" w:space="0" w:color="auto"/>
        <w:right w:val="none" w:sz="0" w:space="0" w:color="auto"/>
      </w:divBdr>
    </w:div>
    <w:div w:id="342704361">
      <w:bodyDiv w:val="1"/>
      <w:marLeft w:val="0"/>
      <w:marRight w:val="0"/>
      <w:marTop w:val="0"/>
      <w:marBottom w:val="0"/>
      <w:divBdr>
        <w:top w:val="none" w:sz="0" w:space="0" w:color="auto"/>
        <w:left w:val="none" w:sz="0" w:space="0" w:color="auto"/>
        <w:bottom w:val="none" w:sz="0" w:space="0" w:color="auto"/>
        <w:right w:val="none" w:sz="0" w:space="0" w:color="auto"/>
      </w:divBdr>
    </w:div>
    <w:div w:id="380640106">
      <w:bodyDiv w:val="1"/>
      <w:marLeft w:val="0"/>
      <w:marRight w:val="0"/>
      <w:marTop w:val="0"/>
      <w:marBottom w:val="0"/>
      <w:divBdr>
        <w:top w:val="none" w:sz="0" w:space="0" w:color="auto"/>
        <w:left w:val="none" w:sz="0" w:space="0" w:color="auto"/>
        <w:bottom w:val="none" w:sz="0" w:space="0" w:color="auto"/>
        <w:right w:val="none" w:sz="0" w:space="0" w:color="auto"/>
      </w:divBdr>
    </w:div>
    <w:div w:id="394084857">
      <w:bodyDiv w:val="1"/>
      <w:marLeft w:val="0"/>
      <w:marRight w:val="0"/>
      <w:marTop w:val="0"/>
      <w:marBottom w:val="0"/>
      <w:divBdr>
        <w:top w:val="none" w:sz="0" w:space="0" w:color="auto"/>
        <w:left w:val="none" w:sz="0" w:space="0" w:color="auto"/>
        <w:bottom w:val="none" w:sz="0" w:space="0" w:color="auto"/>
        <w:right w:val="none" w:sz="0" w:space="0" w:color="auto"/>
      </w:divBdr>
    </w:div>
    <w:div w:id="490410521">
      <w:bodyDiv w:val="1"/>
      <w:marLeft w:val="0"/>
      <w:marRight w:val="0"/>
      <w:marTop w:val="0"/>
      <w:marBottom w:val="0"/>
      <w:divBdr>
        <w:top w:val="none" w:sz="0" w:space="0" w:color="auto"/>
        <w:left w:val="none" w:sz="0" w:space="0" w:color="auto"/>
        <w:bottom w:val="none" w:sz="0" w:space="0" w:color="auto"/>
        <w:right w:val="none" w:sz="0" w:space="0" w:color="auto"/>
      </w:divBdr>
    </w:div>
    <w:div w:id="507915632">
      <w:bodyDiv w:val="1"/>
      <w:marLeft w:val="0"/>
      <w:marRight w:val="0"/>
      <w:marTop w:val="0"/>
      <w:marBottom w:val="0"/>
      <w:divBdr>
        <w:top w:val="none" w:sz="0" w:space="0" w:color="auto"/>
        <w:left w:val="none" w:sz="0" w:space="0" w:color="auto"/>
        <w:bottom w:val="none" w:sz="0" w:space="0" w:color="auto"/>
        <w:right w:val="none" w:sz="0" w:space="0" w:color="auto"/>
      </w:divBdr>
    </w:div>
    <w:div w:id="555317211">
      <w:bodyDiv w:val="1"/>
      <w:marLeft w:val="0"/>
      <w:marRight w:val="0"/>
      <w:marTop w:val="0"/>
      <w:marBottom w:val="0"/>
      <w:divBdr>
        <w:top w:val="none" w:sz="0" w:space="0" w:color="auto"/>
        <w:left w:val="none" w:sz="0" w:space="0" w:color="auto"/>
        <w:bottom w:val="none" w:sz="0" w:space="0" w:color="auto"/>
        <w:right w:val="none" w:sz="0" w:space="0" w:color="auto"/>
      </w:divBdr>
    </w:div>
    <w:div w:id="564877372">
      <w:bodyDiv w:val="1"/>
      <w:marLeft w:val="0"/>
      <w:marRight w:val="0"/>
      <w:marTop w:val="0"/>
      <w:marBottom w:val="0"/>
      <w:divBdr>
        <w:top w:val="none" w:sz="0" w:space="0" w:color="auto"/>
        <w:left w:val="none" w:sz="0" w:space="0" w:color="auto"/>
        <w:bottom w:val="none" w:sz="0" w:space="0" w:color="auto"/>
        <w:right w:val="none" w:sz="0" w:space="0" w:color="auto"/>
      </w:divBdr>
    </w:div>
    <w:div w:id="616064522">
      <w:bodyDiv w:val="1"/>
      <w:marLeft w:val="0"/>
      <w:marRight w:val="0"/>
      <w:marTop w:val="0"/>
      <w:marBottom w:val="0"/>
      <w:divBdr>
        <w:top w:val="none" w:sz="0" w:space="0" w:color="auto"/>
        <w:left w:val="none" w:sz="0" w:space="0" w:color="auto"/>
        <w:bottom w:val="none" w:sz="0" w:space="0" w:color="auto"/>
        <w:right w:val="none" w:sz="0" w:space="0" w:color="auto"/>
      </w:divBdr>
    </w:div>
    <w:div w:id="658077401">
      <w:bodyDiv w:val="1"/>
      <w:marLeft w:val="0"/>
      <w:marRight w:val="0"/>
      <w:marTop w:val="0"/>
      <w:marBottom w:val="0"/>
      <w:divBdr>
        <w:top w:val="none" w:sz="0" w:space="0" w:color="auto"/>
        <w:left w:val="none" w:sz="0" w:space="0" w:color="auto"/>
        <w:bottom w:val="none" w:sz="0" w:space="0" w:color="auto"/>
        <w:right w:val="none" w:sz="0" w:space="0" w:color="auto"/>
      </w:divBdr>
    </w:div>
    <w:div w:id="741104193">
      <w:bodyDiv w:val="1"/>
      <w:marLeft w:val="0"/>
      <w:marRight w:val="0"/>
      <w:marTop w:val="0"/>
      <w:marBottom w:val="0"/>
      <w:divBdr>
        <w:top w:val="none" w:sz="0" w:space="0" w:color="auto"/>
        <w:left w:val="none" w:sz="0" w:space="0" w:color="auto"/>
        <w:bottom w:val="none" w:sz="0" w:space="0" w:color="auto"/>
        <w:right w:val="none" w:sz="0" w:space="0" w:color="auto"/>
      </w:divBdr>
    </w:div>
    <w:div w:id="781387534">
      <w:bodyDiv w:val="1"/>
      <w:marLeft w:val="0"/>
      <w:marRight w:val="0"/>
      <w:marTop w:val="0"/>
      <w:marBottom w:val="0"/>
      <w:divBdr>
        <w:top w:val="none" w:sz="0" w:space="0" w:color="auto"/>
        <w:left w:val="none" w:sz="0" w:space="0" w:color="auto"/>
        <w:bottom w:val="none" w:sz="0" w:space="0" w:color="auto"/>
        <w:right w:val="none" w:sz="0" w:space="0" w:color="auto"/>
      </w:divBdr>
    </w:div>
    <w:div w:id="909539882">
      <w:bodyDiv w:val="1"/>
      <w:marLeft w:val="0"/>
      <w:marRight w:val="0"/>
      <w:marTop w:val="0"/>
      <w:marBottom w:val="0"/>
      <w:divBdr>
        <w:top w:val="none" w:sz="0" w:space="0" w:color="auto"/>
        <w:left w:val="none" w:sz="0" w:space="0" w:color="auto"/>
        <w:bottom w:val="none" w:sz="0" w:space="0" w:color="auto"/>
        <w:right w:val="none" w:sz="0" w:space="0" w:color="auto"/>
      </w:divBdr>
    </w:div>
    <w:div w:id="911893294">
      <w:bodyDiv w:val="1"/>
      <w:marLeft w:val="0"/>
      <w:marRight w:val="0"/>
      <w:marTop w:val="0"/>
      <w:marBottom w:val="0"/>
      <w:divBdr>
        <w:top w:val="none" w:sz="0" w:space="0" w:color="auto"/>
        <w:left w:val="none" w:sz="0" w:space="0" w:color="auto"/>
        <w:bottom w:val="none" w:sz="0" w:space="0" w:color="auto"/>
        <w:right w:val="none" w:sz="0" w:space="0" w:color="auto"/>
      </w:divBdr>
    </w:div>
    <w:div w:id="1058433588">
      <w:bodyDiv w:val="1"/>
      <w:marLeft w:val="0"/>
      <w:marRight w:val="0"/>
      <w:marTop w:val="0"/>
      <w:marBottom w:val="0"/>
      <w:divBdr>
        <w:top w:val="none" w:sz="0" w:space="0" w:color="auto"/>
        <w:left w:val="none" w:sz="0" w:space="0" w:color="auto"/>
        <w:bottom w:val="none" w:sz="0" w:space="0" w:color="auto"/>
        <w:right w:val="none" w:sz="0" w:space="0" w:color="auto"/>
      </w:divBdr>
    </w:div>
    <w:div w:id="1080715188">
      <w:bodyDiv w:val="1"/>
      <w:marLeft w:val="0"/>
      <w:marRight w:val="0"/>
      <w:marTop w:val="0"/>
      <w:marBottom w:val="0"/>
      <w:divBdr>
        <w:top w:val="none" w:sz="0" w:space="0" w:color="auto"/>
        <w:left w:val="none" w:sz="0" w:space="0" w:color="auto"/>
        <w:bottom w:val="none" w:sz="0" w:space="0" w:color="auto"/>
        <w:right w:val="none" w:sz="0" w:space="0" w:color="auto"/>
      </w:divBdr>
    </w:div>
    <w:div w:id="1111434127">
      <w:bodyDiv w:val="1"/>
      <w:marLeft w:val="0"/>
      <w:marRight w:val="0"/>
      <w:marTop w:val="0"/>
      <w:marBottom w:val="0"/>
      <w:divBdr>
        <w:top w:val="none" w:sz="0" w:space="0" w:color="auto"/>
        <w:left w:val="none" w:sz="0" w:space="0" w:color="auto"/>
        <w:bottom w:val="none" w:sz="0" w:space="0" w:color="auto"/>
        <w:right w:val="none" w:sz="0" w:space="0" w:color="auto"/>
      </w:divBdr>
    </w:div>
    <w:div w:id="1113789313">
      <w:bodyDiv w:val="1"/>
      <w:marLeft w:val="0"/>
      <w:marRight w:val="0"/>
      <w:marTop w:val="0"/>
      <w:marBottom w:val="0"/>
      <w:divBdr>
        <w:top w:val="none" w:sz="0" w:space="0" w:color="auto"/>
        <w:left w:val="none" w:sz="0" w:space="0" w:color="auto"/>
        <w:bottom w:val="none" w:sz="0" w:space="0" w:color="auto"/>
        <w:right w:val="none" w:sz="0" w:space="0" w:color="auto"/>
      </w:divBdr>
    </w:div>
    <w:div w:id="1126773477">
      <w:bodyDiv w:val="1"/>
      <w:marLeft w:val="0"/>
      <w:marRight w:val="0"/>
      <w:marTop w:val="0"/>
      <w:marBottom w:val="0"/>
      <w:divBdr>
        <w:top w:val="none" w:sz="0" w:space="0" w:color="auto"/>
        <w:left w:val="none" w:sz="0" w:space="0" w:color="auto"/>
        <w:bottom w:val="none" w:sz="0" w:space="0" w:color="auto"/>
        <w:right w:val="none" w:sz="0" w:space="0" w:color="auto"/>
      </w:divBdr>
    </w:div>
    <w:div w:id="1160274177">
      <w:bodyDiv w:val="1"/>
      <w:marLeft w:val="0"/>
      <w:marRight w:val="0"/>
      <w:marTop w:val="0"/>
      <w:marBottom w:val="0"/>
      <w:divBdr>
        <w:top w:val="none" w:sz="0" w:space="0" w:color="auto"/>
        <w:left w:val="none" w:sz="0" w:space="0" w:color="auto"/>
        <w:bottom w:val="none" w:sz="0" w:space="0" w:color="auto"/>
        <w:right w:val="none" w:sz="0" w:space="0" w:color="auto"/>
      </w:divBdr>
    </w:div>
    <w:div w:id="1166359865">
      <w:bodyDiv w:val="1"/>
      <w:marLeft w:val="0"/>
      <w:marRight w:val="0"/>
      <w:marTop w:val="0"/>
      <w:marBottom w:val="0"/>
      <w:divBdr>
        <w:top w:val="none" w:sz="0" w:space="0" w:color="auto"/>
        <w:left w:val="none" w:sz="0" w:space="0" w:color="auto"/>
        <w:bottom w:val="none" w:sz="0" w:space="0" w:color="auto"/>
        <w:right w:val="none" w:sz="0" w:space="0" w:color="auto"/>
      </w:divBdr>
    </w:div>
    <w:div w:id="1212184683">
      <w:bodyDiv w:val="1"/>
      <w:marLeft w:val="0"/>
      <w:marRight w:val="0"/>
      <w:marTop w:val="0"/>
      <w:marBottom w:val="0"/>
      <w:divBdr>
        <w:top w:val="none" w:sz="0" w:space="0" w:color="auto"/>
        <w:left w:val="none" w:sz="0" w:space="0" w:color="auto"/>
        <w:bottom w:val="none" w:sz="0" w:space="0" w:color="auto"/>
        <w:right w:val="none" w:sz="0" w:space="0" w:color="auto"/>
      </w:divBdr>
    </w:div>
    <w:div w:id="1229225249">
      <w:bodyDiv w:val="1"/>
      <w:marLeft w:val="0"/>
      <w:marRight w:val="0"/>
      <w:marTop w:val="0"/>
      <w:marBottom w:val="0"/>
      <w:divBdr>
        <w:top w:val="none" w:sz="0" w:space="0" w:color="auto"/>
        <w:left w:val="none" w:sz="0" w:space="0" w:color="auto"/>
        <w:bottom w:val="none" w:sz="0" w:space="0" w:color="auto"/>
        <w:right w:val="none" w:sz="0" w:space="0" w:color="auto"/>
      </w:divBdr>
    </w:div>
    <w:div w:id="1236745460">
      <w:bodyDiv w:val="1"/>
      <w:marLeft w:val="0"/>
      <w:marRight w:val="0"/>
      <w:marTop w:val="0"/>
      <w:marBottom w:val="0"/>
      <w:divBdr>
        <w:top w:val="none" w:sz="0" w:space="0" w:color="auto"/>
        <w:left w:val="none" w:sz="0" w:space="0" w:color="auto"/>
        <w:bottom w:val="none" w:sz="0" w:space="0" w:color="auto"/>
        <w:right w:val="none" w:sz="0" w:space="0" w:color="auto"/>
      </w:divBdr>
    </w:div>
    <w:div w:id="1253660625">
      <w:bodyDiv w:val="1"/>
      <w:marLeft w:val="0"/>
      <w:marRight w:val="0"/>
      <w:marTop w:val="0"/>
      <w:marBottom w:val="0"/>
      <w:divBdr>
        <w:top w:val="none" w:sz="0" w:space="0" w:color="auto"/>
        <w:left w:val="none" w:sz="0" w:space="0" w:color="auto"/>
        <w:bottom w:val="none" w:sz="0" w:space="0" w:color="auto"/>
        <w:right w:val="none" w:sz="0" w:space="0" w:color="auto"/>
      </w:divBdr>
    </w:div>
    <w:div w:id="1260136986">
      <w:bodyDiv w:val="1"/>
      <w:marLeft w:val="0"/>
      <w:marRight w:val="0"/>
      <w:marTop w:val="0"/>
      <w:marBottom w:val="0"/>
      <w:divBdr>
        <w:top w:val="none" w:sz="0" w:space="0" w:color="auto"/>
        <w:left w:val="none" w:sz="0" w:space="0" w:color="auto"/>
        <w:bottom w:val="none" w:sz="0" w:space="0" w:color="auto"/>
        <w:right w:val="none" w:sz="0" w:space="0" w:color="auto"/>
      </w:divBdr>
    </w:div>
    <w:div w:id="1292322240">
      <w:bodyDiv w:val="1"/>
      <w:marLeft w:val="0"/>
      <w:marRight w:val="0"/>
      <w:marTop w:val="0"/>
      <w:marBottom w:val="0"/>
      <w:divBdr>
        <w:top w:val="none" w:sz="0" w:space="0" w:color="auto"/>
        <w:left w:val="none" w:sz="0" w:space="0" w:color="auto"/>
        <w:bottom w:val="none" w:sz="0" w:space="0" w:color="auto"/>
        <w:right w:val="none" w:sz="0" w:space="0" w:color="auto"/>
      </w:divBdr>
    </w:div>
    <w:div w:id="1337920857">
      <w:bodyDiv w:val="1"/>
      <w:marLeft w:val="0"/>
      <w:marRight w:val="0"/>
      <w:marTop w:val="0"/>
      <w:marBottom w:val="0"/>
      <w:divBdr>
        <w:top w:val="none" w:sz="0" w:space="0" w:color="auto"/>
        <w:left w:val="none" w:sz="0" w:space="0" w:color="auto"/>
        <w:bottom w:val="none" w:sz="0" w:space="0" w:color="auto"/>
        <w:right w:val="none" w:sz="0" w:space="0" w:color="auto"/>
      </w:divBdr>
    </w:div>
    <w:div w:id="1343781256">
      <w:bodyDiv w:val="1"/>
      <w:marLeft w:val="0"/>
      <w:marRight w:val="0"/>
      <w:marTop w:val="0"/>
      <w:marBottom w:val="0"/>
      <w:divBdr>
        <w:top w:val="none" w:sz="0" w:space="0" w:color="auto"/>
        <w:left w:val="none" w:sz="0" w:space="0" w:color="auto"/>
        <w:bottom w:val="none" w:sz="0" w:space="0" w:color="auto"/>
        <w:right w:val="none" w:sz="0" w:space="0" w:color="auto"/>
      </w:divBdr>
    </w:div>
    <w:div w:id="1374960571">
      <w:bodyDiv w:val="1"/>
      <w:marLeft w:val="0"/>
      <w:marRight w:val="0"/>
      <w:marTop w:val="0"/>
      <w:marBottom w:val="0"/>
      <w:divBdr>
        <w:top w:val="none" w:sz="0" w:space="0" w:color="auto"/>
        <w:left w:val="none" w:sz="0" w:space="0" w:color="auto"/>
        <w:bottom w:val="none" w:sz="0" w:space="0" w:color="auto"/>
        <w:right w:val="none" w:sz="0" w:space="0" w:color="auto"/>
      </w:divBdr>
    </w:div>
    <w:div w:id="1430351289">
      <w:bodyDiv w:val="1"/>
      <w:marLeft w:val="0"/>
      <w:marRight w:val="0"/>
      <w:marTop w:val="0"/>
      <w:marBottom w:val="0"/>
      <w:divBdr>
        <w:top w:val="none" w:sz="0" w:space="0" w:color="auto"/>
        <w:left w:val="none" w:sz="0" w:space="0" w:color="auto"/>
        <w:bottom w:val="none" w:sz="0" w:space="0" w:color="auto"/>
        <w:right w:val="none" w:sz="0" w:space="0" w:color="auto"/>
      </w:divBdr>
    </w:div>
    <w:div w:id="1532231815">
      <w:bodyDiv w:val="1"/>
      <w:marLeft w:val="0"/>
      <w:marRight w:val="0"/>
      <w:marTop w:val="0"/>
      <w:marBottom w:val="0"/>
      <w:divBdr>
        <w:top w:val="none" w:sz="0" w:space="0" w:color="auto"/>
        <w:left w:val="none" w:sz="0" w:space="0" w:color="auto"/>
        <w:bottom w:val="none" w:sz="0" w:space="0" w:color="auto"/>
        <w:right w:val="none" w:sz="0" w:space="0" w:color="auto"/>
      </w:divBdr>
    </w:div>
    <w:div w:id="1533836171">
      <w:bodyDiv w:val="1"/>
      <w:marLeft w:val="0"/>
      <w:marRight w:val="0"/>
      <w:marTop w:val="0"/>
      <w:marBottom w:val="0"/>
      <w:divBdr>
        <w:top w:val="none" w:sz="0" w:space="0" w:color="auto"/>
        <w:left w:val="none" w:sz="0" w:space="0" w:color="auto"/>
        <w:bottom w:val="none" w:sz="0" w:space="0" w:color="auto"/>
        <w:right w:val="none" w:sz="0" w:space="0" w:color="auto"/>
      </w:divBdr>
    </w:div>
    <w:div w:id="1566184576">
      <w:bodyDiv w:val="1"/>
      <w:marLeft w:val="0"/>
      <w:marRight w:val="0"/>
      <w:marTop w:val="0"/>
      <w:marBottom w:val="0"/>
      <w:divBdr>
        <w:top w:val="none" w:sz="0" w:space="0" w:color="auto"/>
        <w:left w:val="none" w:sz="0" w:space="0" w:color="auto"/>
        <w:bottom w:val="none" w:sz="0" w:space="0" w:color="auto"/>
        <w:right w:val="none" w:sz="0" w:space="0" w:color="auto"/>
      </w:divBdr>
    </w:div>
    <w:div w:id="1583367160">
      <w:bodyDiv w:val="1"/>
      <w:marLeft w:val="0"/>
      <w:marRight w:val="0"/>
      <w:marTop w:val="0"/>
      <w:marBottom w:val="0"/>
      <w:divBdr>
        <w:top w:val="none" w:sz="0" w:space="0" w:color="auto"/>
        <w:left w:val="none" w:sz="0" w:space="0" w:color="auto"/>
        <w:bottom w:val="none" w:sz="0" w:space="0" w:color="auto"/>
        <w:right w:val="none" w:sz="0" w:space="0" w:color="auto"/>
      </w:divBdr>
    </w:div>
    <w:div w:id="1610698046">
      <w:bodyDiv w:val="1"/>
      <w:marLeft w:val="0"/>
      <w:marRight w:val="0"/>
      <w:marTop w:val="0"/>
      <w:marBottom w:val="0"/>
      <w:divBdr>
        <w:top w:val="none" w:sz="0" w:space="0" w:color="auto"/>
        <w:left w:val="none" w:sz="0" w:space="0" w:color="auto"/>
        <w:bottom w:val="none" w:sz="0" w:space="0" w:color="auto"/>
        <w:right w:val="none" w:sz="0" w:space="0" w:color="auto"/>
      </w:divBdr>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75953521">
      <w:bodyDiv w:val="1"/>
      <w:marLeft w:val="0"/>
      <w:marRight w:val="0"/>
      <w:marTop w:val="0"/>
      <w:marBottom w:val="0"/>
      <w:divBdr>
        <w:top w:val="none" w:sz="0" w:space="0" w:color="auto"/>
        <w:left w:val="none" w:sz="0" w:space="0" w:color="auto"/>
        <w:bottom w:val="none" w:sz="0" w:space="0" w:color="auto"/>
        <w:right w:val="none" w:sz="0" w:space="0" w:color="auto"/>
      </w:divBdr>
    </w:div>
    <w:div w:id="1686636519">
      <w:bodyDiv w:val="1"/>
      <w:marLeft w:val="0"/>
      <w:marRight w:val="0"/>
      <w:marTop w:val="0"/>
      <w:marBottom w:val="0"/>
      <w:divBdr>
        <w:top w:val="none" w:sz="0" w:space="0" w:color="auto"/>
        <w:left w:val="none" w:sz="0" w:space="0" w:color="auto"/>
        <w:bottom w:val="none" w:sz="0" w:space="0" w:color="auto"/>
        <w:right w:val="none" w:sz="0" w:space="0" w:color="auto"/>
      </w:divBdr>
    </w:div>
    <w:div w:id="1754863153">
      <w:bodyDiv w:val="1"/>
      <w:marLeft w:val="0"/>
      <w:marRight w:val="0"/>
      <w:marTop w:val="0"/>
      <w:marBottom w:val="0"/>
      <w:divBdr>
        <w:top w:val="none" w:sz="0" w:space="0" w:color="auto"/>
        <w:left w:val="none" w:sz="0" w:space="0" w:color="auto"/>
        <w:bottom w:val="none" w:sz="0" w:space="0" w:color="auto"/>
        <w:right w:val="none" w:sz="0" w:space="0" w:color="auto"/>
      </w:divBdr>
    </w:div>
    <w:div w:id="1846939844">
      <w:bodyDiv w:val="1"/>
      <w:marLeft w:val="0"/>
      <w:marRight w:val="0"/>
      <w:marTop w:val="0"/>
      <w:marBottom w:val="0"/>
      <w:divBdr>
        <w:top w:val="none" w:sz="0" w:space="0" w:color="auto"/>
        <w:left w:val="none" w:sz="0" w:space="0" w:color="auto"/>
        <w:bottom w:val="none" w:sz="0" w:space="0" w:color="auto"/>
        <w:right w:val="none" w:sz="0" w:space="0" w:color="auto"/>
      </w:divBdr>
    </w:div>
    <w:div w:id="1875994080">
      <w:bodyDiv w:val="1"/>
      <w:marLeft w:val="0"/>
      <w:marRight w:val="0"/>
      <w:marTop w:val="0"/>
      <w:marBottom w:val="0"/>
      <w:divBdr>
        <w:top w:val="none" w:sz="0" w:space="0" w:color="auto"/>
        <w:left w:val="none" w:sz="0" w:space="0" w:color="auto"/>
        <w:bottom w:val="none" w:sz="0" w:space="0" w:color="auto"/>
        <w:right w:val="none" w:sz="0" w:space="0" w:color="auto"/>
      </w:divBdr>
    </w:div>
    <w:div w:id="1919047933">
      <w:bodyDiv w:val="1"/>
      <w:marLeft w:val="0"/>
      <w:marRight w:val="0"/>
      <w:marTop w:val="0"/>
      <w:marBottom w:val="0"/>
      <w:divBdr>
        <w:top w:val="none" w:sz="0" w:space="0" w:color="auto"/>
        <w:left w:val="none" w:sz="0" w:space="0" w:color="auto"/>
        <w:bottom w:val="none" w:sz="0" w:space="0" w:color="auto"/>
        <w:right w:val="none" w:sz="0" w:space="0" w:color="auto"/>
      </w:divBdr>
    </w:div>
    <w:div w:id="1971860544">
      <w:bodyDiv w:val="1"/>
      <w:marLeft w:val="0"/>
      <w:marRight w:val="0"/>
      <w:marTop w:val="0"/>
      <w:marBottom w:val="0"/>
      <w:divBdr>
        <w:top w:val="none" w:sz="0" w:space="0" w:color="auto"/>
        <w:left w:val="none" w:sz="0" w:space="0" w:color="auto"/>
        <w:bottom w:val="none" w:sz="0" w:space="0" w:color="auto"/>
        <w:right w:val="none" w:sz="0" w:space="0" w:color="auto"/>
      </w:divBdr>
    </w:div>
    <w:div w:id="1972781070">
      <w:bodyDiv w:val="1"/>
      <w:marLeft w:val="0"/>
      <w:marRight w:val="0"/>
      <w:marTop w:val="0"/>
      <w:marBottom w:val="0"/>
      <w:divBdr>
        <w:top w:val="none" w:sz="0" w:space="0" w:color="auto"/>
        <w:left w:val="none" w:sz="0" w:space="0" w:color="auto"/>
        <w:bottom w:val="none" w:sz="0" w:space="0" w:color="auto"/>
        <w:right w:val="none" w:sz="0" w:space="0" w:color="auto"/>
      </w:divBdr>
    </w:div>
    <w:div w:id="1984850260">
      <w:bodyDiv w:val="1"/>
      <w:marLeft w:val="0"/>
      <w:marRight w:val="0"/>
      <w:marTop w:val="0"/>
      <w:marBottom w:val="0"/>
      <w:divBdr>
        <w:top w:val="none" w:sz="0" w:space="0" w:color="auto"/>
        <w:left w:val="none" w:sz="0" w:space="0" w:color="auto"/>
        <w:bottom w:val="none" w:sz="0" w:space="0" w:color="auto"/>
        <w:right w:val="none" w:sz="0" w:space="0" w:color="auto"/>
      </w:divBdr>
    </w:div>
    <w:div w:id="2005816751">
      <w:bodyDiv w:val="1"/>
      <w:marLeft w:val="0"/>
      <w:marRight w:val="0"/>
      <w:marTop w:val="0"/>
      <w:marBottom w:val="0"/>
      <w:divBdr>
        <w:top w:val="none" w:sz="0" w:space="0" w:color="auto"/>
        <w:left w:val="none" w:sz="0" w:space="0" w:color="auto"/>
        <w:bottom w:val="none" w:sz="0" w:space="0" w:color="auto"/>
        <w:right w:val="none" w:sz="0" w:space="0" w:color="auto"/>
      </w:divBdr>
    </w:div>
    <w:div w:id="2022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A071-5F8B-4D40-97F4-E270303B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3</TotalTime>
  <Pages>8</Pages>
  <Words>82191</Words>
  <Characters>468490</Characters>
  <Application>Microsoft Office Word</Application>
  <DocSecurity>0</DocSecurity>
  <PresentationFormat/>
  <Lines>3904</Lines>
  <Paragraphs>1099</Paragraphs>
  <ScaleCrop>false</ScaleCrop>
  <HeadingPairs>
    <vt:vector size="2" baseType="variant">
      <vt:variant>
        <vt:lpstr>Title</vt:lpstr>
      </vt:variant>
      <vt:variant>
        <vt:i4>1</vt:i4>
      </vt:variant>
    </vt:vector>
  </HeadingPairs>
  <TitlesOfParts>
    <vt:vector size="1" baseType="lpstr">
      <vt:lpstr>Anti-Money Laundering and Counter-Terrorism Financing Act 2006</vt:lpstr>
    </vt:vector>
  </TitlesOfParts>
  <Manager/>
  <Company/>
  <LinksUpToDate>false</LinksUpToDate>
  <CharactersWithSpaces>549582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Anti-Money Laundering and Counter-Terrorism Financing Act 2006</dc:title>
  <dc:subject/>
  <dc:creator>Tamara Jankovic</dc:creator>
  <cp:keywords/>
  <dc:description/>
  <cp:lastModifiedBy>Tamara Jankovic</cp:lastModifiedBy>
  <cp:revision>4</cp:revision>
  <cp:lastPrinted>2024-12-20T05:12:00Z</cp:lastPrinted>
  <dcterms:created xsi:type="dcterms:W3CDTF">2024-12-20T05:10:00Z</dcterms:created>
  <dcterms:modified xsi:type="dcterms:W3CDTF">2024-12-20T05:14:00Z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Anti-Money Laundering and Counter-Terrorism Financing Act 2006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57</vt:lpwstr>
  </property>
  <property fmtid="{D5CDD505-2E9C-101B-9397-08002B2CF9AE}" pid="15" name="StartDate">
    <vt:lpwstr>14 October 2024</vt:lpwstr>
  </property>
  <property fmtid="{D5CDD505-2E9C-101B-9397-08002B2CF9AE}" pid="16" name="PreparedDate">
    <vt:filetime>2016-03-14T14:00:00Z</vt:filetime>
  </property>
  <property fmtid="{D5CDD505-2E9C-101B-9397-08002B2CF9AE}" pid="17" name="RegisteredDate">
    <vt:lpwstr>1 January 1901</vt:lpwstr>
  </property>
  <property fmtid="{D5CDD505-2E9C-101B-9397-08002B2CF9AE}" pid="18" name="IncludesUpTo">
    <vt:lpwstr>Act No. 38, 2024</vt:lpwstr>
  </property>
</Properties>
</file>